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80" w:type="dxa"/>
        <w:tblLayout w:type="fixed"/>
        <w:tblLook w:val="07E0" w:firstRow="1" w:lastRow="1" w:firstColumn="1" w:lastColumn="1" w:noHBand="1" w:noVBand="1"/>
      </w:tblPr>
      <w:tblGrid>
        <w:gridCol w:w="2440"/>
        <w:gridCol w:w="5240"/>
      </w:tblGrid>
      <w:tr w:rsidRPr="00361E1F" w:rsidR="00361E1F" w:rsidTr="00A754D4" w14:paraId="2DA190B2" w14:textId="77777777">
        <w:trPr>
          <w:trHeight w:val="200"/>
        </w:trPr>
        <w:tc>
          <w:tcPr>
            <w:tcW w:w="2440" w:type="dxa"/>
            <w:tcBorders>
              <w:bottom w:val="dotted" w:color="000000" w:sz="6" w:space="0"/>
            </w:tcBorders>
          </w:tcPr>
          <w:p w:rsidRPr="00361E1F" w:rsidR="00B758EC" w:rsidP="001810C7" w:rsidRDefault="00B758EC" w14:paraId="252497F5" w14:textId="77777777">
            <w:pPr>
              <w:rPr>
                <w:color w:val="auto"/>
              </w:rPr>
            </w:pPr>
          </w:p>
        </w:tc>
        <w:tc>
          <w:tcPr>
            <w:tcW w:w="5240" w:type="dxa"/>
            <w:tcBorders>
              <w:bottom w:val="dotted" w:color="000000" w:sz="6" w:space="0"/>
            </w:tcBorders>
          </w:tcPr>
          <w:p w:rsidRPr="00361E1F" w:rsidR="00B758EC" w:rsidP="001810C7" w:rsidRDefault="00B758EC" w14:paraId="07E66AF3" w14:textId="77777777">
            <w:pPr>
              <w:rPr>
                <w:color w:val="auto"/>
              </w:rPr>
            </w:pPr>
          </w:p>
        </w:tc>
      </w:tr>
      <w:tr w:rsidRPr="00361E1F" w:rsidR="00361E1F" w:rsidTr="00A754D4" w14:paraId="204C299E" w14:textId="77777777">
        <w:trPr>
          <w:trHeight w:val="200"/>
        </w:trPr>
        <w:tc>
          <w:tcPr>
            <w:tcW w:w="2440" w:type="dxa"/>
            <w:tcBorders>
              <w:top w:val="dotted" w:color="000000" w:sz="6" w:space="0"/>
            </w:tcBorders>
          </w:tcPr>
          <w:p w:rsidRPr="00361E1F" w:rsidR="00B758EC" w:rsidP="001810C7" w:rsidRDefault="00B758EC" w14:paraId="2A38BAC8" w14:textId="77777777">
            <w:pPr>
              <w:rPr>
                <w:color w:val="auto"/>
              </w:rPr>
            </w:pPr>
          </w:p>
        </w:tc>
        <w:tc>
          <w:tcPr>
            <w:tcW w:w="5240" w:type="dxa"/>
            <w:tcBorders>
              <w:top w:val="dotted" w:color="000000" w:sz="6" w:space="0"/>
            </w:tcBorders>
          </w:tcPr>
          <w:p w:rsidRPr="00361E1F" w:rsidR="00B758EC" w:rsidP="001810C7" w:rsidRDefault="00B758EC" w14:paraId="5D625462" w14:textId="77777777">
            <w:pPr>
              <w:rPr>
                <w:color w:val="auto"/>
              </w:rPr>
            </w:pPr>
          </w:p>
        </w:tc>
      </w:tr>
      <w:tr w:rsidRPr="00361E1F" w:rsidR="00361E1F" w:rsidTr="00A754D4" w14:paraId="1A62930D" w14:textId="77777777">
        <w:trPr>
          <w:trHeight w:val="240"/>
        </w:trPr>
        <w:tc>
          <w:tcPr>
            <w:tcW w:w="2440" w:type="dxa"/>
          </w:tcPr>
          <w:p w:rsidRPr="00361E1F" w:rsidR="00B758EC" w:rsidP="001810C7" w:rsidRDefault="0065442A" w14:paraId="24E54919" w14:textId="77777777">
            <w:pPr>
              <w:pStyle w:val="Referentiegegevens"/>
              <w:rPr>
                <w:color w:val="auto"/>
              </w:rPr>
            </w:pPr>
            <w:r w:rsidRPr="00361E1F">
              <w:rPr>
                <w:color w:val="auto"/>
              </w:rPr>
              <w:t>Bijlage nummer</w:t>
            </w:r>
          </w:p>
        </w:tc>
        <w:tc>
          <w:tcPr>
            <w:tcW w:w="5240" w:type="dxa"/>
          </w:tcPr>
          <w:p w:rsidRPr="00361E1F" w:rsidR="00B758EC" w:rsidP="001810C7" w:rsidRDefault="0065442A" w14:paraId="0B320E7D" w14:textId="77777777">
            <w:pPr>
              <w:rPr>
                <w:color w:val="auto"/>
              </w:rPr>
            </w:pPr>
            <w:r w:rsidRPr="00361E1F">
              <w:rPr>
                <w:color w:val="auto"/>
              </w:rPr>
              <w:t>1</w:t>
            </w:r>
          </w:p>
        </w:tc>
      </w:tr>
      <w:tr w:rsidRPr="00361E1F" w:rsidR="00361E1F" w:rsidTr="00A754D4" w14:paraId="6C5B625B" w14:textId="77777777">
        <w:trPr>
          <w:trHeight w:val="240"/>
        </w:trPr>
        <w:tc>
          <w:tcPr>
            <w:tcW w:w="2440" w:type="dxa"/>
          </w:tcPr>
          <w:p w:rsidRPr="00361E1F" w:rsidR="00B758EC" w:rsidP="001810C7" w:rsidRDefault="0065442A" w14:paraId="52B011B1" w14:textId="77777777">
            <w:pPr>
              <w:pStyle w:val="Referentiegegevens"/>
              <w:rPr>
                <w:color w:val="auto"/>
              </w:rPr>
            </w:pPr>
            <w:r w:rsidRPr="00361E1F">
              <w:rPr>
                <w:color w:val="auto"/>
              </w:rPr>
              <w:t>Horend bij</w:t>
            </w:r>
          </w:p>
        </w:tc>
        <w:tc>
          <w:tcPr>
            <w:tcW w:w="5240" w:type="dxa"/>
          </w:tcPr>
          <w:p w:rsidRPr="00361E1F" w:rsidR="00B758EC" w:rsidP="001810C7" w:rsidRDefault="00A754D4" w14:paraId="47A3A771" w14:textId="2D2432CD">
            <w:pPr>
              <w:rPr>
                <w:color w:val="auto"/>
              </w:rPr>
            </w:pPr>
            <w:r w:rsidRPr="00361E1F">
              <w:rPr>
                <w:color w:val="auto"/>
              </w:rPr>
              <w:t xml:space="preserve">Koersbrief </w:t>
            </w:r>
            <w:r w:rsidR="008A36DF">
              <w:rPr>
                <w:color w:val="auto"/>
              </w:rPr>
              <w:t>ondermijning door georganiseerde criminaliteit</w:t>
            </w:r>
          </w:p>
        </w:tc>
      </w:tr>
      <w:tr w:rsidRPr="00361E1F" w:rsidR="00361E1F" w:rsidTr="00A754D4" w14:paraId="08CCD257" w14:textId="77777777">
        <w:trPr>
          <w:trHeight w:val="200"/>
        </w:trPr>
        <w:tc>
          <w:tcPr>
            <w:tcW w:w="2440" w:type="dxa"/>
            <w:tcBorders>
              <w:bottom w:val="dotted" w:color="000000" w:sz="6" w:space="0"/>
            </w:tcBorders>
          </w:tcPr>
          <w:p w:rsidRPr="00361E1F" w:rsidR="00B758EC" w:rsidP="001810C7" w:rsidRDefault="00B758EC" w14:paraId="7024B7B2" w14:textId="77777777">
            <w:pPr>
              <w:rPr>
                <w:color w:val="auto"/>
              </w:rPr>
            </w:pPr>
          </w:p>
        </w:tc>
        <w:tc>
          <w:tcPr>
            <w:tcW w:w="5240" w:type="dxa"/>
            <w:tcBorders>
              <w:bottom w:val="dotted" w:color="000000" w:sz="6" w:space="0"/>
            </w:tcBorders>
          </w:tcPr>
          <w:p w:rsidRPr="00361E1F" w:rsidR="00B758EC" w:rsidP="001810C7" w:rsidRDefault="00B758EC" w14:paraId="4BA80B78" w14:textId="77777777">
            <w:pPr>
              <w:rPr>
                <w:color w:val="auto"/>
              </w:rPr>
            </w:pPr>
          </w:p>
        </w:tc>
      </w:tr>
      <w:tr w:rsidRPr="00361E1F" w:rsidR="00B758EC" w:rsidTr="00A754D4" w14:paraId="77485416" w14:textId="77777777">
        <w:trPr>
          <w:trHeight w:val="200"/>
        </w:trPr>
        <w:tc>
          <w:tcPr>
            <w:tcW w:w="2440" w:type="dxa"/>
          </w:tcPr>
          <w:p w:rsidRPr="00361E1F" w:rsidR="00B758EC" w:rsidP="001810C7" w:rsidRDefault="00B758EC" w14:paraId="34ADFB9E" w14:textId="77777777">
            <w:pPr>
              <w:rPr>
                <w:color w:val="auto"/>
              </w:rPr>
            </w:pPr>
          </w:p>
        </w:tc>
        <w:tc>
          <w:tcPr>
            <w:tcW w:w="5240" w:type="dxa"/>
          </w:tcPr>
          <w:p w:rsidRPr="00361E1F" w:rsidR="00B758EC" w:rsidP="001810C7" w:rsidRDefault="00B758EC" w14:paraId="119AB617" w14:textId="77777777">
            <w:pPr>
              <w:rPr>
                <w:color w:val="auto"/>
              </w:rPr>
            </w:pPr>
          </w:p>
        </w:tc>
      </w:tr>
    </w:tbl>
    <w:p w:rsidRPr="00361E1F" w:rsidR="00B758EC" w:rsidP="001810C7" w:rsidRDefault="00B758EC" w14:paraId="2CCED7FD" w14:textId="77777777">
      <w:pPr>
        <w:pStyle w:val="WitregelW1bodytekst"/>
        <w:rPr>
          <w:color w:val="auto"/>
        </w:rPr>
      </w:pPr>
    </w:p>
    <w:p w:rsidRPr="00361E1F" w:rsidR="00B758EC" w:rsidP="001810C7" w:rsidRDefault="00B758EC" w14:paraId="1640D277" w14:textId="77777777">
      <w:pPr>
        <w:rPr>
          <w:color w:val="auto"/>
        </w:rPr>
      </w:pPr>
    </w:p>
    <w:p w:rsidRPr="00361E1F" w:rsidR="00A754D4" w:rsidP="001810C7" w:rsidRDefault="00A754D4" w14:paraId="01DC35D4" w14:textId="77777777">
      <w:pPr>
        <w:rPr>
          <w:b/>
          <w:iCs/>
          <w:color w:val="auto"/>
        </w:rPr>
      </w:pPr>
      <w:bookmarkStart w:name="_Hlk212549249" w:id="0"/>
      <w:r w:rsidRPr="00361E1F">
        <w:rPr>
          <w:b/>
          <w:iCs/>
          <w:color w:val="auto"/>
        </w:rPr>
        <w:t xml:space="preserve">Inhoudsopgave </w:t>
      </w:r>
    </w:p>
    <w:p w:rsidRPr="00361E1F" w:rsidR="00A754D4" w:rsidP="001810C7" w:rsidRDefault="00A754D4" w14:paraId="7809B1C5" w14:textId="77777777">
      <w:pPr>
        <w:rPr>
          <w:b/>
          <w:iCs/>
          <w:color w:val="auto"/>
        </w:rPr>
      </w:pPr>
    </w:p>
    <w:p w:rsidRPr="00361E1F" w:rsidR="00A754D4" w:rsidP="001810C7" w:rsidRDefault="00A754D4" w14:paraId="26F5D5C5" w14:textId="77777777">
      <w:pPr>
        <w:rPr>
          <w:bCs/>
          <w:iCs/>
          <w:color w:val="auto"/>
        </w:rPr>
      </w:pPr>
      <w:bookmarkStart w:name="_Hlk212028149" w:id="1"/>
    </w:p>
    <w:p w:rsidRPr="00361E1F" w:rsidR="00C64D19" w:rsidP="001810C7" w:rsidRDefault="008A36DF" w14:paraId="7BF89DF3" w14:textId="0CC1BAC1">
      <w:pPr>
        <w:numPr>
          <w:ilvl w:val="0"/>
          <w:numId w:val="7"/>
        </w:numPr>
        <w:rPr>
          <w:b/>
          <w:iCs/>
          <w:color w:val="auto"/>
        </w:rPr>
      </w:pPr>
      <w:r>
        <w:rPr>
          <w:b/>
          <w:iCs/>
          <w:color w:val="auto"/>
        </w:rPr>
        <w:t>Veilige en integere economie</w:t>
      </w:r>
    </w:p>
    <w:p w:rsidRPr="00361E1F" w:rsidR="001C6033" w:rsidP="001810C7" w:rsidRDefault="001C6033" w14:paraId="56A82A7E" w14:textId="55162526">
      <w:pPr>
        <w:numPr>
          <w:ilvl w:val="1"/>
          <w:numId w:val="7"/>
        </w:numPr>
        <w:rPr>
          <w:bCs/>
          <w:iCs/>
          <w:color w:val="auto"/>
          <w:u w:val="single"/>
        </w:rPr>
      </w:pPr>
      <w:r w:rsidRPr="00361E1F">
        <w:rPr>
          <w:bCs/>
          <w:iCs/>
          <w:color w:val="auto"/>
        </w:rPr>
        <w:t xml:space="preserve">Toezegging: de minister zegt toe de Kamer te informeren over de aanpak van zorgfraude naar aanleiding van de opmerkingen van de Nederlandse Zorgautoriteit dat het gebrek aan een wettelijke definitie van zorgfraude belemmerend zou werken bij de aanpak van zorgfraude. </w:t>
      </w:r>
    </w:p>
    <w:p w:rsidRPr="00361E1F" w:rsidR="007D503E" w:rsidP="001810C7" w:rsidRDefault="007D503E" w14:paraId="5612491A" w14:textId="07B631B5">
      <w:pPr>
        <w:numPr>
          <w:ilvl w:val="1"/>
          <w:numId w:val="7"/>
        </w:numPr>
        <w:rPr>
          <w:bCs/>
          <w:color w:val="auto"/>
        </w:rPr>
      </w:pPr>
      <w:r w:rsidRPr="00361E1F">
        <w:rPr>
          <w:bCs/>
          <w:color w:val="auto"/>
        </w:rPr>
        <w:t xml:space="preserve">Motie van de leden </w:t>
      </w:r>
      <w:proofErr w:type="spellStart"/>
      <w:r w:rsidRPr="00361E1F">
        <w:rPr>
          <w:bCs/>
          <w:color w:val="auto"/>
        </w:rPr>
        <w:t>Struijs</w:t>
      </w:r>
      <w:proofErr w:type="spellEnd"/>
      <w:r w:rsidRPr="00361E1F">
        <w:rPr>
          <w:bCs/>
          <w:color w:val="auto"/>
        </w:rPr>
        <w:t xml:space="preserve"> (50PLUS) en Dobbe (SP) over een expliciete wettelijke definitie van zorgfraude. Kamerstukken II 2025/26, 36 800, nr. 123.</w:t>
      </w:r>
      <w:r w:rsidRPr="00361E1F" w:rsidR="00266F3E">
        <w:rPr>
          <w:bCs/>
          <w:color w:val="auto"/>
        </w:rPr>
        <w:t xml:space="preserve"> </w:t>
      </w:r>
    </w:p>
    <w:p w:rsidRPr="00361E1F" w:rsidR="005633FD" w:rsidP="001810C7" w:rsidRDefault="005633FD" w14:paraId="675D1A0B" w14:textId="16771D00">
      <w:pPr>
        <w:numPr>
          <w:ilvl w:val="1"/>
          <w:numId w:val="7"/>
        </w:numPr>
        <w:rPr>
          <w:bCs/>
          <w:iCs/>
          <w:color w:val="auto"/>
          <w:u w:val="single"/>
        </w:rPr>
      </w:pPr>
      <w:r w:rsidRPr="00361E1F">
        <w:rPr>
          <w:bCs/>
          <w:iCs/>
          <w:color w:val="auto"/>
        </w:rPr>
        <w:t xml:space="preserve">Toezegging: de minister zegt toe de evaluatie van de publiekscampagne over de gevolgen van drugsgebruik op criminaliteit en de samenleving te zullen delen, en aan de hand daarvan te bekijken wat dit betekent voor het vervolg van de campagne. </w:t>
      </w:r>
    </w:p>
    <w:p w:rsidRPr="00361E1F" w:rsidR="00E21A4E" w:rsidP="001810C7" w:rsidRDefault="00E21A4E" w14:paraId="22F97F47" w14:textId="23565100">
      <w:pPr>
        <w:numPr>
          <w:ilvl w:val="1"/>
          <w:numId w:val="7"/>
        </w:numPr>
        <w:rPr>
          <w:bCs/>
          <w:iCs/>
          <w:color w:val="auto"/>
          <w:u w:val="single"/>
        </w:rPr>
      </w:pPr>
      <w:r w:rsidRPr="00361E1F">
        <w:rPr>
          <w:bCs/>
          <w:iCs/>
          <w:color w:val="auto"/>
        </w:rPr>
        <w:t xml:space="preserve">Toezegging: de minister zegt toe aan het lid </w:t>
      </w:r>
      <w:proofErr w:type="spellStart"/>
      <w:r w:rsidRPr="00361E1F">
        <w:rPr>
          <w:bCs/>
          <w:iCs/>
          <w:color w:val="auto"/>
        </w:rPr>
        <w:t>Mutluer</w:t>
      </w:r>
      <w:proofErr w:type="spellEnd"/>
      <w:r w:rsidRPr="00361E1F">
        <w:rPr>
          <w:bCs/>
          <w:iCs/>
          <w:color w:val="auto"/>
        </w:rPr>
        <w:t xml:space="preserve"> (GL-PvdA) om </w:t>
      </w:r>
      <w:r w:rsidRPr="00361E1F" w:rsidR="00242572">
        <w:rPr>
          <w:bCs/>
          <w:iCs/>
          <w:color w:val="auto"/>
        </w:rPr>
        <w:t xml:space="preserve">middels </w:t>
      </w:r>
      <w:r w:rsidRPr="00361E1F" w:rsidR="00753AED">
        <w:rPr>
          <w:bCs/>
          <w:iCs/>
          <w:color w:val="auto"/>
        </w:rPr>
        <w:t>een brief</w:t>
      </w:r>
      <w:r w:rsidRPr="00361E1F">
        <w:rPr>
          <w:bCs/>
          <w:iCs/>
          <w:color w:val="auto"/>
        </w:rPr>
        <w:t xml:space="preserve"> </w:t>
      </w:r>
      <w:r w:rsidRPr="00361E1F" w:rsidR="00242572">
        <w:rPr>
          <w:bCs/>
          <w:iCs/>
          <w:color w:val="auto"/>
        </w:rPr>
        <w:t>de Tweede Kamer te informeren over</w:t>
      </w:r>
      <w:r w:rsidRPr="00361E1F">
        <w:rPr>
          <w:bCs/>
          <w:iCs/>
          <w:color w:val="auto"/>
        </w:rPr>
        <w:t xml:space="preserve"> de inzet van specialistische jongerenwerkers. </w:t>
      </w:r>
    </w:p>
    <w:p w:rsidRPr="00361E1F" w:rsidR="00A754D4" w:rsidP="001810C7" w:rsidRDefault="00A754D4" w14:paraId="41E07E79" w14:textId="6FE12547">
      <w:pPr>
        <w:numPr>
          <w:ilvl w:val="1"/>
          <w:numId w:val="7"/>
        </w:numPr>
        <w:rPr>
          <w:bCs/>
          <w:iCs/>
          <w:color w:val="auto"/>
          <w:u w:val="single"/>
        </w:rPr>
      </w:pPr>
      <w:r w:rsidRPr="00361E1F">
        <w:rPr>
          <w:bCs/>
          <w:iCs/>
          <w:color w:val="auto"/>
        </w:rPr>
        <w:t xml:space="preserve">Motie van het lid Bikker (Chr. Unie) c.s. </w:t>
      </w:r>
      <w:r w:rsidRPr="00361E1F" w:rsidR="00823AD6">
        <w:rPr>
          <w:bCs/>
          <w:iCs/>
          <w:color w:val="auto"/>
        </w:rPr>
        <w:t>over de campagne over de gevolgen van drugsgebruik voor criminaliteit en de samenleving voortzetten. Kamerstukken II, 2025/26, 36 800</w:t>
      </w:r>
      <w:r w:rsidRPr="00361E1F" w:rsidR="00D54266">
        <w:rPr>
          <w:bCs/>
          <w:iCs/>
          <w:color w:val="auto"/>
        </w:rPr>
        <w:t>-</w:t>
      </w:r>
      <w:r w:rsidRPr="00361E1F" w:rsidR="00823AD6">
        <w:rPr>
          <w:bCs/>
          <w:iCs/>
          <w:color w:val="auto"/>
        </w:rPr>
        <w:t>VI, nr. 116.</w:t>
      </w:r>
      <w:r w:rsidRPr="00361E1F" w:rsidR="00266F3E">
        <w:rPr>
          <w:bCs/>
          <w:iCs/>
          <w:color w:val="auto"/>
        </w:rPr>
        <w:t xml:space="preserve">  </w:t>
      </w:r>
    </w:p>
    <w:p w:rsidRPr="00361E1F" w:rsidR="00E06FFE" w:rsidP="001810C7" w:rsidRDefault="00E06FFE" w14:paraId="7DF8AE84" w14:textId="3FE16CDF">
      <w:pPr>
        <w:numPr>
          <w:ilvl w:val="1"/>
          <w:numId w:val="7"/>
        </w:numPr>
        <w:rPr>
          <w:bCs/>
          <w:iCs/>
          <w:color w:val="auto"/>
        </w:rPr>
      </w:pPr>
      <w:r w:rsidRPr="00361E1F">
        <w:rPr>
          <w:color w:val="auto"/>
        </w:rPr>
        <w:t xml:space="preserve">Motie van het lid </w:t>
      </w:r>
      <w:proofErr w:type="spellStart"/>
      <w:r w:rsidRPr="00361E1F">
        <w:rPr>
          <w:color w:val="auto"/>
        </w:rPr>
        <w:t>Wijen-Nass</w:t>
      </w:r>
      <w:proofErr w:type="spellEnd"/>
      <w:r w:rsidRPr="00361E1F">
        <w:rPr>
          <w:color w:val="auto"/>
        </w:rPr>
        <w:t xml:space="preserve"> (BBB) over het vinden van een passende invullende van leegstaande agrarische panden. Kamerstukken II, 2025/26, 29 911, nr. 486.</w:t>
      </w:r>
      <w:r w:rsidRPr="00361E1F" w:rsidR="00266F3E">
        <w:rPr>
          <w:color w:val="auto"/>
        </w:rPr>
        <w:t xml:space="preserve"> </w:t>
      </w:r>
    </w:p>
    <w:p w:rsidRPr="00361E1F" w:rsidR="00A754D4" w:rsidP="001810C7" w:rsidRDefault="00A754D4" w14:paraId="0798798B" w14:textId="46724896">
      <w:pPr>
        <w:numPr>
          <w:ilvl w:val="1"/>
          <w:numId w:val="7"/>
        </w:numPr>
        <w:rPr>
          <w:bCs/>
          <w:iCs/>
          <w:color w:val="auto"/>
        </w:rPr>
      </w:pPr>
      <w:r w:rsidRPr="00361E1F">
        <w:rPr>
          <w:bCs/>
          <w:iCs/>
          <w:color w:val="auto"/>
        </w:rPr>
        <w:t xml:space="preserve">Motie van het lid </w:t>
      </w:r>
      <w:proofErr w:type="spellStart"/>
      <w:r w:rsidRPr="00361E1F">
        <w:rPr>
          <w:bCs/>
          <w:iCs/>
          <w:color w:val="auto"/>
        </w:rPr>
        <w:t>Mutluer</w:t>
      </w:r>
      <w:proofErr w:type="spellEnd"/>
      <w:r w:rsidRPr="00361E1F">
        <w:rPr>
          <w:bCs/>
          <w:iCs/>
          <w:color w:val="auto"/>
        </w:rPr>
        <w:t xml:space="preserve"> (GL/PvdA) over jongerenwerkers zo effectief mogelijk inzetten om jongeren te begeleiden en te beschermen tegen criminele invloeden.</w:t>
      </w:r>
      <w:r w:rsidRPr="00361E1F">
        <w:rPr>
          <w:color w:val="auto"/>
        </w:rPr>
        <w:t xml:space="preserve"> </w:t>
      </w:r>
      <w:r w:rsidRPr="00361E1F">
        <w:rPr>
          <w:bCs/>
          <w:iCs/>
          <w:color w:val="auto"/>
        </w:rPr>
        <w:t>Kamerstukken II 2024/25, 29 911, nr. 459.</w:t>
      </w:r>
      <w:r w:rsidRPr="00361E1F" w:rsidR="00266F3E">
        <w:rPr>
          <w:bCs/>
          <w:iCs/>
          <w:color w:val="auto"/>
        </w:rPr>
        <w:t xml:space="preserve"> </w:t>
      </w:r>
      <w:r w:rsidR="008A36DF">
        <w:rPr>
          <w:bCs/>
          <w:iCs/>
          <w:color w:val="auto"/>
        </w:rPr>
        <w:br/>
      </w:r>
    </w:p>
    <w:p w:rsidRPr="00880417" w:rsidR="008A36DF" w:rsidP="008A36DF" w:rsidRDefault="008A36DF" w14:paraId="35F86367" w14:textId="77777777">
      <w:pPr>
        <w:pStyle w:val="Lijstalinea"/>
        <w:numPr>
          <w:ilvl w:val="0"/>
          <w:numId w:val="7"/>
        </w:numPr>
      </w:pPr>
      <w:bookmarkStart w:name="_Hlk211348889" w:id="2"/>
      <w:r>
        <w:rPr>
          <w:b/>
          <w:bCs/>
        </w:rPr>
        <w:t>Internationaal</w:t>
      </w:r>
    </w:p>
    <w:p w:rsidRPr="00880417" w:rsidR="008A36DF" w:rsidP="008A36DF" w:rsidRDefault="008A36DF" w14:paraId="150A47D4" w14:textId="77777777">
      <w:pPr>
        <w:pStyle w:val="Lijstalinea"/>
        <w:numPr>
          <w:ilvl w:val="1"/>
          <w:numId w:val="7"/>
        </w:numPr>
      </w:pPr>
      <w:r>
        <w:t xml:space="preserve">Motie van het lid </w:t>
      </w:r>
      <w:r w:rsidRPr="00880417">
        <w:t>Hoogeveen (JA21) over samengaan van handelssamenwerking met partnerschappen tussen Latijns-Amerikaanse landen en EU-lidstaten op het gebied van veiligheid en justitiële samenwerking. Kamerstukken 2025/26, 21 501-20, nr. 2345.</w:t>
      </w:r>
    </w:p>
    <w:p w:rsidRPr="00361E1F" w:rsidR="00F86AC6" w:rsidP="00676469" w:rsidRDefault="00F86AC6" w14:paraId="13863B00" w14:textId="77777777">
      <w:pPr>
        <w:rPr>
          <w:bCs/>
          <w:color w:val="auto"/>
        </w:rPr>
      </w:pPr>
    </w:p>
    <w:bookmarkEnd w:id="2"/>
    <w:p w:rsidRPr="00361E1F" w:rsidR="00A754D4" w:rsidP="001810C7" w:rsidRDefault="00A754D4" w14:paraId="2BFAB6E9" w14:textId="77777777">
      <w:pPr>
        <w:rPr>
          <w:bCs/>
          <w:iCs/>
          <w:color w:val="auto"/>
        </w:rPr>
      </w:pPr>
    </w:p>
    <w:p w:rsidR="0018489F" w:rsidRDefault="0018489F" w14:paraId="1AE39C29" w14:textId="77777777">
      <w:pPr>
        <w:spacing w:line="240" w:lineRule="auto"/>
        <w:rPr>
          <w:b/>
          <w:iCs/>
          <w:color w:val="auto"/>
        </w:rPr>
      </w:pPr>
      <w:r>
        <w:rPr>
          <w:b/>
          <w:iCs/>
          <w:color w:val="auto"/>
        </w:rPr>
        <w:br w:type="page"/>
      </w:r>
    </w:p>
    <w:p w:rsidRPr="00361E1F" w:rsidR="00A754D4" w:rsidP="001810C7" w:rsidRDefault="00A754D4" w14:paraId="4C47D1A0" w14:textId="2CBAF206">
      <w:pPr>
        <w:numPr>
          <w:ilvl w:val="0"/>
          <w:numId w:val="7"/>
        </w:numPr>
        <w:rPr>
          <w:b/>
          <w:iCs/>
          <w:color w:val="auto"/>
        </w:rPr>
      </w:pPr>
      <w:r w:rsidRPr="00361E1F">
        <w:rPr>
          <w:b/>
          <w:iCs/>
          <w:color w:val="auto"/>
        </w:rPr>
        <w:lastRenderedPageBreak/>
        <w:t xml:space="preserve">Brede </w:t>
      </w:r>
      <w:r w:rsidR="008A36DF">
        <w:rPr>
          <w:b/>
          <w:iCs/>
          <w:color w:val="auto"/>
        </w:rPr>
        <w:t>maatschappelijke</w:t>
      </w:r>
      <w:r w:rsidRPr="00361E1F">
        <w:rPr>
          <w:b/>
          <w:iCs/>
          <w:color w:val="auto"/>
        </w:rPr>
        <w:t xml:space="preserve"> aanpak</w:t>
      </w:r>
    </w:p>
    <w:p w:rsidRPr="00361E1F" w:rsidR="002A302E" w:rsidP="001810C7" w:rsidRDefault="002A302E" w14:paraId="66B49048" w14:textId="136970D7">
      <w:pPr>
        <w:numPr>
          <w:ilvl w:val="1"/>
          <w:numId w:val="7"/>
        </w:numPr>
        <w:rPr>
          <w:b/>
          <w:color w:val="auto"/>
        </w:rPr>
      </w:pPr>
      <w:r w:rsidRPr="00361E1F">
        <w:rPr>
          <w:bCs/>
          <w:color w:val="auto"/>
        </w:rPr>
        <w:t xml:space="preserve">Toezegging: de minister zegt de Tweede Kamer toe om ergens dit jaar samen met de collega’s van Financiën en Economische Zaken in gesprek te gaan met notarissen en andere betrokkenen over wat de meest effectieve manier is om te komen tot centrale registratie van aandelen. Centrale registratie van aandelen in besloten vennootschappen kan een nuttig hulpmiddel zijn voor de notaris, aangezien de notaris een wettelijke rol heeft bij de oprichting van besloten vennootschappen en bij de overdracht van aandelen op naam. De leden van de Tweede Kamer zullen over de uitkomst van het gesprek schriftelijk worden geïnformeerd. </w:t>
      </w:r>
    </w:p>
    <w:p w:rsidRPr="00361E1F" w:rsidR="002A302E" w:rsidP="001810C7" w:rsidRDefault="002A302E" w14:paraId="111A5FFD" w14:textId="7DD5F01C">
      <w:pPr>
        <w:numPr>
          <w:ilvl w:val="1"/>
          <w:numId w:val="7"/>
        </w:numPr>
        <w:rPr>
          <w:b/>
          <w:color w:val="auto"/>
        </w:rPr>
      </w:pPr>
      <w:r w:rsidRPr="00361E1F">
        <w:rPr>
          <w:bCs/>
          <w:color w:val="auto"/>
        </w:rPr>
        <w:t xml:space="preserve">Toezegging: de minister zegt toe dat één jaar na inwerkingtreding een invoeringstoets zal plaatsvinden m.b.t. de onderdelen van de wet Ondermijning II. </w:t>
      </w:r>
    </w:p>
    <w:p w:rsidRPr="00361E1F" w:rsidR="00232765" w:rsidP="001810C7" w:rsidRDefault="00232765" w14:paraId="65800A05" w14:textId="4AE2B032">
      <w:pPr>
        <w:numPr>
          <w:ilvl w:val="1"/>
          <w:numId w:val="7"/>
        </w:numPr>
        <w:rPr>
          <w:b/>
          <w:color w:val="auto"/>
        </w:rPr>
      </w:pPr>
      <w:r w:rsidRPr="00361E1F">
        <w:rPr>
          <w:bCs/>
          <w:color w:val="auto"/>
        </w:rPr>
        <w:t>Motie van het lid Krul (CDA) c.s.</w:t>
      </w:r>
      <w:r w:rsidRPr="00361E1F" w:rsidR="00344333">
        <w:rPr>
          <w:color w:val="auto"/>
        </w:rPr>
        <w:t xml:space="preserve"> </w:t>
      </w:r>
      <w:r w:rsidRPr="00361E1F" w:rsidR="00344333">
        <w:rPr>
          <w:bCs/>
          <w:color w:val="auto"/>
        </w:rPr>
        <w:t>over onderzoeken op welke manier designerdrugs aanbiedende sites uit de lucht gehaald kunnen worden</w:t>
      </w:r>
      <w:r w:rsidRPr="00361E1F">
        <w:rPr>
          <w:bCs/>
          <w:color w:val="auto"/>
        </w:rPr>
        <w:t>. Kamerstukken II, 2023/24, 36 159, nr. 15.</w:t>
      </w:r>
      <w:r w:rsidRPr="00361E1F" w:rsidR="00266F3E">
        <w:rPr>
          <w:bCs/>
          <w:color w:val="auto"/>
        </w:rPr>
        <w:t xml:space="preserve"> </w:t>
      </w:r>
    </w:p>
    <w:p w:rsidRPr="00361E1F" w:rsidR="00E06FFE" w:rsidP="001810C7" w:rsidRDefault="00E06FFE" w14:paraId="4C591238" w14:textId="4FA75328">
      <w:pPr>
        <w:numPr>
          <w:ilvl w:val="1"/>
          <w:numId w:val="7"/>
        </w:numPr>
        <w:rPr>
          <w:b/>
          <w:color w:val="auto"/>
        </w:rPr>
      </w:pPr>
      <w:r w:rsidRPr="00361E1F">
        <w:rPr>
          <w:bCs/>
          <w:iCs/>
          <w:color w:val="auto"/>
        </w:rPr>
        <w:t xml:space="preserve">Motie van het lid </w:t>
      </w:r>
      <w:proofErr w:type="spellStart"/>
      <w:r w:rsidRPr="00361E1F">
        <w:rPr>
          <w:bCs/>
          <w:iCs/>
          <w:color w:val="auto"/>
        </w:rPr>
        <w:t>Mutluer</w:t>
      </w:r>
      <w:proofErr w:type="spellEnd"/>
      <w:r w:rsidRPr="00361E1F">
        <w:rPr>
          <w:bCs/>
          <w:iCs/>
          <w:color w:val="auto"/>
        </w:rPr>
        <w:t xml:space="preserve"> (GL-PvdA) over een jaarlijkse rapportage over beroepsverboden. Kamerstukken II 2025/26, 36 463, nr. 16.</w:t>
      </w:r>
      <w:r w:rsidRPr="00361E1F" w:rsidR="00266F3E">
        <w:rPr>
          <w:bCs/>
          <w:iCs/>
          <w:color w:val="auto"/>
        </w:rPr>
        <w:t xml:space="preserve"> </w:t>
      </w:r>
    </w:p>
    <w:p w:rsidRPr="00361E1F" w:rsidR="00A754D4" w:rsidP="001810C7" w:rsidRDefault="00A754D4" w14:paraId="7A41BDD0" w14:textId="516E5245">
      <w:pPr>
        <w:numPr>
          <w:ilvl w:val="1"/>
          <w:numId w:val="7"/>
        </w:numPr>
        <w:rPr>
          <w:bCs/>
          <w:iCs/>
          <w:color w:val="auto"/>
        </w:rPr>
      </w:pPr>
      <w:r w:rsidRPr="00361E1F">
        <w:rPr>
          <w:bCs/>
          <w:iCs/>
          <w:color w:val="auto"/>
        </w:rPr>
        <w:t>Motie van het lid Michon-</w:t>
      </w:r>
      <w:proofErr w:type="spellStart"/>
      <w:r w:rsidRPr="00361E1F">
        <w:rPr>
          <w:bCs/>
          <w:iCs/>
          <w:color w:val="auto"/>
        </w:rPr>
        <w:t>Derkzen</w:t>
      </w:r>
      <w:proofErr w:type="spellEnd"/>
      <w:r w:rsidRPr="00361E1F">
        <w:rPr>
          <w:bCs/>
          <w:iCs/>
          <w:color w:val="auto"/>
        </w:rPr>
        <w:t xml:space="preserve"> (VVD) over een verkenning van het bevorderen van informatiedeling tussen publieke en private partners rondom Schiphol. Kamerstukken II 2024/25, 29 911, nr. 449. </w:t>
      </w:r>
    </w:p>
    <w:p w:rsidRPr="00361E1F" w:rsidR="00A754D4" w:rsidP="001810C7" w:rsidRDefault="00A754D4" w14:paraId="12A70A67" w14:textId="736DB7BC">
      <w:pPr>
        <w:numPr>
          <w:ilvl w:val="1"/>
          <w:numId w:val="7"/>
        </w:numPr>
        <w:rPr>
          <w:bCs/>
          <w:iCs/>
          <w:color w:val="auto"/>
        </w:rPr>
      </w:pPr>
      <w:r w:rsidRPr="00361E1F">
        <w:rPr>
          <w:color w:val="auto"/>
        </w:rPr>
        <w:t xml:space="preserve">Toezegging: </w:t>
      </w:r>
      <w:bookmarkStart w:name="_Hlk212549711" w:id="3"/>
      <w:r w:rsidRPr="00361E1F">
        <w:rPr>
          <w:color w:val="auto"/>
        </w:rPr>
        <w:t xml:space="preserve">de minister zegt toe </w:t>
      </w:r>
      <w:bookmarkEnd w:id="3"/>
      <w:r w:rsidRPr="00361E1F">
        <w:rPr>
          <w:color w:val="auto"/>
        </w:rPr>
        <w:t>aan het lid Koops (NSC) de uitvoeringstoets in het wetsvoorstel Wet verbetering kroongetuigenregeling te verwerken. TZ202509-088</w:t>
      </w:r>
      <w:r w:rsidRPr="00361E1F" w:rsidR="00266F3E">
        <w:rPr>
          <w:color w:val="auto"/>
        </w:rPr>
        <w:t xml:space="preserve"> </w:t>
      </w:r>
    </w:p>
    <w:p w:rsidRPr="00361E1F" w:rsidR="00A754D4" w:rsidP="001810C7" w:rsidRDefault="00A754D4" w14:paraId="65CEDBE5" w14:textId="796B030A">
      <w:pPr>
        <w:numPr>
          <w:ilvl w:val="1"/>
          <w:numId w:val="7"/>
        </w:numPr>
        <w:rPr>
          <w:bCs/>
          <w:iCs/>
          <w:color w:val="auto"/>
        </w:rPr>
      </w:pPr>
      <w:bookmarkStart w:name="_Hlk211350609" w:id="4"/>
      <w:r w:rsidRPr="00361E1F">
        <w:rPr>
          <w:color w:val="auto"/>
        </w:rPr>
        <w:t>Motie van de leden Bikker (CU) en Ceder (CU) over het platform en de lokale aanpakken versterken om drugscriminaliteit in kleine zeehavens tegen te gaan. Kamerstukken II 2024/25, 36 600-VI, nr. 103.</w:t>
      </w:r>
      <w:r w:rsidRPr="00361E1F" w:rsidR="00266F3E">
        <w:rPr>
          <w:color w:val="auto"/>
        </w:rPr>
        <w:t xml:space="preserve"> </w:t>
      </w:r>
    </w:p>
    <w:p w:rsidRPr="00361E1F" w:rsidR="00A754D4" w:rsidP="001810C7" w:rsidRDefault="00A754D4" w14:paraId="0B9F690F" w14:textId="14A6338D">
      <w:pPr>
        <w:numPr>
          <w:ilvl w:val="1"/>
          <w:numId w:val="7"/>
        </w:numPr>
        <w:rPr>
          <w:bCs/>
          <w:iCs/>
          <w:color w:val="auto"/>
        </w:rPr>
      </w:pPr>
      <w:r w:rsidRPr="00361E1F">
        <w:rPr>
          <w:bCs/>
          <w:iCs/>
          <w:color w:val="auto"/>
        </w:rPr>
        <w:t xml:space="preserve">Motie van de leden </w:t>
      </w:r>
      <w:proofErr w:type="spellStart"/>
      <w:r w:rsidRPr="00361E1F">
        <w:rPr>
          <w:bCs/>
          <w:iCs/>
          <w:color w:val="auto"/>
        </w:rPr>
        <w:t>Mutluer</w:t>
      </w:r>
      <w:proofErr w:type="spellEnd"/>
      <w:r w:rsidRPr="00361E1F">
        <w:rPr>
          <w:bCs/>
          <w:iCs/>
          <w:color w:val="auto"/>
        </w:rPr>
        <w:t xml:space="preserve"> (GL/PvdA) en Van Nispen (SP) over juridische, wettelijke en uitvoeringstechnische mogelijkheden om de bevoegdheden van de Kamer van Koophandel uit te breiden. Kamerstukken II 2024/25, 29 911, ter vervanging van die gedrukt onder nr. 457.</w:t>
      </w:r>
      <w:r w:rsidRPr="00361E1F" w:rsidR="00266F3E">
        <w:rPr>
          <w:bCs/>
          <w:iCs/>
          <w:color w:val="auto"/>
        </w:rPr>
        <w:t xml:space="preserve"> </w:t>
      </w:r>
    </w:p>
    <w:p w:rsidRPr="00361E1F" w:rsidR="00A754D4" w:rsidP="001810C7" w:rsidRDefault="00A754D4" w14:paraId="7D8E1EAA" w14:textId="23DD644B">
      <w:pPr>
        <w:numPr>
          <w:ilvl w:val="1"/>
          <w:numId w:val="7"/>
        </w:numPr>
        <w:rPr>
          <w:bCs/>
          <w:iCs/>
          <w:color w:val="auto"/>
        </w:rPr>
      </w:pPr>
      <w:r w:rsidRPr="00361E1F">
        <w:rPr>
          <w:bCs/>
          <w:iCs/>
          <w:color w:val="auto"/>
        </w:rPr>
        <w:t>Motie van de leden Michon-</w:t>
      </w:r>
      <w:proofErr w:type="spellStart"/>
      <w:r w:rsidRPr="00361E1F">
        <w:rPr>
          <w:bCs/>
          <w:iCs/>
          <w:color w:val="auto"/>
        </w:rPr>
        <w:t>Derkzen</w:t>
      </w:r>
      <w:proofErr w:type="spellEnd"/>
      <w:r w:rsidRPr="00361E1F">
        <w:rPr>
          <w:bCs/>
          <w:iCs/>
          <w:color w:val="auto"/>
        </w:rPr>
        <w:t xml:space="preserve"> (VVD) en Van Nispen (SP) over een reactie op het voorstel om collectieve handhaving van de verplichtingen in de Handelsregisterwet via het bestuursrecht mogelijk te maken. Kamerstukken II 2024/25, 29 911, nr. 463.</w:t>
      </w:r>
      <w:r w:rsidRPr="00361E1F" w:rsidR="00266F3E">
        <w:rPr>
          <w:bCs/>
          <w:iCs/>
          <w:color w:val="auto"/>
        </w:rPr>
        <w:t xml:space="preserve"> </w:t>
      </w:r>
    </w:p>
    <w:p w:rsidRPr="00361E1F" w:rsidR="00A754D4" w:rsidP="001810C7" w:rsidRDefault="00A754D4" w14:paraId="49D00D7A" w14:textId="62F18C85">
      <w:pPr>
        <w:numPr>
          <w:ilvl w:val="1"/>
          <w:numId w:val="7"/>
        </w:numPr>
        <w:rPr>
          <w:bCs/>
          <w:iCs/>
          <w:color w:val="auto"/>
        </w:rPr>
      </w:pPr>
      <w:bookmarkStart w:name="_Hlk211349114" w:id="5"/>
      <w:r w:rsidRPr="00361E1F">
        <w:rPr>
          <w:bCs/>
          <w:iCs/>
          <w:color w:val="auto"/>
        </w:rPr>
        <w:t>Motie van de leden Michon-</w:t>
      </w:r>
      <w:proofErr w:type="spellStart"/>
      <w:r w:rsidRPr="00361E1F">
        <w:rPr>
          <w:bCs/>
          <w:iCs/>
          <w:color w:val="auto"/>
        </w:rPr>
        <w:t>Derkzen</w:t>
      </w:r>
      <w:proofErr w:type="spellEnd"/>
      <w:r w:rsidRPr="00361E1F">
        <w:rPr>
          <w:bCs/>
          <w:iCs/>
          <w:color w:val="auto"/>
        </w:rPr>
        <w:t xml:space="preserve"> (VVD) en van Dijk (SGP) over bij drugslabs de daders op laten draaien voor de saneringskosten.</w:t>
      </w:r>
      <w:r w:rsidRPr="00361E1F">
        <w:rPr>
          <w:color w:val="auto"/>
        </w:rPr>
        <w:t xml:space="preserve"> </w:t>
      </w:r>
      <w:r w:rsidRPr="00361E1F">
        <w:rPr>
          <w:bCs/>
          <w:iCs/>
          <w:color w:val="auto"/>
        </w:rPr>
        <w:t xml:space="preserve">Kamerstukken II 2025/26, 36 463, nr. 22. </w:t>
      </w:r>
    </w:p>
    <w:p w:rsidRPr="00361E1F" w:rsidR="00B758EC" w:rsidP="001810C7" w:rsidRDefault="00A754D4" w14:paraId="4FD6D2A1" w14:textId="60CCA609">
      <w:pPr>
        <w:numPr>
          <w:ilvl w:val="1"/>
          <w:numId w:val="7"/>
        </w:numPr>
        <w:rPr>
          <w:color w:val="auto"/>
        </w:rPr>
      </w:pPr>
      <w:r w:rsidRPr="00361E1F">
        <w:rPr>
          <w:bCs/>
          <w:iCs/>
          <w:color w:val="auto"/>
        </w:rPr>
        <w:t xml:space="preserve">Motie van de leden </w:t>
      </w:r>
      <w:proofErr w:type="spellStart"/>
      <w:r w:rsidRPr="00361E1F">
        <w:rPr>
          <w:bCs/>
          <w:iCs/>
          <w:color w:val="auto"/>
        </w:rPr>
        <w:t>Mutluer</w:t>
      </w:r>
      <w:proofErr w:type="spellEnd"/>
      <w:r w:rsidRPr="00361E1F">
        <w:rPr>
          <w:bCs/>
          <w:iCs/>
          <w:color w:val="auto"/>
        </w:rPr>
        <w:t xml:space="preserve"> (GL/PvdA) en Six Dijkstra (NSC) over verzoek om in overleg met de Belastingdienst en de hypotheekverstrekkers te onderzoeken of en hoe er een check kan worden gedaan op gegevens die aanvragers van hypothecaire leningen verstrekken. Kamerstukken II 2024/25, 29 911, nr. 446.</w:t>
      </w:r>
      <w:bookmarkEnd w:id="0"/>
      <w:bookmarkEnd w:id="1"/>
      <w:bookmarkEnd w:id="4"/>
      <w:bookmarkEnd w:id="5"/>
    </w:p>
    <w:p w:rsidRPr="00361E1F" w:rsidR="00CD63E2" w:rsidP="001810C7" w:rsidRDefault="00CD63E2" w14:paraId="7DEF67FA" w14:textId="7AB67E5F">
      <w:pPr>
        <w:numPr>
          <w:ilvl w:val="1"/>
          <w:numId w:val="7"/>
        </w:numPr>
        <w:rPr>
          <w:color w:val="auto"/>
        </w:rPr>
      </w:pPr>
      <w:r w:rsidRPr="00361E1F">
        <w:rPr>
          <w:color w:val="auto"/>
        </w:rPr>
        <w:t>Toezegging: de minister zegt toe aan het lid Schilder (</w:t>
      </w:r>
      <w:r w:rsidR="001A7DB0">
        <w:rPr>
          <w:color w:val="auto"/>
        </w:rPr>
        <w:t>DNA</w:t>
      </w:r>
      <w:r w:rsidRPr="00361E1F">
        <w:rPr>
          <w:color w:val="auto"/>
        </w:rPr>
        <w:t>) om voor de zomer in een voortgangsbrief terug te komen op de vraag van het lid Schilder over het opnemen van ronselen als apart delict in het Wetboek van Strafrecht. TZ202603-177</w:t>
      </w:r>
    </w:p>
    <w:p w:rsidR="00BA5507" w:rsidP="001810C7" w:rsidRDefault="00BA5507" w14:paraId="483BF88D" w14:textId="04280844">
      <w:pPr>
        <w:numPr>
          <w:ilvl w:val="1"/>
          <w:numId w:val="7"/>
        </w:numPr>
        <w:rPr>
          <w:color w:val="auto"/>
        </w:rPr>
      </w:pPr>
      <w:r w:rsidRPr="00361E1F">
        <w:rPr>
          <w:color w:val="auto"/>
        </w:rPr>
        <w:t xml:space="preserve">Toezegging: de minister zegt toe in een volgende voortgangsbrief terug te komen op de vraag van het lid </w:t>
      </w:r>
      <w:proofErr w:type="spellStart"/>
      <w:r w:rsidRPr="00361E1F">
        <w:rPr>
          <w:color w:val="auto"/>
        </w:rPr>
        <w:t>Coenradie</w:t>
      </w:r>
      <w:proofErr w:type="spellEnd"/>
      <w:r w:rsidRPr="00361E1F">
        <w:rPr>
          <w:color w:val="auto"/>
        </w:rPr>
        <w:t xml:space="preserve"> (JA21) over het wegnemen van belemmeringen die zien op privacy in het kader van preventief waarschuwen, analoog aan het Deense model. TZ202603-175</w:t>
      </w:r>
    </w:p>
    <w:p w:rsidR="00FE48BC" w:rsidP="001810C7" w:rsidRDefault="00FE48BC" w14:paraId="1171694F" w14:textId="75F11BE1">
      <w:pPr>
        <w:numPr>
          <w:ilvl w:val="1"/>
          <w:numId w:val="7"/>
        </w:numPr>
        <w:rPr>
          <w:color w:val="auto"/>
        </w:rPr>
      </w:pPr>
      <w:r w:rsidRPr="00FE48BC">
        <w:rPr>
          <w:color w:val="auto"/>
        </w:rPr>
        <w:t>Toezegging: de minister zegt toe vóór de zomer van 2026 de Kamer nader te informeren over de verkenning met relevante partnerorganisaties van de uitkomsten van de Rapportage Zesde Monitor Georganiseerde Criminaliteit van het WODC. Kamerstukken II 2025/26, 29 911, nr. 493.</w:t>
      </w:r>
    </w:p>
    <w:p w:rsidR="00880417" w:rsidP="00880417" w:rsidRDefault="00880417" w14:paraId="426B5627" w14:textId="77777777">
      <w:pPr>
        <w:rPr>
          <w:color w:val="auto"/>
        </w:rPr>
      </w:pPr>
    </w:p>
    <w:p w:rsidR="00880417" w:rsidP="00880417" w:rsidRDefault="00880417" w14:paraId="5B122EC5" w14:textId="77777777">
      <w:pPr>
        <w:rPr>
          <w:color w:val="auto"/>
        </w:rPr>
      </w:pPr>
    </w:p>
    <w:p w:rsidRPr="00361E1F" w:rsidR="007D503E" w:rsidP="001810C7" w:rsidRDefault="007D503E" w14:paraId="6EBE322F" w14:textId="77777777">
      <w:pPr>
        <w:rPr>
          <w:bCs/>
          <w:iCs/>
          <w:color w:val="auto"/>
        </w:rPr>
      </w:pPr>
    </w:p>
    <w:p w:rsidRPr="00361E1F" w:rsidR="007D503E" w:rsidP="001810C7" w:rsidRDefault="007D503E" w14:paraId="147AB669" w14:textId="77777777">
      <w:pPr>
        <w:rPr>
          <w:bCs/>
          <w:iCs/>
          <w:color w:val="auto"/>
        </w:rPr>
      </w:pPr>
    </w:p>
    <w:p w:rsidR="007D503E" w:rsidP="001810C7" w:rsidRDefault="007D503E" w14:paraId="26A95BE8" w14:textId="77777777">
      <w:pPr>
        <w:rPr>
          <w:bCs/>
          <w:iCs/>
          <w:color w:val="auto"/>
        </w:rPr>
      </w:pPr>
    </w:p>
    <w:p w:rsidR="00BF65FE" w:rsidP="001810C7" w:rsidRDefault="00BF65FE" w14:paraId="0812CC3F" w14:textId="77777777">
      <w:pPr>
        <w:rPr>
          <w:bCs/>
          <w:iCs/>
          <w:color w:val="auto"/>
        </w:rPr>
      </w:pPr>
    </w:p>
    <w:p w:rsidR="00BF65FE" w:rsidP="001810C7" w:rsidRDefault="00BF65FE" w14:paraId="24805C9E" w14:textId="77777777">
      <w:pPr>
        <w:rPr>
          <w:bCs/>
          <w:iCs/>
          <w:color w:val="auto"/>
        </w:rPr>
      </w:pPr>
    </w:p>
    <w:p w:rsidR="00880417" w:rsidP="001810C7" w:rsidRDefault="00880417" w14:paraId="14EE852E" w14:textId="77777777">
      <w:pPr>
        <w:rPr>
          <w:bCs/>
          <w:iCs/>
          <w:color w:val="auto"/>
        </w:rPr>
      </w:pPr>
    </w:p>
    <w:p w:rsidRPr="00361E1F" w:rsidR="00BF65FE" w:rsidP="001810C7" w:rsidRDefault="00BF65FE" w14:paraId="53A998C7" w14:textId="77777777">
      <w:pPr>
        <w:rPr>
          <w:bCs/>
          <w:iCs/>
          <w:color w:val="auto"/>
        </w:rPr>
      </w:pPr>
    </w:p>
    <w:p w:rsidRPr="00361E1F" w:rsidR="007D503E" w:rsidP="001810C7" w:rsidRDefault="007D503E" w14:paraId="5A3D9D39" w14:textId="77777777">
      <w:pPr>
        <w:rPr>
          <w:rStyle w:val="ch-bold-italic"/>
          <w:i w:val="0"/>
          <w:iCs/>
          <w:color w:val="auto"/>
        </w:rPr>
      </w:pPr>
      <w:r w:rsidRPr="00361E1F">
        <w:rPr>
          <w:rStyle w:val="ch-bold-italic"/>
          <w:i w:val="0"/>
          <w:iCs/>
          <w:color w:val="auto"/>
        </w:rPr>
        <w:t xml:space="preserve">Toelichting op moties en toezeggingen </w:t>
      </w:r>
    </w:p>
    <w:p w:rsidRPr="00361E1F" w:rsidR="007D503E" w:rsidP="001810C7" w:rsidRDefault="007D503E" w14:paraId="0669CE9C" w14:textId="77777777">
      <w:pPr>
        <w:rPr>
          <w:rStyle w:val="ch-bold-italic"/>
          <w:i w:val="0"/>
          <w:iCs/>
          <w:color w:val="auto"/>
        </w:rPr>
      </w:pPr>
    </w:p>
    <w:p w:rsidRPr="00361E1F" w:rsidR="007D503E" w:rsidP="001810C7" w:rsidRDefault="007D503E" w14:paraId="1A4D36EC" w14:textId="77777777">
      <w:pPr>
        <w:rPr>
          <w:rStyle w:val="ch-bold-italic"/>
          <w:i w:val="0"/>
          <w:iCs/>
          <w:color w:val="auto"/>
        </w:rPr>
      </w:pPr>
    </w:p>
    <w:p w:rsidRPr="00361E1F" w:rsidR="007D503E" w:rsidP="001810C7" w:rsidRDefault="008A36DF" w14:paraId="0EB12640" w14:textId="1FD928DA">
      <w:pPr>
        <w:pStyle w:val="Lijstalinea"/>
        <w:numPr>
          <w:ilvl w:val="0"/>
          <w:numId w:val="14"/>
        </w:numPr>
        <w:rPr>
          <w:rStyle w:val="ch-bold-italic"/>
          <w:i w:val="0"/>
          <w:iCs/>
          <w:szCs w:val="18"/>
        </w:rPr>
      </w:pPr>
      <w:r>
        <w:rPr>
          <w:rStyle w:val="ch-bold-italic"/>
          <w:i w:val="0"/>
          <w:iCs/>
          <w:szCs w:val="18"/>
        </w:rPr>
        <w:t>Veilige en integere economie</w:t>
      </w:r>
    </w:p>
    <w:p w:rsidRPr="00361E1F" w:rsidR="007D503E" w:rsidP="001810C7" w:rsidRDefault="007D503E" w14:paraId="3C320C99" w14:textId="6B3D108B">
      <w:pPr>
        <w:numPr>
          <w:ilvl w:val="0"/>
          <w:numId w:val="13"/>
        </w:numPr>
        <w:rPr>
          <w:bCs/>
          <w:i/>
          <w:color w:val="auto"/>
          <w:u w:val="single"/>
        </w:rPr>
      </w:pPr>
      <w:r w:rsidRPr="00361E1F">
        <w:rPr>
          <w:bCs/>
          <w:i/>
          <w:color w:val="auto"/>
        </w:rPr>
        <w:t xml:space="preserve">Toezegging: de minister zegt toe de </w:t>
      </w:r>
      <w:r w:rsidR="00395608">
        <w:rPr>
          <w:bCs/>
          <w:i/>
          <w:color w:val="auto"/>
        </w:rPr>
        <w:t xml:space="preserve">Tweede </w:t>
      </w:r>
      <w:r w:rsidRPr="00361E1F">
        <w:rPr>
          <w:bCs/>
          <w:i/>
          <w:color w:val="auto"/>
        </w:rPr>
        <w:t xml:space="preserve">Kamer te informeren over de aanpak van zorgfraude naar aanleiding van de opmerkingen van de Nederlandse Zorgautoriteit dat het gebrek aan een wettelijke definitie van zorgfraude belemmerend zou werken bij de aanpak van zorgfraude. </w:t>
      </w:r>
    </w:p>
    <w:p w:rsidRPr="00361E1F" w:rsidR="00296DFD" w:rsidP="00296DFD" w:rsidRDefault="00296DFD" w14:paraId="6B2E27D1" w14:textId="424493A8">
      <w:pPr>
        <w:rPr>
          <w:bCs/>
          <w:i/>
          <w:color w:val="auto"/>
        </w:rPr>
      </w:pPr>
    </w:p>
    <w:p w:rsidRPr="00361E1F" w:rsidR="00296DFD" w:rsidP="00296DFD" w:rsidRDefault="00296DFD" w14:paraId="721E573C" w14:textId="7744D3FF">
      <w:pPr>
        <w:rPr>
          <w:bCs/>
          <w:iCs/>
          <w:color w:val="auto"/>
        </w:rPr>
      </w:pPr>
      <w:r w:rsidRPr="00361E1F">
        <w:rPr>
          <w:bCs/>
          <w:iCs/>
          <w:color w:val="auto"/>
        </w:rPr>
        <w:t xml:space="preserve">De minister heeft toegezegd </w:t>
      </w:r>
      <w:r w:rsidR="00395608">
        <w:rPr>
          <w:bCs/>
          <w:iCs/>
          <w:color w:val="auto"/>
        </w:rPr>
        <w:t>de Tweede</w:t>
      </w:r>
      <w:r w:rsidRPr="00361E1F">
        <w:rPr>
          <w:bCs/>
          <w:iCs/>
          <w:color w:val="auto"/>
        </w:rPr>
        <w:t xml:space="preserve"> Kamer te informeren over de aanpak van zorgfraude naar aanleiding van de opmerkingen van de Nederlandse Zorgautoriteit dat het gebrek aan een wettelijke definitie van zorgfraude belemmerend zou werken bij de aanpak van zorgfraude.</w:t>
      </w:r>
    </w:p>
    <w:p w:rsidRPr="00361E1F" w:rsidR="00EB4161" w:rsidP="00EB4161" w:rsidRDefault="00EB4161" w14:paraId="4527322F" w14:textId="77777777">
      <w:pPr>
        <w:rPr>
          <w:bCs/>
          <w:iCs/>
          <w:color w:val="auto"/>
        </w:rPr>
      </w:pPr>
    </w:p>
    <w:p w:rsidRPr="00361E1F" w:rsidR="00EB4161" w:rsidP="00EB4161" w:rsidRDefault="00EB4161" w14:paraId="0BBD082C" w14:textId="77777777">
      <w:pPr>
        <w:rPr>
          <w:bCs/>
          <w:iCs/>
          <w:color w:val="auto"/>
        </w:rPr>
      </w:pPr>
      <w:r w:rsidRPr="00361E1F">
        <w:rPr>
          <w:bCs/>
          <w:iCs/>
          <w:color w:val="auto"/>
        </w:rPr>
        <w:t>Uit navraag bij de Nederlandse Zorgautoriteit blijkt dat zij de stelling dat een gebrek aan een wettelijke definitie belemmerend zou werken bij de aanpak van zorgfraude niet herkennen.</w:t>
      </w:r>
    </w:p>
    <w:p w:rsidRPr="00361E1F" w:rsidR="00EB4161" w:rsidP="00EB4161" w:rsidRDefault="00EB4161" w14:paraId="0F1CCA72" w14:textId="77777777">
      <w:pPr>
        <w:rPr>
          <w:bCs/>
          <w:iCs/>
          <w:color w:val="auto"/>
        </w:rPr>
      </w:pPr>
    </w:p>
    <w:p w:rsidRPr="00361E1F" w:rsidR="00EB4161" w:rsidP="00EB4161" w:rsidRDefault="00EB4161" w14:paraId="5E8F23FF" w14:textId="59282452">
      <w:pPr>
        <w:rPr>
          <w:bCs/>
          <w:iCs/>
          <w:color w:val="auto"/>
        </w:rPr>
      </w:pPr>
      <w:r w:rsidRPr="00361E1F">
        <w:rPr>
          <w:bCs/>
          <w:iCs/>
          <w:color w:val="auto"/>
        </w:rPr>
        <w:t xml:space="preserve">Er </w:t>
      </w:r>
      <w:r w:rsidRPr="00361E1F" w:rsidR="00EB0BFD">
        <w:rPr>
          <w:bCs/>
          <w:iCs/>
          <w:color w:val="auto"/>
        </w:rPr>
        <w:t>is voldoende</w:t>
      </w:r>
      <w:r w:rsidRPr="00361E1F">
        <w:rPr>
          <w:bCs/>
          <w:iCs/>
          <w:color w:val="auto"/>
        </w:rPr>
        <w:t xml:space="preserve"> wettelijke basis voor opsporing en vervolging van zorgfraude. Het is daarom niet noodzakelijk om een aparte strafbaarstelling te creëren voor zorgfraude. Het is ook niet gebruikelijk om voor alle fenomenen van fraude een aparte strafbaarstelling in het leven te roepen. Dat zou het strafrecht onnodig complex en onoverzichtelijk maken. Het zou bovendien een beperking zijn hetgeen een effectieve aanpak van zorgfraude juist in de weg zou staan. </w:t>
      </w:r>
    </w:p>
    <w:p w:rsidRPr="00361E1F" w:rsidR="00EB4161" w:rsidP="00EB4161" w:rsidRDefault="00EB4161" w14:paraId="3464CA66" w14:textId="77777777">
      <w:pPr>
        <w:rPr>
          <w:bCs/>
          <w:iCs/>
          <w:color w:val="auto"/>
        </w:rPr>
      </w:pPr>
      <w:r w:rsidRPr="00361E1F">
        <w:rPr>
          <w:bCs/>
          <w:iCs/>
          <w:color w:val="auto"/>
        </w:rPr>
        <w:t xml:space="preserve">Nu kan het Openbaar Ministerie kiezen uit verschillende strafbaarstellingen, waarbij feiten en omstandigheden en bewijspositie leidend zijn. </w:t>
      </w:r>
    </w:p>
    <w:p w:rsidRPr="00361E1F" w:rsidR="00EB4161" w:rsidP="00EB4161" w:rsidRDefault="00EB4161" w14:paraId="19B57FF3" w14:textId="77777777">
      <w:pPr>
        <w:rPr>
          <w:bCs/>
          <w:iCs/>
          <w:color w:val="auto"/>
        </w:rPr>
      </w:pPr>
    </w:p>
    <w:p w:rsidRPr="00361E1F" w:rsidR="00EB4161" w:rsidP="00EB4161" w:rsidRDefault="00EB4161" w14:paraId="62FA5F66" w14:textId="33AE727C">
      <w:pPr>
        <w:rPr>
          <w:bCs/>
          <w:iCs/>
          <w:color w:val="auto"/>
        </w:rPr>
      </w:pPr>
      <w:r w:rsidRPr="00361E1F">
        <w:rPr>
          <w:bCs/>
          <w:iCs/>
          <w:color w:val="auto"/>
        </w:rPr>
        <w:t>Naast het strafrecht is de inzet van het bestuursrecht essentieel voor een effectieve aanpak van zorgfraude. Bijvoorbeeld via het terugvorderen van gelden door zorgverzekeraars of het opleggen van een last onder dwangsom of bestuurlijke boetes door toezichthouders. Binnen het zorgdomein gelden hiervoor al diverse wettelijke kaders. Voor de Nederlandse Zorgautoriteit is bijvoorbeeld de Wet marktordening gezondheidszorg (</w:t>
      </w:r>
      <w:proofErr w:type="spellStart"/>
      <w:r w:rsidRPr="00361E1F">
        <w:rPr>
          <w:bCs/>
          <w:iCs/>
          <w:color w:val="auto"/>
        </w:rPr>
        <w:t>Wmg</w:t>
      </w:r>
      <w:proofErr w:type="spellEnd"/>
      <w:r w:rsidRPr="00361E1F">
        <w:rPr>
          <w:bCs/>
          <w:iCs/>
          <w:color w:val="auto"/>
        </w:rPr>
        <w:t>) relevant. Zo is het verboden om onrechtmatige tarieven te vragen en zijn zorgaanbieders verplicht om een deugdelijke administratie te voeren (art</w:t>
      </w:r>
      <w:r w:rsidR="00BC47CC">
        <w:rPr>
          <w:bCs/>
          <w:iCs/>
          <w:color w:val="auto"/>
        </w:rPr>
        <w:t>.</w:t>
      </w:r>
      <w:r w:rsidRPr="00361E1F">
        <w:rPr>
          <w:bCs/>
          <w:iCs/>
          <w:color w:val="auto"/>
        </w:rPr>
        <w:t xml:space="preserve"> 35-36 </w:t>
      </w:r>
      <w:proofErr w:type="spellStart"/>
      <w:r w:rsidRPr="00361E1F">
        <w:rPr>
          <w:bCs/>
          <w:iCs/>
          <w:color w:val="auto"/>
        </w:rPr>
        <w:t>Wmg</w:t>
      </w:r>
      <w:proofErr w:type="spellEnd"/>
      <w:r w:rsidRPr="00361E1F">
        <w:rPr>
          <w:bCs/>
          <w:iCs/>
          <w:color w:val="auto"/>
        </w:rPr>
        <w:t xml:space="preserve">). </w:t>
      </w:r>
    </w:p>
    <w:p w:rsidRPr="00361E1F" w:rsidR="00EB4161" w:rsidP="00EB4161" w:rsidRDefault="00EB4161" w14:paraId="3A2AA8E4" w14:textId="77777777">
      <w:pPr>
        <w:rPr>
          <w:bCs/>
          <w:iCs/>
          <w:color w:val="auto"/>
        </w:rPr>
      </w:pPr>
    </w:p>
    <w:p w:rsidRPr="00361E1F" w:rsidR="00EB4161" w:rsidP="00EB4161" w:rsidRDefault="00EB4161" w14:paraId="39F7AC4B" w14:textId="586862B4">
      <w:pPr>
        <w:rPr>
          <w:bCs/>
          <w:iCs/>
          <w:color w:val="auto"/>
        </w:rPr>
      </w:pPr>
      <w:r w:rsidRPr="00361E1F">
        <w:rPr>
          <w:bCs/>
          <w:iCs/>
          <w:color w:val="auto"/>
        </w:rPr>
        <w:t>Hiermee doe ik de toezegging af.</w:t>
      </w:r>
    </w:p>
    <w:p w:rsidRPr="00361E1F" w:rsidR="007D503E" w:rsidP="001810C7" w:rsidRDefault="007D503E" w14:paraId="74CA96CA" w14:textId="77777777">
      <w:pPr>
        <w:rPr>
          <w:bCs/>
          <w:iCs/>
          <w:color w:val="auto"/>
          <w:u w:val="single"/>
        </w:rPr>
      </w:pPr>
    </w:p>
    <w:p w:rsidRPr="00361E1F" w:rsidR="007D503E" w:rsidP="001810C7" w:rsidRDefault="007D503E" w14:paraId="671A2837" w14:textId="77777777">
      <w:pPr>
        <w:numPr>
          <w:ilvl w:val="0"/>
          <w:numId w:val="13"/>
        </w:numPr>
        <w:rPr>
          <w:bCs/>
          <w:i/>
          <w:iCs/>
          <w:color w:val="auto"/>
        </w:rPr>
      </w:pPr>
      <w:r w:rsidRPr="00361E1F">
        <w:rPr>
          <w:bCs/>
          <w:i/>
          <w:iCs/>
          <w:color w:val="auto"/>
        </w:rPr>
        <w:t xml:space="preserve">Motie van de leden </w:t>
      </w:r>
      <w:proofErr w:type="spellStart"/>
      <w:r w:rsidRPr="00361E1F">
        <w:rPr>
          <w:bCs/>
          <w:i/>
          <w:iCs/>
          <w:color w:val="auto"/>
        </w:rPr>
        <w:t>Struijs</w:t>
      </w:r>
      <w:proofErr w:type="spellEnd"/>
      <w:r w:rsidRPr="00361E1F">
        <w:rPr>
          <w:bCs/>
          <w:i/>
          <w:iCs/>
          <w:color w:val="auto"/>
        </w:rPr>
        <w:t xml:space="preserve"> (50PLUS) en Dobbe (SP) over een expliciete wettelijke definitie van zorgfraude. Kamerstukken II 2025/26, 36 800, nr. 123.</w:t>
      </w:r>
    </w:p>
    <w:p w:rsidRPr="00361E1F" w:rsidR="00B1534B" w:rsidP="00B1534B" w:rsidRDefault="00B1534B" w14:paraId="48DA38FC" w14:textId="77777777">
      <w:pPr>
        <w:rPr>
          <w:bCs/>
          <w:i/>
          <w:iCs/>
          <w:color w:val="auto"/>
        </w:rPr>
      </w:pPr>
    </w:p>
    <w:p w:rsidRPr="00361E1F" w:rsidR="00B1534B" w:rsidP="00B1534B" w:rsidRDefault="00B1534B" w14:paraId="17DC38BB" w14:textId="3CE0EE75">
      <w:pPr>
        <w:rPr>
          <w:bCs/>
          <w:color w:val="auto"/>
        </w:rPr>
      </w:pPr>
      <w:r w:rsidRPr="00361E1F">
        <w:rPr>
          <w:bCs/>
          <w:color w:val="auto"/>
        </w:rPr>
        <w:t xml:space="preserve">De motie verzoekt de regering om in samenspraak met betrokken instanties te komen tot een expliciete wettelijke definitie van zorgfraude, deze definitie wettelijk te verankeren, en de </w:t>
      </w:r>
      <w:r w:rsidR="00C42EA4">
        <w:rPr>
          <w:bCs/>
          <w:color w:val="auto"/>
        </w:rPr>
        <w:t xml:space="preserve">Tweede </w:t>
      </w:r>
      <w:r w:rsidRPr="00361E1F">
        <w:rPr>
          <w:bCs/>
          <w:color w:val="auto"/>
        </w:rPr>
        <w:t>Kamer hierover te informeren.</w:t>
      </w:r>
    </w:p>
    <w:p w:rsidRPr="00361E1F" w:rsidR="00EB4161" w:rsidP="00B1534B" w:rsidRDefault="00EB4161" w14:paraId="67BD5C5A" w14:textId="77777777">
      <w:pPr>
        <w:rPr>
          <w:bCs/>
          <w:color w:val="auto"/>
        </w:rPr>
      </w:pPr>
    </w:p>
    <w:p w:rsidRPr="00361E1F" w:rsidR="00EB4161" w:rsidP="00EB4161" w:rsidRDefault="00EB4161" w14:paraId="3BEA47CB" w14:textId="77777777">
      <w:pPr>
        <w:rPr>
          <w:bCs/>
          <w:color w:val="auto"/>
        </w:rPr>
      </w:pPr>
      <w:r w:rsidRPr="00361E1F">
        <w:rPr>
          <w:bCs/>
          <w:color w:val="auto"/>
        </w:rPr>
        <w:t xml:space="preserve">Zorgfraude wordt in de praktijk gebruikt als verzamelbegrip voor de diverse verschijningsvormen van fraude binnen het brede zorgdomein. Fraude komt in alle sectoren voor, niet alleen in de zorg. Juridisch gezien is het handelen leidend, ongeacht de sector waar de fraude zich voordoet. De wetgever heeft bewust gekozen voor generieke strafbepalingen in het Wetboek van Strafrecht. Zo kan iemand worden aangeklaagd voor oplichting (zoals beschreven in artikel 326 van het Wetboek van Strafrecht) wanneer bijvoorbeeld valse declaraties worden ingediend voor zorg die helemaal niet geleverd is of voor misbruik van subsidies (artikel 323a van het Wetboek van Strafrecht). Ook andere strafbepalingen, zoals valsheid in geschrifte, verduistering en witwassen, worden binnen de zorg toegepast. Zorgfraude is momenteel dus al strafbaar. </w:t>
      </w:r>
    </w:p>
    <w:p w:rsidRPr="00361E1F" w:rsidR="00EB4161" w:rsidP="00EB4161" w:rsidRDefault="00EB4161" w14:paraId="25D10A71" w14:textId="77777777">
      <w:pPr>
        <w:rPr>
          <w:bCs/>
          <w:color w:val="auto"/>
        </w:rPr>
      </w:pPr>
    </w:p>
    <w:p w:rsidRPr="00361E1F" w:rsidR="00EB4161" w:rsidP="00EB4161" w:rsidRDefault="00EB4161" w14:paraId="5F8A66C4" w14:textId="77777777">
      <w:pPr>
        <w:rPr>
          <w:bCs/>
          <w:color w:val="auto"/>
        </w:rPr>
      </w:pPr>
      <w:r w:rsidRPr="00361E1F">
        <w:rPr>
          <w:bCs/>
          <w:color w:val="auto"/>
        </w:rPr>
        <w:t xml:space="preserve">Er is dus voldoende wettelijke basis voor opsporing en vervolging van zorgfraude. Het is daarom niet noodzakelijk om een aparte strafbaarstelling te creëren voor zorgfraude. Het is ook niet gebruikelijk om voor alle fenomenen van fraude een aparte strafbaarstelling in het leven te roepen. </w:t>
      </w:r>
      <w:r w:rsidRPr="00361E1F">
        <w:rPr>
          <w:bCs/>
          <w:color w:val="auto"/>
        </w:rPr>
        <w:lastRenderedPageBreak/>
        <w:t xml:space="preserve">Dat zou het strafrecht onnodig complex en onoverzichtelijk maken. Het zou bovendien een beperking zijn hetgeen een effectieve aanpak van zorgfraude juist in de weg zou staan. </w:t>
      </w:r>
    </w:p>
    <w:p w:rsidRPr="00361E1F" w:rsidR="00EB4161" w:rsidP="00EB4161" w:rsidRDefault="00EB4161" w14:paraId="5B95659D" w14:textId="77777777">
      <w:pPr>
        <w:rPr>
          <w:bCs/>
          <w:color w:val="auto"/>
        </w:rPr>
      </w:pPr>
      <w:r w:rsidRPr="00361E1F">
        <w:rPr>
          <w:bCs/>
          <w:color w:val="auto"/>
        </w:rPr>
        <w:t xml:space="preserve">Nu kan het Openbaar Ministerie kiezen uit verschillende strafbaarstellingen, waarbij feiten en omstandigheden en bewijspositie leidend zijn. </w:t>
      </w:r>
    </w:p>
    <w:p w:rsidRPr="00361E1F" w:rsidR="00EB4161" w:rsidP="00EB4161" w:rsidRDefault="00EB4161" w14:paraId="0D680DE8" w14:textId="77777777">
      <w:pPr>
        <w:rPr>
          <w:bCs/>
          <w:color w:val="auto"/>
        </w:rPr>
      </w:pPr>
    </w:p>
    <w:p w:rsidRPr="00361E1F" w:rsidR="00EB4161" w:rsidP="00EB4161" w:rsidRDefault="00EB4161" w14:paraId="6BEA36E6" w14:textId="466AC9E6">
      <w:pPr>
        <w:rPr>
          <w:bCs/>
          <w:color w:val="auto"/>
        </w:rPr>
      </w:pPr>
      <w:r w:rsidRPr="00361E1F">
        <w:rPr>
          <w:bCs/>
          <w:color w:val="auto"/>
        </w:rPr>
        <w:t>Naast het strafrecht is de inzet van het bestuursrecht essentieel voor een effectieve aanpak van zorgfraude. Bijvoorbeeld via het terugvorderen van gelden door zorgverzekeraars of het opleggen van een last onder dwangsom of bestuurlijke boetes door toezichthouders. Binnen het zorgdomein gelden hiervoor al diverse wettelijke kaders. Voor de Nederlandse Zorgautoriteit is bijvoorbeeld de Wet marktordening gezondheidszorg (</w:t>
      </w:r>
      <w:proofErr w:type="spellStart"/>
      <w:r w:rsidRPr="00361E1F">
        <w:rPr>
          <w:bCs/>
          <w:color w:val="auto"/>
        </w:rPr>
        <w:t>Wmg</w:t>
      </w:r>
      <w:proofErr w:type="spellEnd"/>
      <w:r w:rsidRPr="00361E1F">
        <w:rPr>
          <w:bCs/>
          <w:color w:val="auto"/>
        </w:rPr>
        <w:t>) relevant. Zo is het verboden om onrechtmatige tarieven te vragen en zijn zorgaanbieders verplicht om een deugdelijke administratie te voeren (art</w:t>
      </w:r>
      <w:r w:rsidR="00BC47CC">
        <w:rPr>
          <w:bCs/>
          <w:color w:val="auto"/>
        </w:rPr>
        <w:t>.</w:t>
      </w:r>
      <w:r w:rsidRPr="00361E1F">
        <w:rPr>
          <w:bCs/>
          <w:color w:val="auto"/>
        </w:rPr>
        <w:t xml:space="preserve"> 35-36 </w:t>
      </w:r>
      <w:proofErr w:type="spellStart"/>
      <w:r w:rsidRPr="00361E1F">
        <w:rPr>
          <w:bCs/>
          <w:color w:val="auto"/>
        </w:rPr>
        <w:t>Wmg</w:t>
      </w:r>
      <w:proofErr w:type="spellEnd"/>
      <w:r w:rsidRPr="00361E1F">
        <w:rPr>
          <w:bCs/>
          <w:color w:val="auto"/>
        </w:rPr>
        <w:t xml:space="preserve">).  </w:t>
      </w:r>
    </w:p>
    <w:p w:rsidRPr="00361E1F" w:rsidR="00EB4161" w:rsidP="00EB4161" w:rsidRDefault="00EB4161" w14:paraId="1349098C" w14:textId="77777777">
      <w:pPr>
        <w:rPr>
          <w:bCs/>
          <w:color w:val="auto"/>
        </w:rPr>
      </w:pPr>
    </w:p>
    <w:p w:rsidRPr="00361E1F" w:rsidR="00EB4161" w:rsidP="00EB4161" w:rsidRDefault="00EB4161" w14:paraId="43F85FCF" w14:textId="73FFFA3A">
      <w:pPr>
        <w:rPr>
          <w:bCs/>
          <w:color w:val="auto"/>
        </w:rPr>
      </w:pPr>
      <w:r w:rsidRPr="00361E1F">
        <w:rPr>
          <w:bCs/>
          <w:color w:val="auto"/>
        </w:rPr>
        <w:t>Hiermee doe ik de motie af.</w:t>
      </w:r>
    </w:p>
    <w:p w:rsidRPr="00361E1F" w:rsidR="007D503E" w:rsidP="001810C7" w:rsidRDefault="007D503E" w14:paraId="11A27D5E" w14:textId="77777777">
      <w:pPr>
        <w:rPr>
          <w:bCs/>
          <w:color w:val="auto"/>
        </w:rPr>
      </w:pPr>
    </w:p>
    <w:p w:rsidRPr="00361E1F" w:rsidR="007D503E" w:rsidP="001810C7" w:rsidRDefault="007D503E" w14:paraId="7185AFA0" w14:textId="20B09F9B">
      <w:pPr>
        <w:numPr>
          <w:ilvl w:val="0"/>
          <w:numId w:val="13"/>
        </w:numPr>
        <w:rPr>
          <w:bCs/>
          <w:i/>
          <w:color w:val="auto"/>
          <w:u w:val="single"/>
        </w:rPr>
      </w:pPr>
      <w:r w:rsidRPr="00361E1F">
        <w:rPr>
          <w:bCs/>
          <w:i/>
          <w:color w:val="auto"/>
        </w:rPr>
        <w:t xml:space="preserve">Toezegging: de minister zegt toe de evaluatie van de publiekscampagne over de gevolgen van drugsgebruik op criminaliteit en de samenleving te zullen delen, en aan de hand daarvan te bekijken wat dit betekent voor het vervolg van de campagne. </w:t>
      </w:r>
    </w:p>
    <w:p w:rsidRPr="00361E1F" w:rsidR="002E08E9" w:rsidP="002E08E9" w:rsidRDefault="002E08E9" w14:paraId="71C0D227" w14:textId="77777777">
      <w:pPr>
        <w:rPr>
          <w:bCs/>
          <w:i/>
          <w:color w:val="auto"/>
        </w:rPr>
      </w:pPr>
    </w:p>
    <w:p w:rsidRPr="00361E1F" w:rsidR="002E08E9" w:rsidP="002E08E9" w:rsidRDefault="002E08E9" w14:paraId="133C4D40" w14:textId="524AA536">
      <w:pPr>
        <w:rPr>
          <w:bCs/>
          <w:iCs/>
          <w:color w:val="auto"/>
        </w:rPr>
      </w:pPr>
      <w:r w:rsidRPr="00361E1F">
        <w:rPr>
          <w:bCs/>
          <w:iCs/>
          <w:color w:val="auto"/>
        </w:rPr>
        <w:t>De minister heeft toegezegd om de evaluatie van de publiekscampagne over de gevolgen van drugsgebruik op criminaliteit en de samenleving met uw Kamer te zullen delen, en aan de hand daarvan te bekijken wat dit betekent voor het vervolg van de campagne.</w:t>
      </w:r>
    </w:p>
    <w:p w:rsidRPr="00361E1F" w:rsidR="000B74E6" w:rsidP="002E08E9" w:rsidRDefault="000B74E6" w14:paraId="5FB5E7C9" w14:textId="77777777">
      <w:pPr>
        <w:rPr>
          <w:bCs/>
          <w:iCs/>
          <w:color w:val="auto"/>
        </w:rPr>
      </w:pPr>
    </w:p>
    <w:p w:rsidRPr="00361E1F" w:rsidR="0072408C" w:rsidP="0072408C" w:rsidRDefault="0072408C" w14:paraId="7736FD03" w14:textId="308E21A4">
      <w:pPr>
        <w:rPr>
          <w:bCs/>
          <w:iCs/>
          <w:color w:val="auto"/>
        </w:rPr>
      </w:pPr>
      <w:r w:rsidRPr="00361E1F">
        <w:rPr>
          <w:bCs/>
          <w:iCs/>
          <w:color w:val="auto"/>
        </w:rPr>
        <w:t xml:space="preserve">Uw Kamer </w:t>
      </w:r>
      <w:r>
        <w:rPr>
          <w:bCs/>
          <w:iCs/>
          <w:color w:val="auto"/>
        </w:rPr>
        <w:t>wordt hierover</w:t>
      </w:r>
      <w:r w:rsidR="005E36DF">
        <w:rPr>
          <w:bCs/>
          <w:iCs/>
          <w:color w:val="auto"/>
        </w:rPr>
        <w:t>,</w:t>
      </w:r>
      <w:r w:rsidRPr="00361E1F">
        <w:rPr>
          <w:bCs/>
          <w:iCs/>
          <w:color w:val="auto"/>
        </w:rPr>
        <w:t xml:space="preserve"> mede namens mij, </w:t>
      </w:r>
      <w:r>
        <w:rPr>
          <w:bCs/>
          <w:iCs/>
          <w:color w:val="auto"/>
        </w:rPr>
        <w:t xml:space="preserve">naar verwachting voor de zomer </w:t>
      </w:r>
      <w:r w:rsidRPr="00361E1F">
        <w:rPr>
          <w:bCs/>
          <w:iCs/>
          <w:color w:val="auto"/>
        </w:rPr>
        <w:t xml:space="preserve">geïnformeerd door de minister van </w:t>
      </w:r>
      <w:r w:rsidR="00894CFE">
        <w:rPr>
          <w:bCs/>
          <w:iCs/>
          <w:color w:val="auto"/>
        </w:rPr>
        <w:t>Volksgezondheid, Welzijn en Sport (V</w:t>
      </w:r>
      <w:r w:rsidRPr="00361E1F" w:rsidR="00894CFE">
        <w:rPr>
          <w:bCs/>
          <w:iCs/>
          <w:color w:val="auto"/>
        </w:rPr>
        <w:t>WS</w:t>
      </w:r>
      <w:r w:rsidR="00894CFE">
        <w:rPr>
          <w:bCs/>
          <w:iCs/>
          <w:color w:val="auto"/>
        </w:rPr>
        <w:t>).</w:t>
      </w:r>
    </w:p>
    <w:p w:rsidRPr="00361E1F" w:rsidR="007D503E" w:rsidP="001810C7" w:rsidRDefault="007D503E" w14:paraId="677EB5D3" w14:textId="77777777">
      <w:pPr>
        <w:rPr>
          <w:bCs/>
          <w:iCs/>
          <w:color w:val="auto"/>
          <w:u w:val="single"/>
        </w:rPr>
      </w:pPr>
    </w:p>
    <w:p w:rsidRPr="00361E1F" w:rsidR="007D503E" w:rsidP="001810C7" w:rsidRDefault="007D503E" w14:paraId="30AF91AD" w14:textId="316DC0AC">
      <w:pPr>
        <w:numPr>
          <w:ilvl w:val="0"/>
          <w:numId w:val="13"/>
        </w:numPr>
        <w:rPr>
          <w:bCs/>
          <w:i/>
          <w:color w:val="auto"/>
          <w:u w:val="single"/>
        </w:rPr>
      </w:pPr>
      <w:r w:rsidRPr="00361E1F">
        <w:rPr>
          <w:bCs/>
          <w:i/>
          <w:color w:val="auto"/>
        </w:rPr>
        <w:t xml:space="preserve">Toezegging: de minister zegt toe aan het lid </w:t>
      </w:r>
      <w:proofErr w:type="spellStart"/>
      <w:r w:rsidRPr="00361E1F">
        <w:rPr>
          <w:bCs/>
          <w:i/>
          <w:color w:val="auto"/>
        </w:rPr>
        <w:t>Mutluer</w:t>
      </w:r>
      <w:proofErr w:type="spellEnd"/>
      <w:r w:rsidRPr="00361E1F">
        <w:rPr>
          <w:bCs/>
          <w:i/>
          <w:color w:val="auto"/>
        </w:rPr>
        <w:t xml:space="preserve"> (GL-PvdA) om middels </w:t>
      </w:r>
      <w:r w:rsidRPr="00361E1F" w:rsidR="00EB0BFD">
        <w:rPr>
          <w:bCs/>
          <w:i/>
          <w:color w:val="auto"/>
        </w:rPr>
        <w:t>een brief</w:t>
      </w:r>
      <w:r w:rsidRPr="00361E1F">
        <w:rPr>
          <w:bCs/>
          <w:i/>
          <w:color w:val="auto"/>
        </w:rPr>
        <w:t xml:space="preserve"> de Tweede Kamer te informeren over de inzet van specialistische jongerenwerkers. </w:t>
      </w:r>
    </w:p>
    <w:p w:rsidRPr="00361E1F" w:rsidR="00F81FCC" w:rsidP="00F81FCC" w:rsidRDefault="00F81FCC" w14:paraId="55F22AD1" w14:textId="77777777">
      <w:pPr>
        <w:rPr>
          <w:bCs/>
          <w:i/>
          <w:color w:val="auto"/>
        </w:rPr>
      </w:pPr>
    </w:p>
    <w:p w:rsidRPr="00361E1F" w:rsidR="00F81FCC" w:rsidP="00F81FCC" w:rsidRDefault="00F81FCC" w14:paraId="22B14A65" w14:textId="47FD98EA">
      <w:pPr>
        <w:rPr>
          <w:bCs/>
          <w:iCs/>
          <w:color w:val="auto"/>
        </w:rPr>
      </w:pPr>
      <w:r w:rsidRPr="00361E1F">
        <w:rPr>
          <w:bCs/>
          <w:iCs/>
          <w:color w:val="auto"/>
        </w:rPr>
        <w:t xml:space="preserve">De minister heeft toegezegd </w:t>
      </w:r>
      <w:r w:rsidR="00C42EA4">
        <w:rPr>
          <w:bCs/>
          <w:iCs/>
          <w:color w:val="auto"/>
        </w:rPr>
        <w:t>de Tweede</w:t>
      </w:r>
      <w:r w:rsidRPr="00361E1F">
        <w:rPr>
          <w:bCs/>
          <w:iCs/>
          <w:color w:val="auto"/>
        </w:rPr>
        <w:t xml:space="preserve"> Kamer te informeren over de inzet van specialistische jongerenwerkers.</w:t>
      </w:r>
    </w:p>
    <w:p w:rsidRPr="00361E1F" w:rsidR="00476B57" w:rsidP="00F81FCC" w:rsidRDefault="00476B57" w14:paraId="47B615EE" w14:textId="77777777">
      <w:pPr>
        <w:rPr>
          <w:bCs/>
          <w:iCs/>
          <w:color w:val="auto"/>
        </w:rPr>
      </w:pPr>
    </w:p>
    <w:p w:rsidRPr="00361E1F" w:rsidR="00476B57" w:rsidP="00476B57" w:rsidRDefault="00476B57" w14:paraId="6C9FC3BF" w14:textId="77777777">
      <w:pPr>
        <w:rPr>
          <w:bCs/>
          <w:iCs/>
          <w:color w:val="auto"/>
        </w:rPr>
      </w:pPr>
      <w:r w:rsidRPr="00361E1F">
        <w:rPr>
          <w:bCs/>
          <w:iCs/>
          <w:color w:val="auto"/>
        </w:rPr>
        <w:t xml:space="preserve">Wanneer het gaat over de rol van jongerenwerkers in criminaliteitspreventie is het van belang om onderscheid te maken tussen enerzijds de preventieve werking van het jongerenwerk bij de ‘reguliere’ jongeren die door hun betrokkenheid bij het jongerenwerk zich niet bezighouden met criminele activiteiten, en anderzijds de strategieën die het jongerenwerk inzet om specifiek jongeren met een verhoogd risico op criminaliteit te bereiken en proberen te voorkomen dat zij verder de criminaliteit in glijden. Dit vraagt om een andere aanpak, meer expertise en extra tijdsinvestering. De onderzoeksresultaten van het project Drop-In laten zien dat het gaat om ‘specialistische handelingen’ die ook vanuit jongerenwerk geboden kunnen worden mits zij hierin goed gefaciliteerd worden. Wanneer zij hierin goed worden gefaciliteerd, zijn jongerenwerkers in staat om naast de dagelijkse praktijk van hun reguliere jongerenwerk ook specialistisch jongerenwerk uit te voeren. </w:t>
      </w:r>
    </w:p>
    <w:p w:rsidRPr="00361E1F" w:rsidR="00476B57" w:rsidP="00476B57" w:rsidRDefault="00476B57" w14:paraId="482561E9" w14:textId="77777777">
      <w:pPr>
        <w:rPr>
          <w:bCs/>
          <w:iCs/>
          <w:color w:val="auto"/>
        </w:rPr>
      </w:pPr>
    </w:p>
    <w:p w:rsidR="00476B57" w:rsidP="00476B57" w:rsidRDefault="00476B57" w14:paraId="14ED567A" w14:textId="0D803F7E">
      <w:pPr>
        <w:rPr>
          <w:bCs/>
          <w:iCs/>
          <w:color w:val="auto"/>
        </w:rPr>
      </w:pPr>
      <w:r w:rsidRPr="00361E1F">
        <w:rPr>
          <w:bCs/>
          <w:iCs/>
          <w:color w:val="auto"/>
        </w:rPr>
        <w:t>Verder is er verschil tussen de regio</w:t>
      </w:r>
      <w:r w:rsidR="009F5331">
        <w:rPr>
          <w:bCs/>
          <w:iCs/>
          <w:color w:val="auto"/>
        </w:rPr>
        <w:t>’</w:t>
      </w:r>
      <w:r w:rsidRPr="00361E1F">
        <w:rPr>
          <w:bCs/>
          <w:iCs/>
          <w:color w:val="auto"/>
        </w:rPr>
        <w:t>s</w:t>
      </w:r>
      <w:r w:rsidR="009F5331">
        <w:rPr>
          <w:bCs/>
          <w:iCs/>
          <w:color w:val="auto"/>
        </w:rPr>
        <w:t xml:space="preserve"> c.q. </w:t>
      </w:r>
      <w:r w:rsidRPr="00361E1F">
        <w:rPr>
          <w:bCs/>
          <w:iCs/>
          <w:color w:val="auto"/>
        </w:rPr>
        <w:t xml:space="preserve">gemeenten in de mate waarin zij deze beide vormen van jongerenwerk leveren, hiervoor is geen landelijk overzicht. De mate van inzet is mede afhankelijk van de gemeentelijke opdracht, beschikbare capaciteit, expertise van professionals op terrein van jeugd en veiligheid en mogelijkheden om meerdere groepen jongeren te bedienen binnen jongerencentra. In veel Preventie met Gezag-gemeenten worden middelen benut voor de inzet van jongerenwerk met specialistische taken op het terrein van veiligheid en criminaliteitsbestrijding. Deze inzet wordt jaarlijks bijgehouden in de </w:t>
      </w:r>
      <w:proofErr w:type="spellStart"/>
      <w:r w:rsidRPr="00361E1F">
        <w:rPr>
          <w:bCs/>
          <w:iCs/>
          <w:color w:val="auto"/>
        </w:rPr>
        <w:t>PmG</w:t>
      </w:r>
      <w:proofErr w:type="spellEnd"/>
      <w:r w:rsidRPr="00361E1F">
        <w:rPr>
          <w:bCs/>
          <w:iCs/>
          <w:color w:val="auto"/>
        </w:rPr>
        <w:t xml:space="preserve"> monitor.  </w:t>
      </w:r>
    </w:p>
    <w:p w:rsidR="00DF2661" w:rsidP="00476B57" w:rsidRDefault="00DF2661" w14:paraId="1078FB13" w14:textId="77777777">
      <w:pPr>
        <w:rPr>
          <w:bCs/>
          <w:iCs/>
          <w:color w:val="auto"/>
        </w:rPr>
      </w:pPr>
    </w:p>
    <w:p w:rsidR="00637AF6" w:rsidP="00637AF6" w:rsidRDefault="00637AF6" w14:paraId="1E70D3F8" w14:textId="77777777">
      <w:pPr>
        <w:rPr>
          <w:bCs/>
          <w:iCs/>
          <w:color w:val="auto"/>
        </w:rPr>
      </w:pPr>
      <w:r>
        <w:rPr>
          <w:bCs/>
          <w:iCs/>
          <w:color w:val="auto"/>
        </w:rPr>
        <w:t>In de volgende Rapportage aanpak georganiseerde, ondermijnende criminaliteit deel ik een verdere toelichting op de inzet van specialistisch jongerenwerkers. Deze rapportage volgt naar verwachting dit najaar.</w:t>
      </w:r>
    </w:p>
    <w:p w:rsidRPr="00361E1F" w:rsidR="007D503E" w:rsidP="001810C7" w:rsidRDefault="007D503E" w14:paraId="6D796557" w14:textId="77777777">
      <w:pPr>
        <w:rPr>
          <w:bCs/>
          <w:iCs/>
          <w:color w:val="auto"/>
          <w:u w:val="single"/>
        </w:rPr>
      </w:pPr>
    </w:p>
    <w:p w:rsidRPr="00361E1F" w:rsidR="007D503E" w:rsidP="001810C7" w:rsidRDefault="007D503E" w14:paraId="5A7459C3" w14:textId="77777777">
      <w:pPr>
        <w:numPr>
          <w:ilvl w:val="0"/>
          <w:numId w:val="13"/>
        </w:numPr>
        <w:rPr>
          <w:bCs/>
          <w:i/>
          <w:color w:val="auto"/>
          <w:u w:val="single"/>
        </w:rPr>
      </w:pPr>
      <w:r w:rsidRPr="00361E1F">
        <w:rPr>
          <w:bCs/>
          <w:i/>
          <w:color w:val="auto"/>
        </w:rPr>
        <w:lastRenderedPageBreak/>
        <w:t>Motie van het lid Bikker (Chr. Unie) c.s. over de campagne over de gevolgen van drugsgebruik voor criminaliteit en de samenleving voortzetten. Kamerstukken II, 2025/26, 36 800-VI, nr. 116.</w:t>
      </w:r>
    </w:p>
    <w:p w:rsidRPr="00361E1F" w:rsidR="004F72DB" w:rsidP="004F72DB" w:rsidRDefault="004F72DB" w14:paraId="07610426" w14:textId="77777777">
      <w:pPr>
        <w:rPr>
          <w:bCs/>
          <w:i/>
          <w:color w:val="auto"/>
        </w:rPr>
      </w:pPr>
    </w:p>
    <w:p w:rsidRPr="00361E1F" w:rsidR="004F72DB" w:rsidP="004F72DB" w:rsidRDefault="004F72DB" w14:paraId="1587F270" w14:textId="03586605">
      <w:pPr>
        <w:rPr>
          <w:bCs/>
          <w:iCs/>
          <w:color w:val="auto"/>
        </w:rPr>
      </w:pPr>
      <w:r w:rsidRPr="00361E1F">
        <w:rPr>
          <w:bCs/>
          <w:iCs/>
          <w:color w:val="auto"/>
        </w:rPr>
        <w:t>De motie verzoekt de regering de campagne over de gevolgen van drugsgebruik voor criminaliteit en de samenleving voort te zetten, en gemeenten hier ook actief bij te betrekken.</w:t>
      </w:r>
    </w:p>
    <w:p w:rsidRPr="00361E1F" w:rsidR="000B74E6" w:rsidP="004F72DB" w:rsidRDefault="000B74E6" w14:paraId="05C40FF3" w14:textId="77777777">
      <w:pPr>
        <w:rPr>
          <w:bCs/>
          <w:iCs/>
          <w:color w:val="auto"/>
        </w:rPr>
      </w:pPr>
    </w:p>
    <w:p w:rsidRPr="00361E1F" w:rsidR="000B74E6" w:rsidP="004F72DB" w:rsidRDefault="000B74E6" w14:paraId="3F3D97AC" w14:textId="0D1150FD">
      <w:pPr>
        <w:rPr>
          <w:bCs/>
          <w:iCs/>
          <w:color w:val="auto"/>
        </w:rPr>
      </w:pPr>
      <w:r w:rsidRPr="00361E1F">
        <w:rPr>
          <w:bCs/>
          <w:iCs/>
          <w:color w:val="auto"/>
        </w:rPr>
        <w:t xml:space="preserve">Uw Kamer </w:t>
      </w:r>
      <w:r w:rsidR="00E97281">
        <w:rPr>
          <w:bCs/>
          <w:iCs/>
          <w:color w:val="auto"/>
        </w:rPr>
        <w:t>wordt over de uitvoering van deze motie</w:t>
      </w:r>
      <w:r w:rsidRPr="00361E1F">
        <w:rPr>
          <w:bCs/>
          <w:iCs/>
          <w:color w:val="auto"/>
        </w:rPr>
        <w:t xml:space="preserve">, mede namens mij, </w:t>
      </w:r>
      <w:r w:rsidR="00E97281">
        <w:rPr>
          <w:bCs/>
          <w:iCs/>
          <w:color w:val="auto"/>
        </w:rPr>
        <w:t xml:space="preserve">naar verwachting voor de zomer </w:t>
      </w:r>
      <w:r w:rsidRPr="00361E1F">
        <w:rPr>
          <w:bCs/>
          <w:iCs/>
          <w:color w:val="auto"/>
        </w:rPr>
        <w:t xml:space="preserve">geïnformeerd door de minister van </w:t>
      </w:r>
      <w:r w:rsidR="000E1FAD">
        <w:rPr>
          <w:bCs/>
          <w:iCs/>
          <w:color w:val="auto"/>
        </w:rPr>
        <w:t>VWS.</w:t>
      </w:r>
    </w:p>
    <w:p w:rsidRPr="00361E1F" w:rsidR="007D503E" w:rsidP="001810C7" w:rsidRDefault="007D503E" w14:paraId="589D99B7" w14:textId="77777777">
      <w:pPr>
        <w:rPr>
          <w:bCs/>
          <w:iCs/>
          <w:color w:val="auto"/>
          <w:u w:val="single"/>
        </w:rPr>
      </w:pPr>
    </w:p>
    <w:p w:rsidRPr="00361E1F" w:rsidR="007D503E" w:rsidP="001810C7" w:rsidRDefault="007D503E" w14:paraId="3CA4655B" w14:textId="77777777">
      <w:pPr>
        <w:numPr>
          <w:ilvl w:val="0"/>
          <w:numId w:val="13"/>
        </w:numPr>
        <w:rPr>
          <w:bCs/>
          <w:i/>
          <w:iCs/>
          <w:color w:val="auto"/>
        </w:rPr>
      </w:pPr>
      <w:r w:rsidRPr="00361E1F">
        <w:rPr>
          <w:i/>
          <w:iCs/>
          <w:color w:val="auto"/>
        </w:rPr>
        <w:t xml:space="preserve">Motie van het lid </w:t>
      </w:r>
      <w:proofErr w:type="spellStart"/>
      <w:r w:rsidRPr="00361E1F">
        <w:rPr>
          <w:i/>
          <w:iCs/>
          <w:color w:val="auto"/>
        </w:rPr>
        <w:t>Wijen-Nass</w:t>
      </w:r>
      <w:proofErr w:type="spellEnd"/>
      <w:r w:rsidRPr="00361E1F">
        <w:rPr>
          <w:i/>
          <w:iCs/>
          <w:color w:val="auto"/>
        </w:rPr>
        <w:t xml:space="preserve"> (BBB) over het vinden van een passende invullende van leegstaande agrarische panden. Kamerstukken II, 2025/26, 29 911, nr. 486.</w:t>
      </w:r>
    </w:p>
    <w:p w:rsidRPr="00361E1F" w:rsidR="004F72DB" w:rsidP="004F72DB" w:rsidRDefault="004F72DB" w14:paraId="6D74F863" w14:textId="77777777">
      <w:pPr>
        <w:rPr>
          <w:i/>
          <w:iCs/>
          <w:color w:val="auto"/>
        </w:rPr>
      </w:pPr>
    </w:p>
    <w:p w:rsidRPr="00361E1F" w:rsidR="004F72DB" w:rsidP="004F72DB" w:rsidRDefault="004F72DB" w14:paraId="688F88A0" w14:textId="3925FDE0">
      <w:pPr>
        <w:rPr>
          <w:color w:val="auto"/>
        </w:rPr>
      </w:pPr>
      <w:r w:rsidRPr="00361E1F">
        <w:rPr>
          <w:color w:val="auto"/>
        </w:rPr>
        <w:t>De motie verzoekt de regering om samen met gemeenten, provincies en agrarische organisaties te onderzoeken hoe bestaande regels en vergunningen meer ruimte kunnen bieden, en hoe eigenaren actief ondersteund kunnen worden bij het vinden van een passende invulling voor leegstaande agrarische panden, en daarbij expliciet te betrekken hoe dit kan aansluiten bij de kabinetsinzet om 500 onnodige regels te schrappen.</w:t>
      </w:r>
    </w:p>
    <w:p w:rsidRPr="00361E1F" w:rsidR="00DF0C24" w:rsidP="004F72DB" w:rsidRDefault="00DF0C24" w14:paraId="3C58A525" w14:textId="77777777">
      <w:pPr>
        <w:rPr>
          <w:color w:val="auto"/>
        </w:rPr>
      </w:pPr>
    </w:p>
    <w:p w:rsidRPr="00361E1F" w:rsidR="00DF0C24" w:rsidP="00DF0C24" w:rsidRDefault="00DF0C24" w14:paraId="6F6C0F7E" w14:textId="5949643E">
      <w:pPr>
        <w:rPr>
          <w:bCs/>
          <w:color w:val="auto"/>
        </w:rPr>
      </w:pPr>
      <w:r w:rsidRPr="00361E1F">
        <w:rPr>
          <w:bCs/>
          <w:color w:val="auto"/>
        </w:rPr>
        <w:t>Het belang van een actieve aanpak van leegstand van agrarisch vastgoed wordt onderschreven en ziet daarbij kansen voor herbestemming die bijdragen aan de leefbaarheid en vitaliteit van het buitengebied. De handreiking</w:t>
      </w:r>
      <w:r w:rsidR="009550F5">
        <w:rPr>
          <w:bCs/>
          <w:color w:val="auto"/>
        </w:rPr>
        <w:t xml:space="preserve"> van de </w:t>
      </w:r>
      <w:r w:rsidRPr="00361E1F" w:rsidR="009550F5">
        <w:rPr>
          <w:bCs/>
          <w:iCs/>
          <w:color w:val="auto"/>
        </w:rPr>
        <w:t>Vereniging</w:t>
      </w:r>
      <w:r w:rsidR="009550F5">
        <w:rPr>
          <w:bCs/>
          <w:iCs/>
          <w:color w:val="auto"/>
        </w:rPr>
        <w:t xml:space="preserve"> van</w:t>
      </w:r>
      <w:r w:rsidRPr="00361E1F" w:rsidR="009550F5">
        <w:rPr>
          <w:bCs/>
          <w:iCs/>
          <w:color w:val="auto"/>
        </w:rPr>
        <w:t xml:space="preserve"> Nederlandse Gemeenten</w:t>
      </w:r>
      <w:r w:rsidR="009550F5">
        <w:rPr>
          <w:bCs/>
          <w:iCs/>
          <w:color w:val="auto"/>
        </w:rPr>
        <w:t xml:space="preserve"> (VNG)</w:t>
      </w:r>
      <w:r w:rsidRPr="00361E1F">
        <w:rPr>
          <w:bCs/>
          <w:color w:val="auto"/>
        </w:rPr>
        <w:t xml:space="preserve"> </w:t>
      </w:r>
      <w:r w:rsidR="009550F5">
        <w:rPr>
          <w:bCs/>
          <w:color w:val="auto"/>
        </w:rPr>
        <w:t>‘</w:t>
      </w:r>
      <w:r w:rsidRPr="00361E1F">
        <w:rPr>
          <w:bCs/>
          <w:color w:val="auto"/>
        </w:rPr>
        <w:t>Leegstand te lijf 2.0</w:t>
      </w:r>
      <w:r w:rsidR="009550F5">
        <w:rPr>
          <w:bCs/>
          <w:color w:val="auto"/>
        </w:rPr>
        <w:t>’</w:t>
      </w:r>
      <w:r w:rsidRPr="00361E1F">
        <w:rPr>
          <w:bCs/>
          <w:color w:val="auto"/>
        </w:rPr>
        <w:t xml:space="preserve">, biedt gemeenten praktische handvatten om leegstand van agrarische panden gestructureerd in beeld te brengen en aan te pakken, met oog voor de lokale en regionale context en samenwerking. </w:t>
      </w:r>
    </w:p>
    <w:p w:rsidRPr="00361E1F" w:rsidR="00AF78CD" w:rsidP="00DF0C24" w:rsidRDefault="00AF78CD" w14:paraId="761E012D" w14:textId="77777777">
      <w:pPr>
        <w:rPr>
          <w:bCs/>
          <w:color w:val="auto"/>
        </w:rPr>
      </w:pPr>
    </w:p>
    <w:p w:rsidRPr="00361E1F" w:rsidR="00DF0C24" w:rsidP="00DF0C24" w:rsidRDefault="00DF0C24" w14:paraId="1F9B43E5" w14:textId="75360017">
      <w:pPr>
        <w:rPr>
          <w:bCs/>
          <w:color w:val="auto"/>
        </w:rPr>
      </w:pPr>
      <w:r w:rsidRPr="00361E1F">
        <w:rPr>
          <w:bCs/>
          <w:color w:val="auto"/>
        </w:rPr>
        <w:t xml:space="preserve">Daarnaast onderzoeken de ministeries van Volkshuisvesting en Ruimtelijke Ordening </w:t>
      </w:r>
      <w:r w:rsidR="00BC47CC">
        <w:rPr>
          <w:bCs/>
          <w:color w:val="auto"/>
        </w:rPr>
        <w:t xml:space="preserve">(VRO) </w:t>
      </w:r>
      <w:r w:rsidRPr="00361E1F">
        <w:rPr>
          <w:bCs/>
          <w:color w:val="auto"/>
        </w:rPr>
        <w:t xml:space="preserve">en Landbouw, Visserij, Voedselzekerheid en Natuur </w:t>
      </w:r>
      <w:r w:rsidR="00BC47CC">
        <w:rPr>
          <w:bCs/>
          <w:color w:val="auto"/>
        </w:rPr>
        <w:t xml:space="preserve">(LVVN) </w:t>
      </w:r>
      <w:r w:rsidRPr="00361E1F">
        <w:rPr>
          <w:bCs/>
          <w:color w:val="auto"/>
        </w:rPr>
        <w:t>gezamenlijk hoe wonen kan bijdragen aan een vitaal en leefbaar buitengebied. Daarbij wordt bezien hoe functiecombinaties met wonen kunnen helpen bij het tegengaan van ondermijning en ongewenste leegstand. Hierbij wordt aandacht besteed aan een gezonde en veilige leefomgeving en andere belangen in het buitengebied, zoals agrarische activiteiten en recreatie. De uitkomsten van dit onderzoek worden eind 2026 verwacht en zullen worden betrokken bij de beleidsontwikkeling op gemeentelijk, provinciaal en nationaal niveau.</w:t>
      </w:r>
    </w:p>
    <w:p w:rsidRPr="00361E1F" w:rsidR="00AF78CD" w:rsidP="00DF0C24" w:rsidRDefault="00AF78CD" w14:paraId="1369FF50" w14:textId="77777777">
      <w:pPr>
        <w:rPr>
          <w:bCs/>
          <w:color w:val="auto"/>
        </w:rPr>
      </w:pPr>
    </w:p>
    <w:p w:rsidR="00DF0C24" w:rsidP="00DF0C24" w:rsidRDefault="00DF0C24" w14:paraId="17C1F5C4" w14:textId="4EF7E1C2">
      <w:pPr>
        <w:rPr>
          <w:bCs/>
          <w:color w:val="auto"/>
        </w:rPr>
      </w:pPr>
      <w:r w:rsidRPr="00361E1F">
        <w:rPr>
          <w:bCs/>
          <w:color w:val="auto"/>
        </w:rPr>
        <w:t xml:space="preserve">De relevante regelgeving is neergelegd bij de verschillende departementen en bevindt zich grotendeels binnen hun beleidsdomein. </w:t>
      </w:r>
      <w:r w:rsidR="00584CFC">
        <w:rPr>
          <w:bCs/>
          <w:color w:val="auto"/>
        </w:rPr>
        <w:t>Het ministerie van Justitie en Veiligheid (JenV)</w:t>
      </w:r>
      <w:r w:rsidRPr="00361E1F">
        <w:rPr>
          <w:bCs/>
          <w:color w:val="auto"/>
        </w:rPr>
        <w:t xml:space="preserve"> is niet de eerstverantwoordelijke partij bij eventuele wijzigingen.</w:t>
      </w:r>
    </w:p>
    <w:p w:rsidR="00140D79" w:rsidP="00DF0C24" w:rsidRDefault="00140D79" w14:paraId="55F533EE" w14:textId="77777777">
      <w:pPr>
        <w:rPr>
          <w:bCs/>
          <w:color w:val="auto"/>
        </w:rPr>
      </w:pPr>
    </w:p>
    <w:p w:rsidRPr="00361E1F" w:rsidR="00140D79" w:rsidP="00DF0C24" w:rsidRDefault="00140D79" w14:paraId="4256A54E" w14:textId="651EF889">
      <w:pPr>
        <w:rPr>
          <w:bCs/>
          <w:color w:val="auto"/>
        </w:rPr>
      </w:pPr>
      <w:r>
        <w:rPr>
          <w:bCs/>
          <w:color w:val="auto"/>
        </w:rPr>
        <w:t>Hiermee doe ik de motie af.</w:t>
      </w:r>
    </w:p>
    <w:p w:rsidRPr="00361E1F" w:rsidR="007D503E" w:rsidP="001810C7" w:rsidRDefault="007D503E" w14:paraId="0C3D3783" w14:textId="77777777">
      <w:pPr>
        <w:rPr>
          <w:bCs/>
          <w:iCs/>
          <w:color w:val="auto"/>
        </w:rPr>
      </w:pPr>
    </w:p>
    <w:p w:rsidRPr="00361E1F" w:rsidR="007D503E" w:rsidP="001810C7" w:rsidRDefault="007D503E" w14:paraId="09D133E5" w14:textId="77777777">
      <w:pPr>
        <w:numPr>
          <w:ilvl w:val="0"/>
          <w:numId w:val="13"/>
        </w:numPr>
        <w:rPr>
          <w:bCs/>
          <w:i/>
          <w:color w:val="auto"/>
        </w:rPr>
      </w:pPr>
      <w:r w:rsidRPr="00361E1F">
        <w:rPr>
          <w:bCs/>
          <w:i/>
          <w:color w:val="auto"/>
        </w:rPr>
        <w:t xml:space="preserve">Motie van het lid </w:t>
      </w:r>
      <w:proofErr w:type="spellStart"/>
      <w:r w:rsidRPr="00361E1F">
        <w:rPr>
          <w:bCs/>
          <w:i/>
          <w:color w:val="auto"/>
        </w:rPr>
        <w:t>Mutluer</w:t>
      </w:r>
      <w:proofErr w:type="spellEnd"/>
      <w:r w:rsidRPr="00361E1F">
        <w:rPr>
          <w:bCs/>
          <w:i/>
          <w:color w:val="auto"/>
        </w:rPr>
        <w:t xml:space="preserve"> (GL/PvdA) over jongerenwerkers zo effectief mogelijk inzetten om jongeren te begeleiden en te beschermen tegen criminele invloeden.</w:t>
      </w:r>
      <w:r w:rsidRPr="00361E1F">
        <w:rPr>
          <w:i/>
          <w:color w:val="auto"/>
        </w:rPr>
        <w:t xml:space="preserve"> </w:t>
      </w:r>
      <w:r w:rsidRPr="00361E1F">
        <w:rPr>
          <w:bCs/>
          <w:i/>
          <w:color w:val="auto"/>
        </w:rPr>
        <w:t>Kamerstukken II 2024/25, 29 911, nr. 459.</w:t>
      </w:r>
    </w:p>
    <w:p w:rsidRPr="00361E1F" w:rsidR="00813792" w:rsidP="001810C7" w:rsidRDefault="00813792" w14:paraId="3703F39A" w14:textId="77777777">
      <w:pPr>
        <w:rPr>
          <w:bCs/>
          <w:iCs/>
          <w:color w:val="auto"/>
        </w:rPr>
      </w:pPr>
    </w:p>
    <w:p w:rsidRPr="00361E1F" w:rsidR="00813792" w:rsidP="001810C7" w:rsidRDefault="00813792" w14:paraId="0082BDC3" w14:textId="65FD34FD">
      <w:pPr>
        <w:rPr>
          <w:bCs/>
          <w:iCs/>
          <w:color w:val="auto"/>
        </w:rPr>
      </w:pPr>
      <w:r w:rsidRPr="00361E1F">
        <w:rPr>
          <w:bCs/>
          <w:iCs/>
          <w:color w:val="auto"/>
        </w:rPr>
        <w:t xml:space="preserve">De motie verzoekt de regering om samen met VNG na te gaan wat nodig is om zowel bij Preventie met Gezag-gemeenten als bij de gemeenten die niet onder het programma vallen, hen en (risicovolle) scholen in staat te stellen om jongerenwerkers zowel fysiek als online zo effectief mogelijk in te zetten, om zo jongeren te begeleiden en te beschermen tegen criminele invloeden. </w:t>
      </w:r>
    </w:p>
    <w:p w:rsidRPr="00361E1F" w:rsidR="00813792" w:rsidP="001810C7" w:rsidRDefault="00813792" w14:paraId="32B69E29" w14:textId="77777777">
      <w:pPr>
        <w:rPr>
          <w:bCs/>
          <w:iCs/>
          <w:color w:val="auto"/>
        </w:rPr>
      </w:pPr>
    </w:p>
    <w:p w:rsidRPr="00361E1F" w:rsidR="00476B57" w:rsidP="00476B57" w:rsidRDefault="00476B57" w14:paraId="53D7868B" w14:textId="3094F20A">
      <w:pPr>
        <w:rPr>
          <w:bCs/>
          <w:iCs/>
          <w:color w:val="auto"/>
        </w:rPr>
      </w:pPr>
      <w:r w:rsidRPr="00361E1F">
        <w:rPr>
          <w:bCs/>
          <w:iCs/>
          <w:color w:val="auto"/>
        </w:rPr>
        <w:t xml:space="preserve">Jongerenwerkers vormen een belangrijk onderdeel van een effectieve aanpak van jeugdcriminaliteit zowel bij aan Preventie met Gezag deelnemende gemeenten als niet deelnemende gemeenten. Daarom hebben de ministeries van JenV en VWS in 2023 een subsidie verstrekt aan brancheorganisatie Sociaal Werk Nederland (SWN) voor het project Drop-In. Drop-In richt zich op de versterking van het professionele jongerenwerk in het kader van criminaliteitspreventie en ondermijning en kijkt daarin ook naar jongerenwerk op school en online. Het project is actief in drie regio’s (Noord-Holland, Twente en Limburg) en loopt tot en met 2026. Naast onderzoek heeft Drop-In ook als doel om de opgedane kennis te delen. Dit gebeurt via de organisatie van landelijke </w:t>
      </w:r>
      <w:r w:rsidRPr="00361E1F">
        <w:rPr>
          <w:bCs/>
          <w:iCs/>
          <w:color w:val="auto"/>
        </w:rPr>
        <w:lastRenderedPageBreak/>
        <w:t xml:space="preserve">kennisnetwerkbijeenkomsten, klankbordsessies met belangrijke stakeholders en aansluiting op het Preventie met Gezag lerend netwerk jongerenwerk. Ook worden de inzichten geborgd binnen de achterban van SWN via een actief netwerk van organisaties en kennis- en opleidingspartners, via de openbare digitale vindplaats van Preventie met Gezag en wordt onderzocht welke rol de VNG hier verder bij kan spelen. Zo wordt de opgedane kennis benut binnen het beroepsonderwijs en zowel bij Preventie met Gezag-gemeenten als bij de gemeenten die niet onder het programma vallen. </w:t>
      </w:r>
    </w:p>
    <w:p w:rsidRPr="00361E1F" w:rsidR="00476B57" w:rsidP="00476B57" w:rsidRDefault="00476B57" w14:paraId="0E5151D9" w14:textId="77777777">
      <w:pPr>
        <w:rPr>
          <w:bCs/>
          <w:iCs/>
          <w:color w:val="auto"/>
        </w:rPr>
      </w:pPr>
    </w:p>
    <w:p w:rsidRPr="00361E1F" w:rsidR="00813792" w:rsidP="00CC6A70" w:rsidRDefault="00476B57" w14:paraId="53E02339" w14:textId="41EDD28A">
      <w:r w:rsidRPr="00361E1F">
        <w:t>Uit de tussenr</w:t>
      </w:r>
      <w:r w:rsidR="002A0A1A">
        <w:t>a</w:t>
      </w:r>
      <w:r w:rsidRPr="00361E1F">
        <w:t>p</w:t>
      </w:r>
      <w:r w:rsidR="002A0A1A">
        <w:t>p</w:t>
      </w:r>
      <w:r w:rsidRPr="00361E1F">
        <w:t xml:space="preserve">ortages van Drop-In blijkt dat jongerenwerkers een cruciale rol hebben in criminaliteitspreventie. Dit is mede afhankelijk is van beschikbare capaciteit, expertise van de professional en de mogelijkheden om jongeren te bereiken. Verder worden jongerenwerkers op (steeds meer) domeinen gevraagd en ingezet, bijvoorbeeld veiligheid, onderwijs, de online leefwereld, mentale gezondheid en jeugdopbouwwerk, maar de inzet groeit niet altijd mee met de uitbreiding van de gevraagde rollen en taken. Mede hierom ligt er een belangrijke opgave in het </w:t>
      </w:r>
      <w:r w:rsidRPr="00361E1F" w:rsidR="008D0EA5">
        <w:t>domein overstijgend</w:t>
      </w:r>
      <w:r w:rsidRPr="00361E1F">
        <w:t xml:space="preserve"> borgen van het jongerenwerk, zodat de bewezen waarde van jongerenwerk in veel gemeenten daadwerkelijk leidt tot duurzame inzet.</w:t>
      </w:r>
    </w:p>
    <w:p w:rsidR="003F62A9" w:rsidP="00476B57" w:rsidRDefault="003F62A9" w14:paraId="177745FB" w14:textId="77777777">
      <w:pPr>
        <w:rPr>
          <w:bCs/>
          <w:iCs/>
          <w:color w:val="auto"/>
        </w:rPr>
      </w:pPr>
    </w:p>
    <w:p w:rsidR="001D0581" w:rsidP="00476B57" w:rsidRDefault="001D0581" w14:paraId="313C33FF" w14:textId="7DDB1FDE">
      <w:pPr>
        <w:rPr>
          <w:bCs/>
          <w:iCs/>
          <w:color w:val="auto"/>
        </w:rPr>
      </w:pPr>
      <w:r>
        <w:rPr>
          <w:bCs/>
          <w:iCs/>
          <w:color w:val="auto"/>
        </w:rPr>
        <w:t>Hiermee doe ik de motie af.</w:t>
      </w:r>
    </w:p>
    <w:p w:rsidR="003F62A9" w:rsidP="00CD63E2" w:rsidRDefault="003F62A9" w14:paraId="692E4A36" w14:textId="69494F48">
      <w:pPr>
        <w:rPr>
          <w:bCs/>
          <w:iCs/>
          <w:color w:val="auto"/>
        </w:rPr>
      </w:pPr>
    </w:p>
    <w:p w:rsidRPr="00880417" w:rsidR="008A36DF" w:rsidP="008A36DF" w:rsidRDefault="008A36DF" w14:paraId="24082734" w14:textId="16DF3390">
      <w:pPr>
        <w:pStyle w:val="Lijstalinea"/>
        <w:numPr>
          <w:ilvl w:val="0"/>
          <w:numId w:val="14"/>
        </w:numPr>
      </w:pPr>
      <w:r w:rsidRPr="008A36DF">
        <w:rPr>
          <w:b/>
          <w:bCs/>
        </w:rPr>
        <w:t>Internationaal</w:t>
      </w:r>
    </w:p>
    <w:p w:rsidRPr="00DB3810" w:rsidR="008A36DF" w:rsidP="008A36DF" w:rsidRDefault="008A36DF" w14:paraId="67D4BC19" w14:textId="77777777">
      <w:pPr>
        <w:pStyle w:val="Lijstalinea"/>
        <w:numPr>
          <w:ilvl w:val="1"/>
          <w:numId w:val="14"/>
        </w:numPr>
        <w:rPr>
          <w:i/>
          <w:iCs/>
        </w:rPr>
      </w:pPr>
      <w:r w:rsidRPr="00DB3810">
        <w:rPr>
          <w:i/>
          <w:iCs/>
        </w:rPr>
        <w:t>Motie van het lid Hoogeveen (JA21) over samengaan van handelssamenwerking met partnerschappen tussen Latijns-Amerikaanse landen en EU-lidstaten op het gebied van veiligheid en justitiële samenwerking. Kamerstukken 2025/26, 21 501-20, nr. 2345.</w:t>
      </w:r>
    </w:p>
    <w:p w:rsidR="008A36DF" w:rsidP="008A36DF" w:rsidRDefault="008A36DF" w14:paraId="6740EC7D" w14:textId="77777777"/>
    <w:p w:rsidR="008A36DF" w:rsidP="008A36DF" w:rsidRDefault="008A36DF" w14:paraId="40BD5658" w14:textId="77777777">
      <w:r>
        <w:t xml:space="preserve">De motie verzoekt de regering om binnen EU-verband aandacht te vragen voor het verdiepen van samenwerking zoals EL PACCTO, Nederlandse belangen hierin naar voren te brengen en hierover terug te koppelen naar relevante binnenlandse partijen. </w:t>
      </w:r>
    </w:p>
    <w:p w:rsidR="008A36DF" w:rsidP="008A36DF" w:rsidRDefault="008A36DF" w14:paraId="3AA64D21" w14:textId="77777777">
      <w:r>
        <w:t xml:space="preserve"> </w:t>
      </w:r>
    </w:p>
    <w:p w:rsidR="008A36DF" w:rsidP="008A36DF" w:rsidRDefault="008A36DF" w14:paraId="18E9B8B1" w14:textId="77777777">
      <w:r>
        <w:t xml:space="preserve">De aanpak van grensoverschrijdende georganiseerde criminaliteit is een prioriteit in onze samenwerking met Latijns-Amerika en de Caribische regio. Daartoe zet Nederland in op de versterking van bilaterale en multilaterale samenwerking op het gebied van justitie en veiligheid. Nederland is sinds 2023 lid van de Europese kopgroep van EL PACCTO, een EU-programma gericht op de aanpak van georganiseerde criminaliteit in Latijns-Amerika en de Caribische regio. Nederland brengt initiatieven als EL PACCTO onder de aandacht bij andere lidstaten. Leidend voor onze inzet is de </w:t>
      </w:r>
      <w:proofErr w:type="spellStart"/>
      <w:r>
        <w:t>Rijksbrede</w:t>
      </w:r>
      <w:proofErr w:type="spellEnd"/>
      <w:r>
        <w:t xml:space="preserve"> ondermijningsagenda, die is opgezet om te coördineren met alle relevante binnenlandse partijen. In EU-(handels)partnerschappen kunnen afspraken over thema’s als veiligheid en justitie worden opgenomen. Zo omvat het politieke deel van het EU-</w:t>
      </w:r>
      <w:proofErr w:type="spellStart"/>
      <w:r>
        <w:t>Mercosur</w:t>
      </w:r>
      <w:proofErr w:type="spellEnd"/>
      <w:r>
        <w:t xml:space="preserve"> akkoord, dat op 17 januari jl. is ondertekend tussen de EU en Brazilië, Argentinië, Uruguay en Paraguay, afspraken over intensievere samenwerking bij het tegengaan van onder meer mensensmokkel, illegale wapensmokkel, drugssmokkel, cybercrime en andere vormen van georganiseerde criminaliteit. Er zijn ook afspraken over het tegengaan van corruptie, witwassen en terrorismefinanciering.</w:t>
      </w:r>
    </w:p>
    <w:p w:rsidR="008A36DF" w:rsidP="008A36DF" w:rsidRDefault="008A36DF" w14:paraId="595F1FA3" w14:textId="77777777">
      <w:r>
        <w:t xml:space="preserve"> </w:t>
      </w:r>
    </w:p>
    <w:p w:rsidRPr="00880417" w:rsidR="008A36DF" w:rsidP="008A36DF" w:rsidRDefault="008A36DF" w14:paraId="314D990A" w14:textId="77777777">
      <w:r>
        <w:t>Hiermee doe ik de motie af.</w:t>
      </w:r>
    </w:p>
    <w:p w:rsidRPr="00361E1F" w:rsidR="008A36DF" w:rsidP="00CD63E2" w:rsidRDefault="008A36DF" w14:paraId="2BF6542E" w14:textId="77777777">
      <w:pPr>
        <w:rPr>
          <w:bCs/>
          <w:iCs/>
          <w:color w:val="auto"/>
        </w:rPr>
      </w:pPr>
    </w:p>
    <w:p w:rsidRPr="00361E1F" w:rsidR="009E3F36" w:rsidP="001810C7" w:rsidRDefault="009E3F36" w14:paraId="712832D6" w14:textId="77777777">
      <w:pPr>
        <w:rPr>
          <w:bCs/>
          <w:iCs/>
          <w:color w:val="auto"/>
        </w:rPr>
      </w:pPr>
    </w:p>
    <w:p w:rsidRPr="00361E1F" w:rsidR="009E3F36" w:rsidP="001810C7" w:rsidRDefault="009E3F36" w14:paraId="4BB3FF89" w14:textId="096EB418">
      <w:pPr>
        <w:pStyle w:val="Lijstalinea"/>
        <w:numPr>
          <w:ilvl w:val="0"/>
          <w:numId w:val="14"/>
        </w:numPr>
        <w:rPr>
          <w:b/>
          <w:iCs/>
        </w:rPr>
      </w:pPr>
      <w:r w:rsidRPr="00361E1F">
        <w:rPr>
          <w:b/>
          <w:iCs/>
        </w:rPr>
        <w:t xml:space="preserve">Brede </w:t>
      </w:r>
      <w:r w:rsidR="008A36DF">
        <w:rPr>
          <w:b/>
          <w:iCs/>
        </w:rPr>
        <w:t>maatschappelijke</w:t>
      </w:r>
      <w:r w:rsidRPr="00361E1F">
        <w:rPr>
          <w:b/>
          <w:iCs/>
        </w:rPr>
        <w:t xml:space="preserve"> aanpak</w:t>
      </w:r>
    </w:p>
    <w:p w:rsidRPr="00361E1F" w:rsidR="009E3F36" w:rsidP="001810C7" w:rsidRDefault="009E3F36" w14:paraId="535F0B34" w14:textId="511612A8">
      <w:pPr>
        <w:numPr>
          <w:ilvl w:val="1"/>
          <w:numId w:val="14"/>
        </w:numPr>
        <w:rPr>
          <w:bCs/>
          <w:i/>
          <w:iCs/>
          <w:color w:val="auto"/>
        </w:rPr>
      </w:pPr>
      <w:r w:rsidRPr="00361E1F">
        <w:rPr>
          <w:bCs/>
          <w:i/>
          <w:iCs/>
          <w:color w:val="auto"/>
        </w:rPr>
        <w:t xml:space="preserve">Toezegging: de minister zegt de Tweede Kamer toe om ergens dit jaar samen met de collega’s van Financiën en Economische Zaken in gesprek te gaan met notarissen en andere betrokkenen over wat de meest effectieve manier is om te komen tot centrale registratie van aandelen. Centrale registratie van aandelen in besloten vennootschappen kan een nuttig hulpmiddel zijn voor de notaris, aangezien de notaris een wettelijke rol heeft bij de oprichting van besloten vennootschappen en bij de overdracht van aandelen op naam. De leden van de Tweede Kamer zullen over de uitkomst van het gesprek schriftelijk worden geïnformeerd. </w:t>
      </w:r>
    </w:p>
    <w:p w:rsidRPr="00361E1F" w:rsidR="001D331C" w:rsidP="001D331C" w:rsidRDefault="001D331C" w14:paraId="241C1B80" w14:textId="77777777">
      <w:pPr>
        <w:rPr>
          <w:bCs/>
          <w:color w:val="auto"/>
        </w:rPr>
      </w:pPr>
    </w:p>
    <w:p w:rsidRPr="00361E1F" w:rsidR="001D331C" w:rsidP="001D331C" w:rsidRDefault="001D331C" w14:paraId="162B2914" w14:textId="27819E43">
      <w:pPr>
        <w:rPr>
          <w:bCs/>
          <w:color w:val="auto"/>
        </w:rPr>
      </w:pPr>
      <w:r w:rsidRPr="00361E1F">
        <w:rPr>
          <w:bCs/>
          <w:color w:val="auto"/>
        </w:rPr>
        <w:lastRenderedPageBreak/>
        <w:t xml:space="preserve">De minister heeft </w:t>
      </w:r>
      <w:r w:rsidRPr="00361E1F" w:rsidR="004E6CB9">
        <w:rPr>
          <w:bCs/>
          <w:color w:val="auto"/>
        </w:rPr>
        <w:t xml:space="preserve">toegezegd </w:t>
      </w:r>
      <w:r w:rsidR="00E11A74">
        <w:rPr>
          <w:bCs/>
          <w:color w:val="auto"/>
        </w:rPr>
        <w:t xml:space="preserve">de Tweede </w:t>
      </w:r>
      <w:r w:rsidRPr="00361E1F" w:rsidR="004E6CB9">
        <w:rPr>
          <w:bCs/>
          <w:color w:val="auto"/>
        </w:rPr>
        <w:t>kamer te informeren over de uitkomsten van het gesprek dat hij samen met de collega’s van Financiën en Economische Zaken zal voeren met notarissen en andere betrokkenen over wat de meest effectieve manier is om te komen tot centrale registratie van aandelen.</w:t>
      </w:r>
    </w:p>
    <w:p w:rsidRPr="00361E1F" w:rsidR="00F71D4B" w:rsidP="001D331C" w:rsidRDefault="00F71D4B" w14:paraId="2F8822AB" w14:textId="77777777">
      <w:pPr>
        <w:rPr>
          <w:bCs/>
          <w:color w:val="auto"/>
        </w:rPr>
      </w:pPr>
    </w:p>
    <w:p w:rsidR="00444843" w:rsidP="001D331C" w:rsidRDefault="00F71D4B" w14:paraId="587B562C" w14:textId="4327CB52">
      <w:pPr>
        <w:rPr>
          <w:bCs/>
          <w:color w:val="auto"/>
        </w:rPr>
      </w:pPr>
      <w:r w:rsidRPr="00361E1F">
        <w:rPr>
          <w:bCs/>
          <w:color w:val="auto"/>
        </w:rPr>
        <w:t>Ik heb mij met de ministeries van Financiën</w:t>
      </w:r>
      <w:r w:rsidR="009550F5">
        <w:rPr>
          <w:bCs/>
          <w:color w:val="auto"/>
        </w:rPr>
        <w:t xml:space="preserve"> (Fin)</w:t>
      </w:r>
      <w:r w:rsidRPr="00361E1F">
        <w:rPr>
          <w:bCs/>
          <w:color w:val="auto"/>
        </w:rPr>
        <w:t xml:space="preserve"> en Economische Zaken en Klimaat</w:t>
      </w:r>
      <w:r w:rsidR="009550F5">
        <w:rPr>
          <w:bCs/>
          <w:color w:val="auto"/>
        </w:rPr>
        <w:t xml:space="preserve"> (EZK)</w:t>
      </w:r>
      <w:r w:rsidRPr="00361E1F">
        <w:rPr>
          <w:bCs/>
          <w:color w:val="auto"/>
        </w:rPr>
        <w:t xml:space="preserve"> door de Koninklijke Nederlandse Beroepsorganisatie (KNB) laten informeren door hun wensen. De Kamer van Koophandel heeft ons geïnformeerd over relevante Europese ontwikkelingen, bijvoorbeeld rondom het UBO-register. In het licht van die Europese ontwikkelingen acht ik het momenteel niet opportuun om vanuit het kabinet aanvullende nationale regels op te stellen. Het instellen van een centraal aandeelhoudersregister acht ik ook moeilijk verenigbaar met het voornemen in het coalitieakkoord om regels te schrappen en te vereenvoudigen, en om ondernemers de ruimte te geven. Wanneer de behandeling van de initiatiefwet voor het Centraal Aandeelhoudersregister door uw Kamer hervat wordt, zal het kabinet zoals gebruikelijk een appreciatie geven zodra dat aan de orde is. </w:t>
      </w:r>
    </w:p>
    <w:p w:rsidR="00444843" w:rsidP="001D331C" w:rsidRDefault="00444843" w14:paraId="0975F3DE" w14:textId="77777777">
      <w:pPr>
        <w:rPr>
          <w:bCs/>
          <w:color w:val="auto"/>
        </w:rPr>
      </w:pPr>
    </w:p>
    <w:p w:rsidRPr="00361E1F" w:rsidR="00F71D4B" w:rsidP="001D331C" w:rsidRDefault="007F159F" w14:paraId="5D72094F" w14:textId="5EAF8271">
      <w:pPr>
        <w:rPr>
          <w:bCs/>
          <w:color w:val="auto"/>
        </w:rPr>
      </w:pPr>
      <w:r>
        <w:rPr>
          <w:bCs/>
          <w:color w:val="auto"/>
        </w:rPr>
        <w:t>Hiermee doe ik de motie af.</w:t>
      </w:r>
    </w:p>
    <w:p w:rsidRPr="00361E1F" w:rsidR="009E3F36" w:rsidP="001810C7" w:rsidRDefault="009E3F36" w14:paraId="7CBEB2CC" w14:textId="77777777">
      <w:pPr>
        <w:rPr>
          <w:bCs/>
          <w:color w:val="auto"/>
        </w:rPr>
      </w:pPr>
    </w:p>
    <w:p w:rsidRPr="00361E1F" w:rsidR="009E3F36" w:rsidP="001810C7" w:rsidRDefault="009E3F36" w14:paraId="003D9AF8" w14:textId="2049FA5A">
      <w:pPr>
        <w:numPr>
          <w:ilvl w:val="1"/>
          <w:numId w:val="14"/>
        </w:numPr>
        <w:rPr>
          <w:bCs/>
          <w:i/>
          <w:iCs/>
          <w:color w:val="auto"/>
        </w:rPr>
      </w:pPr>
      <w:r w:rsidRPr="00361E1F">
        <w:rPr>
          <w:bCs/>
          <w:i/>
          <w:iCs/>
          <w:color w:val="auto"/>
        </w:rPr>
        <w:t xml:space="preserve">Toezegging: de minister zegt toe dat één jaar na inwerkingtreding een invoeringstoets zal plaatsvinden m.b.t. de onderdelen van de wet Ondermijning II. </w:t>
      </w:r>
    </w:p>
    <w:p w:rsidRPr="00361E1F" w:rsidR="006E7BC6" w:rsidP="006E7BC6" w:rsidRDefault="006E7BC6" w14:paraId="330D48BE" w14:textId="77777777">
      <w:pPr>
        <w:rPr>
          <w:bCs/>
          <w:i/>
          <w:iCs/>
          <w:color w:val="auto"/>
        </w:rPr>
      </w:pPr>
    </w:p>
    <w:p w:rsidRPr="00361E1F" w:rsidR="006E7BC6" w:rsidP="006E7BC6" w:rsidRDefault="006E7BC6" w14:paraId="6B000B1E" w14:textId="239FEB19">
      <w:pPr>
        <w:rPr>
          <w:bCs/>
          <w:color w:val="auto"/>
        </w:rPr>
      </w:pPr>
      <w:r w:rsidRPr="00361E1F">
        <w:rPr>
          <w:bCs/>
          <w:color w:val="auto"/>
        </w:rPr>
        <w:t>De minister heeft toegezegd dat er één jaar na inwerkingtreding een invoeringstoets zal plaatsvinden m.b.t. de onderdelen van de wet Ondermijning II.</w:t>
      </w:r>
    </w:p>
    <w:p w:rsidRPr="00361E1F" w:rsidR="00570BEE" w:rsidP="006E7BC6" w:rsidRDefault="00570BEE" w14:paraId="68029AB5" w14:textId="77777777">
      <w:pPr>
        <w:rPr>
          <w:bCs/>
          <w:color w:val="auto"/>
        </w:rPr>
      </w:pPr>
    </w:p>
    <w:p w:rsidRPr="00361E1F" w:rsidR="00570BEE" w:rsidP="00570BEE" w:rsidRDefault="00570BEE" w14:paraId="4C9DB358" w14:textId="77777777">
      <w:pPr>
        <w:rPr>
          <w:bCs/>
          <w:color w:val="auto"/>
        </w:rPr>
      </w:pPr>
      <w:r w:rsidRPr="00361E1F">
        <w:rPr>
          <w:bCs/>
          <w:color w:val="auto"/>
        </w:rPr>
        <w:t xml:space="preserve">De Wet Ondermijning II is voor het grootste deel in werking getreden op 1 januari 2026. Het overige deel treedt per 1 juli a.s. in werking. Een jaar nadat alle onderdelen van de wet in werking zijn getreden zal de invoeringstoets plaatvinden waarbij wordt gekeken naar de werking van Wet Ondermijning II in de praktijk. De Kamer wordt hierover geïnformeerd. </w:t>
      </w:r>
    </w:p>
    <w:p w:rsidRPr="00361E1F" w:rsidR="00570BEE" w:rsidP="00570BEE" w:rsidRDefault="00570BEE" w14:paraId="58F60E7C" w14:textId="77777777">
      <w:pPr>
        <w:rPr>
          <w:bCs/>
          <w:color w:val="auto"/>
        </w:rPr>
      </w:pPr>
    </w:p>
    <w:p w:rsidRPr="00361E1F" w:rsidR="00570BEE" w:rsidP="00570BEE" w:rsidRDefault="00570BEE" w14:paraId="649549CB" w14:textId="72968AE1">
      <w:pPr>
        <w:rPr>
          <w:bCs/>
          <w:color w:val="auto"/>
        </w:rPr>
      </w:pPr>
      <w:r w:rsidRPr="00361E1F">
        <w:rPr>
          <w:bCs/>
          <w:color w:val="auto"/>
        </w:rPr>
        <w:t>Hiermee doe ik de toezegging af.</w:t>
      </w:r>
    </w:p>
    <w:p w:rsidRPr="00361E1F" w:rsidR="009E3F36" w:rsidP="001810C7" w:rsidRDefault="009E3F36" w14:paraId="1EB8E762" w14:textId="77777777">
      <w:pPr>
        <w:rPr>
          <w:bCs/>
          <w:color w:val="auto"/>
        </w:rPr>
      </w:pPr>
    </w:p>
    <w:p w:rsidRPr="00361E1F" w:rsidR="009E3F36" w:rsidP="001810C7" w:rsidRDefault="009E3F36" w14:paraId="566EBDBC" w14:textId="77777777">
      <w:pPr>
        <w:numPr>
          <w:ilvl w:val="1"/>
          <w:numId w:val="14"/>
        </w:numPr>
        <w:rPr>
          <w:bCs/>
          <w:i/>
          <w:iCs/>
          <w:color w:val="auto"/>
        </w:rPr>
      </w:pPr>
      <w:r w:rsidRPr="00361E1F">
        <w:rPr>
          <w:bCs/>
          <w:i/>
          <w:iCs/>
          <w:color w:val="auto"/>
        </w:rPr>
        <w:t>Motie van het lid Krul (CDA) c.s. over onderzoeken op welke manier designerdrugs aanbiedende sites uit de lucht gehaald kunnen worden. Kamerstukken II, 2023/24, 36 159, nr. 15.</w:t>
      </w:r>
    </w:p>
    <w:p w:rsidRPr="00361E1F" w:rsidR="006E7BC6" w:rsidP="006E7BC6" w:rsidRDefault="006E7BC6" w14:paraId="43ADD7BA" w14:textId="77777777">
      <w:pPr>
        <w:rPr>
          <w:bCs/>
          <w:i/>
          <w:iCs/>
          <w:color w:val="auto"/>
        </w:rPr>
      </w:pPr>
    </w:p>
    <w:p w:rsidRPr="00361E1F" w:rsidR="009E3F36" w:rsidP="001810C7" w:rsidRDefault="006E7BC6" w14:paraId="7B0C72AB" w14:textId="771CCDCF">
      <w:pPr>
        <w:rPr>
          <w:bCs/>
          <w:color w:val="auto"/>
        </w:rPr>
      </w:pPr>
      <w:r w:rsidRPr="00361E1F">
        <w:rPr>
          <w:bCs/>
          <w:color w:val="auto"/>
        </w:rPr>
        <w:t xml:space="preserve">De motie verzoekt de regering in kaart te brengen op welke schaal online - drugs </w:t>
      </w:r>
      <w:proofErr w:type="spellStart"/>
      <w:r w:rsidRPr="00361E1F">
        <w:rPr>
          <w:bCs/>
          <w:color w:val="auto"/>
        </w:rPr>
        <w:t>funshops</w:t>
      </w:r>
      <w:proofErr w:type="spellEnd"/>
      <w:r w:rsidRPr="00361E1F">
        <w:rPr>
          <w:bCs/>
          <w:color w:val="auto"/>
        </w:rPr>
        <w:t xml:space="preserve"> - designerdrugs aanbieden en welke voorwaarden deze onlineshops stellen aan de verkoop van deze middelen aan de klanten</w:t>
      </w:r>
      <w:r w:rsidR="00046664">
        <w:rPr>
          <w:bCs/>
          <w:color w:val="auto"/>
        </w:rPr>
        <w:t>. Daarnaast</w:t>
      </w:r>
      <w:r w:rsidRPr="00361E1F">
        <w:rPr>
          <w:bCs/>
          <w:color w:val="auto"/>
        </w:rPr>
        <w:t xml:space="preserve"> verzoekt </w:t>
      </w:r>
      <w:r w:rsidR="00046664">
        <w:rPr>
          <w:bCs/>
          <w:color w:val="auto"/>
        </w:rPr>
        <w:t xml:space="preserve">de motie </w:t>
      </w:r>
      <w:r w:rsidRPr="00361E1F">
        <w:rPr>
          <w:bCs/>
          <w:color w:val="auto"/>
        </w:rPr>
        <w:t>de regering te onderzoeken op welke manier deze sites zo snel mogelijk uit de lucht kunnen worden gehaald en het criminele netwerk achter de productie van deze drugs opgerold kan worden.</w:t>
      </w:r>
    </w:p>
    <w:p w:rsidRPr="00361E1F" w:rsidR="00806663" w:rsidP="001810C7" w:rsidRDefault="00806663" w14:paraId="647276B4" w14:textId="77777777">
      <w:pPr>
        <w:rPr>
          <w:bCs/>
          <w:color w:val="auto"/>
        </w:rPr>
      </w:pPr>
    </w:p>
    <w:p w:rsidRPr="00361E1F" w:rsidR="004A6A30" w:rsidP="00E97281" w:rsidRDefault="00644E6F" w14:paraId="3F7594D0" w14:textId="4B93E04F">
      <w:r w:rsidRPr="00361E1F">
        <w:t xml:space="preserve">De website </w:t>
      </w:r>
      <w:proofErr w:type="spellStart"/>
      <w:r w:rsidRPr="00361E1F">
        <w:t>Funcaps</w:t>
      </w:r>
      <w:proofErr w:type="spellEnd"/>
      <w:r w:rsidRPr="00361E1F">
        <w:t xml:space="preserve"> is offline gehaald door de </w:t>
      </w:r>
      <w:r w:rsidRPr="00361E1F" w:rsidR="00EB0BFD">
        <w:t>serviceprovider</w:t>
      </w:r>
      <w:r w:rsidRPr="00361E1F">
        <w:t xml:space="preserve"> op aangeven van de Inlichtingen en Opsporingsdienst van de Nederlandse </w:t>
      </w:r>
      <w:r w:rsidRPr="00361E1F" w:rsidR="00EB0BFD">
        <w:t>Voedsel-</w:t>
      </w:r>
      <w:r w:rsidRPr="00361E1F">
        <w:t xml:space="preserve"> en Warenautoriteit (NVWA-IOD). Andere vergelijkbare websites zijn naar aanleiding van de publiciteit offline gegaan of hebben hun aanbod aangepast. Daarnaast heeft de </w:t>
      </w:r>
      <w:r w:rsidR="009550F5">
        <w:t>Inspectie Gezondheidszorg en Jeugd (</w:t>
      </w:r>
      <w:r w:rsidRPr="00361E1F">
        <w:t>IGJ</w:t>
      </w:r>
      <w:r w:rsidR="009550F5">
        <w:t>)</w:t>
      </w:r>
      <w:r w:rsidRPr="00361E1F">
        <w:t xml:space="preserve"> in </w:t>
      </w:r>
      <w:r w:rsidRPr="00E97281" w:rsidR="00E97281">
        <w:t xml:space="preserve">de periode van november 2025 tot en met februari 2026 onderzoek gedaan naar websites die (designer) drugs </w:t>
      </w:r>
      <w:r w:rsidR="009550F5">
        <w:t>c.q.</w:t>
      </w:r>
      <w:r w:rsidRPr="00E97281" w:rsidR="00E97281">
        <w:t xml:space="preserve"> illegale (namaak)geneesmiddelen verkochten. Deze </w:t>
      </w:r>
      <w:r w:rsidR="009550F5">
        <w:t>web</w:t>
      </w:r>
      <w:r w:rsidRPr="00E97281" w:rsidR="00E97281">
        <w:t>sites kwamen naar voren uit onderzoek van de NVWA. De toezichthouders beoordeelden het aanbod op basis van de Geneesmiddelenwet, de Opiumwet en de Warenwet. Door de samenwerking konden NVWA en IGJ de 43 websites die verboden middelen aanboden snel traceren en laten blokkeren. Naar enkele aanbieders is het onderzoek nog gaande.</w:t>
      </w:r>
    </w:p>
    <w:p w:rsidRPr="00361E1F" w:rsidR="004A6A30" w:rsidP="00644E6F" w:rsidRDefault="004A6A30" w14:paraId="0FB54E5F" w14:textId="77777777">
      <w:pPr>
        <w:rPr>
          <w:bCs/>
          <w:color w:val="auto"/>
        </w:rPr>
      </w:pPr>
    </w:p>
    <w:p w:rsidRPr="00361E1F" w:rsidR="00644E6F" w:rsidP="00644E6F" w:rsidRDefault="00644E6F" w14:paraId="46098A20" w14:textId="20A96C28">
      <w:pPr>
        <w:rPr>
          <w:bCs/>
          <w:color w:val="auto"/>
        </w:rPr>
      </w:pPr>
      <w:r w:rsidRPr="00361E1F">
        <w:rPr>
          <w:bCs/>
          <w:color w:val="auto"/>
        </w:rPr>
        <w:t xml:space="preserve">Het is wel van belang om op te merken dat </w:t>
      </w:r>
      <w:r w:rsidRPr="00361E1F" w:rsidR="00EB0BFD">
        <w:rPr>
          <w:bCs/>
          <w:color w:val="auto"/>
        </w:rPr>
        <w:t>websites overal</w:t>
      </w:r>
      <w:r w:rsidRPr="00361E1F">
        <w:rPr>
          <w:bCs/>
          <w:color w:val="auto"/>
        </w:rPr>
        <w:t xml:space="preserve"> ter wereld kunnen worden gehost. Dit betekent dat er</w:t>
      </w:r>
      <w:r w:rsidR="009550F5">
        <w:rPr>
          <w:bCs/>
          <w:color w:val="auto"/>
        </w:rPr>
        <w:t xml:space="preserve">, </w:t>
      </w:r>
      <w:r w:rsidRPr="00361E1F">
        <w:rPr>
          <w:bCs/>
          <w:color w:val="auto"/>
        </w:rPr>
        <w:t>wanneer dit landen betreft waar Nederland geen samenwerking mee kent of wanneer hosting bedrijven als verdienmodel niet mee werken</w:t>
      </w:r>
      <w:r w:rsidR="009550F5">
        <w:rPr>
          <w:bCs/>
          <w:color w:val="auto"/>
        </w:rPr>
        <w:t xml:space="preserve">, </w:t>
      </w:r>
      <w:r w:rsidRPr="00361E1F">
        <w:rPr>
          <w:bCs/>
          <w:color w:val="auto"/>
        </w:rPr>
        <w:t>niet in alle gevallen mogelijkheden zijn om websites uit de lucht te halen. Het offline halen van websites is een kat-en-muisspel en ondanks handhaving, blijft het illegale aanbod groot.</w:t>
      </w:r>
    </w:p>
    <w:p w:rsidRPr="00361E1F" w:rsidR="004A6A30" w:rsidP="00644E6F" w:rsidRDefault="004A6A30" w14:paraId="31415359" w14:textId="77777777">
      <w:pPr>
        <w:rPr>
          <w:bCs/>
          <w:color w:val="auto"/>
        </w:rPr>
      </w:pPr>
    </w:p>
    <w:p w:rsidRPr="00361E1F" w:rsidR="00644E6F" w:rsidP="00E97281" w:rsidRDefault="00644E6F" w14:paraId="7704CBF5" w14:textId="2DDAE371">
      <w:r w:rsidRPr="00361E1F">
        <w:lastRenderedPageBreak/>
        <w:t xml:space="preserve">Websites van bedrijven als </w:t>
      </w:r>
      <w:proofErr w:type="spellStart"/>
      <w:r w:rsidRPr="00361E1F">
        <w:t>Funcaps</w:t>
      </w:r>
      <w:proofErr w:type="spellEnd"/>
      <w:r w:rsidRPr="00361E1F">
        <w:t xml:space="preserve"> proberen de Opiumwet, Geneesmiddelenwet en </w:t>
      </w:r>
      <w:r w:rsidRPr="00361E1F" w:rsidR="00EB0BFD">
        <w:t>Warenwet te</w:t>
      </w:r>
      <w:r w:rsidRPr="00361E1F">
        <w:t xml:space="preserve"> omzeilen door het gebruik van de termen als ‘voor onderzoeksdoeleinden’ of ‘niet voor menselijke consumptie’. Het kabinet vindt dit zeer ongewenst, o.a. gezien de mogelijke gezondheidsrisico’s die het gebruik van dit soort middelen met zich meebrengt. Daarom zijn wij bezig om, samen met alle betrokken operationele partijen, in kaart brengen met welke problemen we hier te maken hebben en welke interventies daarbij passen. Uw Kamer wordt hier </w:t>
      </w:r>
      <w:r w:rsidR="00E97281">
        <w:t xml:space="preserve">naar verwachting voor de zomer </w:t>
      </w:r>
      <w:r w:rsidRPr="00361E1F">
        <w:t xml:space="preserve">over geïnformeerd. </w:t>
      </w:r>
    </w:p>
    <w:p w:rsidRPr="00361E1F" w:rsidR="00644E6F" w:rsidP="001810C7" w:rsidRDefault="00644E6F" w14:paraId="76B2D7B1" w14:textId="77777777">
      <w:pPr>
        <w:rPr>
          <w:bCs/>
          <w:color w:val="auto"/>
        </w:rPr>
      </w:pPr>
    </w:p>
    <w:p w:rsidRPr="00361E1F" w:rsidR="009E3F36" w:rsidP="001810C7" w:rsidRDefault="009E3F36" w14:paraId="7171C47D" w14:textId="77777777">
      <w:pPr>
        <w:numPr>
          <w:ilvl w:val="1"/>
          <w:numId w:val="14"/>
        </w:numPr>
        <w:rPr>
          <w:bCs/>
          <w:i/>
          <w:color w:val="auto"/>
        </w:rPr>
      </w:pPr>
      <w:r w:rsidRPr="00361E1F">
        <w:rPr>
          <w:bCs/>
          <w:i/>
          <w:color w:val="auto"/>
        </w:rPr>
        <w:t xml:space="preserve">Motie van het lid </w:t>
      </w:r>
      <w:proofErr w:type="spellStart"/>
      <w:r w:rsidRPr="00361E1F">
        <w:rPr>
          <w:bCs/>
          <w:i/>
          <w:color w:val="auto"/>
        </w:rPr>
        <w:t>Mutluer</w:t>
      </w:r>
      <w:proofErr w:type="spellEnd"/>
      <w:r w:rsidRPr="00361E1F">
        <w:rPr>
          <w:bCs/>
          <w:i/>
          <w:color w:val="auto"/>
        </w:rPr>
        <w:t xml:space="preserve"> (GL-PvdA) over een jaarlijkse rapportage over beroepsverboden. Kamerstukken II 2025/26, 36 463, nr. 16.</w:t>
      </w:r>
    </w:p>
    <w:p w:rsidRPr="00361E1F" w:rsidR="00447242" w:rsidP="00447242" w:rsidRDefault="00447242" w14:paraId="0C03C2D7" w14:textId="77777777">
      <w:pPr>
        <w:rPr>
          <w:bCs/>
          <w:i/>
          <w:color w:val="auto"/>
        </w:rPr>
      </w:pPr>
    </w:p>
    <w:p w:rsidR="00447242" w:rsidP="00447242" w:rsidRDefault="00447242" w14:paraId="3F0530C9" w14:textId="1860DBC1">
      <w:pPr>
        <w:rPr>
          <w:bCs/>
          <w:iCs/>
          <w:color w:val="auto"/>
        </w:rPr>
      </w:pPr>
      <w:r w:rsidRPr="00361E1F">
        <w:rPr>
          <w:bCs/>
          <w:iCs/>
          <w:color w:val="auto"/>
        </w:rPr>
        <w:t>De motie</w:t>
      </w:r>
      <w:r w:rsidRPr="00361E1F">
        <w:rPr>
          <w:color w:val="auto"/>
        </w:rPr>
        <w:t xml:space="preserve"> </w:t>
      </w:r>
      <w:r w:rsidRPr="00361E1F">
        <w:rPr>
          <w:bCs/>
          <w:iCs/>
          <w:color w:val="auto"/>
        </w:rPr>
        <w:t>verzoekt de regering jaarlijks aan de Kamer te rapporteren hoeveel beroepsverboden zijn opgelegd, op welke wijze toezicht op de naleving plaatsvindt, wat de effectiviteit hiervan is en op welke wijze deze naleving kan worden geoptimaliseerd.</w:t>
      </w:r>
    </w:p>
    <w:p w:rsidR="00003DA7" w:rsidP="00447242" w:rsidRDefault="00003DA7" w14:paraId="4990C4EB" w14:textId="77777777">
      <w:pPr>
        <w:rPr>
          <w:bCs/>
          <w:iCs/>
          <w:color w:val="auto"/>
        </w:rPr>
      </w:pPr>
    </w:p>
    <w:p w:rsidR="00003DA7" w:rsidP="00003DA7" w:rsidRDefault="00003DA7" w14:paraId="32AE3A9F" w14:textId="77777777">
      <w:pPr>
        <w:rPr>
          <w:bCs/>
          <w:iCs/>
          <w:color w:val="auto"/>
        </w:rPr>
      </w:pPr>
      <w:r w:rsidRPr="00003DA7">
        <w:rPr>
          <w:bCs/>
          <w:iCs/>
          <w:color w:val="auto"/>
        </w:rPr>
        <w:t xml:space="preserve">In de jaren 2020 tot en met 2025 (tot heden) zijn respectievelijk de volgende aantallen beroepsverboden opgelegd: 45, 45, 40, 45, 60 en 30. </w:t>
      </w:r>
    </w:p>
    <w:p w:rsidRPr="00003DA7" w:rsidR="00003DA7" w:rsidP="00003DA7" w:rsidRDefault="00003DA7" w14:paraId="72B63100" w14:textId="77777777">
      <w:pPr>
        <w:rPr>
          <w:bCs/>
          <w:iCs/>
          <w:color w:val="auto"/>
        </w:rPr>
      </w:pPr>
    </w:p>
    <w:p w:rsidR="00003DA7" w:rsidP="00003DA7" w:rsidRDefault="00003DA7" w14:paraId="610BB21D" w14:textId="77777777">
      <w:pPr>
        <w:rPr>
          <w:bCs/>
          <w:iCs/>
          <w:color w:val="auto"/>
        </w:rPr>
      </w:pPr>
      <w:r w:rsidRPr="00003DA7">
        <w:rPr>
          <w:bCs/>
          <w:iCs/>
          <w:color w:val="auto"/>
        </w:rPr>
        <w:t xml:space="preserve">Met de Wet versterking strafrechtelijke aanpak ondermijnende criminaliteit II (Stb. 2025, 333) is de groep strafbare feiten uitgebreid, waarbij ontzetting uit het recht tot het uitoefenen van een beroep bij veroordeling mogelijk is. Zo kan voor ernstige strafbare feiten waarvan een ondermijnend effect op de samenleving uitgaat, de ontzetting van onder meer de uitoefening van het beroep waarin het misdrijf is gepleegd, worden opgelegd. Kortheidshalve wordt in deze brief naar deze bijkomende straf verwezen als een beroepsverbod. Een beroepsverbod is enkel op te leggen in de gevallen waarin het strafbare feit is gepleegd in de uitoefening van dat ambt of beroep. </w:t>
      </w:r>
    </w:p>
    <w:p w:rsidR="00003DA7" w:rsidP="00003DA7" w:rsidRDefault="00003DA7" w14:paraId="18BCDFE6" w14:textId="640E07CD">
      <w:pPr>
        <w:rPr>
          <w:bCs/>
          <w:iCs/>
          <w:color w:val="auto"/>
        </w:rPr>
      </w:pPr>
      <w:r w:rsidRPr="00003DA7">
        <w:rPr>
          <w:bCs/>
          <w:iCs/>
          <w:color w:val="auto"/>
        </w:rPr>
        <w:t>De veroordeelde is verplicht om zich aan het opgelegde beroepsverbod te houden. Het niet naleven daarvan is strafbaar. De rechter kan daarvoor een gevangenisstraf opleggen van maximaal zes maanden (ar</w:t>
      </w:r>
      <w:r w:rsidR="009550F5">
        <w:rPr>
          <w:bCs/>
          <w:iCs/>
          <w:color w:val="auto"/>
        </w:rPr>
        <w:t>t.</w:t>
      </w:r>
      <w:r w:rsidRPr="00003DA7">
        <w:rPr>
          <w:bCs/>
          <w:iCs/>
          <w:color w:val="auto"/>
        </w:rPr>
        <w:t xml:space="preserve"> 195 Sr).</w:t>
      </w:r>
    </w:p>
    <w:p w:rsidRPr="00003DA7" w:rsidR="00003DA7" w:rsidP="00003DA7" w:rsidRDefault="00003DA7" w14:paraId="559FD924" w14:textId="77777777">
      <w:pPr>
        <w:rPr>
          <w:bCs/>
          <w:iCs/>
          <w:color w:val="auto"/>
        </w:rPr>
      </w:pPr>
    </w:p>
    <w:p w:rsidR="00003DA7" w:rsidP="00003DA7" w:rsidRDefault="00003DA7" w14:paraId="20E63A79" w14:textId="77777777">
      <w:pPr>
        <w:rPr>
          <w:bCs/>
          <w:iCs/>
          <w:color w:val="auto"/>
        </w:rPr>
      </w:pPr>
      <w:r w:rsidRPr="00003DA7">
        <w:rPr>
          <w:bCs/>
          <w:iCs/>
          <w:color w:val="auto"/>
        </w:rPr>
        <w:t xml:space="preserve">De Verklaring Omtrent het Gedrag (VOG) speelt een rol in het voorkomen dat personen met een rechterlijk beroepsverbod dat beroep toch uitoefenen. Opgelegde straffen worden geregistreerd in de justitiële documentatie. Dat geldt ook voor de bijkomende straf ontzetting uit rechten. Een VOG is een verklaring die laat zien dat iemands justitiële verleden geen bezwaar vormt voor een bepaalde baan of functie. De VOG is een momentopname en wordt door een werkgever verlangd voor een specifiek doel. Voor sommige sectoren en functies in kwetsbare sectoren is een VOG verplicht. Screeningsautoriteit </w:t>
      </w:r>
      <w:proofErr w:type="spellStart"/>
      <w:r w:rsidRPr="00003DA7">
        <w:rPr>
          <w:bCs/>
          <w:iCs/>
          <w:color w:val="auto"/>
        </w:rPr>
        <w:t>Justis</w:t>
      </w:r>
      <w:proofErr w:type="spellEnd"/>
      <w:r w:rsidRPr="00003DA7">
        <w:rPr>
          <w:bCs/>
          <w:iCs/>
          <w:color w:val="auto"/>
        </w:rPr>
        <w:t xml:space="preserve"> voert het onderzoek ten behoeve van de beoordeling van een aanvraag voor een VOG uit. Daartoe raadpleegt </w:t>
      </w:r>
      <w:proofErr w:type="spellStart"/>
      <w:r w:rsidRPr="00003DA7">
        <w:rPr>
          <w:bCs/>
          <w:iCs/>
          <w:color w:val="auto"/>
        </w:rPr>
        <w:t>Justis</w:t>
      </w:r>
      <w:proofErr w:type="spellEnd"/>
      <w:r w:rsidRPr="00003DA7">
        <w:rPr>
          <w:bCs/>
          <w:iCs/>
          <w:color w:val="auto"/>
        </w:rPr>
        <w:t xml:space="preserve"> het Justitieel Documentatie Systeem. Als een VOG wordt aangevraagd terwijl uit de justitiële documentatie blijkt dat de aanvrager gedurende de terugkijktermijn is ontzet uit het recht het betreffende ambt of beroep te vervullen, geeft </w:t>
      </w:r>
      <w:proofErr w:type="spellStart"/>
      <w:r w:rsidRPr="00003DA7">
        <w:rPr>
          <w:bCs/>
          <w:iCs/>
          <w:color w:val="auto"/>
        </w:rPr>
        <w:t>Justis</w:t>
      </w:r>
      <w:proofErr w:type="spellEnd"/>
      <w:r w:rsidRPr="00003DA7">
        <w:rPr>
          <w:bCs/>
          <w:iCs/>
          <w:color w:val="auto"/>
        </w:rPr>
        <w:t xml:space="preserve"> daarvoor geen VOG af. </w:t>
      </w:r>
    </w:p>
    <w:p w:rsidRPr="00003DA7" w:rsidR="00003DA7" w:rsidP="00003DA7" w:rsidRDefault="00003DA7" w14:paraId="4D97EF10" w14:textId="77777777">
      <w:pPr>
        <w:rPr>
          <w:bCs/>
          <w:iCs/>
          <w:color w:val="auto"/>
        </w:rPr>
      </w:pPr>
    </w:p>
    <w:p w:rsidR="00003DA7" w:rsidP="00003DA7" w:rsidRDefault="00003DA7" w14:paraId="3B5DE51C" w14:textId="65A91B9D">
      <w:pPr>
        <w:rPr>
          <w:bCs/>
          <w:iCs/>
          <w:color w:val="auto"/>
        </w:rPr>
      </w:pPr>
      <w:r w:rsidRPr="00003DA7">
        <w:rPr>
          <w:bCs/>
          <w:iCs/>
          <w:color w:val="auto"/>
        </w:rPr>
        <w:t>Daarnaast kan de rechter aan de reclassering opdracht geven om toezicht te houden op de naleving van de ontzetting uit het recht om bepaalde beroepen uit te oefenen (artikel 28, vierde lid, van het Wetboek van Strafrecht). Het C</w:t>
      </w:r>
      <w:r w:rsidR="009550F5">
        <w:rPr>
          <w:bCs/>
          <w:iCs/>
          <w:color w:val="auto"/>
        </w:rPr>
        <w:t>entraal Justitieel Incassobureau (CJIB)</w:t>
      </w:r>
      <w:r w:rsidRPr="00003DA7">
        <w:rPr>
          <w:bCs/>
          <w:iCs/>
          <w:color w:val="auto"/>
        </w:rPr>
        <w:t xml:space="preserve"> is namens de Minister voor Rechtsbescherming belast met de tenuitvoerlegging van strafrechtelijke beslissingen. In gevallen waarin de rechter de reclassering opdracht heeft gegeven toezicht te houden, wordt door het CJIB na ontvangst van de strafrechtelijke beslissing een opdracht tot tenuitvoerlegging verstrekt aan de reclassering met daarin de voor het toezicht benodigde tenuitvoerleggingsgegevens (art</w:t>
      </w:r>
      <w:r w:rsidR="009550F5">
        <w:rPr>
          <w:bCs/>
          <w:iCs/>
          <w:color w:val="auto"/>
        </w:rPr>
        <w:t>.</w:t>
      </w:r>
      <w:r w:rsidRPr="00003DA7">
        <w:rPr>
          <w:bCs/>
          <w:iCs/>
          <w:color w:val="auto"/>
        </w:rPr>
        <w:t xml:space="preserve"> 51c, tweede lid, onderdeel a, </w:t>
      </w:r>
      <w:proofErr w:type="spellStart"/>
      <w:r w:rsidRPr="00003DA7">
        <w:rPr>
          <w:bCs/>
          <w:iCs/>
          <w:color w:val="auto"/>
        </w:rPr>
        <w:t>Wjsg</w:t>
      </w:r>
      <w:proofErr w:type="spellEnd"/>
      <w:r w:rsidRPr="00003DA7">
        <w:rPr>
          <w:bCs/>
          <w:iCs/>
          <w:color w:val="auto"/>
        </w:rPr>
        <w:t xml:space="preserve">). Het CJIB is geen toezichthouder.  </w:t>
      </w:r>
    </w:p>
    <w:p w:rsidRPr="00003DA7" w:rsidR="00003DA7" w:rsidP="00003DA7" w:rsidRDefault="00003DA7" w14:paraId="5D43EEE8" w14:textId="77777777">
      <w:pPr>
        <w:rPr>
          <w:bCs/>
          <w:iCs/>
          <w:color w:val="auto"/>
        </w:rPr>
      </w:pPr>
    </w:p>
    <w:p w:rsidR="00003DA7" w:rsidP="00003DA7" w:rsidRDefault="00003DA7" w14:paraId="1C2B4302" w14:textId="2BC06A5A">
      <w:pPr>
        <w:rPr>
          <w:bCs/>
          <w:iCs/>
          <w:color w:val="auto"/>
        </w:rPr>
      </w:pPr>
      <w:r w:rsidRPr="00003DA7">
        <w:rPr>
          <w:bCs/>
          <w:iCs/>
          <w:color w:val="auto"/>
        </w:rPr>
        <w:t xml:space="preserve">Toezicht door de reclassering houdt in dat de reclassering de ontzetting uit het ambt of het beroep als aandachtspunt terug zal laten komen in het toezicht, bijvoorbeeld door de onder toezicht gestelde te bevragen naar de naleving ervan en gesprekken te voeren over diens (beoogde vormen van) dagbesteding. Dit is passend bij het doel van reclasseringstoezicht, namelijk het </w:t>
      </w:r>
      <w:r w:rsidRPr="00003DA7" w:rsidR="00EB0BFD">
        <w:rPr>
          <w:bCs/>
          <w:iCs/>
          <w:color w:val="auto"/>
        </w:rPr>
        <w:t>beperken van</w:t>
      </w:r>
      <w:r w:rsidRPr="00003DA7">
        <w:rPr>
          <w:bCs/>
          <w:iCs/>
          <w:color w:val="auto"/>
        </w:rPr>
        <w:t xml:space="preserve"> de risico’s op recidive door een veroordeelde intrinsiek te motiveren voor zinvolle en passende dagbesteding.</w:t>
      </w:r>
    </w:p>
    <w:p w:rsidRPr="00003DA7" w:rsidR="00003DA7" w:rsidP="00003DA7" w:rsidRDefault="00003DA7" w14:paraId="1F36FAC5" w14:textId="77777777">
      <w:pPr>
        <w:rPr>
          <w:bCs/>
          <w:iCs/>
          <w:color w:val="auto"/>
        </w:rPr>
      </w:pPr>
    </w:p>
    <w:p w:rsidR="0018489F" w:rsidP="00003DA7" w:rsidRDefault="00003DA7" w14:paraId="48F33607" w14:textId="77777777">
      <w:pPr>
        <w:rPr>
          <w:bCs/>
          <w:iCs/>
          <w:color w:val="auto"/>
        </w:rPr>
      </w:pPr>
      <w:r w:rsidRPr="00003DA7">
        <w:rPr>
          <w:bCs/>
          <w:iCs/>
          <w:color w:val="auto"/>
        </w:rPr>
        <w:t xml:space="preserve">Het doel van het huidige stelsel is dat het opgelegde beroepsverbod wordt nageleefd en dat een veroordeling voor artikel 195 Strafrecht niet hoeft worden uitgesproken. In de periode 2020 t/m 2025 is in minder dan vijf zaken iemand veroordeeld vanwege de in artikel 195 van het Wetboek van Strafrecht strafbaar gestelde gedraging. Een grote aanpassing binnen het huidige stelsel lijkt op basis van dit gegeven daarom momenteel niet noodzakelijk en niet wenselijk. </w:t>
      </w:r>
    </w:p>
    <w:p w:rsidR="0018489F" w:rsidP="00003DA7" w:rsidRDefault="0018489F" w14:paraId="1E7E7C85" w14:textId="77777777">
      <w:pPr>
        <w:rPr>
          <w:bCs/>
          <w:iCs/>
          <w:color w:val="auto"/>
        </w:rPr>
      </w:pPr>
    </w:p>
    <w:p w:rsidR="00003DA7" w:rsidP="00003DA7" w:rsidRDefault="00003DA7" w14:paraId="42B6636A" w14:textId="356C8030">
      <w:pPr>
        <w:rPr>
          <w:bCs/>
          <w:iCs/>
          <w:color w:val="auto"/>
        </w:rPr>
      </w:pPr>
      <w:r w:rsidRPr="00003DA7">
        <w:rPr>
          <w:bCs/>
          <w:iCs/>
          <w:color w:val="auto"/>
        </w:rPr>
        <w:t>Voor verdere duiding van deze cijfers en mogelijke knelpunten binnen de huidige vorm van toezicht zullen verdere gesprekken worden gevoerd met onder meer het OM, de reclassering, het CJIB en relevante beroepsorganisaties. Uw Kamer zal over de uitkomsten van deze gesprekken nader worden geïnformeerd.</w:t>
      </w:r>
    </w:p>
    <w:p w:rsidRPr="00003DA7" w:rsidR="00003DA7" w:rsidP="00003DA7" w:rsidRDefault="00003DA7" w14:paraId="0D308D4D" w14:textId="77777777">
      <w:pPr>
        <w:rPr>
          <w:bCs/>
          <w:iCs/>
          <w:color w:val="auto"/>
        </w:rPr>
      </w:pPr>
    </w:p>
    <w:p w:rsidR="00003DA7" w:rsidP="00003DA7" w:rsidRDefault="00003DA7" w14:paraId="6A10C27B" w14:textId="77777777">
      <w:pPr>
        <w:rPr>
          <w:bCs/>
          <w:iCs/>
          <w:color w:val="auto"/>
        </w:rPr>
      </w:pPr>
      <w:r w:rsidRPr="00003DA7">
        <w:rPr>
          <w:bCs/>
          <w:iCs/>
          <w:color w:val="auto"/>
        </w:rPr>
        <w:t xml:space="preserve">De uitbreiding van de groep van strafbare feiten waarvoor een beroepsverbod kan worden opgelegd uit de Wet versterking ondermijnende criminaliteit II is op 1 januari 2026 in werking getreden. De wet wordt 5 jaar na inwerkingtreding geëvalueerd. De effectiviteit van de bepalingen die voorzien in deze uitbreiding zal in deze evaluatie verder worden meegenomen. Op dit moment is nog te weinig zicht op mogelijke effecten van de wet. </w:t>
      </w:r>
    </w:p>
    <w:p w:rsidRPr="00361E1F" w:rsidR="009E3F36" w:rsidP="001810C7" w:rsidRDefault="009E3F36" w14:paraId="6878F98F" w14:textId="77777777">
      <w:pPr>
        <w:rPr>
          <w:bCs/>
          <w:color w:val="auto"/>
        </w:rPr>
      </w:pPr>
    </w:p>
    <w:p w:rsidRPr="00361E1F" w:rsidR="009E3F36" w:rsidP="001810C7" w:rsidRDefault="009E3F36" w14:paraId="348BECEB" w14:textId="77777777">
      <w:pPr>
        <w:numPr>
          <w:ilvl w:val="1"/>
          <w:numId w:val="14"/>
        </w:numPr>
        <w:rPr>
          <w:bCs/>
          <w:i/>
          <w:color w:val="auto"/>
        </w:rPr>
      </w:pPr>
      <w:r w:rsidRPr="00361E1F">
        <w:rPr>
          <w:bCs/>
          <w:i/>
          <w:color w:val="auto"/>
        </w:rPr>
        <w:t>Motie van het lid Michon-</w:t>
      </w:r>
      <w:proofErr w:type="spellStart"/>
      <w:r w:rsidRPr="00361E1F">
        <w:rPr>
          <w:bCs/>
          <w:i/>
          <w:color w:val="auto"/>
        </w:rPr>
        <w:t>Derkzen</w:t>
      </w:r>
      <w:proofErr w:type="spellEnd"/>
      <w:r w:rsidRPr="00361E1F">
        <w:rPr>
          <w:bCs/>
          <w:i/>
          <w:color w:val="auto"/>
        </w:rPr>
        <w:t xml:space="preserve"> (VVD) over een verkenning van het bevorderen van informatiedeling tussen publieke en private partners rondom Schiphol. Kamerstukken II 2024/25, 29 911, nr. 449. </w:t>
      </w:r>
    </w:p>
    <w:p w:rsidRPr="00361E1F" w:rsidR="00813792" w:rsidP="001810C7" w:rsidRDefault="00813792" w14:paraId="6B42B8C4" w14:textId="77777777">
      <w:pPr>
        <w:rPr>
          <w:bCs/>
          <w:iCs/>
          <w:color w:val="auto"/>
        </w:rPr>
      </w:pPr>
    </w:p>
    <w:p w:rsidRPr="00361E1F" w:rsidR="00813792" w:rsidP="001810C7" w:rsidRDefault="00813792" w14:paraId="585A8AA2" w14:textId="77777777">
      <w:pPr>
        <w:rPr>
          <w:bCs/>
          <w:iCs/>
          <w:color w:val="auto"/>
        </w:rPr>
      </w:pPr>
      <w:r w:rsidRPr="00361E1F">
        <w:rPr>
          <w:bCs/>
          <w:iCs/>
          <w:color w:val="auto"/>
        </w:rPr>
        <w:t xml:space="preserve">De motie verzoekt de regering om een verkenning te starten naar de mogelijkheden om met publieke en private partners op en rondom Schiphol informatiedeling te bevorderen, bijvoorbeeld via een Algemene Maatregel van Bestuur (AMvB) onder de Wet gegevensverwerking door samenwerkingsverbanden (WGS), en de Kamer over de resultaten voor het einde van het jaar te berichten. </w:t>
      </w:r>
    </w:p>
    <w:p w:rsidRPr="00361E1F" w:rsidR="00813792" w:rsidP="001810C7" w:rsidRDefault="00813792" w14:paraId="2485610A" w14:textId="77777777">
      <w:pPr>
        <w:rPr>
          <w:bCs/>
          <w:iCs/>
          <w:color w:val="auto"/>
        </w:rPr>
      </w:pPr>
    </w:p>
    <w:p w:rsidR="00E05D69" w:rsidP="007B4071" w:rsidRDefault="007B4071" w14:paraId="53C00D63" w14:textId="3588FFD8">
      <w:pPr>
        <w:rPr>
          <w:bCs/>
          <w:iCs/>
          <w:color w:val="auto"/>
        </w:rPr>
      </w:pPr>
      <w:r w:rsidRPr="007B4071">
        <w:rPr>
          <w:bCs/>
          <w:iCs/>
          <w:color w:val="auto"/>
        </w:rPr>
        <w:t xml:space="preserve">Er is met publieke en private partners intensief ingezet op het verbeteren van informatiedeling rondom Schiphol, onder andere om te voorkomen dat personen die worden verdacht van strafbare feiten toegang krijgen tot hoog-risicolocaties. Schiphol is gestart met een verkenning van een mogelijke uitrol van de integriteitsovereenkomst van stichting Gatekeeper. De integriteitsovereenkomst bevat gedragsregels waar alle ondertekenaars zich aan moeten houden. Bij een overtreding kunnen passende maatregelen worden genomen, zoals het tijdelijk of permanent deactiveren van de toegangspas. De ingezette trajecten bieden al veel aanknopingspunten om knelpunten aan te pakken. Er wordt momenteel bezien of aanvullende maatregelen, bijvoorbeeld een </w:t>
      </w:r>
      <w:r w:rsidRPr="007B4071" w:rsidR="00EB0BFD">
        <w:rPr>
          <w:bCs/>
          <w:iCs/>
          <w:color w:val="auto"/>
        </w:rPr>
        <w:t>AMvB</w:t>
      </w:r>
      <w:r w:rsidRPr="007B4071">
        <w:rPr>
          <w:bCs/>
          <w:iCs/>
          <w:color w:val="auto"/>
        </w:rPr>
        <w:t xml:space="preserve"> onder de WGS, nog toegevoegde waarde biedt.  </w:t>
      </w:r>
    </w:p>
    <w:p w:rsidRPr="00361E1F" w:rsidR="007B4071" w:rsidP="007B4071" w:rsidRDefault="007B4071" w14:paraId="55A0A1D6" w14:textId="77777777">
      <w:pPr>
        <w:rPr>
          <w:bCs/>
          <w:iCs/>
          <w:color w:val="auto"/>
        </w:rPr>
      </w:pPr>
    </w:p>
    <w:p w:rsidRPr="00361E1F" w:rsidR="009E3F36" w:rsidP="001810C7" w:rsidRDefault="009E3F36" w14:paraId="770CB06F" w14:textId="77777777">
      <w:pPr>
        <w:numPr>
          <w:ilvl w:val="1"/>
          <w:numId w:val="14"/>
        </w:numPr>
        <w:rPr>
          <w:bCs/>
          <w:i/>
          <w:iCs/>
          <w:color w:val="auto"/>
        </w:rPr>
      </w:pPr>
      <w:r w:rsidRPr="00361E1F">
        <w:rPr>
          <w:i/>
          <w:iCs/>
          <w:color w:val="auto"/>
        </w:rPr>
        <w:t>Toezegging: de minister zegt toe aan het lid Koops (NSC) de uitvoeringstoets in het wetsvoorstel Wet verbetering kroongetuigenregeling te verwerken. TZ202509-088</w:t>
      </w:r>
    </w:p>
    <w:p w:rsidRPr="00361E1F" w:rsidR="00813792" w:rsidP="001810C7" w:rsidRDefault="00813792" w14:paraId="17798BF7" w14:textId="77777777">
      <w:pPr>
        <w:rPr>
          <w:color w:val="auto"/>
        </w:rPr>
      </w:pPr>
    </w:p>
    <w:p w:rsidRPr="00361E1F" w:rsidR="00813792" w:rsidP="001810C7" w:rsidRDefault="00813792" w14:paraId="55F8336F" w14:textId="27C34452">
      <w:pPr>
        <w:rPr>
          <w:bCs/>
          <w:iCs/>
          <w:color w:val="auto"/>
        </w:rPr>
      </w:pPr>
      <w:r w:rsidRPr="00361E1F">
        <w:rPr>
          <w:bCs/>
          <w:iCs/>
          <w:color w:val="auto"/>
        </w:rPr>
        <w:t xml:space="preserve">De minister </w:t>
      </w:r>
      <w:r w:rsidR="0050578F">
        <w:rPr>
          <w:bCs/>
          <w:iCs/>
          <w:color w:val="auto"/>
        </w:rPr>
        <w:t>heeft toegezegd</w:t>
      </w:r>
      <w:r w:rsidRPr="00361E1F">
        <w:rPr>
          <w:bCs/>
          <w:iCs/>
          <w:color w:val="auto"/>
        </w:rPr>
        <w:t xml:space="preserve"> de uitvoeringstoets met het wetvoorstel verbetering kroongetuigenregeling mee te sturen aan de </w:t>
      </w:r>
      <w:r w:rsidR="00E11A74">
        <w:rPr>
          <w:bCs/>
          <w:iCs/>
          <w:color w:val="auto"/>
        </w:rPr>
        <w:t xml:space="preserve">Tweede </w:t>
      </w:r>
      <w:r w:rsidRPr="00361E1F">
        <w:rPr>
          <w:bCs/>
          <w:iCs/>
          <w:color w:val="auto"/>
        </w:rPr>
        <w:t>Kamer.</w:t>
      </w:r>
    </w:p>
    <w:p w:rsidRPr="00361E1F" w:rsidR="00813792" w:rsidP="001810C7" w:rsidRDefault="00813792" w14:paraId="2DDA0D5B" w14:textId="77777777">
      <w:pPr>
        <w:rPr>
          <w:bCs/>
          <w:iCs/>
          <w:color w:val="auto"/>
        </w:rPr>
      </w:pPr>
    </w:p>
    <w:p w:rsidR="009E3F36" w:rsidP="001810C7" w:rsidRDefault="00904158" w14:paraId="1D25269C" w14:textId="6B8D633C">
      <w:pPr>
        <w:rPr>
          <w:bCs/>
          <w:iCs/>
          <w:color w:val="auto"/>
        </w:rPr>
      </w:pPr>
      <w:r w:rsidRPr="00361E1F">
        <w:rPr>
          <w:bCs/>
          <w:iCs/>
          <w:color w:val="auto"/>
        </w:rPr>
        <w:t>In de consultatiefase zijn de ketenpartners gevraagd om in te gaan op de uitvoeringsconsequenties van de nieuwe kroongetuigenregeling, De betreffende reacties zijn meegenomen in de versie van het wetsvoorstel dat in maart 2026 naar de Raad van State is gestuurd.</w:t>
      </w:r>
    </w:p>
    <w:p w:rsidR="002D0E00" w:rsidP="001810C7" w:rsidRDefault="002D0E00" w14:paraId="5061410C" w14:textId="77777777">
      <w:pPr>
        <w:rPr>
          <w:bCs/>
          <w:iCs/>
          <w:color w:val="auto"/>
        </w:rPr>
      </w:pPr>
    </w:p>
    <w:p w:rsidRPr="00361E1F" w:rsidR="002D0E00" w:rsidP="001810C7" w:rsidRDefault="002D0E00" w14:paraId="02EE1E04" w14:textId="1D7D5AFA">
      <w:pPr>
        <w:rPr>
          <w:bCs/>
          <w:iCs/>
          <w:color w:val="auto"/>
        </w:rPr>
      </w:pPr>
      <w:r>
        <w:rPr>
          <w:bCs/>
          <w:iCs/>
          <w:color w:val="auto"/>
        </w:rPr>
        <w:t>Hiermee doe ik de toezegging af.</w:t>
      </w:r>
    </w:p>
    <w:p w:rsidRPr="00361E1F" w:rsidR="00904158" w:rsidP="001810C7" w:rsidRDefault="00904158" w14:paraId="630C3E75" w14:textId="77777777">
      <w:pPr>
        <w:rPr>
          <w:bCs/>
          <w:iCs/>
          <w:color w:val="auto"/>
        </w:rPr>
      </w:pPr>
    </w:p>
    <w:p w:rsidRPr="00361E1F" w:rsidR="009E3F36" w:rsidP="001810C7" w:rsidRDefault="009E3F36" w14:paraId="3CD993F3" w14:textId="77777777">
      <w:pPr>
        <w:numPr>
          <w:ilvl w:val="1"/>
          <w:numId w:val="14"/>
        </w:numPr>
        <w:rPr>
          <w:bCs/>
          <w:i/>
          <w:iCs/>
          <w:color w:val="auto"/>
        </w:rPr>
      </w:pPr>
      <w:r w:rsidRPr="00361E1F">
        <w:rPr>
          <w:i/>
          <w:iCs/>
          <w:color w:val="auto"/>
        </w:rPr>
        <w:t>Motie van de leden Bikker (CU) en Ceder (CU) over het platform en de lokale aanpakken versterken om drugscriminaliteit in kleine zeehavens tegen te gaan. Kamerstukken II 2024/25, 36 600-VI, nr. 103.</w:t>
      </w:r>
    </w:p>
    <w:p w:rsidRPr="00361E1F" w:rsidR="005D6DCE" w:rsidP="001810C7" w:rsidRDefault="005D6DCE" w14:paraId="706E4FE5" w14:textId="77777777">
      <w:pPr>
        <w:rPr>
          <w:color w:val="auto"/>
        </w:rPr>
      </w:pPr>
    </w:p>
    <w:p w:rsidRPr="00361E1F" w:rsidR="005D6DCE" w:rsidP="001810C7" w:rsidRDefault="005D6DCE" w14:paraId="51368F54" w14:textId="77777777">
      <w:pPr>
        <w:rPr>
          <w:bCs/>
          <w:iCs/>
          <w:color w:val="auto"/>
        </w:rPr>
      </w:pPr>
      <w:r w:rsidRPr="00361E1F">
        <w:rPr>
          <w:bCs/>
          <w:iCs/>
          <w:color w:val="auto"/>
        </w:rPr>
        <w:t xml:space="preserve">De motie verzoekt de regering om drugscriminaliteit in de kleine zeehavens tegen te gaan door het slagen van dit platform te bevorderen en lokale aanpakken te versterken, onder andere door het inzetten op een adequate financiering. </w:t>
      </w:r>
    </w:p>
    <w:p w:rsidRPr="00361E1F" w:rsidR="005D6DCE" w:rsidP="001810C7" w:rsidRDefault="005D6DCE" w14:paraId="35255E8F" w14:textId="77777777">
      <w:pPr>
        <w:rPr>
          <w:bCs/>
          <w:iCs/>
          <w:color w:val="auto"/>
        </w:rPr>
      </w:pPr>
    </w:p>
    <w:p w:rsidRPr="00361E1F" w:rsidR="00674B86" w:rsidP="00674B86" w:rsidRDefault="00674B86" w14:paraId="5D9A7499" w14:textId="0D9E43DA">
      <w:pPr>
        <w:rPr>
          <w:bCs/>
          <w:iCs/>
          <w:color w:val="auto"/>
        </w:rPr>
      </w:pPr>
      <w:r w:rsidRPr="00361E1F">
        <w:rPr>
          <w:bCs/>
          <w:iCs/>
          <w:color w:val="auto"/>
        </w:rPr>
        <w:lastRenderedPageBreak/>
        <w:t xml:space="preserve">Tijdens de begrotingsbehandeling van het ministerie van </w:t>
      </w:r>
      <w:r w:rsidR="00204D6B">
        <w:rPr>
          <w:bCs/>
          <w:iCs/>
          <w:color w:val="auto"/>
        </w:rPr>
        <w:t>JenV</w:t>
      </w:r>
      <w:r w:rsidRPr="00361E1F">
        <w:rPr>
          <w:bCs/>
          <w:iCs/>
          <w:color w:val="auto"/>
        </w:rPr>
        <w:t xml:space="preserve"> is een amendement ingediend om een miljoen euro beschikbaar te stellen zodat de aanpak van het ‘Platform Ondermijning Kleine Zeehavens’ gericht op de bestrijding van drugssmokkel via kleine zeehavens adequaat gefinancierd van start kan gaan en kan worden uitgebreid naar alle kleine zeehavens. Dit amendement is op 24 maart 2026 aangenomen. Momenteel wordt samen met de betrokken gemeenten (Den Haag, Harlingen, Den Helder, Het Hogeland, Eemsdelta en Goeree-Overflakkee) gewerkt aan een probleemanalyse en wordt met elkaar bekeken hoe de middelen het beste besteed kunnen worden.</w:t>
      </w:r>
    </w:p>
    <w:p w:rsidRPr="00361E1F" w:rsidR="009E3F36" w:rsidP="001810C7" w:rsidRDefault="009E3F36" w14:paraId="563B0066" w14:textId="77777777">
      <w:pPr>
        <w:rPr>
          <w:bCs/>
          <w:iCs/>
          <w:color w:val="auto"/>
        </w:rPr>
      </w:pPr>
    </w:p>
    <w:p w:rsidRPr="00361E1F" w:rsidR="009E3F36" w:rsidP="001810C7" w:rsidRDefault="009E3F36" w14:paraId="020DB469" w14:textId="77777777">
      <w:pPr>
        <w:numPr>
          <w:ilvl w:val="1"/>
          <w:numId w:val="14"/>
        </w:numPr>
        <w:rPr>
          <w:bCs/>
          <w:i/>
          <w:color w:val="auto"/>
        </w:rPr>
      </w:pPr>
      <w:r w:rsidRPr="00361E1F">
        <w:rPr>
          <w:bCs/>
          <w:i/>
          <w:color w:val="auto"/>
        </w:rPr>
        <w:t xml:space="preserve">Motie van de leden </w:t>
      </w:r>
      <w:proofErr w:type="spellStart"/>
      <w:r w:rsidRPr="00361E1F">
        <w:rPr>
          <w:bCs/>
          <w:i/>
          <w:color w:val="auto"/>
        </w:rPr>
        <w:t>Mutluer</w:t>
      </w:r>
      <w:proofErr w:type="spellEnd"/>
      <w:r w:rsidRPr="00361E1F">
        <w:rPr>
          <w:bCs/>
          <w:i/>
          <w:color w:val="auto"/>
        </w:rPr>
        <w:t xml:space="preserve"> (GL/PvdA) en Van Nispen (SP) over juridische, wettelijke en uitvoeringstechnische mogelijkheden om de bevoegdheden van de Kamer van Koophandel uit te breiden. Kamerstukken II 2024/25, 29 911, ter vervanging van die gedrukt onder nr. 457.</w:t>
      </w:r>
    </w:p>
    <w:p w:rsidRPr="00361E1F" w:rsidR="005D6DCE" w:rsidP="001810C7" w:rsidRDefault="005D6DCE" w14:paraId="1FD1A765" w14:textId="77777777">
      <w:pPr>
        <w:rPr>
          <w:bCs/>
          <w:iCs/>
          <w:color w:val="auto"/>
        </w:rPr>
      </w:pPr>
    </w:p>
    <w:p w:rsidRPr="00361E1F" w:rsidR="005D6DCE" w:rsidP="001810C7" w:rsidRDefault="005D6DCE" w14:paraId="67136167" w14:textId="09FA954C">
      <w:pPr>
        <w:rPr>
          <w:bCs/>
          <w:iCs/>
          <w:color w:val="auto"/>
        </w:rPr>
      </w:pPr>
      <w:r w:rsidRPr="00361E1F">
        <w:rPr>
          <w:bCs/>
          <w:iCs/>
          <w:color w:val="auto"/>
        </w:rPr>
        <w:t>De motie verzoekt de regering om juridische, wettelijke en uitvoeringstechnische mogelijkheden om de bevoegdheden van de Kamer van Koophandel uit te breiden.</w:t>
      </w:r>
    </w:p>
    <w:p w:rsidRPr="00361E1F" w:rsidR="005D6DCE" w:rsidP="001810C7" w:rsidRDefault="005D6DCE" w14:paraId="6D8C9BE9" w14:textId="77777777">
      <w:pPr>
        <w:rPr>
          <w:bCs/>
          <w:iCs/>
          <w:color w:val="auto"/>
        </w:rPr>
      </w:pPr>
    </w:p>
    <w:p w:rsidR="00895600" w:rsidP="001810C7" w:rsidRDefault="00F71D4B" w14:paraId="1271A5DA" w14:textId="2B9719BF">
      <w:pPr>
        <w:rPr>
          <w:bCs/>
          <w:iCs/>
          <w:color w:val="auto"/>
        </w:rPr>
      </w:pPr>
      <w:r w:rsidRPr="00361E1F">
        <w:rPr>
          <w:bCs/>
          <w:iCs/>
          <w:color w:val="auto"/>
        </w:rPr>
        <w:t xml:space="preserve">Het kabinet vindt het belangrijk dat de Kamer van Koophandel een versterkte rol krijgt in de aanpak van ondermijnende criminaliteit. De minister </w:t>
      </w:r>
      <w:r w:rsidR="00204D6B">
        <w:rPr>
          <w:bCs/>
          <w:iCs/>
          <w:color w:val="auto"/>
        </w:rPr>
        <w:t>EZK</w:t>
      </w:r>
      <w:r w:rsidRPr="00361E1F">
        <w:rPr>
          <w:bCs/>
          <w:iCs/>
          <w:color w:val="auto"/>
        </w:rPr>
        <w:t xml:space="preserve"> werkt aan mogelijkheden hiertoe, zoals het aanscherpen van de weigeringsgronden bij inschrijving. Dit vereist aanpassingen en wet- en regelgeving. Uw Kamer wordt hier door de minister van </w:t>
      </w:r>
      <w:r w:rsidR="00204D6B">
        <w:rPr>
          <w:bCs/>
          <w:iCs/>
          <w:color w:val="auto"/>
        </w:rPr>
        <w:t>EZK</w:t>
      </w:r>
      <w:r w:rsidRPr="00361E1F">
        <w:rPr>
          <w:bCs/>
          <w:iCs/>
          <w:color w:val="auto"/>
        </w:rPr>
        <w:t xml:space="preserve"> over geïnformeerd. </w:t>
      </w:r>
    </w:p>
    <w:p w:rsidR="00895600" w:rsidP="001810C7" w:rsidRDefault="00895600" w14:paraId="33DDA871" w14:textId="77777777">
      <w:pPr>
        <w:rPr>
          <w:bCs/>
          <w:iCs/>
          <w:color w:val="auto"/>
        </w:rPr>
      </w:pPr>
    </w:p>
    <w:p w:rsidRPr="00361E1F" w:rsidR="009E3F36" w:rsidP="001810C7" w:rsidRDefault="00F93024" w14:paraId="5F1DC482" w14:textId="53DAFA36">
      <w:pPr>
        <w:rPr>
          <w:bCs/>
          <w:iCs/>
          <w:color w:val="auto"/>
        </w:rPr>
      </w:pPr>
      <w:r>
        <w:rPr>
          <w:bCs/>
          <w:iCs/>
          <w:color w:val="auto"/>
        </w:rPr>
        <w:t>Hiermee doe ik de motie af.</w:t>
      </w:r>
    </w:p>
    <w:p w:rsidRPr="00361E1F" w:rsidR="00F71D4B" w:rsidP="001810C7" w:rsidRDefault="00F71D4B" w14:paraId="5558B5B6" w14:textId="77777777">
      <w:pPr>
        <w:rPr>
          <w:bCs/>
          <w:iCs/>
          <w:color w:val="auto"/>
        </w:rPr>
      </w:pPr>
    </w:p>
    <w:p w:rsidRPr="00361E1F" w:rsidR="009E3F36" w:rsidP="001810C7" w:rsidRDefault="009E3F36" w14:paraId="62CEDF88" w14:textId="77777777">
      <w:pPr>
        <w:numPr>
          <w:ilvl w:val="1"/>
          <w:numId w:val="14"/>
        </w:numPr>
        <w:rPr>
          <w:bCs/>
          <w:i/>
          <w:color w:val="auto"/>
        </w:rPr>
      </w:pPr>
      <w:r w:rsidRPr="00361E1F">
        <w:rPr>
          <w:bCs/>
          <w:i/>
          <w:color w:val="auto"/>
        </w:rPr>
        <w:t>Motie van de leden Michon-</w:t>
      </w:r>
      <w:proofErr w:type="spellStart"/>
      <w:r w:rsidRPr="00361E1F">
        <w:rPr>
          <w:bCs/>
          <w:i/>
          <w:color w:val="auto"/>
        </w:rPr>
        <w:t>Derkzen</w:t>
      </w:r>
      <w:proofErr w:type="spellEnd"/>
      <w:r w:rsidRPr="00361E1F">
        <w:rPr>
          <w:bCs/>
          <w:i/>
          <w:color w:val="auto"/>
        </w:rPr>
        <w:t xml:space="preserve"> (VVD) en Van Nispen (SP) over een reactie op het voorstel om collectieve handhaving van de verplichtingen in de Handelsregisterwet via het bestuursrecht mogelijk te maken. Kamerstukken II 2024/25, 29 911, nr. 463.</w:t>
      </w:r>
    </w:p>
    <w:p w:rsidRPr="00361E1F" w:rsidR="005D6DCE" w:rsidP="001810C7" w:rsidRDefault="005D6DCE" w14:paraId="70CA9E19" w14:textId="77777777">
      <w:pPr>
        <w:rPr>
          <w:bCs/>
          <w:iCs/>
          <w:color w:val="auto"/>
        </w:rPr>
      </w:pPr>
    </w:p>
    <w:p w:rsidRPr="00361E1F" w:rsidR="005D6DCE" w:rsidP="001810C7" w:rsidRDefault="005D6DCE" w14:paraId="45FA41D2" w14:textId="77777777">
      <w:pPr>
        <w:rPr>
          <w:bCs/>
          <w:iCs/>
          <w:color w:val="auto"/>
        </w:rPr>
      </w:pPr>
      <w:r w:rsidRPr="00361E1F">
        <w:rPr>
          <w:bCs/>
          <w:iCs/>
          <w:color w:val="auto"/>
        </w:rPr>
        <w:t>De motie verzoekt de regering om een reactie op het voorstel om collectieve handhaving van de verplichtingen in de Handelsregisterwet via het bestuursrecht mogelijk te maken.</w:t>
      </w:r>
    </w:p>
    <w:p w:rsidRPr="00361E1F" w:rsidR="005D6DCE" w:rsidP="001810C7" w:rsidRDefault="005D6DCE" w14:paraId="2CBBF460" w14:textId="77777777">
      <w:pPr>
        <w:rPr>
          <w:bCs/>
          <w:iCs/>
          <w:color w:val="auto"/>
        </w:rPr>
      </w:pPr>
    </w:p>
    <w:p w:rsidR="009E3F36" w:rsidP="001810C7" w:rsidRDefault="00F71D4B" w14:paraId="74A9D659" w14:textId="73E6A3DB">
      <w:pPr>
        <w:rPr>
          <w:bCs/>
          <w:iCs/>
          <w:color w:val="auto"/>
        </w:rPr>
      </w:pPr>
      <w:r w:rsidRPr="00361E1F">
        <w:rPr>
          <w:bCs/>
          <w:iCs/>
          <w:color w:val="auto"/>
        </w:rPr>
        <w:t xml:space="preserve">Het kabinet vindt het belangrijk dat de Kamer van Koophandel een versterkte rol krijgt in de aanpak van ondermijnende criminaliteit. De minister van </w:t>
      </w:r>
      <w:r w:rsidR="003468A7">
        <w:rPr>
          <w:bCs/>
          <w:iCs/>
          <w:color w:val="auto"/>
        </w:rPr>
        <w:t>EZK</w:t>
      </w:r>
      <w:r w:rsidRPr="00361E1F">
        <w:rPr>
          <w:bCs/>
          <w:iCs/>
          <w:color w:val="auto"/>
        </w:rPr>
        <w:t xml:space="preserve"> werkt aan mogelijkheden hiertoe, zoals het aanscherpen van de weigeringsgronden bij inschrijving. Dit vereist aanpassingen en wet- en regelgeving. Uw Kamer wordt hier door de minister van </w:t>
      </w:r>
      <w:r w:rsidR="003468A7">
        <w:rPr>
          <w:bCs/>
          <w:iCs/>
          <w:color w:val="auto"/>
        </w:rPr>
        <w:t>EZK</w:t>
      </w:r>
      <w:r w:rsidRPr="00361E1F">
        <w:rPr>
          <w:bCs/>
          <w:iCs/>
          <w:color w:val="auto"/>
        </w:rPr>
        <w:t xml:space="preserve"> over geïnformeerd. </w:t>
      </w:r>
    </w:p>
    <w:p w:rsidR="008D1B06" w:rsidP="001810C7" w:rsidRDefault="008D1B06" w14:paraId="3C71F4C9" w14:textId="77777777">
      <w:pPr>
        <w:rPr>
          <w:bCs/>
          <w:iCs/>
          <w:color w:val="auto"/>
        </w:rPr>
      </w:pPr>
    </w:p>
    <w:p w:rsidRPr="00361E1F" w:rsidR="008D1B06" w:rsidP="001810C7" w:rsidRDefault="00533A6A" w14:paraId="7B8A28DC" w14:textId="4943D4C1">
      <w:pPr>
        <w:rPr>
          <w:bCs/>
          <w:iCs/>
          <w:color w:val="auto"/>
        </w:rPr>
      </w:pPr>
      <w:r>
        <w:rPr>
          <w:bCs/>
          <w:iCs/>
          <w:color w:val="auto"/>
        </w:rPr>
        <w:t>Hiermee doe ik de motie af.</w:t>
      </w:r>
    </w:p>
    <w:p w:rsidRPr="00361E1F" w:rsidR="00F71D4B" w:rsidP="001810C7" w:rsidRDefault="00F71D4B" w14:paraId="787758E6" w14:textId="77777777">
      <w:pPr>
        <w:rPr>
          <w:bCs/>
          <w:iCs/>
          <w:color w:val="auto"/>
        </w:rPr>
      </w:pPr>
    </w:p>
    <w:p w:rsidRPr="00361E1F" w:rsidR="009E3F36" w:rsidP="001810C7" w:rsidRDefault="009E3F36" w14:paraId="356257E0" w14:textId="77777777">
      <w:pPr>
        <w:numPr>
          <w:ilvl w:val="1"/>
          <w:numId w:val="14"/>
        </w:numPr>
        <w:rPr>
          <w:bCs/>
          <w:i/>
          <w:color w:val="auto"/>
        </w:rPr>
      </w:pPr>
      <w:r w:rsidRPr="00361E1F">
        <w:rPr>
          <w:bCs/>
          <w:i/>
          <w:color w:val="auto"/>
        </w:rPr>
        <w:t>Motie van de leden Michon-</w:t>
      </w:r>
      <w:proofErr w:type="spellStart"/>
      <w:r w:rsidRPr="00361E1F">
        <w:rPr>
          <w:bCs/>
          <w:i/>
          <w:color w:val="auto"/>
        </w:rPr>
        <w:t>Derkzen</w:t>
      </w:r>
      <w:proofErr w:type="spellEnd"/>
      <w:r w:rsidRPr="00361E1F">
        <w:rPr>
          <w:bCs/>
          <w:i/>
          <w:color w:val="auto"/>
        </w:rPr>
        <w:t xml:space="preserve"> (VVD) en van Dijk (SGP) over bij drugslabs de daders op laten draaien voor de saneringskosten.</w:t>
      </w:r>
      <w:r w:rsidRPr="00361E1F">
        <w:rPr>
          <w:i/>
          <w:color w:val="auto"/>
        </w:rPr>
        <w:t xml:space="preserve"> </w:t>
      </w:r>
      <w:r w:rsidRPr="00361E1F">
        <w:rPr>
          <w:bCs/>
          <w:i/>
          <w:color w:val="auto"/>
        </w:rPr>
        <w:t xml:space="preserve">Kamerstukken II 2025/26, 36 463, nr. 22. </w:t>
      </w:r>
    </w:p>
    <w:p w:rsidRPr="00361E1F" w:rsidR="005D6DCE" w:rsidP="001810C7" w:rsidRDefault="005D6DCE" w14:paraId="70B1EBC0" w14:textId="77777777">
      <w:pPr>
        <w:rPr>
          <w:bCs/>
          <w:iCs/>
          <w:color w:val="auto"/>
        </w:rPr>
      </w:pPr>
    </w:p>
    <w:p w:rsidRPr="00361E1F" w:rsidR="005D6DCE" w:rsidP="001810C7" w:rsidRDefault="005D6DCE" w14:paraId="198ACB03" w14:textId="77777777">
      <w:pPr>
        <w:rPr>
          <w:bCs/>
          <w:iCs/>
          <w:color w:val="auto"/>
        </w:rPr>
      </w:pPr>
      <w:r w:rsidRPr="00361E1F">
        <w:rPr>
          <w:bCs/>
          <w:iCs/>
          <w:color w:val="auto"/>
        </w:rPr>
        <w:t xml:space="preserve">De motie verzoekt de regering om met een voorstel te komen om bij ieder gevonden drugslab te inventariseren hoeveel drugs er zijn geproduceerd en hoeveel drugsafval dat heeft opgeleverd, en de daders middels schadevergoeding op te laten draaien voor de saneringskosten. </w:t>
      </w:r>
    </w:p>
    <w:p w:rsidRPr="00361E1F" w:rsidR="005D6DCE" w:rsidP="001810C7" w:rsidRDefault="005D6DCE" w14:paraId="7C9AF3E0" w14:textId="77777777">
      <w:pPr>
        <w:rPr>
          <w:bCs/>
          <w:iCs/>
          <w:color w:val="auto"/>
        </w:rPr>
      </w:pPr>
    </w:p>
    <w:p w:rsidRPr="00361E1F" w:rsidR="004A6A30" w:rsidP="004A6A30" w:rsidRDefault="004A6A30" w14:paraId="0162B2BE" w14:textId="3CFFF381">
      <w:pPr>
        <w:rPr>
          <w:bCs/>
          <w:iCs/>
          <w:color w:val="auto"/>
        </w:rPr>
      </w:pPr>
      <w:r w:rsidRPr="00361E1F">
        <w:rPr>
          <w:bCs/>
          <w:iCs/>
          <w:color w:val="auto"/>
        </w:rPr>
        <w:t xml:space="preserve">De motie appelleert aan een sterk maatschappelijk rechtvaardigheidsgevoel, dat de daders die geld verdienen met hun misdrijven moeten opdraaien voor de kosten van de door hen veroorzaakte milieuschade. Het is echter niet goed mogelijk om deze motie uit te voeren. Ten eerste kan de productiecapaciteit van een ontmanteld drugslaboratorium wel worden berekend, maar niet hoeveel productie er daadwerkelijk is gedraaid. Vervolgens zal de hoeveelheid geproduceerde afval ook een schatting zijn. Om deze reden worden bij de maatregel kostenverhaal sinds 1 juli 2022 de saneringskosten voor de ontmanteling van een drugslab als uitgangspunt gebruikt voor de hoogte van het bedrag dat op veroordeelden wordt verhaald. Ten slotte is het bij drugsdumpingen op afstand van de productielocatie, in tegenstelling tot lozingen vanuit het lab, moeilijk om deze te koppelen aan een bepaald lab en de criminelen die met dit lab in verband kunnen worden gebracht. Ik ben daarom van oordeel dat het voorstel in deze motie vanuit praktisch oogpunt niet goed uitvoerbaar is en vanuit juridisch oogpunt op zwaarwegende bezwaren stuit. Indien voldoende </w:t>
      </w:r>
      <w:r w:rsidRPr="00361E1F">
        <w:rPr>
          <w:bCs/>
          <w:iCs/>
          <w:color w:val="auto"/>
        </w:rPr>
        <w:lastRenderedPageBreak/>
        <w:t xml:space="preserve">bewijs kan worden aangeleverd tegen een verdachte zijn binnen de huidige wet- en regelgeving voldoende mogelijkheden om vervuilers voor het dumpen of lozen van drugsafval voor hun daden ter verantwoording roepen. </w:t>
      </w:r>
    </w:p>
    <w:p w:rsidRPr="00361E1F" w:rsidR="004A6A30" w:rsidP="004A6A30" w:rsidRDefault="004A6A30" w14:paraId="426FD2C1" w14:textId="77777777">
      <w:pPr>
        <w:rPr>
          <w:bCs/>
          <w:iCs/>
          <w:color w:val="auto"/>
        </w:rPr>
      </w:pPr>
    </w:p>
    <w:p w:rsidR="009E3F36" w:rsidP="004A6A30" w:rsidRDefault="004A6A30" w14:paraId="68AAA3FD" w14:textId="0B549EC5">
      <w:pPr>
        <w:rPr>
          <w:bCs/>
          <w:iCs/>
          <w:color w:val="auto"/>
        </w:rPr>
      </w:pPr>
      <w:r w:rsidRPr="00361E1F">
        <w:rPr>
          <w:bCs/>
          <w:iCs/>
          <w:color w:val="auto"/>
        </w:rPr>
        <w:t>De (strafrechtelijke) maatregel kostenverhaal is een aanvulling op andere mogelijkheden om de kosten van het opruimkosten van schadelijke stoffen af te wentelen op de overtreder. Gemeenten hebben de last onder dwangsom en bestuursdwang als instrumenten om de verwijdering van schadelijke stoffen, zoals drugsafval, dan wel de betaling van verwijderingskosten af te dwingen van de overtreder. Deze maatregelen staan beschreven in het webdossier drugsafval dat in opdracht van JenV door het Centrum voor Criminaliteitspreventie en Veiligheid (CCV) is gemaakt. Met dit dossier worden medeoverheden en organisaties die betrokken zijn bij het opruimen van drugsafval bijgestaan met kennis en informatie. Naast deze kennisondersteuning is er financiële ondersteuning vanuit JenV en het ministerie van Infrastructuur en Waterstaat. Hierover heb ik u in de vorige halfjaarbrief ondermijnende criminaliteit geïnformeerd. Gemeenten en provincies kunnen hun opruimkosten van drugsafval melden bij de VNG om in aanmerking te komen voor een decentralisatie uitkering (DU).</w:t>
      </w:r>
    </w:p>
    <w:p w:rsidR="00964CB6" w:rsidP="004A6A30" w:rsidRDefault="00964CB6" w14:paraId="596F4D4E" w14:textId="77777777">
      <w:pPr>
        <w:rPr>
          <w:bCs/>
          <w:iCs/>
          <w:color w:val="auto"/>
        </w:rPr>
      </w:pPr>
    </w:p>
    <w:p w:rsidRPr="00361E1F" w:rsidR="00C21F36" w:rsidP="004A6A30" w:rsidRDefault="00F93024" w14:paraId="6C52220F" w14:textId="25F17C82">
      <w:pPr>
        <w:rPr>
          <w:bCs/>
          <w:iCs/>
          <w:color w:val="auto"/>
        </w:rPr>
      </w:pPr>
      <w:r>
        <w:rPr>
          <w:bCs/>
          <w:iCs/>
          <w:color w:val="auto"/>
        </w:rPr>
        <w:t>Hiermee doe ik de motie af.</w:t>
      </w:r>
    </w:p>
    <w:p w:rsidRPr="00361E1F" w:rsidR="004A6A30" w:rsidP="004A6A30" w:rsidRDefault="004A6A30" w14:paraId="2A408E2D" w14:textId="77777777">
      <w:pPr>
        <w:rPr>
          <w:bCs/>
          <w:iCs/>
          <w:color w:val="auto"/>
        </w:rPr>
      </w:pPr>
    </w:p>
    <w:p w:rsidRPr="00361E1F" w:rsidR="007D503E" w:rsidP="001810C7" w:rsidRDefault="009E3F36" w14:paraId="3790A11C" w14:textId="6577D04C">
      <w:pPr>
        <w:numPr>
          <w:ilvl w:val="1"/>
          <w:numId w:val="14"/>
        </w:numPr>
        <w:rPr>
          <w:i/>
          <w:color w:val="auto"/>
        </w:rPr>
      </w:pPr>
      <w:r w:rsidRPr="00361E1F">
        <w:rPr>
          <w:bCs/>
          <w:i/>
          <w:color w:val="auto"/>
        </w:rPr>
        <w:t xml:space="preserve">Motie van de leden </w:t>
      </w:r>
      <w:proofErr w:type="spellStart"/>
      <w:r w:rsidRPr="00361E1F">
        <w:rPr>
          <w:bCs/>
          <w:i/>
          <w:color w:val="auto"/>
        </w:rPr>
        <w:t>Mutluer</w:t>
      </w:r>
      <w:proofErr w:type="spellEnd"/>
      <w:r w:rsidRPr="00361E1F">
        <w:rPr>
          <w:bCs/>
          <w:i/>
          <w:color w:val="auto"/>
        </w:rPr>
        <w:t xml:space="preserve"> (GL/PvdA) en Six Dijkstra (NSC) over verzoek om in overleg met de Belastingdienst en de hypotheekverstrekkers te onderzoeken of en hoe er een check kan worden gedaan op gegevens die aanvragers van hypothecaire leningen verstrekken. Kamerstukken II 2024/25, 29 911, nr. 446.</w:t>
      </w:r>
    </w:p>
    <w:p w:rsidRPr="00361E1F" w:rsidR="00447242" w:rsidP="00447242" w:rsidRDefault="00447242" w14:paraId="34F581BB" w14:textId="77777777">
      <w:pPr>
        <w:rPr>
          <w:bCs/>
          <w:i/>
          <w:color w:val="auto"/>
        </w:rPr>
      </w:pPr>
    </w:p>
    <w:p w:rsidR="00447242" w:rsidP="00447242" w:rsidRDefault="00447242" w14:paraId="4F3CB3D9" w14:textId="7E1BB7EC">
      <w:pPr>
        <w:rPr>
          <w:bCs/>
          <w:iCs/>
          <w:color w:val="auto"/>
        </w:rPr>
      </w:pPr>
      <w:r w:rsidRPr="00361E1F">
        <w:rPr>
          <w:bCs/>
          <w:iCs/>
          <w:color w:val="auto"/>
        </w:rPr>
        <w:t>De motie verzoekt de regering om in overleg met de Belastingdienst en de hypotheekverstrekkers te gaan onderzoeken of en hoe er een check kan worden gedaan op gegevens die aanvragers van hypothecaire leningen verstrekken en daarbij ook het belang van de bescherming van de privacy, de werklast en de financiering van de Belastingdienst te betrekken.</w:t>
      </w:r>
    </w:p>
    <w:p w:rsidR="0069328F" w:rsidP="00447242" w:rsidRDefault="0069328F" w14:paraId="752A7B1A" w14:textId="77777777">
      <w:pPr>
        <w:rPr>
          <w:bCs/>
          <w:iCs/>
          <w:color w:val="auto"/>
        </w:rPr>
      </w:pPr>
    </w:p>
    <w:p w:rsidRPr="00D66E45" w:rsidR="0069328F" w:rsidP="0069328F" w:rsidRDefault="0069328F" w14:paraId="65BB3378" w14:textId="485B97EC">
      <w:pPr>
        <w:rPr>
          <w:bCs/>
          <w:iCs/>
          <w:color w:val="auto"/>
        </w:rPr>
      </w:pPr>
      <w:r>
        <w:rPr>
          <w:bCs/>
          <w:iCs/>
          <w:color w:val="auto"/>
        </w:rPr>
        <w:t xml:space="preserve">Het FEC-project is op 15 april </w:t>
      </w:r>
      <w:r w:rsidR="00C733DE">
        <w:rPr>
          <w:bCs/>
          <w:iCs/>
          <w:color w:val="auto"/>
        </w:rPr>
        <w:t xml:space="preserve">jl. </w:t>
      </w:r>
      <w:r>
        <w:rPr>
          <w:bCs/>
          <w:iCs/>
          <w:color w:val="auto"/>
        </w:rPr>
        <w:t>afgerond en opgeleverd.</w:t>
      </w:r>
      <w:r w:rsidR="00A33910">
        <w:rPr>
          <w:bCs/>
          <w:iCs/>
          <w:color w:val="auto"/>
        </w:rPr>
        <w:t xml:space="preserve"> I</w:t>
      </w:r>
      <w:r>
        <w:rPr>
          <w:bCs/>
          <w:iCs/>
          <w:color w:val="auto"/>
        </w:rPr>
        <w:t>k ga met het ministerie van Fin, de Belastingdienst en andere (private) partijen in gesprek over de opvolging op dit rapport. U wordt hierover verder geïnformeerd in de voortgangsbrief ondermijning in het najaar.</w:t>
      </w:r>
    </w:p>
    <w:p w:rsidRPr="00361E1F" w:rsidR="00CD63E2" w:rsidP="00447242" w:rsidRDefault="00CD63E2" w14:paraId="23719B01" w14:textId="77777777">
      <w:pPr>
        <w:rPr>
          <w:bCs/>
          <w:iCs/>
          <w:color w:val="auto"/>
        </w:rPr>
      </w:pPr>
    </w:p>
    <w:p w:rsidR="00CD63E2" w:rsidP="00CD63E2" w:rsidRDefault="00CD63E2" w14:paraId="20EB84E7" w14:textId="12C01533">
      <w:pPr>
        <w:pStyle w:val="Lijstalinea"/>
        <w:numPr>
          <w:ilvl w:val="1"/>
          <w:numId w:val="14"/>
        </w:numPr>
        <w:rPr>
          <w:i/>
          <w:iCs/>
        </w:rPr>
      </w:pPr>
      <w:r w:rsidRPr="00361E1F">
        <w:rPr>
          <w:i/>
          <w:iCs/>
        </w:rPr>
        <w:t>Toezegging: de minister zegt toe aan het lid Schilder (</w:t>
      </w:r>
      <w:r w:rsidR="001A7DB0">
        <w:rPr>
          <w:i/>
          <w:iCs/>
        </w:rPr>
        <w:t>DNA</w:t>
      </w:r>
      <w:r w:rsidRPr="00361E1F">
        <w:rPr>
          <w:i/>
          <w:iCs/>
        </w:rPr>
        <w:t>) om voor de zomer in een voortgangsbrief terug te komen op de vraag van het lid Schilder over het opnemen van ronselen als apart delict in het Wetboek van Strafrecht. TZ202603-177</w:t>
      </w:r>
    </w:p>
    <w:p w:rsidR="009D226C" w:rsidP="009D226C" w:rsidRDefault="009D226C" w14:paraId="1FC853AD" w14:textId="77777777">
      <w:pPr>
        <w:rPr>
          <w:i/>
          <w:iCs/>
        </w:rPr>
      </w:pPr>
    </w:p>
    <w:p w:rsidRPr="009D226C" w:rsidR="009D226C" w:rsidP="009D226C" w:rsidRDefault="009D226C" w14:paraId="3AA8F89B" w14:textId="2B287DA6">
      <w:r>
        <w:t>De minister zegt toe om</w:t>
      </w:r>
      <w:r w:rsidRPr="009D226C">
        <w:t xml:space="preserve"> voor de zomer in een voortgangsbrief terug </w:t>
      </w:r>
      <w:r>
        <w:t xml:space="preserve">te komen </w:t>
      </w:r>
      <w:r w:rsidRPr="009D226C">
        <w:t xml:space="preserve">op de vraag van het lid Schilder </w:t>
      </w:r>
      <w:r>
        <w:t>(</w:t>
      </w:r>
      <w:r w:rsidR="001A7DB0">
        <w:t>DNA</w:t>
      </w:r>
      <w:r>
        <w:t xml:space="preserve">) </w:t>
      </w:r>
      <w:r w:rsidRPr="009D226C">
        <w:t>over het opnemen van ronselen als apart delict in het Wetboek van Strafrecht.</w:t>
      </w:r>
    </w:p>
    <w:p w:rsidRPr="00361E1F" w:rsidR="00BA5507" w:rsidP="00BA5507" w:rsidRDefault="00BA5507" w14:paraId="538E04C7" w14:textId="77777777">
      <w:pPr>
        <w:pStyle w:val="Lijstalinea"/>
        <w:ind w:left="1440"/>
        <w:rPr>
          <w:i/>
          <w:iCs/>
        </w:rPr>
      </w:pPr>
    </w:p>
    <w:p w:rsidR="00D102B1" w:rsidP="00CC6A70" w:rsidRDefault="00D102B1" w14:paraId="25883495" w14:textId="3C8C1FD2">
      <w:r w:rsidRPr="00D102B1">
        <w:t xml:space="preserve">Voor de beantwoording van de toezegging aan het lid Schilder, verwijs ik naar de beantwoording van Kamervragen van de leden Schilder en </w:t>
      </w:r>
      <w:proofErr w:type="spellStart"/>
      <w:r w:rsidRPr="00D102B1">
        <w:t>Moinat</w:t>
      </w:r>
      <w:proofErr w:type="spellEnd"/>
      <w:r w:rsidRPr="00D102B1">
        <w:t xml:space="preserve"> van 30 januari jl. Mijn ambtsvoorganger werd daarbij gevraagd of hij de huidige strafrechtelijke mogelijkheden en handhavingsinstrumenten voldoende effectief achtte om ronselaars en opdrachtgevers die minderjarigen inzetten voor criminele activiteiten op te sporen en hard aan te pakken, en zo niet, waar deze volgens hem tekort zou schieten. </w:t>
      </w:r>
    </w:p>
    <w:p w:rsidRPr="00D102B1" w:rsidR="00CC6A70" w:rsidP="00CC6A70" w:rsidRDefault="00CC6A70" w14:paraId="1895648B" w14:textId="77777777"/>
    <w:p w:rsidRPr="00D102B1" w:rsidR="00D102B1" w:rsidP="00D102B1" w:rsidRDefault="00D102B1" w14:paraId="7555F09F" w14:textId="77777777">
      <w:pPr>
        <w:spacing w:after="160" w:line="259" w:lineRule="auto"/>
        <w:rPr>
          <w:color w:val="auto"/>
        </w:rPr>
      </w:pPr>
      <w:r w:rsidRPr="00D102B1">
        <w:rPr>
          <w:color w:val="auto"/>
        </w:rPr>
        <w:t>In de beantwoording van die Kamervragen op 26 maart jl. heb ik kortgezegd aangegeven dat het strafrecht en de handhaving in de aanpak van criminele ronselaars op dit moment voldoen. Ik zie daarom nu geen aanleiding om ronselen als apart delict in het Wetboek van Strafrecht op te nemen.</w:t>
      </w:r>
    </w:p>
    <w:p w:rsidRPr="00361E1F" w:rsidR="00964CB6" w:rsidP="00D102B1" w:rsidRDefault="00D102B1" w14:paraId="484617CC" w14:textId="114EAF53">
      <w:pPr>
        <w:spacing w:after="160" w:line="259" w:lineRule="auto"/>
        <w:rPr>
          <w:color w:val="auto"/>
        </w:rPr>
      </w:pPr>
      <w:r w:rsidRPr="00D102B1">
        <w:rPr>
          <w:color w:val="auto"/>
        </w:rPr>
        <w:t>Hiermee doe ik de toezegging af.</w:t>
      </w:r>
    </w:p>
    <w:p w:rsidRPr="00361E1F" w:rsidR="00BA5507" w:rsidP="00BA5507" w:rsidRDefault="00BA5507" w14:paraId="07521B8D" w14:textId="2DB51C4E">
      <w:pPr>
        <w:pStyle w:val="Lijstalinea"/>
        <w:numPr>
          <w:ilvl w:val="1"/>
          <w:numId w:val="14"/>
        </w:numPr>
        <w:rPr>
          <w:i/>
          <w:iCs/>
        </w:rPr>
      </w:pPr>
      <w:r w:rsidRPr="00361E1F">
        <w:rPr>
          <w:i/>
          <w:iCs/>
        </w:rPr>
        <w:t>Toezegging: de minister zegt toe</w:t>
      </w:r>
      <w:r w:rsidR="009B42BC">
        <w:rPr>
          <w:i/>
          <w:iCs/>
        </w:rPr>
        <w:t xml:space="preserve"> </w:t>
      </w:r>
      <w:r w:rsidRPr="00361E1F">
        <w:rPr>
          <w:i/>
          <w:iCs/>
        </w:rPr>
        <w:t xml:space="preserve">in een volgende voortgangsbrief terug te komen op de vraag van het lid </w:t>
      </w:r>
      <w:proofErr w:type="spellStart"/>
      <w:r w:rsidRPr="00361E1F">
        <w:rPr>
          <w:i/>
          <w:iCs/>
        </w:rPr>
        <w:t>Coenradie</w:t>
      </w:r>
      <w:proofErr w:type="spellEnd"/>
      <w:r w:rsidRPr="00361E1F">
        <w:rPr>
          <w:i/>
          <w:iCs/>
        </w:rPr>
        <w:t xml:space="preserve"> (JA21) over het wegnemen van belemmeringen die zien op privacy in het kader van preventief waarschuwen, analoog aan het Deense model. TZ202603-175</w:t>
      </w:r>
    </w:p>
    <w:p w:rsidRPr="00361E1F" w:rsidR="00BA5507" w:rsidP="00BA5507" w:rsidRDefault="00BA5507" w14:paraId="6953C8AE" w14:textId="77777777">
      <w:pPr>
        <w:rPr>
          <w:i/>
          <w:iCs/>
          <w:color w:val="auto"/>
        </w:rPr>
      </w:pPr>
    </w:p>
    <w:p w:rsidR="004C7244" w:rsidP="00BA5507" w:rsidRDefault="00BA5507" w14:paraId="7CCFCCDD" w14:textId="77777777">
      <w:pPr>
        <w:rPr>
          <w:color w:val="auto"/>
        </w:rPr>
      </w:pPr>
      <w:r w:rsidRPr="00361E1F">
        <w:rPr>
          <w:color w:val="auto"/>
        </w:rPr>
        <w:t xml:space="preserve">De minister zegt toe in een volgende voortgangsbrief terug te komen op de vraag van het lid </w:t>
      </w:r>
      <w:proofErr w:type="spellStart"/>
      <w:r w:rsidRPr="00361E1F">
        <w:rPr>
          <w:color w:val="auto"/>
        </w:rPr>
        <w:t>Coenradie</w:t>
      </w:r>
      <w:proofErr w:type="spellEnd"/>
      <w:r w:rsidRPr="00361E1F">
        <w:rPr>
          <w:color w:val="auto"/>
        </w:rPr>
        <w:t xml:space="preserve"> (JA21) over het wegnemen van belemmeringen die zien op privacy in het kader van preventief waarschuwen, analoog aan het Deense model. </w:t>
      </w:r>
    </w:p>
    <w:p w:rsidR="004C7244" w:rsidP="00BA5507" w:rsidRDefault="004C7244" w14:paraId="6DA7DB4B" w14:textId="77777777">
      <w:pPr>
        <w:rPr>
          <w:color w:val="auto"/>
        </w:rPr>
      </w:pPr>
    </w:p>
    <w:p w:rsidR="00BA5507" w:rsidP="00BA5507" w:rsidRDefault="00A936A4" w14:paraId="573BB35F" w14:textId="0E7B462C">
      <w:pPr>
        <w:rPr>
          <w:color w:val="auto"/>
        </w:rPr>
      </w:pPr>
      <w:r>
        <w:rPr>
          <w:color w:val="auto"/>
        </w:rPr>
        <w:t>Zoals aangegeven in het commissiedebat van 19 maart jl. is mijn beeld dat de werkwijze in Nederland binnen Preventie met Gezag en de zorg- en veiligheidshuizen erg overeenkomt met de werkwijze in Denemarken.</w:t>
      </w:r>
      <w:r w:rsidRPr="004C7244" w:rsidR="004C7244">
        <w:rPr>
          <w:color w:val="0F4761"/>
          <w:sz w:val="20"/>
          <w:szCs w:val="20"/>
        </w:rPr>
        <w:t xml:space="preserve"> </w:t>
      </w:r>
      <w:r w:rsidRPr="004C7244" w:rsidR="004C7244">
        <w:rPr>
          <w:color w:val="auto"/>
        </w:rPr>
        <w:t>Om de specifieke verschillen in de toepassing van preventief waarschuwen goed te doorgronden, heb ik meer tijd nodig dan op voorhand ingeschat</w:t>
      </w:r>
      <w:r>
        <w:rPr>
          <w:color w:val="auto"/>
        </w:rPr>
        <w:t xml:space="preserve">. Ik </w:t>
      </w:r>
      <w:r w:rsidR="001A18E2">
        <w:rPr>
          <w:color w:val="auto"/>
        </w:rPr>
        <w:t>kom hierop terug in de volgende voortgangsrapportage.</w:t>
      </w:r>
    </w:p>
    <w:p w:rsidR="00FE48BC" w:rsidP="00BA5507" w:rsidRDefault="00FE48BC" w14:paraId="43A9506E" w14:textId="77777777">
      <w:pPr>
        <w:rPr>
          <w:color w:val="auto"/>
        </w:rPr>
      </w:pPr>
    </w:p>
    <w:p w:rsidR="00FE48BC" w:rsidP="00FE48BC" w:rsidRDefault="00FE48BC" w14:paraId="2294879A" w14:textId="6C8EE355">
      <w:pPr>
        <w:pStyle w:val="Lijstalinea"/>
        <w:numPr>
          <w:ilvl w:val="1"/>
          <w:numId w:val="14"/>
        </w:numPr>
        <w:rPr>
          <w:i/>
          <w:iCs/>
        </w:rPr>
      </w:pPr>
      <w:r w:rsidRPr="00FE48BC">
        <w:rPr>
          <w:i/>
          <w:iCs/>
        </w:rPr>
        <w:t>Toezegging: de minister zegt toe vóór de zomer van 2026 de Kamer nader te informeren over de verkenning met relevante partnerorganisaties van de uitkomsten van de Rapportage Zesde Monitor Georganiseerde Criminaliteit van het WODC. Kamerstukken II 2025/26, 29 911, nr. 493.</w:t>
      </w:r>
    </w:p>
    <w:p w:rsidR="00FE48BC" w:rsidP="00FE48BC" w:rsidRDefault="00FE48BC" w14:paraId="1E7B0A3B" w14:textId="77777777">
      <w:pPr>
        <w:rPr>
          <w:i/>
          <w:iCs/>
        </w:rPr>
      </w:pPr>
    </w:p>
    <w:p w:rsidR="0050578F" w:rsidP="00FE48BC" w:rsidRDefault="0050578F" w14:paraId="4BBDD001" w14:textId="1E06A8F0">
      <w:r>
        <w:t xml:space="preserve">De minister heeft toegezegd om </w:t>
      </w:r>
      <w:r w:rsidRPr="0050578F">
        <w:t xml:space="preserve">vóór de zomer van 2026 de </w:t>
      </w:r>
      <w:r>
        <w:t xml:space="preserve">Tweede </w:t>
      </w:r>
      <w:r w:rsidRPr="0050578F">
        <w:t>Kamer nader te informeren over de verkenning met relevante partnerorganisaties van de uitkomsten van de Rapportage Zesde Monitor Georganiseerde Criminaliteit van het WODC</w:t>
      </w:r>
      <w:r>
        <w:t>.</w:t>
      </w:r>
    </w:p>
    <w:p w:rsidR="0050578F" w:rsidP="00FE48BC" w:rsidRDefault="0050578F" w14:paraId="296B5549" w14:textId="77777777"/>
    <w:p w:rsidR="007A46B6" w:rsidP="007A46B6" w:rsidRDefault="007A46B6" w14:paraId="217AC93D" w14:textId="77777777">
      <w:r>
        <w:t>De Rapportage van het zesde monitoronderzoek Georganiseerde Criminaliteit geeft een gedetailleerde beschrijving van de criminele werkwijzen rond cocaïnesmokkel en liquidaties en de aanpak daarvan. Daarmee biedt het onderzoek waardevolle inzichten voor eenieder die een rol heeft bij de bestrijding van deze vormen van georganiseerde criminaliteit: professionals in de opsporing en vervolging, beleidsmakers, maar bijvoorbeeld ook ondernemers in logistieke ketens die door criminelen worden misbruikt. De meerwaarde van de Rapportage voor de aanpak van georganiseerde criminaliteit hangt daarom samen met het bereik van deze studie en de manier waarop de inzichten hun weg naar de praktijk weten te vinden.</w:t>
      </w:r>
    </w:p>
    <w:p w:rsidR="007A46B6" w:rsidP="007A46B6" w:rsidRDefault="007A46B6" w14:paraId="32DCA4A8" w14:textId="77777777"/>
    <w:p w:rsidR="007A46B6" w:rsidP="007A46B6" w:rsidRDefault="007A46B6" w14:paraId="4D66EC5B" w14:textId="77777777"/>
    <w:p w:rsidR="007A46B6" w:rsidP="007A46B6" w:rsidRDefault="007A46B6" w14:paraId="7E86EC71" w14:textId="55A59C38">
      <w:r>
        <w:t xml:space="preserve">In de Rapportage hebben de onderzoekers, op basis van dossiergegevens van de laatste 25 jaar, een bepaalde mate van consistentie bij de plegers en het plegen van delicten die relateren aan georganiseerde criminaliteit waargenomen. Tegelijkertijd geeft het onderzoek ook zicht op enkele veranderingen. Een opvallende verandering is zichtbaar bij de ontwikkeling van criminele levenspaden. De onderzoekers zagen dat verdachten van betrokkenheid bij cocaïnesmokkel of liquidaties in recentere casussen minder vaak een geregistreerde criminele voorgeschiedenis hadden van verdachten in oudere casussen. Deze verdachten lijken “uit het niets” de georganiseerde criminaliteit in te rollen. </w:t>
      </w:r>
    </w:p>
    <w:p w:rsidR="007A46B6" w:rsidP="007A46B6" w:rsidRDefault="007A46B6" w14:paraId="17AD3C20" w14:textId="77777777"/>
    <w:p w:rsidR="007A46B6" w:rsidP="007A46B6" w:rsidRDefault="007A46B6" w14:paraId="1929AF9A" w14:textId="77777777">
      <w:r>
        <w:t>Uit de Rapportage blijkt dat de gemiddelde leeftijd waarop verdachten van voor het eerst onherroepelijk werden veroordeeld niet of nauwelijks is afgenomen. Plegers van deze categorieën strafbare feiten zijn gedurende de afgelopen 25 jaar niet jonger geworden. Wel is het eerste delict binnen de georganiseerde criminaliteit waarvoor zij worden vervolgd gemiddeld zwaarder geworden. Dit gegeven, samen met het vaker ontbreken van een bekende criminele voorgeschiedenis, maakt de inzet op het tijdig onderkennen en ombuigen van criminele levenspaden onverminderd urgent.</w:t>
      </w:r>
    </w:p>
    <w:p w:rsidR="007A46B6" w:rsidP="007A46B6" w:rsidRDefault="007A46B6" w14:paraId="4C56366F" w14:textId="77777777"/>
    <w:p w:rsidR="0069328F" w:rsidP="007A46B6" w:rsidRDefault="007A46B6" w14:paraId="50328247" w14:textId="6F4266DB">
      <w:r>
        <w:t>Het vroegtijdig signaleren en ombuigen van criminele carrières is één van de redenen waarom preventie een integraal onderdeel is van de brede ondermijningsaanpak. Het programma Preventie met Gezag richt zich op de preventie van (georganiseerde en ondermijnende) jeugdcriminaliteit onder jongeren en jongvolwassenen tussen de 8 en 27 jaar. Binnen het programma is niet enkel oog voor het weerbaar maken van jongeren tegen criminaliteit in algemene zin, maar ook het aanpakken van jongvolwassenen die al diep in de georganiseerde criminaliteit zitten. Dit gebeurt door investeringen in perspectief, via bijvoorbeeld school, werk of specialistisch jeugdwerk, en door grenzen te stellen aan crimineel gedrag en daarmee de rekruterende werking van criminele organisaties te doorbreken.</w:t>
      </w:r>
    </w:p>
    <w:p w:rsidR="007A46B6" w:rsidP="007A46B6" w:rsidRDefault="007A46B6" w14:paraId="41EBF185" w14:textId="77777777"/>
    <w:p w:rsidR="001D5A14" w:rsidP="0018489F" w:rsidRDefault="0069328F" w14:paraId="363D7F4A" w14:textId="757BADF0">
      <w:r>
        <w:t>Hiermee doe ik de toezegging af.</w:t>
      </w:r>
    </w:p>
    <w:sectPr w:rsidR="001D5A14" w:rsidSect="001810C7">
      <w:headerReference w:type="default" r:id="rId9"/>
      <w:headerReference w:type="first" r:id="rId10"/>
      <w:pgSz w:w="11905" w:h="16837"/>
      <w:pgMar w:top="1417" w:right="1417" w:bottom="1417" w:left="141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D46A0" w14:textId="77777777" w:rsidR="0075264E" w:rsidRDefault="0075264E">
      <w:pPr>
        <w:spacing w:line="240" w:lineRule="auto"/>
      </w:pPr>
      <w:r>
        <w:separator/>
      </w:r>
    </w:p>
  </w:endnote>
  <w:endnote w:type="continuationSeparator" w:id="0">
    <w:p w14:paraId="6844AE85" w14:textId="77777777" w:rsidR="0075264E" w:rsidRDefault="00752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46666" w14:textId="77777777" w:rsidR="0075264E" w:rsidRDefault="0075264E">
      <w:pPr>
        <w:spacing w:line="240" w:lineRule="auto"/>
      </w:pPr>
      <w:r>
        <w:separator/>
      </w:r>
    </w:p>
  </w:footnote>
  <w:footnote w:type="continuationSeparator" w:id="0">
    <w:p w14:paraId="6402FEA9" w14:textId="77777777" w:rsidR="0075264E" w:rsidRDefault="007526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3D6D" w14:textId="27D1CEBD" w:rsidR="00B758EC" w:rsidRDefault="0065442A">
    <w:r>
      <w:rPr>
        <w:noProof/>
      </w:rPr>
      <mc:AlternateContent>
        <mc:Choice Requires="wps">
          <w:drawing>
            <wp:anchor distT="0" distB="0" distL="0" distR="0" simplePos="0" relativeHeight="251653120" behindDoc="0" locked="1" layoutInCell="1" allowOverlap="1" wp14:anchorId="137DC2F3" wp14:editId="36F4EAD3">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777C34CF" w14:textId="77777777" w:rsidR="000129FD" w:rsidRDefault="000129FD"/>
                      </w:txbxContent>
                    </wps:txbx>
                    <wps:bodyPr vert="horz" wrap="square" lIns="0" tIns="0" rIns="0" bIns="0" anchor="t" anchorCtr="0"/>
                  </wps:wsp>
                </a:graphicData>
              </a:graphic>
            </wp:anchor>
          </w:drawing>
        </mc:Choice>
        <mc:Fallback>
          <w:pict>
            <v:shapetype w14:anchorId="137DC2F3" id="_x0000_t202" coordsize="21600,21600" o:spt="202" path="m,l,21600r21600,l21600,xe">
              <v:stroke joinstyle="miter"/>
              <v:path gradientshapeok="t" o:connecttype="rect"/>
            </v:shapetype>
            <v:shape id="46fef06f-aa3c-11ea-a756-beb5f67e67be" o:spid="_x0000_s1026"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" filled="f" stroked="f">
              <v:textbox inset="0,0,0,0">
                <w:txbxContent>
                  <w:p w14:paraId="777C34CF" w14:textId="77777777" w:rsidR="000129FD" w:rsidRDefault="000129FD"/>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AC51319" wp14:editId="657A639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45773C" w14:textId="2293269E" w:rsidR="00B758EC" w:rsidRDefault="0065442A">
                          <w:pPr>
                            <w:pStyle w:val="Referentiegegevens"/>
                          </w:pPr>
                          <w:r>
                            <w:t xml:space="preserve">Pagina </w:t>
                          </w:r>
                          <w:r>
                            <w:fldChar w:fldCharType="begin"/>
                          </w:r>
                          <w:r>
                            <w:instrText>PAGE</w:instrText>
                          </w:r>
                          <w:r>
                            <w:fldChar w:fldCharType="separate"/>
                          </w:r>
                          <w:r w:rsidR="00A754D4">
                            <w:rPr>
                              <w:noProof/>
                            </w:rPr>
                            <w:t>2</w:t>
                          </w:r>
                          <w:r>
                            <w:fldChar w:fldCharType="end"/>
                          </w:r>
                          <w:r>
                            <w:t xml:space="preserve"> van </w:t>
                          </w:r>
                          <w:r>
                            <w:fldChar w:fldCharType="begin"/>
                          </w:r>
                          <w:r>
                            <w:instrText>NUMPAGES</w:instrText>
                          </w:r>
                          <w:r>
                            <w:fldChar w:fldCharType="separate"/>
                          </w:r>
                          <w:r w:rsidR="00A754D4">
                            <w:rPr>
                              <w:noProof/>
                            </w:rPr>
                            <w:t>3</w:t>
                          </w:r>
                          <w:r>
                            <w:fldChar w:fldCharType="end"/>
                          </w:r>
                        </w:p>
                      </w:txbxContent>
                    </wps:txbx>
                    <wps:bodyPr vert="horz" wrap="square" lIns="0" tIns="0" rIns="0" bIns="0" anchor="t" anchorCtr="0"/>
                  </wps:wsp>
                </a:graphicData>
              </a:graphic>
            </wp:anchor>
          </w:drawing>
        </mc:Choice>
        <mc:Fallback>
          <w:pict>
            <v:shape w14:anchorId="2AC51319" id="46fef0b8-aa3c-11ea-a756-beb5f67e67be" o:spid="_x0000_s1027"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" filled="f" stroked="f">
              <v:textbox inset="0,0,0,0">
                <w:txbxContent>
                  <w:p w14:paraId="5045773C" w14:textId="2293269E" w:rsidR="00B758EC" w:rsidRDefault="0065442A">
                    <w:pPr>
                      <w:pStyle w:val="Referentiegegevens"/>
                    </w:pPr>
                    <w:r>
                      <w:t xml:space="preserve">Pagina </w:t>
                    </w:r>
                    <w:r>
                      <w:fldChar w:fldCharType="begin"/>
                    </w:r>
                    <w:r>
                      <w:instrText>PAGE</w:instrText>
                    </w:r>
                    <w:r>
                      <w:fldChar w:fldCharType="separate"/>
                    </w:r>
                    <w:r w:rsidR="00A754D4">
                      <w:rPr>
                        <w:noProof/>
                      </w:rPr>
                      <w:t>2</w:t>
                    </w:r>
                    <w:r>
                      <w:fldChar w:fldCharType="end"/>
                    </w:r>
                    <w:r>
                      <w:t xml:space="preserve"> van </w:t>
                    </w:r>
                    <w:r>
                      <w:fldChar w:fldCharType="begin"/>
                    </w:r>
                    <w:r>
                      <w:instrText>NUMPAGES</w:instrText>
                    </w:r>
                    <w:r>
                      <w:fldChar w:fldCharType="separate"/>
                    </w:r>
                    <w:r w:rsidR="00A754D4">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34BC34B" wp14:editId="2C8FDE80">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4A69319C" w14:textId="77777777" w:rsidR="000129FD" w:rsidRDefault="000129FD"/>
                      </w:txbxContent>
                    </wps:txbx>
                    <wps:bodyPr vert="horz" wrap="square" lIns="0" tIns="0" rIns="0" bIns="0" anchor="t" anchorCtr="0"/>
                  </wps:wsp>
                </a:graphicData>
              </a:graphic>
            </wp:anchor>
          </w:drawing>
        </mc:Choice>
        <mc:Fallback>
          <w:pict>
            <v:shape w14:anchorId="234BC34B" id="46feee07-aa3c-11ea-a756-beb5f67e67be" o:spid="_x0000_s1028"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hbLoOJQBAAAUAwAA&#10;DgAAAAAAAAAAAAAAAAAuAgAAZHJzL2Uyb0RvYy54bWxQSwECLQAUAAYACAAAACEAJsYItuAAAAAL&#10;AQAADwAAAAAAAAAAAAAAAADuAwAAZHJzL2Rvd25yZXYueG1sUEsFBgAAAAAEAAQA8wAAAPsEAAAA&#10;AA==&#10;" filled="f" stroked="f">
              <v:textbox inset="0,0,0,0">
                <w:txbxContent>
                  <w:p w14:paraId="4A69319C" w14:textId="77777777" w:rsidR="000129FD" w:rsidRDefault="000129F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FF8E" w14:textId="77777777" w:rsidR="00B758EC" w:rsidRDefault="0065442A">
    <w:pPr>
      <w:spacing w:after="4835" w:line="14" w:lineRule="exact"/>
    </w:pPr>
    <w:r>
      <w:rPr>
        <w:noProof/>
      </w:rPr>
      <mc:AlternateContent>
        <mc:Choice Requires="wps">
          <w:drawing>
            <wp:anchor distT="0" distB="0" distL="0" distR="0" simplePos="0" relativeHeight="251656192" behindDoc="0" locked="1" layoutInCell="1" allowOverlap="1" wp14:anchorId="2657AE91" wp14:editId="0CD0B0E5">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4F1A4372" w14:textId="77777777" w:rsidR="000129FD" w:rsidRDefault="000129FD"/>
                      </w:txbxContent>
                    </wps:txbx>
                    <wps:bodyPr vert="horz" wrap="square" lIns="0" tIns="0" rIns="0" bIns="0" anchor="t" anchorCtr="0"/>
                  </wps:wsp>
                </a:graphicData>
              </a:graphic>
            </wp:anchor>
          </w:drawing>
        </mc:Choice>
        <mc:Fallback>
          <w:pict>
            <v:shapetype w14:anchorId="2657AE91" id="_x0000_t202" coordsize="21600,21600" o:spt="202" path="m,l,21600r21600,l21600,xe">
              <v:stroke joinstyle="miter"/>
              <v:path gradientshapeok="t" o:connecttype="rect"/>
            </v:shapetype>
            <v:shape id="46ff9a2f-aa3c-11ea-a756-beb5f67e67be" o:spid="_x0000_s1029"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" filled="f" stroked="f">
              <v:textbox inset="0,0,0,0">
                <w:txbxContent>
                  <w:p w14:paraId="4F1A4372" w14:textId="77777777" w:rsidR="000129FD" w:rsidRDefault="000129F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D1EE7DB" wp14:editId="65B18BE8">
              <wp:simplePos x="0" y="0"/>
              <wp:positionH relativeFrom="page">
                <wp:posOffset>2418715</wp:posOffset>
              </wp:positionH>
              <wp:positionV relativeFrom="page">
                <wp:posOffset>2740025</wp:posOffset>
              </wp:positionV>
              <wp:extent cx="33623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65A51955" w14:textId="77777777" w:rsidR="00B758EC" w:rsidRDefault="0065442A">
                          <w:r>
                            <w:t>Moties en toezeggingen</w:t>
                          </w:r>
                        </w:p>
                      </w:txbxContent>
                    </wps:txbx>
                    <wps:bodyPr vert="horz" wrap="square" lIns="0" tIns="0" rIns="0" bIns="0" anchor="t" anchorCtr="0"/>
                  </wps:wsp>
                </a:graphicData>
              </a:graphic>
            </wp:anchor>
          </w:drawing>
        </mc:Choice>
        <mc:Fallback>
          <w:pict>
            <v:shape w14:anchorId="3D1EE7DB" id="46feebd0-aa3c-11ea-a756-beb5f67e67be" o:spid="_x0000_s1030" type="#_x0000_t202" style="position:absolute;margin-left:190.45pt;margin-top:215.75pt;width:264.75pt;height: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" filled="f" stroked="f">
              <v:textbox inset="0,0,0,0">
                <w:txbxContent>
                  <w:p w14:paraId="65A51955" w14:textId="77777777" w:rsidR="00B758EC" w:rsidRDefault="0065442A">
                    <w:r>
                      <w:t>Moties en toezeggingen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7512AD4" wp14:editId="2FE50845">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857B3E" w14:textId="77777777" w:rsidR="00B758EC" w:rsidRDefault="0065442A">
                          <w:pPr>
                            <w:pStyle w:val="Referentiegegevensbold"/>
                          </w:pPr>
                          <w:r>
                            <w:t>Programma Directoraat-Generaal</w:t>
                          </w:r>
                        </w:p>
                        <w:p w14:paraId="30D5B159" w14:textId="77777777" w:rsidR="00B758EC" w:rsidRDefault="0065442A">
                          <w:pPr>
                            <w:pStyle w:val="Referentiegegevens"/>
                          </w:pPr>
                          <w:r>
                            <w:t>Directoraat-Generaal Ondermijning</w:t>
                          </w:r>
                        </w:p>
                        <w:p w14:paraId="1101632D" w14:textId="77777777" w:rsidR="00B758EC" w:rsidRDefault="00B758EC">
                          <w:pPr>
                            <w:pStyle w:val="WitregelW1"/>
                          </w:pPr>
                        </w:p>
                        <w:p w14:paraId="5F288B79" w14:textId="77777777" w:rsidR="00BE67A6" w:rsidRDefault="00BE67A6">
                          <w:pPr>
                            <w:pStyle w:val="Referentiegegevensbold"/>
                          </w:pPr>
                        </w:p>
                        <w:p w14:paraId="25B5304F" w14:textId="5277F616" w:rsidR="00B758EC" w:rsidRDefault="0065442A">
                          <w:pPr>
                            <w:pStyle w:val="Referentiegegevensbold"/>
                          </w:pPr>
                          <w:r>
                            <w:t>Onze referentie</w:t>
                          </w:r>
                        </w:p>
                        <w:p w14:paraId="330B10F4" w14:textId="53BD6C87" w:rsidR="00B758EC" w:rsidRPr="00443E26" w:rsidRDefault="00443E26" w:rsidP="00443E26">
                          <w:pPr>
                            <w:pStyle w:val="Referentiegegevens"/>
                          </w:pPr>
                          <w:r w:rsidRPr="00443E26">
                            <w:t>7638446</w:t>
                          </w:r>
                        </w:p>
                      </w:txbxContent>
                    </wps:txbx>
                    <wps:bodyPr vert="horz" wrap="square" lIns="0" tIns="0" rIns="0" bIns="0" anchor="t" anchorCtr="0"/>
                  </wps:wsp>
                </a:graphicData>
              </a:graphic>
            </wp:anchor>
          </w:drawing>
        </mc:Choice>
        <mc:Fallback>
          <w:pict>
            <v:shape w14:anchorId="67512AD4" id="46feec20-aa3c-11ea-a756-beb5f67e67be" o:spid="_x0000_s1031"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9857B3E" w14:textId="77777777" w:rsidR="00B758EC" w:rsidRDefault="0065442A">
                    <w:pPr>
                      <w:pStyle w:val="Referentiegegevensbold"/>
                    </w:pPr>
                    <w:r>
                      <w:t>Programma Directoraat-Generaal</w:t>
                    </w:r>
                  </w:p>
                  <w:p w14:paraId="30D5B159" w14:textId="77777777" w:rsidR="00B758EC" w:rsidRDefault="0065442A">
                    <w:pPr>
                      <w:pStyle w:val="Referentiegegevens"/>
                    </w:pPr>
                    <w:r>
                      <w:t>Directoraat-Generaal Ondermijning</w:t>
                    </w:r>
                  </w:p>
                  <w:p w14:paraId="1101632D" w14:textId="77777777" w:rsidR="00B758EC" w:rsidRDefault="00B758EC">
                    <w:pPr>
                      <w:pStyle w:val="WitregelW1"/>
                    </w:pPr>
                  </w:p>
                  <w:p w14:paraId="5F288B79" w14:textId="77777777" w:rsidR="00BE67A6" w:rsidRDefault="00BE67A6">
                    <w:pPr>
                      <w:pStyle w:val="Referentiegegevensbold"/>
                    </w:pPr>
                  </w:p>
                  <w:p w14:paraId="25B5304F" w14:textId="5277F616" w:rsidR="00B758EC" w:rsidRDefault="0065442A">
                    <w:pPr>
                      <w:pStyle w:val="Referentiegegevensbold"/>
                    </w:pPr>
                    <w:r>
                      <w:t>Onze referentie</w:t>
                    </w:r>
                  </w:p>
                  <w:p w14:paraId="330B10F4" w14:textId="53BD6C87" w:rsidR="00B758EC" w:rsidRPr="00443E26" w:rsidRDefault="00443E26" w:rsidP="00443E26">
                    <w:pPr>
                      <w:pStyle w:val="Referentiegegevens"/>
                    </w:pPr>
                    <w:r w:rsidRPr="00443E26">
                      <w:t>7638446</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07AFF36" wp14:editId="099D5A51">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056F1F9" w14:textId="77777777" w:rsidR="000129FD" w:rsidRDefault="000129FD"/>
                      </w:txbxContent>
                    </wps:txbx>
                    <wps:bodyPr vert="horz" wrap="square" lIns="0" tIns="0" rIns="0" bIns="0" anchor="t" anchorCtr="0"/>
                  </wps:wsp>
                </a:graphicData>
              </a:graphic>
            </wp:anchor>
          </w:drawing>
        </mc:Choice>
        <mc:Fallback>
          <w:pict>
            <v:shape w14:anchorId="007AFF36" id="46feec6f-aa3c-11ea-a756-beb5f67e67be" o:spid="_x0000_s1032"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0056F1F9" w14:textId="77777777" w:rsidR="000129FD" w:rsidRDefault="000129FD"/>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49E8288" wp14:editId="00028E17">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12689D" w14:textId="77777777" w:rsidR="00B758EC" w:rsidRDefault="0065442A">
                          <w:pPr>
                            <w:pStyle w:val="Referentiegegevens"/>
                          </w:pPr>
                          <w:r>
                            <w:t xml:space="preserve">Pagina </w:t>
                          </w:r>
                          <w:r>
                            <w:fldChar w:fldCharType="begin"/>
                          </w:r>
                          <w:r>
                            <w:instrText>PAGE</w:instrText>
                          </w:r>
                          <w:r>
                            <w:fldChar w:fldCharType="separate"/>
                          </w:r>
                          <w:r w:rsidR="00A754D4">
                            <w:rPr>
                              <w:noProof/>
                            </w:rPr>
                            <w:t>1</w:t>
                          </w:r>
                          <w:r>
                            <w:fldChar w:fldCharType="end"/>
                          </w:r>
                          <w:r>
                            <w:t xml:space="preserve"> van </w:t>
                          </w:r>
                          <w:r>
                            <w:fldChar w:fldCharType="begin"/>
                          </w:r>
                          <w:r>
                            <w:instrText>NUMPAGES</w:instrText>
                          </w:r>
                          <w:r>
                            <w:fldChar w:fldCharType="separate"/>
                          </w:r>
                          <w:r w:rsidR="00A754D4">
                            <w:rPr>
                              <w:noProof/>
                            </w:rPr>
                            <w:t>1</w:t>
                          </w:r>
                          <w:r>
                            <w:fldChar w:fldCharType="end"/>
                          </w:r>
                        </w:p>
                      </w:txbxContent>
                    </wps:txbx>
                    <wps:bodyPr vert="horz" wrap="square" lIns="0" tIns="0" rIns="0" bIns="0" anchor="t" anchorCtr="0"/>
                  </wps:wsp>
                </a:graphicData>
              </a:graphic>
            </wp:anchor>
          </w:drawing>
        </mc:Choice>
        <mc:Fallback>
          <w:pict>
            <v:shape w14:anchorId="749E8288" id="46feecbe-aa3c-11ea-a756-beb5f67e67be" o:spid="_x0000_s1033"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A12689D" w14:textId="77777777" w:rsidR="00B758EC" w:rsidRDefault="0065442A">
                    <w:pPr>
                      <w:pStyle w:val="Referentiegegevens"/>
                    </w:pPr>
                    <w:r>
                      <w:t xml:space="preserve">Pagina </w:t>
                    </w:r>
                    <w:r>
                      <w:fldChar w:fldCharType="begin"/>
                    </w:r>
                    <w:r>
                      <w:instrText>PAGE</w:instrText>
                    </w:r>
                    <w:r>
                      <w:fldChar w:fldCharType="separate"/>
                    </w:r>
                    <w:r w:rsidR="00A754D4">
                      <w:rPr>
                        <w:noProof/>
                      </w:rPr>
                      <w:t>1</w:t>
                    </w:r>
                    <w:r>
                      <w:fldChar w:fldCharType="end"/>
                    </w:r>
                    <w:r>
                      <w:t xml:space="preserve"> van </w:t>
                    </w:r>
                    <w:r>
                      <w:fldChar w:fldCharType="begin"/>
                    </w:r>
                    <w:r>
                      <w:instrText>NUMPAGES</w:instrText>
                    </w:r>
                    <w:r>
                      <w:fldChar w:fldCharType="separate"/>
                    </w:r>
                    <w:r w:rsidR="00A754D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D11A8CC" wp14:editId="29858CE7">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3571CC4" w14:textId="77777777" w:rsidR="00B758EC" w:rsidRDefault="0065442A">
                          <w:pPr>
                            <w:spacing w:line="240" w:lineRule="auto"/>
                          </w:pPr>
                          <w:r>
                            <w:rPr>
                              <w:noProof/>
                            </w:rPr>
                            <w:drawing>
                              <wp:inline distT="0" distB="0" distL="0" distR="0" wp14:anchorId="73968930" wp14:editId="7119F523">
                                <wp:extent cx="467995" cy="1583865"/>
                                <wp:effectExtent l="0" t="0" r="0" b="0"/>
                                <wp:docPr id="13982559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11A8CC" id="46feed0e-aa3c-11ea-a756-beb5f67e67be" o:spid="_x0000_s1034"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3571CC4" w14:textId="77777777" w:rsidR="00B758EC" w:rsidRDefault="0065442A">
                    <w:pPr>
                      <w:spacing w:line="240" w:lineRule="auto"/>
                    </w:pPr>
                    <w:r>
                      <w:rPr>
                        <w:noProof/>
                      </w:rPr>
                      <w:drawing>
                        <wp:inline distT="0" distB="0" distL="0" distR="0" wp14:anchorId="73968930" wp14:editId="7119F523">
                          <wp:extent cx="467995" cy="1583865"/>
                          <wp:effectExtent l="0" t="0" r="0" b="0"/>
                          <wp:docPr id="13982559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37B45D3" wp14:editId="2B326334">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3A1C33" w14:textId="77777777" w:rsidR="00B758EC" w:rsidRDefault="0065442A">
                          <w:pPr>
                            <w:spacing w:line="240" w:lineRule="auto"/>
                          </w:pPr>
                          <w:r>
                            <w:rPr>
                              <w:noProof/>
                            </w:rPr>
                            <w:drawing>
                              <wp:inline distT="0" distB="0" distL="0" distR="0" wp14:anchorId="0BDE45EA" wp14:editId="692CE1C5">
                                <wp:extent cx="2339975" cy="1582834"/>
                                <wp:effectExtent l="0" t="0" r="0" b="0"/>
                                <wp:docPr id="37167381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7B45D3" id="46feed67-aa3c-11ea-a756-beb5f67e67be" o:spid="_x0000_s1035"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F3A1C33" w14:textId="77777777" w:rsidR="00B758EC" w:rsidRDefault="0065442A">
                    <w:pPr>
                      <w:spacing w:line="240" w:lineRule="auto"/>
                    </w:pPr>
                    <w:r>
                      <w:rPr>
                        <w:noProof/>
                      </w:rPr>
                      <w:drawing>
                        <wp:inline distT="0" distB="0" distL="0" distR="0" wp14:anchorId="0BDE45EA" wp14:editId="692CE1C5">
                          <wp:extent cx="2339975" cy="1582834"/>
                          <wp:effectExtent l="0" t="0" r="0" b="0"/>
                          <wp:docPr id="371673819"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7149A88" wp14:editId="7C7928AC">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47007E32" w14:textId="77777777" w:rsidR="00B758EC" w:rsidRDefault="0065442A">
                          <w:pPr>
                            <w:spacing w:line="240" w:lineRule="auto"/>
                          </w:pPr>
                          <w:r>
                            <w:rPr>
                              <w:noProof/>
                            </w:rPr>
                            <w:drawing>
                              <wp:inline distT="0" distB="0" distL="0" distR="0" wp14:anchorId="79DE3282" wp14:editId="5C448D4D">
                                <wp:extent cx="1238250" cy="536370"/>
                                <wp:effectExtent l="0" t="0" r="0" b="0"/>
                                <wp:docPr id="1094751663"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149A88" id="46fef31b-aa3c-11ea-a756-beb5f67e67be" o:spid="_x0000_s1036"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" filled="f" stroked="f">
              <v:textbox inset="0,0,0,0">
                <w:txbxContent>
                  <w:p w14:paraId="47007E32" w14:textId="77777777" w:rsidR="00B758EC" w:rsidRDefault="0065442A">
                    <w:pPr>
                      <w:spacing w:line="240" w:lineRule="auto"/>
                    </w:pPr>
                    <w:r>
                      <w:rPr>
                        <w:noProof/>
                      </w:rPr>
                      <w:drawing>
                        <wp:inline distT="0" distB="0" distL="0" distR="0" wp14:anchorId="79DE3282" wp14:editId="5C448D4D">
                          <wp:extent cx="1238250" cy="536370"/>
                          <wp:effectExtent l="0" t="0" r="0" b="0"/>
                          <wp:docPr id="1094751663" name="Document_name_-_annex" descr="bijlage" title="bijlage"/>
                          <wp:cNvGraphicFramePr/>
                          <a:graphic xmlns:a="http://schemas.openxmlformats.org/drawingml/2006/main">
                            <a:graphicData uri="http://schemas.openxmlformats.org/drawingml/2006/picture">
                              <pic:pic xmlns:pic="http://schemas.openxmlformats.org/drawingml/2006/picture">
                                <pic:nvPicPr>
                                  <pic:cNvPr id="15" name="Document_name_-_annex"/>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D40383"/>
    <w:multiLevelType w:val="multilevel"/>
    <w:tmpl w:val="0021F87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308501D"/>
    <w:multiLevelType w:val="multilevel"/>
    <w:tmpl w:val="95C0771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A456500"/>
    <w:multiLevelType w:val="multilevel"/>
    <w:tmpl w:val="FAA820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5135078"/>
    <w:multiLevelType w:val="hybridMultilevel"/>
    <w:tmpl w:val="F2961450"/>
    <w:lvl w:ilvl="0" w:tplc="6DCEE792">
      <w:start w:val="1"/>
      <w:numFmt w:val="decimal"/>
      <w:lvlText w:val="%1)"/>
      <w:lvlJc w:val="left"/>
      <w:pPr>
        <w:ind w:left="720" w:hanging="360"/>
      </w:pPr>
    </w:lvl>
    <w:lvl w:ilvl="1" w:tplc="90045962" w:tentative="1">
      <w:start w:val="1"/>
      <w:numFmt w:val="lowerLetter"/>
      <w:lvlText w:val="%2."/>
      <w:lvlJc w:val="left"/>
      <w:pPr>
        <w:ind w:left="1440" w:hanging="360"/>
      </w:pPr>
    </w:lvl>
    <w:lvl w:ilvl="2" w:tplc="7CE01162" w:tentative="1">
      <w:start w:val="1"/>
      <w:numFmt w:val="lowerRoman"/>
      <w:lvlText w:val="%3."/>
      <w:lvlJc w:val="right"/>
      <w:pPr>
        <w:ind w:left="2160" w:hanging="180"/>
      </w:pPr>
    </w:lvl>
    <w:lvl w:ilvl="3" w:tplc="1F5A3282" w:tentative="1">
      <w:start w:val="1"/>
      <w:numFmt w:val="decimal"/>
      <w:lvlText w:val="%4."/>
      <w:lvlJc w:val="left"/>
      <w:pPr>
        <w:ind w:left="2880" w:hanging="360"/>
      </w:pPr>
    </w:lvl>
    <w:lvl w:ilvl="4" w:tplc="13C4ACE8" w:tentative="1">
      <w:start w:val="1"/>
      <w:numFmt w:val="lowerLetter"/>
      <w:lvlText w:val="%5."/>
      <w:lvlJc w:val="left"/>
      <w:pPr>
        <w:ind w:left="3600" w:hanging="360"/>
      </w:pPr>
    </w:lvl>
    <w:lvl w:ilvl="5" w:tplc="ED9E5D72" w:tentative="1">
      <w:start w:val="1"/>
      <w:numFmt w:val="lowerRoman"/>
      <w:lvlText w:val="%6."/>
      <w:lvlJc w:val="right"/>
      <w:pPr>
        <w:ind w:left="4320" w:hanging="180"/>
      </w:pPr>
    </w:lvl>
    <w:lvl w:ilvl="6" w:tplc="47A4E812" w:tentative="1">
      <w:start w:val="1"/>
      <w:numFmt w:val="decimal"/>
      <w:lvlText w:val="%7."/>
      <w:lvlJc w:val="left"/>
      <w:pPr>
        <w:ind w:left="5040" w:hanging="360"/>
      </w:pPr>
    </w:lvl>
    <w:lvl w:ilvl="7" w:tplc="BC88222E" w:tentative="1">
      <w:start w:val="1"/>
      <w:numFmt w:val="lowerLetter"/>
      <w:lvlText w:val="%8."/>
      <w:lvlJc w:val="left"/>
      <w:pPr>
        <w:ind w:left="5760" w:hanging="360"/>
      </w:pPr>
    </w:lvl>
    <w:lvl w:ilvl="8" w:tplc="8A6029B4" w:tentative="1">
      <w:start w:val="1"/>
      <w:numFmt w:val="lowerRoman"/>
      <w:lvlText w:val="%9."/>
      <w:lvlJc w:val="right"/>
      <w:pPr>
        <w:ind w:left="6480" w:hanging="180"/>
      </w:pPr>
    </w:lvl>
  </w:abstractNum>
  <w:abstractNum w:abstractNumId="4" w15:restartNumberingAfterBreak="0">
    <w:nsid w:val="07F85B45"/>
    <w:multiLevelType w:val="hybridMultilevel"/>
    <w:tmpl w:val="596C1B86"/>
    <w:lvl w:ilvl="0" w:tplc="6DD8873E">
      <w:start w:val="1"/>
      <w:numFmt w:val="lowerLetter"/>
      <w:lvlText w:val="%1."/>
      <w:lvlJc w:val="left"/>
      <w:pPr>
        <w:ind w:left="144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BF747D"/>
    <w:multiLevelType w:val="hybridMultilevel"/>
    <w:tmpl w:val="7570A9CC"/>
    <w:lvl w:ilvl="0" w:tplc="7502738E">
      <w:start w:val="1"/>
      <w:numFmt w:val="decimal"/>
      <w:lvlText w:val="%1."/>
      <w:lvlJc w:val="left"/>
      <w:pPr>
        <w:ind w:left="720" w:hanging="360"/>
      </w:pPr>
      <w:rPr>
        <w:rFonts w:hint="default"/>
        <w:b/>
        <w:bCs w:val="0"/>
      </w:rPr>
    </w:lvl>
    <w:lvl w:ilvl="1" w:tplc="AA6EEFF4">
      <w:start w:val="1"/>
      <w:numFmt w:val="lowerLetter"/>
      <w:lvlText w:val="%2."/>
      <w:lvlJc w:val="left"/>
      <w:pPr>
        <w:ind w:left="1440" w:hanging="360"/>
      </w:pPr>
      <w:rPr>
        <w:b w:val="0"/>
        <w:bCs/>
      </w:rPr>
    </w:lvl>
    <w:lvl w:ilvl="2" w:tplc="11B6D5BC">
      <w:start w:val="1"/>
      <w:numFmt w:val="lowerRoman"/>
      <w:lvlText w:val="%3."/>
      <w:lvlJc w:val="right"/>
      <w:pPr>
        <w:ind w:left="2160" w:hanging="180"/>
      </w:pPr>
    </w:lvl>
    <w:lvl w:ilvl="3" w:tplc="2B303140" w:tentative="1">
      <w:start w:val="1"/>
      <w:numFmt w:val="decimal"/>
      <w:lvlText w:val="%4."/>
      <w:lvlJc w:val="left"/>
      <w:pPr>
        <w:ind w:left="2880" w:hanging="360"/>
      </w:pPr>
    </w:lvl>
    <w:lvl w:ilvl="4" w:tplc="BB52D6D0" w:tentative="1">
      <w:start w:val="1"/>
      <w:numFmt w:val="lowerLetter"/>
      <w:lvlText w:val="%5."/>
      <w:lvlJc w:val="left"/>
      <w:pPr>
        <w:ind w:left="3600" w:hanging="360"/>
      </w:pPr>
    </w:lvl>
    <w:lvl w:ilvl="5" w:tplc="A210AEA8" w:tentative="1">
      <w:start w:val="1"/>
      <w:numFmt w:val="lowerRoman"/>
      <w:lvlText w:val="%6."/>
      <w:lvlJc w:val="right"/>
      <w:pPr>
        <w:ind w:left="4320" w:hanging="180"/>
      </w:pPr>
    </w:lvl>
    <w:lvl w:ilvl="6" w:tplc="15AE2FE6" w:tentative="1">
      <w:start w:val="1"/>
      <w:numFmt w:val="decimal"/>
      <w:lvlText w:val="%7."/>
      <w:lvlJc w:val="left"/>
      <w:pPr>
        <w:ind w:left="5040" w:hanging="360"/>
      </w:pPr>
    </w:lvl>
    <w:lvl w:ilvl="7" w:tplc="0242F65A" w:tentative="1">
      <w:start w:val="1"/>
      <w:numFmt w:val="lowerLetter"/>
      <w:lvlText w:val="%8."/>
      <w:lvlJc w:val="left"/>
      <w:pPr>
        <w:ind w:left="5760" w:hanging="360"/>
      </w:pPr>
    </w:lvl>
    <w:lvl w:ilvl="8" w:tplc="60224C1E" w:tentative="1">
      <w:start w:val="1"/>
      <w:numFmt w:val="lowerRoman"/>
      <w:lvlText w:val="%9."/>
      <w:lvlJc w:val="right"/>
      <w:pPr>
        <w:ind w:left="6480" w:hanging="180"/>
      </w:pPr>
    </w:lvl>
  </w:abstractNum>
  <w:abstractNum w:abstractNumId="6" w15:restartNumberingAfterBreak="0">
    <w:nsid w:val="1CC97824"/>
    <w:multiLevelType w:val="hybridMultilevel"/>
    <w:tmpl w:val="C462890A"/>
    <w:lvl w:ilvl="0" w:tplc="6DD8873E">
      <w:start w:val="1"/>
      <w:numFmt w:val="lowerLetter"/>
      <w:lvlText w:val="%1."/>
      <w:lvlJc w:val="left"/>
      <w:pPr>
        <w:ind w:left="144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3354FE"/>
    <w:multiLevelType w:val="multilevel"/>
    <w:tmpl w:val="1762FE9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37AC7CA6"/>
    <w:multiLevelType w:val="hybridMultilevel"/>
    <w:tmpl w:val="9CE4880A"/>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lvl>
    <w:lvl w:ilvl="3" w:tplc="FFFFFFFF">
      <w:start w:val="16"/>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4A4D0C"/>
    <w:multiLevelType w:val="hybridMultilevel"/>
    <w:tmpl w:val="596C1B86"/>
    <w:lvl w:ilvl="0" w:tplc="FFFFFFFF">
      <w:start w:val="1"/>
      <w:numFmt w:val="lowerLetter"/>
      <w:lvlText w:val="%1."/>
      <w:lvlJc w:val="left"/>
      <w:pPr>
        <w:ind w:left="144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A73D67"/>
    <w:multiLevelType w:val="hybridMultilevel"/>
    <w:tmpl w:val="9CE4880A"/>
    <w:lvl w:ilvl="0" w:tplc="3D509ABA">
      <w:start w:val="1"/>
      <w:numFmt w:val="decimal"/>
      <w:lvlText w:val="%1."/>
      <w:lvlJc w:val="left"/>
      <w:pPr>
        <w:ind w:left="720" w:hanging="360"/>
      </w:pPr>
      <w:rPr>
        <w:rFonts w:hint="default"/>
        <w:b/>
        <w:bCs w:val="0"/>
      </w:rPr>
    </w:lvl>
    <w:lvl w:ilvl="1" w:tplc="6DD8873E">
      <w:start w:val="1"/>
      <w:numFmt w:val="lowerLetter"/>
      <w:lvlText w:val="%2."/>
      <w:lvlJc w:val="left"/>
      <w:pPr>
        <w:ind w:left="1440" w:hanging="360"/>
      </w:pPr>
      <w:rPr>
        <w:b w:val="0"/>
        <w:bCs/>
      </w:rPr>
    </w:lvl>
    <w:lvl w:ilvl="2" w:tplc="C75E1756">
      <w:start w:val="1"/>
      <w:numFmt w:val="lowerRoman"/>
      <w:lvlText w:val="%3."/>
      <w:lvlJc w:val="right"/>
      <w:pPr>
        <w:ind w:left="2160" w:hanging="180"/>
      </w:pPr>
    </w:lvl>
    <w:lvl w:ilvl="3" w:tplc="9E2C88C0">
      <w:start w:val="16"/>
      <w:numFmt w:val="upperLetter"/>
      <w:lvlText w:val="%4."/>
      <w:lvlJc w:val="left"/>
      <w:pPr>
        <w:ind w:left="2880" w:hanging="360"/>
      </w:pPr>
      <w:rPr>
        <w:rFonts w:hint="default"/>
      </w:rPr>
    </w:lvl>
    <w:lvl w:ilvl="4" w:tplc="AEFA3DF4" w:tentative="1">
      <w:start w:val="1"/>
      <w:numFmt w:val="lowerLetter"/>
      <w:lvlText w:val="%5."/>
      <w:lvlJc w:val="left"/>
      <w:pPr>
        <w:ind w:left="3600" w:hanging="360"/>
      </w:pPr>
    </w:lvl>
    <w:lvl w:ilvl="5" w:tplc="0DFA79E2" w:tentative="1">
      <w:start w:val="1"/>
      <w:numFmt w:val="lowerRoman"/>
      <w:lvlText w:val="%6."/>
      <w:lvlJc w:val="right"/>
      <w:pPr>
        <w:ind w:left="4320" w:hanging="180"/>
      </w:pPr>
    </w:lvl>
    <w:lvl w:ilvl="6" w:tplc="6DD86B64" w:tentative="1">
      <w:start w:val="1"/>
      <w:numFmt w:val="decimal"/>
      <w:lvlText w:val="%7."/>
      <w:lvlJc w:val="left"/>
      <w:pPr>
        <w:ind w:left="5040" w:hanging="360"/>
      </w:pPr>
    </w:lvl>
    <w:lvl w:ilvl="7" w:tplc="33FCD998" w:tentative="1">
      <w:start w:val="1"/>
      <w:numFmt w:val="lowerLetter"/>
      <w:lvlText w:val="%8."/>
      <w:lvlJc w:val="left"/>
      <w:pPr>
        <w:ind w:left="5760" w:hanging="360"/>
      </w:pPr>
    </w:lvl>
    <w:lvl w:ilvl="8" w:tplc="5B3A3F28" w:tentative="1">
      <w:start w:val="1"/>
      <w:numFmt w:val="lowerRoman"/>
      <w:lvlText w:val="%9."/>
      <w:lvlJc w:val="right"/>
      <w:pPr>
        <w:ind w:left="6480" w:hanging="180"/>
      </w:pPr>
    </w:lvl>
  </w:abstractNum>
  <w:abstractNum w:abstractNumId="11" w15:restartNumberingAfterBreak="0">
    <w:nsid w:val="3ED23FD7"/>
    <w:multiLevelType w:val="hybridMultilevel"/>
    <w:tmpl w:val="CB180CE6"/>
    <w:lvl w:ilvl="0" w:tplc="97507A72">
      <w:start w:val="1"/>
      <w:numFmt w:val="lowerLetter"/>
      <w:lvlText w:val="%1."/>
      <w:lvlJc w:val="left"/>
      <w:pPr>
        <w:ind w:left="1440" w:hanging="360"/>
      </w:pPr>
      <w:rPr>
        <w:b w:val="0"/>
        <w:bCs/>
        <w:i/>
        <w:iCs/>
        <w:color w:val="auto"/>
      </w:rPr>
    </w:lvl>
    <w:lvl w:ilvl="1" w:tplc="D7B6F7C4">
      <w:start w:val="1"/>
      <w:numFmt w:val="lowerRoman"/>
      <w:lvlText w:val="%2."/>
      <w:lvlJc w:val="left"/>
      <w:pPr>
        <w:ind w:left="1440" w:hanging="360"/>
      </w:pPr>
      <w:rPr>
        <w:rFonts w:ascii="Verdana" w:eastAsia="Times New Roman" w:hAnsi="Verdana" w:cs="Times New Roman"/>
      </w:rPr>
    </w:lvl>
    <w:lvl w:ilvl="2" w:tplc="B9EC333E" w:tentative="1">
      <w:start w:val="1"/>
      <w:numFmt w:val="lowerRoman"/>
      <w:lvlText w:val="%3."/>
      <w:lvlJc w:val="right"/>
      <w:pPr>
        <w:ind w:left="2160" w:hanging="180"/>
      </w:pPr>
    </w:lvl>
    <w:lvl w:ilvl="3" w:tplc="537AE6A6">
      <w:start w:val="1"/>
      <w:numFmt w:val="decimal"/>
      <w:lvlText w:val="%4."/>
      <w:lvlJc w:val="left"/>
      <w:pPr>
        <w:ind w:left="2880" w:hanging="360"/>
      </w:pPr>
    </w:lvl>
    <w:lvl w:ilvl="4" w:tplc="F768DFEE" w:tentative="1">
      <w:start w:val="1"/>
      <w:numFmt w:val="lowerLetter"/>
      <w:lvlText w:val="%5."/>
      <w:lvlJc w:val="left"/>
      <w:pPr>
        <w:ind w:left="3600" w:hanging="360"/>
      </w:pPr>
    </w:lvl>
    <w:lvl w:ilvl="5" w:tplc="311426CA" w:tentative="1">
      <w:start w:val="1"/>
      <w:numFmt w:val="lowerRoman"/>
      <w:lvlText w:val="%6."/>
      <w:lvlJc w:val="right"/>
      <w:pPr>
        <w:ind w:left="4320" w:hanging="180"/>
      </w:pPr>
    </w:lvl>
    <w:lvl w:ilvl="6" w:tplc="6D689BB2" w:tentative="1">
      <w:start w:val="1"/>
      <w:numFmt w:val="decimal"/>
      <w:lvlText w:val="%7."/>
      <w:lvlJc w:val="left"/>
      <w:pPr>
        <w:ind w:left="5040" w:hanging="360"/>
      </w:pPr>
    </w:lvl>
    <w:lvl w:ilvl="7" w:tplc="9B80F8BA" w:tentative="1">
      <w:start w:val="1"/>
      <w:numFmt w:val="lowerLetter"/>
      <w:lvlText w:val="%8."/>
      <w:lvlJc w:val="left"/>
      <w:pPr>
        <w:ind w:left="5760" w:hanging="360"/>
      </w:pPr>
    </w:lvl>
    <w:lvl w:ilvl="8" w:tplc="92565C40" w:tentative="1">
      <w:start w:val="1"/>
      <w:numFmt w:val="lowerRoman"/>
      <w:lvlText w:val="%9."/>
      <w:lvlJc w:val="right"/>
      <w:pPr>
        <w:ind w:left="6480" w:hanging="180"/>
      </w:pPr>
    </w:lvl>
  </w:abstractNum>
  <w:abstractNum w:abstractNumId="12" w15:restartNumberingAfterBreak="0">
    <w:nsid w:val="43AA1166"/>
    <w:multiLevelType w:val="hybridMultilevel"/>
    <w:tmpl w:val="9C561528"/>
    <w:lvl w:ilvl="0" w:tplc="0EAC5F2A">
      <w:start w:val="1"/>
      <w:numFmt w:val="decimal"/>
      <w:lvlText w:val="%1."/>
      <w:lvlJc w:val="left"/>
      <w:pPr>
        <w:ind w:left="720" w:hanging="360"/>
      </w:pPr>
      <w:rPr>
        <w:rFonts w:hint="default"/>
        <w:b/>
        <w:bCs w:val="0"/>
      </w:rPr>
    </w:lvl>
    <w:lvl w:ilvl="1" w:tplc="530C471E">
      <w:start w:val="1"/>
      <w:numFmt w:val="lowerLetter"/>
      <w:lvlText w:val="%2."/>
      <w:lvlJc w:val="left"/>
      <w:pPr>
        <w:ind w:left="1440" w:hanging="360"/>
      </w:pPr>
      <w:rPr>
        <w:b w:val="0"/>
        <w:bCs/>
      </w:rPr>
    </w:lvl>
    <w:lvl w:ilvl="2" w:tplc="D41006FC">
      <w:start w:val="1"/>
      <w:numFmt w:val="lowerRoman"/>
      <w:lvlText w:val="%3."/>
      <w:lvlJc w:val="right"/>
      <w:pPr>
        <w:ind w:left="2160" w:hanging="180"/>
      </w:pPr>
    </w:lvl>
    <w:lvl w:ilvl="3" w:tplc="5E16D4BC" w:tentative="1">
      <w:start w:val="1"/>
      <w:numFmt w:val="decimal"/>
      <w:lvlText w:val="%4."/>
      <w:lvlJc w:val="left"/>
      <w:pPr>
        <w:ind w:left="2880" w:hanging="360"/>
      </w:pPr>
    </w:lvl>
    <w:lvl w:ilvl="4" w:tplc="EC82CDE2" w:tentative="1">
      <w:start w:val="1"/>
      <w:numFmt w:val="lowerLetter"/>
      <w:lvlText w:val="%5."/>
      <w:lvlJc w:val="left"/>
      <w:pPr>
        <w:ind w:left="3600" w:hanging="360"/>
      </w:pPr>
    </w:lvl>
    <w:lvl w:ilvl="5" w:tplc="0A4206CA" w:tentative="1">
      <w:start w:val="1"/>
      <w:numFmt w:val="lowerRoman"/>
      <w:lvlText w:val="%6."/>
      <w:lvlJc w:val="right"/>
      <w:pPr>
        <w:ind w:left="4320" w:hanging="180"/>
      </w:pPr>
    </w:lvl>
    <w:lvl w:ilvl="6" w:tplc="B6EAD79A" w:tentative="1">
      <w:start w:val="1"/>
      <w:numFmt w:val="decimal"/>
      <w:lvlText w:val="%7."/>
      <w:lvlJc w:val="left"/>
      <w:pPr>
        <w:ind w:left="5040" w:hanging="360"/>
      </w:pPr>
    </w:lvl>
    <w:lvl w:ilvl="7" w:tplc="B5B2ED94" w:tentative="1">
      <w:start w:val="1"/>
      <w:numFmt w:val="lowerLetter"/>
      <w:lvlText w:val="%8."/>
      <w:lvlJc w:val="left"/>
      <w:pPr>
        <w:ind w:left="5760" w:hanging="360"/>
      </w:pPr>
    </w:lvl>
    <w:lvl w:ilvl="8" w:tplc="DCFC587A" w:tentative="1">
      <w:start w:val="1"/>
      <w:numFmt w:val="lowerRoman"/>
      <w:lvlText w:val="%9."/>
      <w:lvlJc w:val="right"/>
      <w:pPr>
        <w:ind w:left="6480" w:hanging="180"/>
      </w:pPr>
    </w:lvl>
  </w:abstractNum>
  <w:abstractNum w:abstractNumId="13" w15:restartNumberingAfterBreak="0">
    <w:nsid w:val="4AEC0DC0"/>
    <w:multiLevelType w:val="hybridMultilevel"/>
    <w:tmpl w:val="E382B864"/>
    <w:lvl w:ilvl="0" w:tplc="53204F00">
      <w:start w:val="1"/>
      <w:numFmt w:val="decimal"/>
      <w:lvlText w:val="%1."/>
      <w:lvlJc w:val="left"/>
      <w:pPr>
        <w:ind w:left="720" w:hanging="360"/>
      </w:pPr>
      <w:rPr>
        <w:rFonts w:hint="default"/>
        <w:b/>
        <w:bCs/>
        <w:color w:val="0000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D6CBD8E"/>
    <w:multiLevelType w:val="multilevel"/>
    <w:tmpl w:val="0524E3D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4F967631"/>
    <w:multiLevelType w:val="hybridMultilevel"/>
    <w:tmpl w:val="F36AC2D4"/>
    <w:lvl w:ilvl="0" w:tplc="6DD8873E">
      <w:start w:val="1"/>
      <w:numFmt w:val="lowerLetter"/>
      <w:lvlText w:val="%1."/>
      <w:lvlJc w:val="left"/>
      <w:pPr>
        <w:ind w:left="144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8E67B6"/>
    <w:multiLevelType w:val="multilevel"/>
    <w:tmpl w:val="075CA9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AC1433"/>
    <w:multiLevelType w:val="multilevel"/>
    <w:tmpl w:val="FF0BCF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A1B635F"/>
    <w:multiLevelType w:val="hybridMultilevel"/>
    <w:tmpl w:val="FFA299C6"/>
    <w:lvl w:ilvl="0" w:tplc="FD240D92">
      <w:start w:val="1"/>
      <w:numFmt w:val="decimal"/>
      <w:lvlText w:val="%1)"/>
      <w:lvlJc w:val="left"/>
      <w:pPr>
        <w:ind w:left="2160" w:hanging="360"/>
      </w:pPr>
    </w:lvl>
    <w:lvl w:ilvl="1" w:tplc="F016151E" w:tentative="1">
      <w:start w:val="1"/>
      <w:numFmt w:val="lowerLetter"/>
      <w:lvlText w:val="%2."/>
      <w:lvlJc w:val="left"/>
      <w:pPr>
        <w:ind w:left="2880" w:hanging="360"/>
      </w:pPr>
    </w:lvl>
    <w:lvl w:ilvl="2" w:tplc="A5D08880" w:tentative="1">
      <w:start w:val="1"/>
      <w:numFmt w:val="lowerRoman"/>
      <w:lvlText w:val="%3."/>
      <w:lvlJc w:val="right"/>
      <w:pPr>
        <w:ind w:left="3600" w:hanging="180"/>
      </w:pPr>
    </w:lvl>
    <w:lvl w:ilvl="3" w:tplc="FD344E8C" w:tentative="1">
      <w:start w:val="1"/>
      <w:numFmt w:val="decimal"/>
      <w:lvlText w:val="%4."/>
      <w:lvlJc w:val="left"/>
      <w:pPr>
        <w:ind w:left="4320" w:hanging="360"/>
      </w:pPr>
    </w:lvl>
    <w:lvl w:ilvl="4" w:tplc="BB6CC916" w:tentative="1">
      <w:start w:val="1"/>
      <w:numFmt w:val="lowerLetter"/>
      <w:lvlText w:val="%5."/>
      <w:lvlJc w:val="left"/>
      <w:pPr>
        <w:ind w:left="5040" w:hanging="360"/>
      </w:pPr>
    </w:lvl>
    <w:lvl w:ilvl="5" w:tplc="F4A26DA4" w:tentative="1">
      <w:start w:val="1"/>
      <w:numFmt w:val="lowerRoman"/>
      <w:lvlText w:val="%6."/>
      <w:lvlJc w:val="right"/>
      <w:pPr>
        <w:ind w:left="5760" w:hanging="180"/>
      </w:pPr>
    </w:lvl>
    <w:lvl w:ilvl="6" w:tplc="AC1EA172" w:tentative="1">
      <w:start w:val="1"/>
      <w:numFmt w:val="decimal"/>
      <w:lvlText w:val="%7."/>
      <w:lvlJc w:val="left"/>
      <w:pPr>
        <w:ind w:left="6480" w:hanging="360"/>
      </w:pPr>
    </w:lvl>
    <w:lvl w:ilvl="7" w:tplc="00506B52" w:tentative="1">
      <w:start w:val="1"/>
      <w:numFmt w:val="lowerLetter"/>
      <w:lvlText w:val="%8."/>
      <w:lvlJc w:val="left"/>
      <w:pPr>
        <w:ind w:left="7200" w:hanging="360"/>
      </w:pPr>
    </w:lvl>
    <w:lvl w:ilvl="8" w:tplc="AEC06A64" w:tentative="1">
      <w:start w:val="1"/>
      <w:numFmt w:val="lowerRoman"/>
      <w:lvlText w:val="%9."/>
      <w:lvlJc w:val="right"/>
      <w:pPr>
        <w:ind w:left="7920" w:hanging="180"/>
      </w:pPr>
    </w:lvl>
  </w:abstractNum>
  <w:abstractNum w:abstractNumId="19" w15:restartNumberingAfterBreak="0">
    <w:nsid w:val="6CB66402"/>
    <w:multiLevelType w:val="hybridMultilevel"/>
    <w:tmpl w:val="C04A8408"/>
    <w:lvl w:ilvl="0" w:tplc="6DD8873E">
      <w:start w:val="1"/>
      <w:numFmt w:val="lowerLetter"/>
      <w:lvlText w:val="%1."/>
      <w:lvlJc w:val="left"/>
      <w:pPr>
        <w:ind w:left="144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50D460D"/>
    <w:multiLevelType w:val="hybridMultilevel"/>
    <w:tmpl w:val="39FE4C96"/>
    <w:lvl w:ilvl="0" w:tplc="6DD8873E">
      <w:start w:val="1"/>
      <w:numFmt w:val="lowerLetter"/>
      <w:lvlText w:val="%1."/>
      <w:lvlJc w:val="left"/>
      <w:pPr>
        <w:ind w:left="1440" w:hanging="360"/>
      </w:pPr>
      <w:rPr>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6792855">
    <w:abstractNumId w:val="1"/>
  </w:num>
  <w:num w:numId="2" w16cid:durableId="1153529173">
    <w:abstractNumId w:val="14"/>
  </w:num>
  <w:num w:numId="3" w16cid:durableId="151995942">
    <w:abstractNumId w:val="17"/>
  </w:num>
  <w:num w:numId="4" w16cid:durableId="691229864">
    <w:abstractNumId w:val="7"/>
  </w:num>
  <w:num w:numId="5" w16cid:durableId="574824199">
    <w:abstractNumId w:val="0"/>
  </w:num>
  <w:num w:numId="6" w16cid:durableId="341127034">
    <w:abstractNumId w:val="2"/>
  </w:num>
  <w:num w:numId="7" w16cid:durableId="190000128">
    <w:abstractNumId w:val="10"/>
  </w:num>
  <w:num w:numId="8" w16cid:durableId="230506946">
    <w:abstractNumId w:val="18"/>
  </w:num>
  <w:num w:numId="9" w16cid:durableId="1118840665">
    <w:abstractNumId w:val="5"/>
  </w:num>
  <w:num w:numId="10" w16cid:durableId="1087267487">
    <w:abstractNumId w:val="11"/>
  </w:num>
  <w:num w:numId="11" w16cid:durableId="956369940">
    <w:abstractNumId w:val="12"/>
  </w:num>
  <w:num w:numId="12" w16cid:durableId="129596590">
    <w:abstractNumId w:val="3"/>
  </w:num>
  <w:num w:numId="13" w16cid:durableId="205411833">
    <w:abstractNumId w:val="4"/>
  </w:num>
  <w:num w:numId="14" w16cid:durableId="554312878">
    <w:abstractNumId w:val="13"/>
  </w:num>
  <w:num w:numId="15" w16cid:durableId="1697197002">
    <w:abstractNumId w:val="16"/>
  </w:num>
  <w:num w:numId="16" w16cid:durableId="212549799">
    <w:abstractNumId w:val="9"/>
  </w:num>
  <w:num w:numId="17" w16cid:durableId="1965035267">
    <w:abstractNumId w:val="6"/>
  </w:num>
  <w:num w:numId="18" w16cid:durableId="1582906107">
    <w:abstractNumId w:val="20"/>
  </w:num>
  <w:num w:numId="19" w16cid:durableId="1747149675">
    <w:abstractNumId w:val="15"/>
  </w:num>
  <w:num w:numId="20" w16cid:durableId="1682733673">
    <w:abstractNumId w:val="19"/>
  </w:num>
  <w:num w:numId="21" w16cid:durableId="13789692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EC"/>
    <w:rsid w:val="00003DA7"/>
    <w:rsid w:val="00010A7D"/>
    <w:rsid w:val="000129FD"/>
    <w:rsid w:val="000150D5"/>
    <w:rsid w:val="000242DE"/>
    <w:rsid w:val="000433F9"/>
    <w:rsid w:val="00046664"/>
    <w:rsid w:val="000575D2"/>
    <w:rsid w:val="000930FC"/>
    <w:rsid w:val="000A6F65"/>
    <w:rsid w:val="000A78B9"/>
    <w:rsid w:val="000B4AAF"/>
    <w:rsid w:val="000B74E6"/>
    <w:rsid w:val="000C5740"/>
    <w:rsid w:val="000D1AD5"/>
    <w:rsid w:val="000E1FAD"/>
    <w:rsid w:val="00140D79"/>
    <w:rsid w:val="00174C86"/>
    <w:rsid w:val="00180813"/>
    <w:rsid w:val="001810C7"/>
    <w:rsid w:val="00183C67"/>
    <w:rsid w:val="0018489F"/>
    <w:rsid w:val="001928B5"/>
    <w:rsid w:val="001A18E2"/>
    <w:rsid w:val="001A409E"/>
    <w:rsid w:val="001A7DB0"/>
    <w:rsid w:val="001C6033"/>
    <w:rsid w:val="001C6688"/>
    <w:rsid w:val="001D0581"/>
    <w:rsid w:val="001D331C"/>
    <w:rsid w:val="001D5A14"/>
    <w:rsid w:val="001E41EA"/>
    <w:rsid w:val="00204D6B"/>
    <w:rsid w:val="002118A8"/>
    <w:rsid w:val="00232765"/>
    <w:rsid w:val="00242572"/>
    <w:rsid w:val="002628C1"/>
    <w:rsid w:val="00266F3E"/>
    <w:rsid w:val="00296DFD"/>
    <w:rsid w:val="002A0A1A"/>
    <w:rsid w:val="002A302E"/>
    <w:rsid w:val="002B0FCE"/>
    <w:rsid w:val="002C5D14"/>
    <w:rsid w:val="002C7198"/>
    <w:rsid w:val="002D0E00"/>
    <w:rsid w:val="002E08E9"/>
    <w:rsid w:val="002E65BB"/>
    <w:rsid w:val="002F5194"/>
    <w:rsid w:val="00311606"/>
    <w:rsid w:val="00314319"/>
    <w:rsid w:val="00344333"/>
    <w:rsid w:val="003468A7"/>
    <w:rsid w:val="0035182B"/>
    <w:rsid w:val="00361E1F"/>
    <w:rsid w:val="0037458E"/>
    <w:rsid w:val="00380E2E"/>
    <w:rsid w:val="00384A8F"/>
    <w:rsid w:val="00395608"/>
    <w:rsid w:val="003A69AF"/>
    <w:rsid w:val="003E378E"/>
    <w:rsid w:val="003E7B58"/>
    <w:rsid w:val="003F62A9"/>
    <w:rsid w:val="00443E26"/>
    <w:rsid w:val="00444843"/>
    <w:rsid w:val="00447242"/>
    <w:rsid w:val="00465B03"/>
    <w:rsid w:val="00476B57"/>
    <w:rsid w:val="00476E14"/>
    <w:rsid w:val="00490E8E"/>
    <w:rsid w:val="004924B2"/>
    <w:rsid w:val="004A6A30"/>
    <w:rsid w:val="004C7244"/>
    <w:rsid w:val="004E6CB9"/>
    <w:rsid w:val="004E7CD6"/>
    <w:rsid w:val="004F72DB"/>
    <w:rsid w:val="0050578F"/>
    <w:rsid w:val="00533A6A"/>
    <w:rsid w:val="0054655D"/>
    <w:rsid w:val="005633FD"/>
    <w:rsid w:val="00570BEE"/>
    <w:rsid w:val="00584CFC"/>
    <w:rsid w:val="005949B5"/>
    <w:rsid w:val="005A4D8B"/>
    <w:rsid w:val="005B2C09"/>
    <w:rsid w:val="005D6DCE"/>
    <w:rsid w:val="005E36DF"/>
    <w:rsid w:val="005F72F7"/>
    <w:rsid w:val="00605819"/>
    <w:rsid w:val="00637AF6"/>
    <w:rsid w:val="00644C8C"/>
    <w:rsid w:val="00644E6F"/>
    <w:rsid w:val="006451A1"/>
    <w:rsid w:val="006475FF"/>
    <w:rsid w:val="00647756"/>
    <w:rsid w:val="0065442A"/>
    <w:rsid w:val="006643E3"/>
    <w:rsid w:val="00667CDB"/>
    <w:rsid w:val="00674B86"/>
    <w:rsid w:val="00676469"/>
    <w:rsid w:val="00677583"/>
    <w:rsid w:val="00687B83"/>
    <w:rsid w:val="0069328F"/>
    <w:rsid w:val="006D13AA"/>
    <w:rsid w:val="006D3AC4"/>
    <w:rsid w:val="006E7BC6"/>
    <w:rsid w:val="00711353"/>
    <w:rsid w:val="0072408C"/>
    <w:rsid w:val="00726101"/>
    <w:rsid w:val="0075264E"/>
    <w:rsid w:val="00753AED"/>
    <w:rsid w:val="00794A38"/>
    <w:rsid w:val="007A46B6"/>
    <w:rsid w:val="007B180B"/>
    <w:rsid w:val="007B4071"/>
    <w:rsid w:val="007D503E"/>
    <w:rsid w:val="007E07A5"/>
    <w:rsid w:val="007F159F"/>
    <w:rsid w:val="0080142C"/>
    <w:rsid w:val="00806663"/>
    <w:rsid w:val="00806673"/>
    <w:rsid w:val="00806D79"/>
    <w:rsid w:val="00813792"/>
    <w:rsid w:val="00820F18"/>
    <w:rsid w:val="00823910"/>
    <w:rsid w:val="00823AD6"/>
    <w:rsid w:val="00845CE3"/>
    <w:rsid w:val="008607BE"/>
    <w:rsid w:val="00876B46"/>
    <w:rsid w:val="00880417"/>
    <w:rsid w:val="00894CFE"/>
    <w:rsid w:val="00895600"/>
    <w:rsid w:val="008A36DF"/>
    <w:rsid w:val="008B3DAD"/>
    <w:rsid w:val="008D0EA5"/>
    <w:rsid w:val="008D1B06"/>
    <w:rsid w:val="00904158"/>
    <w:rsid w:val="009137A8"/>
    <w:rsid w:val="00922419"/>
    <w:rsid w:val="00953067"/>
    <w:rsid w:val="009550F5"/>
    <w:rsid w:val="00964CB6"/>
    <w:rsid w:val="00986E53"/>
    <w:rsid w:val="009B42BC"/>
    <w:rsid w:val="009C0090"/>
    <w:rsid w:val="009C73D5"/>
    <w:rsid w:val="009D226C"/>
    <w:rsid w:val="009E2D40"/>
    <w:rsid w:val="009E3F36"/>
    <w:rsid w:val="009F3B22"/>
    <w:rsid w:val="009F5331"/>
    <w:rsid w:val="00A0618E"/>
    <w:rsid w:val="00A2000D"/>
    <w:rsid w:val="00A33910"/>
    <w:rsid w:val="00A46D4B"/>
    <w:rsid w:val="00A4707D"/>
    <w:rsid w:val="00A7392F"/>
    <w:rsid w:val="00A754D4"/>
    <w:rsid w:val="00A936A4"/>
    <w:rsid w:val="00A94649"/>
    <w:rsid w:val="00A963AC"/>
    <w:rsid w:val="00AB2D47"/>
    <w:rsid w:val="00AE2F99"/>
    <w:rsid w:val="00AF78CD"/>
    <w:rsid w:val="00B012FB"/>
    <w:rsid w:val="00B1528B"/>
    <w:rsid w:val="00B1534B"/>
    <w:rsid w:val="00B15970"/>
    <w:rsid w:val="00B211BE"/>
    <w:rsid w:val="00B758EC"/>
    <w:rsid w:val="00B9637F"/>
    <w:rsid w:val="00BA5507"/>
    <w:rsid w:val="00BC47CC"/>
    <w:rsid w:val="00BD1909"/>
    <w:rsid w:val="00BD50CC"/>
    <w:rsid w:val="00BE67A6"/>
    <w:rsid w:val="00BF65FE"/>
    <w:rsid w:val="00C21F36"/>
    <w:rsid w:val="00C36B64"/>
    <w:rsid w:val="00C4258E"/>
    <w:rsid w:val="00C42EA4"/>
    <w:rsid w:val="00C55A44"/>
    <w:rsid w:val="00C63368"/>
    <w:rsid w:val="00C64D19"/>
    <w:rsid w:val="00C72F81"/>
    <w:rsid w:val="00C733DE"/>
    <w:rsid w:val="00C735C5"/>
    <w:rsid w:val="00C75A06"/>
    <w:rsid w:val="00C8615B"/>
    <w:rsid w:val="00C9330E"/>
    <w:rsid w:val="00CA2B9A"/>
    <w:rsid w:val="00CA4137"/>
    <w:rsid w:val="00CC6A70"/>
    <w:rsid w:val="00CC7D0C"/>
    <w:rsid w:val="00CD00EC"/>
    <w:rsid w:val="00CD43AD"/>
    <w:rsid w:val="00CD63E2"/>
    <w:rsid w:val="00D02A59"/>
    <w:rsid w:val="00D102B1"/>
    <w:rsid w:val="00D4418D"/>
    <w:rsid w:val="00D5244B"/>
    <w:rsid w:val="00D54266"/>
    <w:rsid w:val="00D94DAF"/>
    <w:rsid w:val="00DB37A8"/>
    <w:rsid w:val="00DB3810"/>
    <w:rsid w:val="00DC1610"/>
    <w:rsid w:val="00DD33BC"/>
    <w:rsid w:val="00DF0C24"/>
    <w:rsid w:val="00DF2661"/>
    <w:rsid w:val="00E05D69"/>
    <w:rsid w:val="00E06FFE"/>
    <w:rsid w:val="00E109D9"/>
    <w:rsid w:val="00E11A74"/>
    <w:rsid w:val="00E21A4E"/>
    <w:rsid w:val="00E666E8"/>
    <w:rsid w:val="00E97281"/>
    <w:rsid w:val="00EA5513"/>
    <w:rsid w:val="00EB0BFD"/>
    <w:rsid w:val="00EB4161"/>
    <w:rsid w:val="00ED382F"/>
    <w:rsid w:val="00F06799"/>
    <w:rsid w:val="00F146D0"/>
    <w:rsid w:val="00F2382D"/>
    <w:rsid w:val="00F25E72"/>
    <w:rsid w:val="00F42030"/>
    <w:rsid w:val="00F43298"/>
    <w:rsid w:val="00F5137E"/>
    <w:rsid w:val="00F71D4B"/>
    <w:rsid w:val="00F81FCC"/>
    <w:rsid w:val="00F86AC6"/>
    <w:rsid w:val="00F93024"/>
    <w:rsid w:val="00FA2907"/>
    <w:rsid w:val="00FD7CE6"/>
    <w:rsid w:val="00FE48BC"/>
    <w:rsid w:val="00FE5ACF"/>
    <w:rsid w:val="00FF51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0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754D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54D4"/>
    <w:rPr>
      <w:rFonts w:ascii="Verdana" w:hAnsi="Verdana"/>
      <w:color w:val="000000"/>
      <w:sz w:val="18"/>
      <w:szCs w:val="18"/>
    </w:rPr>
  </w:style>
  <w:style w:type="character" w:styleId="Onopgelostemelding">
    <w:name w:val="Unresolved Mention"/>
    <w:basedOn w:val="Standaardalinea-lettertype"/>
    <w:uiPriority w:val="99"/>
    <w:semiHidden/>
    <w:unhideWhenUsed/>
    <w:rsid w:val="00344333"/>
    <w:rPr>
      <w:color w:val="605E5C"/>
      <w:shd w:val="clear" w:color="auto" w:fill="E1DFDD"/>
    </w:rPr>
  </w:style>
  <w:style w:type="paragraph" w:styleId="Voetnoottekst">
    <w:name w:val="footnote text"/>
    <w:basedOn w:val="Standaard"/>
    <w:link w:val="VoetnoottekstChar"/>
    <w:uiPriority w:val="99"/>
    <w:rsid w:val="007D503E"/>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rsid w:val="007D503E"/>
    <w:rPr>
      <w:rFonts w:ascii="Verdana" w:eastAsia="Times New Roman" w:hAnsi="Verdana" w:cs="Times New Roman"/>
      <w:sz w:val="16"/>
    </w:rPr>
  </w:style>
  <w:style w:type="character" w:styleId="Voetnootmarkering">
    <w:name w:val="footnote reference"/>
    <w:basedOn w:val="Standaardalinea-lettertype"/>
    <w:uiPriority w:val="99"/>
    <w:semiHidden/>
    <w:rsid w:val="007D503E"/>
    <w:rPr>
      <w:vertAlign w:val="superscript"/>
    </w:rPr>
  </w:style>
  <w:style w:type="character" w:customStyle="1" w:styleId="ch-bold-italic">
    <w:name w:val="ch-bold-italic"/>
    <w:basedOn w:val="Standaardalinea-lettertype"/>
    <w:uiPriority w:val="1"/>
    <w:rsid w:val="007D503E"/>
    <w:rPr>
      <w:rFonts w:ascii="Verdana" w:hAnsi="Verdana"/>
      <w:b/>
      <w:i/>
      <w:sz w:val="18"/>
    </w:rPr>
  </w:style>
  <w:style w:type="paragraph" w:styleId="Lijstalinea">
    <w:name w:val="List Paragraph"/>
    <w:basedOn w:val="Standaard"/>
    <w:uiPriority w:val="34"/>
    <w:rsid w:val="007D503E"/>
    <w:pPr>
      <w:autoSpaceDN/>
      <w:ind w:left="720"/>
      <w:contextualSpacing/>
      <w:textAlignment w:val="auto"/>
    </w:pPr>
    <w:rPr>
      <w:rFonts w:eastAsia="Times New Roman" w:cs="Times New Roman"/>
      <w:color w:val="auto"/>
      <w:szCs w:val="24"/>
    </w:rPr>
  </w:style>
  <w:style w:type="character" w:styleId="Verwijzingopmerking">
    <w:name w:val="annotation reference"/>
    <w:basedOn w:val="Standaardalinea-lettertype"/>
    <w:uiPriority w:val="99"/>
    <w:semiHidden/>
    <w:unhideWhenUsed/>
    <w:rsid w:val="00EB4161"/>
    <w:rPr>
      <w:sz w:val="16"/>
      <w:szCs w:val="16"/>
    </w:rPr>
  </w:style>
  <w:style w:type="paragraph" w:styleId="Tekstopmerking">
    <w:name w:val="annotation text"/>
    <w:basedOn w:val="Standaard"/>
    <w:link w:val="TekstopmerkingChar"/>
    <w:uiPriority w:val="99"/>
    <w:unhideWhenUsed/>
    <w:rsid w:val="00EB4161"/>
    <w:pPr>
      <w:spacing w:line="240" w:lineRule="auto"/>
    </w:pPr>
    <w:rPr>
      <w:sz w:val="20"/>
      <w:szCs w:val="20"/>
    </w:rPr>
  </w:style>
  <w:style w:type="character" w:customStyle="1" w:styleId="TekstopmerkingChar">
    <w:name w:val="Tekst opmerking Char"/>
    <w:basedOn w:val="Standaardalinea-lettertype"/>
    <w:link w:val="Tekstopmerking"/>
    <w:uiPriority w:val="99"/>
    <w:rsid w:val="00EB416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B4161"/>
    <w:rPr>
      <w:b/>
      <w:bCs/>
    </w:rPr>
  </w:style>
  <w:style w:type="character" w:customStyle="1" w:styleId="OnderwerpvanopmerkingChar">
    <w:name w:val="Onderwerp van opmerking Char"/>
    <w:basedOn w:val="TekstopmerkingChar"/>
    <w:link w:val="Onderwerpvanopmerking"/>
    <w:uiPriority w:val="99"/>
    <w:semiHidden/>
    <w:rsid w:val="00EB416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502">
      <w:bodyDiv w:val="1"/>
      <w:marLeft w:val="0"/>
      <w:marRight w:val="0"/>
      <w:marTop w:val="0"/>
      <w:marBottom w:val="0"/>
      <w:divBdr>
        <w:top w:val="none" w:sz="0" w:space="0" w:color="auto"/>
        <w:left w:val="none" w:sz="0" w:space="0" w:color="auto"/>
        <w:bottom w:val="none" w:sz="0" w:space="0" w:color="auto"/>
        <w:right w:val="none" w:sz="0" w:space="0" w:color="auto"/>
      </w:divBdr>
    </w:div>
    <w:div w:id="467816677">
      <w:bodyDiv w:val="1"/>
      <w:marLeft w:val="0"/>
      <w:marRight w:val="0"/>
      <w:marTop w:val="0"/>
      <w:marBottom w:val="0"/>
      <w:divBdr>
        <w:top w:val="none" w:sz="0" w:space="0" w:color="auto"/>
        <w:left w:val="none" w:sz="0" w:space="0" w:color="auto"/>
        <w:bottom w:val="none" w:sz="0" w:space="0" w:color="auto"/>
        <w:right w:val="none" w:sz="0" w:space="0" w:color="auto"/>
      </w:divBdr>
    </w:div>
    <w:div w:id="567228302">
      <w:bodyDiv w:val="1"/>
      <w:marLeft w:val="0"/>
      <w:marRight w:val="0"/>
      <w:marTop w:val="0"/>
      <w:marBottom w:val="0"/>
      <w:divBdr>
        <w:top w:val="none" w:sz="0" w:space="0" w:color="auto"/>
        <w:left w:val="none" w:sz="0" w:space="0" w:color="auto"/>
        <w:bottom w:val="none" w:sz="0" w:space="0" w:color="auto"/>
        <w:right w:val="none" w:sz="0" w:space="0" w:color="auto"/>
      </w:divBdr>
    </w:div>
    <w:div w:id="599877758">
      <w:bodyDiv w:val="1"/>
      <w:marLeft w:val="0"/>
      <w:marRight w:val="0"/>
      <w:marTop w:val="0"/>
      <w:marBottom w:val="0"/>
      <w:divBdr>
        <w:top w:val="none" w:sz="0" w:space="0" w:color="auto"/>
        <w:left w:val="none" w:sz="0" w:space="0" w:color="auto"/>
        <w:bottom w:val="none" w:sz="0" w:space="0" w:color="auto"/>
        <w:right w:val="none" w:sz="0" w:space="0" w:color="auto"/>
      </w:divBdr>
    </w:div>
    <w:div w:id="672299007">
      <w:bodyDiv w:val="1"/>
      <w:marLeft w:val="0"/>
      <w:marRight w:val="0"/>
      <w:marTop w:val="0"/>
      <w:marBottom w:val="0"/>
      <w:divBdr>
        <w:top w:val="none" w:sz="0" w:space="0" w:color="auto"/>
        <w:left w:val="none" w:sz="0" w:space="0" w:color="auto"/>
        <w:bottom w:val="none" w:sz="0" w:space="0" w:color="auto"/>
        <w:right w:val="none" w:sz="0" w:space="0" w:color="auto"/>
      </w:divBdr>
    </w:div>
    <w:div w:id="940146445">
      <w:bodyDiv w:val="1"/>
      <w:marLeft w:val="0"/>
      <w:marRight w:val="0"/>
      <w:marTop w:val="0"/>
      <w:marBottom w:val="0"/>
      <w:divBdr>
        <w:top w:val="none" w:sz="0" w:space="0" w:color="auto"/>
        <w:left w:val="none" w:sz="0" w:space="0" w:color="auto"/>
        <w:bottom w:val="none" w:sz="0" w:space="0" w:color="auto"/>
        <w:right w:val="none" w:sz="0" w:space="0" w:color="auto"/>
      </w:divBdr>
    </w:div>
    <w:div w:id="1008672540">
      <w:bodyDiv w:val="1"/>
      <w:marLeft w:val="0"/>
      <w:marRight w:val="0"/>
      <w:marTop w:val="0"/>
      <w:marBottom w:val="0"/>
      <w:divBdr>
        <w:top w:val="none" w:sz="0" w:space="0" w:color="auto"/>
        <w:left w:val="none" w:sz="0" w:space="0" w:color="auto"/>
        <w:bottom w:val="none" w:sz="0" w:space="0" w:color="auto"/>
        <w:right w:val="none" w:sz="0" w:space="0" w:color="auto"/>
      </w:divBdr>
    </w:div>
    <w:div w:id="1070693134">
      <w:bodyDiv w:val="1"/>
      <w:marLeft w:val="0"/>
      <w:marRight w:val="0"/>
      <w:marTop w:val="0"/>
      <w:marBottom w:val="0"/>
      <w:divBdr>
        <w:top w:val="none" w:sz="0" w:space="0" w:color="auto"/>
        <w:left w:val="none" w:sz="0" w:space="0" w:color="auto"/>
        <w:bottom w:val="none" w:sz="0" w:space="0" w:color="auto"/>
        <w:right w:val="none" w:sz="0" w:space="0" w:color="auto"/>
      </w:divBdr>
    </w:div>
    <w:div w:id="1262059179">
      <w:bodyDiv w:val="1"/>
      <w:marLeft w:val="0"/>
      <w:marRight w:val="0"/>
      <w:marTop w:val="0"/>
      <w:marBottom w:val="0"/>
      <w:divBdr>
        <w:top w:val="none" w:sz="0" w:space="0" w:color="auto"/>
        <w:left w:val="none" w:sz="0" w:space="0" w:color="auto"/>
        <w:bottom w:val="none" w:sz="0" w:space="0" w:color="auto"/>
        <w:right w:val="none" w:sz="0" w:space="0" w:color="auto"/>
      </w:divBdr>
    </w:div>
    <w:div w:id="1369794920">
      <w:bodyDiv w:val="1"/>
      <w:marLeft w:val="0"/>
      <w:marRight w:val="0"/>
      <w:marTop w:val="0"/>
      <w:marBottom w:val="0"/>
      <w:divBdr>
        <w:top w:val="none" w:sz="0" w:space="0" w:color="auto"/>
        <w:left w:val="none" w:sz="0" w:space="0" w:color="auto"/>
        <w:bottom w:val="none" w:sz="0" w:space="0" w:color="auto"/>
        <w:right w:val="none" w:sz="0" w:space="0" w:color="auto"/>
      </w:divBdr>
    </w:div>
    <w:div w:id="1480927823">
      <w:bodyDiv w:val="1"/>
      <w:marLeft w:val="0"/>
      <w:marRight w:val="0"/>
      <w:marTop w:val="0"/>
      <w:marBottom w:val="0"/>
      <w:divBdr>
        <w:top w:val="none" w:sz="0" w:space="0" w:color="auto"/>
        <w:left w:val="none" w:sz="0" w:space="0" w:color="auto"/>
        <w:bottom w:val="none" w:sz="0" w:space="0" w:color="auto"/>
        <w:right w:val="none" w:sz="0" w:space="0" w:color="auto"/>
      </w:divBdr>
    </w:div>
    <w:div w:id="1497724815">
      <w:bodyDiv w:val="1"/>
      <w:marLeft w:val="0"/>
      <w:marRight w:val="0"/>
      <w:marTop w:val="0"/>
      <w:marBottom w:val="0"/>
      <w:divBdr>
        <w:top w:val="none" w:sz="0" w:space="0" w:color="auto"/>
        <w:left w:val="none" w:sz="0" w:space="0" w:color="auto"/>
        <w:bottom w:val="none" w:sz="0" w:space="0" w:color="auto"/>
        <w:right w:val="none" w:sz="0" w:space="0" w:color="auto"/>
      </w:divBdr>
    </w:div>
    <w:div w:id="1844081944">
      <w:bodyDiv w:val="1"/>
      <w:marLeft w:val="0"/>
      <w:marRight w:val="0"/>
      <w:marTop w:val="0"/>
      <w:marBottom w:val="0"/>
      <w:divBdr>
        <w:top w:val="none" w:sz="0" w:space="0" w:color="auto"/>
        <w:left w:val="none" w:sz="0" w:space="0" w:color="auto"/>
        <w:bottom w:val="none" w:sz="0" w:space="0" w:color="auto"/>
        <w:right w:val="none" w:sz="0" w:space="0" w:color="auto"/>
      </w:divBdr>
    </w:div>
    <w:div w:id="1845895281">
      <w:bodyDiv w:val="1"/>
      <w:marLeft w:val="0"/>
      <w:marRight w:val="0"/>
      <w:marTop w:val="0"/>
      <w:marBottom w:val="0"/>
      <w:divBdr>
        <w:top w:val="none" w:sz="0" w:space="0" w:color="auto"/>
        <w:left w:val="none" w:sz="0" w:space="0" w:color="auto"/>
        <w:bottom w:val="none" w:sz="0" w:space="0" w:color="auto"/>
        <w:right w:val="none" w:sz="0" w:space="0" w:color="auto"/>
      </w:divBdr>
    </w:div>
    <w:div w:id="1920863989">
      <w:bodyDiv w:val="1"/>
      <w:marLeft w:val="0"/>
      <w:marRight w:val="0"/>
      <w:marTop w:val="0"/>
      <w:marBottom w:val="0"/>
      <w:divBdr>
        <w:top w:val="none" w:sz="0" w:space="0" w:color="auto"/>
        <w:left w:val="none" w:sz="0" w:space="0" w:color="auto"/>
        <w:bottom w:val="none" w:sz="0" w:space="0" w:color="auto"/>
        <w:right w:val="none" w:sz="0" w:space="0" w:color="auto"/>
      </w:divBdr>
    </w:div>
    <w:div w:id="1986348625">
      <w:bodyDiv w:val="1"/>
      <w:marLeft w:val="0"/>
      <w:marRight w:val="0"/>
      <w:marTop w:val="0"/>
      <w:marBottom w:val="0"/>
      <w:divBdr>
        <w:top w:val="none" w:sz="0" w:space="0" w:color="auto"/>
        <w:left w:val="none" w:sz="0" w:space="0" w:color="auto"/>
        <w:bottom w:val="none" w:sz="0" w:space="0" w:color="auto"/>
        <w:right w:val="none" w:sz="0" w:space="0" w:color="auto"/>
      </w:divBdr>
    </w:div>
    <w:div w:id="2143376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6628</ap:Words>
  <ap:Characters>36455</ap:Characters>
  <ap:DocSecurity>0</ap:DocSecurity>
  <ap:Lines>303</ap:Lines>
  <ap:Paragraphs>85</ap:Paragraphs>
  <ap:ScaleCrop>false</ap:ScaleCrop>
  <ap:LinksUpToDate>false</ap:LinksUpToDate>
  <ap:CharactersWithSpaces>42998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2026-05-26T06:41:00.0000000Z</dcterms:created>
  <dcterms:modified xsi:type="dcterms:W3CDTF">2026-05-26T06:41:00.0000000Z</dcterms:modified>
  <dc:description>------------------------</dc:description>
  <dc:subject/>
  <keywords/>
  <version/>
  <category/>
</coreProperties>
</file>