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1CBA" w:rsidR="00AA5A62" w:rsidP="00981CBA" w:rsidRDefault="005B1016" w14:paraId="0C8D3DE2" w14:textId="56A57752">
      <w:pPr>
        <w:spacing w:after="0" w:line="240" w:lineRule="atLeast"/>
        <w:rPr>
          <w:rFonts w:ascii="Verdana" w:hAnsi="Verdana"/>
          <w:b/>
          <w:bCs/>
          <w:sz w:val="18"/>
          <w:szCs w:val="18"/>
        </w:rPr>
      </w:pPr>
      <w:r w:rsidRPr="00981CBA">
        <w:rPr>
          <w:rFonts w:ascii="Verdana" w:hAnsi="Verdana"/>
          <w:b/>
          <w:bCs/>
          <w:sz w:val="18"/>
          <w:szCs w:val="18"/>
        </w:rPr>
        <w:t xml:space="preserve">Bijlage </w:t>
      </w:r>
      <w:r w:rsidRPr="00981CBA" w:rsidR="0E4B7F54">
        <w:rPr>
          <w:rFonts w:ascii="Verdana" w:hAnsi="Verdana"/>
          <w:b/>
          <w:bCs/>
          <w:sz w:val="18"/>
          <w:szCs w:val="18"/>
        </w:rPr>
        <w:t xml:space="preserve">bij </w:t>
      </w:r>
      <w:r w:rsidRPr="00981CBA" w:rsidR="15CFA324">
        <w:rPr>
          <w:rFonts w:ascii="Verdana" w:hAnsi="Verdana"/>
          <w:b/>
          <w:bCs/>
          <w:sz w:val="18"/>
          <w:szCs w:val="18"/>
        </w:rPr>
        <w:t>K</w:t>
      </w:r>
      <w:r w:rsidRPr="00981CBA" w:rsidR="0E4B7F54">
        <w:rPr>
          <w:rFonts w:ascii="Verdana" w:hAnsi="Verdana"/>
          <w:b/>
          <w:bCs/>
          <w:sz w:val="18"/>
          <w:szCs w:val="18"/>
        </w:rPr>
        <w:t>amerbrief</w:t>
      </w:r>
      <w:r w:rsidRPr="00981CBA">
        <w:rPr>
          <w:rFonts w:ascii="Verdana" w:hAnsi="Verdana"/>
          <w:b/>
          <w:bCs/>
          <w:sz w:val="18"/>
          <w:szCs w:val="18"/>
        </w:rPr>
        <w:t xml:space="preserve"> </w:t>
      </w:r>
      <w:r w:rsidRPr="00981CBA" w:rsidR="6C0B5ED0">
        <w:rPr>
          <w:rFonts w:ascii="Verdana" w:hAnsi="Verdana"/>
          <w:b/>
          <w:bCs/>
          <w:sz w:val="18"/>
          <w:szCs w:val="18"/>
        </w:rPr>
        <w:t>actualisering</w:t>
      </w:r>
      <w:r w:rsidRPr="00981CBA">
        <w:rPr>
          <w:rFonts w:ascii="Verdana" w:hAnsi="Verdana"/>
          <w:b/>
          <w:bCs/>
          <w:sz w:val="18"/>
          <w:szCs w:val="18"/>
        </w:rPr>
        <w:t xml:space="preserve"> interne</w:t>
      </w:r>
      <w:r w:rsidRPr="00981CBA" w:rsidR="16F4C00C">
        <w:rPr>
          <w:rFonts w:ascii="Verdana" w:hAnsi="Verdana"/>
          <w:b/>
          <w:bCs/>
          <w:sz w:val="18"/>
          <w:szCs w:val="18"/>
        </w:rPr>
        <w:t>-</w:t>
      </w:r>
      <w:proofErr w:type="spellStart"/>
      <w:r w:rsidRPr="00981CBA">
        <w:rPr>
          <w:rFonts w:ascii="Verdana" w:hAnsi="Verdana"/>
          <w:b/>
          <w:bCs/>
          <w:sz w:val="18"/>
          <w:szCs w:val="18"/>
        </w:rPr>
        <w:t>marktactieagenda</w:t>
      </w:r>
      <w:proofErr w:type="spellEnd"/>
    </w:p>
    <w:p w:rsidRPr="00981CBA" w:rsidR="00981CBA" w:rsidP="00981CBA" w:rsidRDefault="00981CBA" w14:paraId="43612AAD" w14:textId="77777777">
      <w:pPr>
        <w:spacing w:after="0" w:line="240" w:lineRule="atLeast"/>
        <w:rPr>
          <w:rFonts w:ascii="Verdana" w:hAnsi="Verdana"/>
          <w:sz w:val="18"/>
          <w:szCs w:val="18"/>
        </w:rPr>
      </w:pPr>
    </w:p>
    <w:p w:rsidRPr="00981CBA" w:rsidR="005B1016" w:rsidP="00981CBA" w:rsidRDefault="00086678" w14:paraId="3FF23AED" w14:textId="39636140">
      <w:pPr>
        <w:spacing w:after="0" w:line="240" w:lineRule="atLeast"/>
        <w:rPr>
          <w:rFonts w:ascii="Verdana" w:hAnsi="Verdana"/>
          <w:sz w:val="18"/>
          <w:szCs w:val="18"/>
        </w:rPr>
      </w:pPr>
      <w:r w:rsidRPr="00981CBA">
        <w:rPr>
          <w:rFonts w:ascii="Verdana" w:hAnsi="Verdana"/>
          <w:sz w:val="18"/>
          <w:szCs w:val="18"/>
        </w:rPr>
        <w:t>Deze tabel bevat een overzicht van de</w:t>
      </w:r>
      <w:r w:rsidR="00E12084">
        <w:rPr>
          <w:rFonts w:ascii="Verdana" w:hAnsi="Verdana"/>
          <w:sz w:val="18"/>
          <w:szCs w:val="18"/>
        </w:rPr>
        <w:t xml:space="preserve"> </w:t>
      </w:r>
      <w:r w:rsidRPr="00981CBA">
        <w:rPr>
          <w:rFonts w:ascii="Verdana" w:hAnsi="Verdana"/>
          <w:sz w:val="18"/>
          <w:szCs w:val="18"/>
        </w:rPr>
        <w:t>acties uit de interne-</w:t>
      </w:r>
      <w:proofErr w:type="spellStart"/>
      <w:r w:rsidRPr="00981CBA">
        <w:rPr>
          <w:rFonts w:ascii="Verdana" w:hAnsi="Verdana"/>
          <w:sz w:val="18"/>
          <w:szCs w:val="18"/>
        </w:rPr>
        <w:t>marktactieagenda</w:t>
      </w:r>
      <w:proofErr w:type="spellEnd"/>
      <w:r w:rsidRPr="00981CBA">
        <w:rPr>
          <w:rFonts w:ascii="Verdana" w:hAnsi="Verdana"/>
          <w:sz w:val="18"/>
          <w:szCs w:val="18"/>
        </w:rPr>
        <w:t xml:space="preserve"> van juni 2022</w:t>
      </w:r>
      <w:r w:rsidR="0093028A">
        <w:rPr>
          <w:rFonts w:ascii="Verdana" w:hAnsi="Verdana"/>
          <w:sz w:val="18"/>
          <w:szCs w:val="18"/>
        </w:rPr>
        <w:t>,</w:t>
      </w:r>
      <w:r w:rsidRPr="00981CBA" w:rsidR="00E12084">
        <w:rPr>
          <w:rStyle w:val="Voetnootmarkering"/>
          <w:rFonts w:ascii="Verdana" w:hAnsi="Verdana"/>
          <w:sz w:val="18"/>
          <w:szCs w:val="18"/>
        </w:rPr>
        <w:footnoteReference w:id="1"/>
      </w:r>
      <w:r w:rsidRPr="00981CBA">
        <w:rPr>
          <w:rFonts w:ascii="Verdana" w:hAnsi="Verdana"/>
          <w:sz w:val="18"/>
          <w:szCs w:val="18"/>
        </w:rPr>
        <w:t xml:space="preserve"> uitgesplitst naar de vier prioriteiten uit de agenda.</w:t>
      </w:r>
      <w:r w:rsidRPr="00981CBA" w:rsidR="009506AA">
        <w:rPr>
          <w:rStyle w:val="Voetnootmarkering"/>
          <w:rFonts w:ascii="Verdana" w:hAnsi="Verdana"/>
          <w:sz w:val="18"/>
          <w:szCs w:val="18"/>
        </w:rPr>
        <w:footnoteReference w:id="2"/>
      </w:r>
      <w:r w:rsidR="00E12084">
        <w:rPr>
          <w:rFonts w:ascii="Verdana" w:hAnsi="Verdana"/>
          <w:sz w:val="18"/>
          <w:szCs w:val="18"/>
        </w:rPr>
        <w:t xml:space="preserve"> </w:t>
      </w:r>
      <w:r w:rsidRPr="00981CBA" w:rsidR="009506AA">
        <w:rPr>
          <w:rFonts w:ascii="Verdana" w:hAnsi="Verdana"/>
          <w:sz w:val="18"/>
          <w:szCs w:val="18"/>
        </w:rPr>
        <w:t>Nadere informatie over de voortgang is te vinden in de voortgangsrapportages uit 2023 en 2024.</w:t>
      </w:r>
      <w:r w:rsidRPr="00981CBA" w:rsidDel="00AD5E9B" w:rsidR="419A73A1">
        <w:rPr>
          <w:rFonts w:ascii="Verdana" w:hAnsi="Verdana"/>
          <w:sz w:val="18"/>
          <w:szCs w:val="18"/>
        </w:rPr>
        <w:t xml:space="preserve"> </w:t>
      </w:r>
      <w:r w:rsidRPr="00981CBA" w:rsidDel="00AD5E9B" w:rsidR="00AD5E9B">
        <w:rPr>
          <w:rFonts w:ascii="Verdana" w:hAnsi="Verdana"/>
          <w:sz w:val="18"/>
          <w:szCs w:val="18"/>
        </w:rPr>
        <w:t>D</w:t>
      </w:r>
      <w:r w:rsidRPr="00981CBA" w:rsidR="209F7504">
        <w:rPr>
          <w:rFonts w:ascii="Verdana" w:hAnsi="Verdana"/>
          <w:sz w:val="18"/>
          <w:szCs w:val="18"/>
        </w:rPr>
        <w:t xml:space="preserve">e acties uit de agenda </w:t>
      </w:r>
      <w:r w:rsidRPr="00981CBA" w:rsidR="001B3CF8">
        <w:rPr>
          <w:rFonts w:ascii="Verdana" w:hAnsi="Verdana"/>
          <w:sz w:val="18"/>
          <w:szCs w:val="18"/>
        </w:rPr>
        <w:t xml:space="preserve">van 2022 kunnen </w:t>
      </w:r>
      <w:r w:rsidRPr="00981CBA" w:rsidR="209F7504">
        <w:rPr>
          <w:rFonts w:ascii="Verdana" w:hAnsi="Verdana"/>
          <w:sz w:val="18"/>
          <w:szCs w:val="18"/>
        </w:rPr>
        <w:t>in drie categorieën worden ingedeeld</w:t>
      </w:r>
      <w:r w:rsidRPr="79D1CDCD" w:rsidR="78CB6CCC">
        <w:rPr>
          <w:rFonts w:ascii="Verdana" w:hAnsi="Verdana"/>
          <w:sz w:val="18"/>
          <w:szCs w:val="18"/>
        </w:rPr>
        <w:t>:</w:t>
      </w:r>
      <w:r w:rsidRPr="79D1CDCD" w:rsidR="209F7504">
        <w:rPr>
          <w:rFonts w:ascii="Verdana" w:hAnsi="Verdana"/>
          <w:sz w:val="18"/>
          <w:szCs w:val="18"/>
        </w:rPr>
        <w:t xml:space="preserve"> </w:t>
      </w:r>
    </w:p>
    <w:p w:rsidRPr="00981CBA" w:rsidR="005B1016" w:rsidP="00981CBA" w:rsidRDefault="001B3CF8" w14:paraId="30EC19F8" w14:textId="18922C35">
      <w:pPr>
        <w:pStyle w:val="Lijstalinea"/>
        <w:numPr>
          <w:ilvl w:val="0"/>
          <w:numId w:val="1"/>
        </w:numPr>
        <w:spacing w:after="0" w:line="240" w:lineRule="atLeast"/>
        <w:rPr>
          <w:rFonts w:ascii="Verdana" w:hAnsi="Verdana"/>
          <w:sz w:val="18"/>
          <w:szCs w:val="18"/>
        </w:rPr>
      </w:pPr>
      <w:r w:rsidRPr="79D1CDCD">
        <w:rPr>
          <w:rFonts w:ascii="Verdana" w:hAnsi="Verdana"/>
          <w:sz w:val="18"/>
          <w:szCs w:val="18"/>
        </w:rPr>
        <w:t>a</w:t>
      </w:r>
      <w:r w:rsidRPr="79D1CDCD" w:rsidR="209F7504">
        <w:rPr>
          <w:rFonts w:ascii="Verdana" w:hAnsi="Verdana"/>
          <w:sz w:val="18"/>
          <w:szCs w:val="18"/>
        </w:rPr>
        <w:t>cties die zijn afgerond. Deze komen zodoende niet terug in de Kamerbrief met de geactualiseerde actieagenda</w:t>
      </w:r>
      <w:r w:rsidRPr="79D1CDCD">
        <w:rPr>
          <w:rFonts w:ascii="Verdana" w:hAnsi="Verdana"/>
          <w:sz w:val="18"/>
          <w:szCs w:val="18"/>
        </w:rPr>
        <w:t>;</w:t>
      </w:r>
      <w:r w:rsidRPr="79D1CDCD" w:rsidR="419A73A1">
        <w:rPr>
          <w:rFonts w:ascii="Verdana" w:hAnsi="Verdana"/>
          <w:sz w:val="18"/>
          <w:szCs w:val="18"/>
        </w:rPr>
        <w:t xml:space="preserve"> </w:t>
      </w:r>
    </w:p>
    <w:p w:rsidRPr="00981CBA" w:rsidR="005B1016" w:rsidP="00981CBA" w:rsidRDefault="001B3CF8" w14:paraId="414BA897" w14:textId="3AD41F94">
      <w:pPr>
        <w:pStyle w:val="Lijstalinea"/>
        <w:numPr>
          <w:ilvl w:val="0"/>
          <w:numId w:val="1"/>
        </w:numPr>
        <w:spacing w:after="0" w:line="240" w:lineRule="atLeast"/>
        <w:rPr>
          <w:rFonts w:ascii="Verdana" w:hAnsi="Verdana"/>
          <w:sz w:val="18"/>
          <w:szCs w:val="18"/>
        </w:rPr>
      </w:pPr>
      <w:r w:rsidRPr="79D1CDCD">
        <w:rPr>
          <w:rFonts w:ascii="Verdana" w:hAnsi="Verdana"/>
          <w:sz w:val="18"/>
          <w:szCs w:val="18"/>
        </w:rPr>
        <w:t>a</w:t>
      </w:r>
      <w:r w:rsidRPr="79D1CDCD" w:rsidR="1610EF76">
        <w:rPr>
          <w:rFonts w:ascii="Verdana" w:hAnsi="Verdana"/>
          <w:sz w:val="18"/>
          <w:szCs w:val="18"/>
        </w:rPr>
        <w:t xml:space="preserve">cties die </w:t>
      </w:r>
      <w:r w:rsidRPr="79D1CDCD" w:rsidR="5A928CFD">
        <w:rPr>
          <w:rFonts w:ascii="Verdana" w:hAnsi="Verdana"/>
          <w:sz w:val="18"/>
          <w:szCs w:val="18"/>
        </w:rPr>
        <w:t>niet voortgezet, omdat daaraan in de praktijk geen behoefte bleek te bestaan bij ondernemers en burgers. Ook deze acties komen niet terug in de Kamerbrief</w:t>
      </w:r>
      <w:r w:rsidRPr="79D1CDCD">
        <w:rPr>
          <w:rFonts w:ascii="Verdana" w:hAnsi="Verdana"/>
          <w:sz w:val="18"/>
          <w:szCs w:val="18"/>
        </w:rPr>
        <w:t>;</w:t>
      </w:r>
      <w:r w:rsidRPr="79D1CDCD" w:rsidR="5A928CFD">
        <w:rPr>
          <w:rFonts w:ascii="Verdana" w:hAnsi="Verdana"/>
          <w:sz w:val="18"/>
          <w:szCs w:val="18"/>
        </w:rPr>
        <w:t xml:space="preserve"> </w:t>
      </w:r>
    </w:p>
    <w:p w:rsidRPr="00981CBA" w:rsidR="005B1016" w:rsidP="00981CBA" w:rsidRDefault="001B3CF8" w14:paraId="36946489" w14:textId="524B7A7A">
      <w:pPr>
        <w:pStyle w:val="Lijstalinea"/>
        <w:numPr>
          <w:ilvl w:val="0"/>
          <w:numId w:val="1"/>
        </w:numPr>
        <w:spacing w:after="0" w:line="240" w:lineRule="atLeast"/>
        <w:rPr>
          <w:rFonts w:ascii="Verdana" w:hAnsi="Verdana"/>
          <w:sz w:val="18"/>
          <w:szCs w:val="18"/>
        </w:rPr>
      </w:pPr>
      <w:r w:rsidRPr="79D1CDCD">
        <w:rPr>
          <w:rFonts w:ascii="Verdana" w:hAnsi="Verdana"/>
          <w:sz w:val="18"/>
          <w:szCs w:val="18"/>
        </w:rPr>
        <w:t>a</w:t>
      </w:r>
      <w:r w:rsidRPr="79D1CDCD" w:rsidR="7178C38D">
        <w:rPr>
          <w:rFonts w:ascii="Verdana" w:hAnsi="Verdana"/>
          <w:sz w:val="18"/>
          <w:szCs w:val="18"/>
        </w:rPr>
        <w:t xml:space="preserve">cties die zijn </w:t>
      </w:r>
      <w:r w:rsidRPr="79D1CDCD" w:rsidR="5A928CFD">
        <w:rPr>
          <w:rFonts w:ascii="Verdana" w:hAnsi="Verdana"/>
          <w:sz w:val="18"/>
          <w:szCs w:val="18"/>
        </w:rPr>
        <w:t>geactualiseerd en anders geformuleerd. Deze komen wél terug in de Kamerbrief en zijn zodoende onderd</w:t>
      </w:r>
      <w:r w:rsidRPr="79D1CDCD" w:rsidR="43AED6FC">
        <w:rPr>
          <w:rFonts w:ascii="Verdana" w:hAnsi="Verdana"/>
          <w:sz w:val="18"/>
          <w:szCs w:val="18"/>
        </w:rPr>
        <w:t>eel van de geactualiseerde agenda.</w:t>
      </w:r>
      <w:r w:rsidRPr="79D1CDCD" w:rsidR="1A6CA2B7">
        <w:rPr>
          <w:rFonts w:ascii="Verdana" w:hAnsi="Verdana"/>
          <w:sz w:val="18"/>
          <w:szCs w:val="18"/>
        </w:rPr>
        <w:t xml:space="preserve"> </w:t>
      </w:r>
    </w:p>
    <w:p w:rsidRPr="00981CBA" w:rsidR="005B1016" w:rsidP="00981CBA" w:rsidRDefault="64E31D56" w14:paraId="733B72FB" w14:textId="6AD663FC">
      <w:pPr>
        <w:spacing w:after="0" w:line="240" w:lineRule="atLeast"/>
        <w:rPr>
          <w:rFonts w:ascii="Verdana" w:hAnsi="Verdana"/>
          <w:sz w:val="18"/>
          <w:szCs w:val="18"/>
        </w:rPr>
      </w:pPr>
      <w:r w:rsidRPr="38430FA0">
        <w:rPr>
          <w:rFonts w:ascii="Verdana" w:hAnsi="Verdana"/>
          <w:sz w:val="18"/>
          <w:szCs w:val="18"/>
        </w:rPr>
        <w:t>In de legenda voor onderstaande tabel is aan elke categorie een kleur gegeven.</w:t>
      </w:r>
    </w:p>
    <w:p w:rsidRPr="00981CBA" w:rsidR="00981CBA" w:rsidP="00981CBA" w:rsidRDefault="00981CBA" w14:paraId="596323F9" w14:textId="77777777">
      <w:pPr>
        <w:spacing w:after="0" w:line="240" w:lineRule="atLeast"/>
        <w:rPr>
          <w:rFonts w:ascii="Verdana" w:hAnsi="Verdana"/>
          <w:b/>
          <w:bCs/>
          <w:sz w:val="18"/>
          <w:szCs w:val="18"/>
        </w:rPr>
      </w:pPr>
    </w:p>
    <w:p w:rsidRPr="00981CBA" w:rsidR="009506AA" w:rsidP="00981CBA" w:rsidRDefault="009506AA" w14:paraId="6EB687C4" w14:textId="6F097890">
      <w:pPr>
        <w:spacing w:after="0" w:line="240" w:lineRule="atLeast"/>
        <w:rPr>
          <w:rFonts w:ascii="Verdana" w:hAnsi="Verdana"/>
          <w:b/>
          <w:bCs/>
          <w:sz w:val="18"/>
          <w:szCs w:val="18"/>
        </w:rPr>
      </w:pPr>
      <w:r w:rsidRPr="00981CBA">
        <w:rPr>
          <w:rFonts w:ascii="Verdana" w:hAnsi="Verdana"/>
          <w:b/>
          <w:bCs/>
          <w:sz w:val="18"/>
          <w:szCs w:val="18"/>
        </w:rPr>
        <w:t>Legenda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Pr="00981CBA" w:rsidR="009506AA" w:rsidTr="0013725B" w14:paraId="5D81C0DA" w14:textId="77777777">
        <w:tc>
          <w:tcPr>
            <w:tcW w:w="1129" w:type="dxa"/>
          </w:tcPr>
          <w:p w:rsidRPr="00981CBA" w:rsidR="009506AA" w:rsidP="00981CBA" w:rsidRDefault="009506AA" w14:paraId="17B92D49" w14:textId="5D1FFB26">
            <w:p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CBA">
              <w:rPr>
                <w:rFonts w:ascii="Verdana" w:hAnsi="Verdana"/>
                <w:b/>
                <w:bCs/>
                <w:sz w:val="18"/>
                <w:szCs w:val="18"/>
              </w:rPr>
              <w:t>Kleur</w:t>
            </w:r>
          </w:p>
        </w:tc>
        <w:tc>
          <w:tcPr>
            <w:tcW w:w="7933" w:type="dxa"/>
          </w:tcPr>
          <w:p w:rsidRPr="00981CBA" w:rsidR="009506AA" w:rsidP="00981CBA" w:rsidRDefault="009506AA" w14:paraId="360AF5BA" w14:textId="2658BAF6">
            <w:p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CBA">
              <w:rPr>
                <w:rFonts w:ascii="Verdana" w:hAnsi="Verdana"/>
                <w:b/>
                <w:bCs/>
                <w:sz w:val="18"/>
                <w:szCs w:val="18"/>
              </w:rPr>
              <w:t>Betekenis</w:t>
            </w:r>
          </w:p>
        </w:tc>
      </w:tr>
      <w:tr w:rsidRPr="00981CBA" w:rsidR="009506AA" w:rsidTr="0013725B" w14:paraId="2F85D917" w14:textId="77777777">
        <w:tc>
          <w:tcPr>
            <w:tcW w:w="1129" w:type="dxa"/>
          </w:tcPr>
          <w:p w:rsidRPr="00981CBA" w:rsidR="009506AA" w:rsidP="00981CBA" w:rsidRDefault="009506AA" w14:paraId="55D054B1" w14:textId="320E529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3" w:type="dxa"/>
          </w:tcPr>
          <w:p w:rsidRPr="00981CBA" w:rsidR="009506AA" w:rsidP="00981CBA" w:rsidRDefault="009506AA" w14:paraId="344E00EA" w14:textId="325730A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>Afgerond</w:t>
            </w:r>
          </w:p>
        </w:tc>
      </w:tr>
      <w:tr w:rsidRPr="00981CBA" w:rsidR="09B48C28" w:rsidTr="0013725B" w14:paraId="629106EB" w14:textId="77777777">
        <w:trPr>
          <w:trHeight w:val="300"/>
        </w:trPr>
        <w:tc>
          <w:tcPr>
            <w:tcW w:w="1129" w:type="dxa"/>
            <w:shd w:val="clear" w:color="auto" w:fill="00B0F0"/>
          </w:tcPr>
          <w:p w:rsidRPr="00981CBA" w:rsidR="09B48C28" w:rsidP="00981CBA" w:rsidRDefault="09B48C28" w14:paraId="157281A5" w14:textId="0AA058B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3" w:type="dxa"/>
          </w:tcPr>
          <w:p w:rsidRPr="00981CBA" w:rsidR="09B48C28" w:rsidP="004C0FCE" w:rsidRDefault="6DB82A9D" w14:paraId="32974D6B" w14:textId="56A7001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>Niet voortgezet (want in praktijk bleek er geen behoefte te bestaan)</w:t>
            </w:r>
          </w:p>
        </w:tc>
      </w:tr>
      <w:tr w:rsidRPr="00981CBA" w:rsidR="009506AA" w:rsidTr="0013725B" w14:paraId="127919C9" w14:textId="77777777">
        <w:tc>
          <w:tcPr>
            <w:tcW w:w="1129" w:type="dxa"/>
            <w:shd w:val="clear" w:color="auto" w:fill="FFFF00"/>
          </w:tcPr>
          <w:p w:rsidRPr="00981CBA" w:rsidR="009506AA" w:rsidP="00981CBA" w:rsidRDefault="009506AA" w14:paraId="3CE61728" w14:textId="325106F5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3" w:type="dxa"/>
          </w:tcPr>
          <w:p w:rsidRPr="00981CBA" w:rsidR="009506AA" w:rsidP="00981CBA" w:rsidRDefault="009506AA" w14:paraId="62131E2A" w14:textId="36047DD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>Geactualiseerd en voortgezet</w:t>
            </w:r>
            <w:r w:rsidRPr="00981CBA" w:rsidR="0D3F9E11">
              <w:rPr>
                <w:rFonts w:ascii="Verdana" w:hAnsi="Verdana"/>
                <w:sz w:val="18"/>
                <w:szCs w:val="18"/>
              </w:rPr>
              <w:t xml:space="preserve"> in geactualiseerde agenda </w:t>
            </w:r>
          </w:p>
        </w:tc>
      </w:tr>
    </w:tbl>
    <w:p w:rsidRPr="00981CBA" w:rsidR="008424B8" w:rsidP="00981CBA" w:rsidRDefault="008424B8" w14:paraId="7D4033C1" w14:textId="77777777">
      <w:pPr>
        <w:spacing w:after="0" w:line="240" w:lineRule="atLeast"/>
        <w:rPr>
          <w:rFonts w:ascii="Verdana" w:hAnsi="Verdana"/>
          <w:b/>
          <w:bCs/>
          <w:sz w:val="18"/>
          <w:szCs w:val="18"/>
        </w:rPr>
      </w:pPr>
    </w:p>
    <w:p w:rsidRPr="00981CBA" w:rsidR="009506AA" w:rsidP="00981CBA" w:rsidRDefault="009506AA" w14:paraId="4F8B52A4" w14:textId="230E7AE3">
      <w:pPr>
        <w:spacing w:after="0" w:line="240" w:lineRule="atLeast"/>
        <w:rPr>
          <w:rFonts w:ascii="Verdana" w:hAnsi="Verdana"/>
          <w:b/>
          <w:bCs/>
          <w:sz w:val="18"/>
          <w:szCs w:val="18"/>
        </w:rPr>
      </w:pPr>
      <w:r w:rsidRPr="00981CBA">
        <w:rPr>
          <w:rFonts w:ascii="Verdana" w:hAnsi="Verdana"/>
          <w:b/>
          <w:bCs/>
          <w:sz w:val="18"/>
          <w:szCs w:val="18"/>
        </w:rPr>
        <w:t>Overzicht acties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Pr="00981CBA" w:rsidR="004C0FCE" w:rsidTr="0013725B" w14:paraId="378458C9" w14:textId="77777777">
        <w:tc>
          <w:tcPr>
            <w:tcW w:w="7792" w:type="dxa"/>
          </w:tcPr>
          <w:p w:rsidRPr="00981CBA" w:rsidR="004C0FCE" w:rsidP="00981CBA" w:rsidRDefault="004C0FCE" w14:paraId="742048FB" w14:textId="5E073C7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b/>
                <w:bCs/>
                <w:sz w:val="18"/>
                <w:szCs w:val="18"/>
              </w:rPr>
              <w:t>Actie (uit de interne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spellStart"/>
            <w:r w:rsidRPr="00981CBA">
              <w:rPr>
                <w:rFonts w:ascii="Verdana" w:hAnsi="Verdana"/>
                <w:b/>
                <w:bCs/>
                <w:sz w:val="18"/>
                <w:szCs w:val="18"/>
              </w:rPr>
              <w:t>marktactieagenda</w:t>
            </w:r>
            <w:proofErr w:type="spellEnd"/>
            <w:r w:rsidRPr="00981CBA">
              <w:rPr>
                <w:rFonts w:ascii="Verdana" w:hAnsi="Verdana"/>
                <w:b/>
                <w:bCs/>
                <w:sz w:val="18"/>
                <w:szCs w:val="18"/>
              </w:rPr>
              <w:t xml:space="preserve"> 2022)</w:t>
            </w:r>
          </w:p>
        </w:tc>
        <w:tc>
          <w:tcPr>
            <w:tcW w:w="1270" w:type="dxa"/>
          </w:tcPr>
          <w:p w:rsidRPr="00981CBA" w:rsidR="004C0FCE" w:rsidP="00981CBA" w:rsidRDefault="004C0FCE" w14:paraId="159CB2CE" w14:textId="5FBC276F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b/>
                <w:bCs/>
                <w:sz w:val="18"/>
                <w:szCs w:val="18"/>
              </w:rPr>
              <w:t xml:space="preserve">Stand van zaken </w:t>
            </w:r>
          </w:p>
        </w:tc>
      </w:tr>
      <w:tr w:rsidRPr="00981CBA" w:rsidR="004C0FCE" w:rsidTr="002159EA" w14:paraId="2BF30A6A" w14:textId="77777777">
        <w:tc>
          <w:tcPr>
            <w:tcW w:w="9062" w:type="dxa"/>
            <w:gridSpan w:val="2"/>
          </w:tcPr>
          <w:p w:rsidRPr="00981CBA" w:rsidR="004C0FCE" w:rsidP="00981CBA" w:rsidRDefault="004C0FCE" w14:paraId="1877187C" w14:textId="713BE40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Arbeidsmobiliteit</w:t>
            </w:r>
          </w:p>
        </w:tc>
      </w:tr>
      <w:tr w:rsidRPr="00981CBA" w:rsidR="006C7A24" w:rsidTr="0013725B" w14:paraId="3DFD6686" w14:textId="77777777">
        <w:tc>
          <w:tcPr>
            <w:tcW w:w="7792" w:type="dxa"/>
          </w:tcPr>
          <w:p w:rsidRPr="00981CBA" w:rsidR="006C7A24" w:rsidP="00981CBA" w:rsidRDefault="00590E84" w14:paraId="04411B11" w14:textId="6AB1162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>Het leve</w:t>
            </w:r>
            <w:r w:rsidRPr="00981CBA" w:rsidR="00FD7383">
              <w:rPr>
                <w:rFonts w:ascii="Verdana" w:hAnsi="Verdana"/>
                <w:sz w:val="18"/>
                <w:szCs w:val="18"/>
              </w:rPr>
              <w:t xml:space="preserve">ren van Nederlandse input voor het gezamenlijke Europese formulier voor de </w:t>
            </w:r>
            <w:r w:rsidRPr="00981CBA" w:rsidR="00CC6489">
              <w:rPr>
                <w:rFonts w:ascii="Verdana" w:hAnsi="Verdana"/>
                <w:sz w:val="18"/>
                <w:szCs w:val="18"/>
              </w:rPr>
              <w:t xml:space="preserve">melding van detachering. </w:t>
            </w:r>
          </w:p>
        </w:tc>
        <w:tc>
          <w:tcPr>
            <w:tcW w:w="1270" w:type="dxa"/>
            <w:shd w:val="clear" w:color="auto" w:fill="FFFF00"/>
          </w:tcPr>
          <w:p w:rsidRPr="00981CBA" w:rsidR="00AC0EE5" w:rsidP="00981CBA" w:rsidRDefault="00AC0EE5" w14:paraId="50B800A4" w14:textId="46DCD05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6C7A24" w:rsidTr="0013725B" w14:paraId="0D60240A" w14:textId="77777777">
        <w:tc>
          <w:tcPr>
            <w:tcW w:w="7792" w:type="dxa"/>
          </w:tcPr>
          <w:p w:rsidRPr="00981CBA" w:rsidR="006C7A24" w:rsidP="00981CBA" w:rsidRDefault="00957D3B" w14:paraId="3D52FF71" w14:textId="192BECE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leveren van input op het voorstel binnen SMET </w:t>
            </w:r>
            <w:r w:rsidRPr="00981CBA" w:rsidR="00C945E0">
              <w:rPr>
                <w:rFonts w:ascii="Verdana" w:hAnsi="Verdana"/>
                <w:sz w:val="18"/>
                <w:szCs w:val="18"/>
              </w:rPr>
              <w:t>over</w:t>
            </w:r>
            <w:r w:rsidRPr="00981CB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81CBA" w:rsidR="00AC1B3A">
              <w:rPr>
                <w:rFonts w:ascii="Verdana" w:hAnsi="Verdana"/>
                <w:sz w:val="18"/>
                <w:szCs w:val="18"/>
              </w:rPr>
              <w:t xml:space="preserve">detachering. </w:t>
            </w:r>
          </w:p>
        </w:tc>
        <w:tc>
          <w:tcPr>
            <w:tcW w:w="1270" w:type="dxa"/>
            <w:shd w:val="clear" w:color="auto" w:fill="FFFF00"/>
          </w:tcPr>
          <w:p w:rsidRPr="00981CBA" w:rsidR="008223C0" w:rsidP="00981CBA" w:rsidRDefault="008223C0" w14:paraId="341E66F2" w14:textId="3FFFDDE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6C7A24" w:rsidTr="0013725B" w14:paraId="039B997D" w14:textId="77777777">
        <w:tc>
          <w:tcPr>
            <w:tcW w:w="7792" w:type="dxa"/>
          </w:tcPr>
          <w:p w:rsidRPr="00981CBA" w:rsidR="006C7A24" w:rsidP="00981CBA" w:rsidRDefault="00A846BD" w14:paraId="3C534A1B" w14:textId="02A0D95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verkennen van </w:t>
            </w:r>
            <w:r w:rsidRPr="00981CBA" w:rsidR="00A03423">
              <w:rPr>
                <w:rFonts w:ascii="Verdana" w:hAnsi="Verdana"/>
                <w:sz w:val="18"/>
                <w:szCs w:val="18"/>
              </w:rPr>
              <w:t xml:space="preserve">mogelijkheden om de toegang tot informatie </w:t>
            </w:r>
            <w:r w:rsidRPr="00981CBA" w:rsidR="004F5012">
              <w:rPr>
                <w:rFonts w:ascii="Verdana" w:hAnsi="Verdana"/>
                <w:sz w:val="18"/>
                <w:szCs w:val="18"/>
              </w:rPr>
              <w:t xml:space="preserve">over detachering in andere lidstaten te verbeteren. </w:t>
            </w:r>
          </w:p>
        </w:tc>
        <w:tc>
          <w:tcPr>
            <w:tcW w:w="1270" w:type="dxa"/>
            <w:shd w:val="clear" w:color="auto" w:fill="FFFF00"/>
          </w:tcPr>
          <w:p w:rsidRPr="00981CBA" w:rsidR="006C7A24" w:rsidP="00981CBA" w:rsidRDefault="006C7A24" w14:paraId="624EC9AB" w14:textId="20309A6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6C7A24" w:rsidTr="0013725B" w14:paraId="1FAFCE30" w14:textId="77777777">
        <w:tc>
          <w:tcPr>
            <w:tcW w:w="7792" w:type="dxa"/>
          </w:tcPr>
          <w:p w:rsidRPr="00981CBA" w:rsidR="006C7A24" w:rsidP="00981CBA" w:rsidRDefault="006B1A5E" w14:paraId="035C0743" w14:textId="002EC17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verkennen van harmonisatie van verplicht gestelde </w:t>
            </w:r>
            <w:r w:rsidRPr="00981CBA" w:rsidR="00972C8F">
              <w:rPr>
                <w:rFonts w:ascii="Verdana" w:hAnsi="Verdana"/>
                <w:sz w:val="18"/>
                <w:szCs w:val="18"/>
              </w:rPr>
              <w:t xml:space="preserve">aansprakelijkheidsverzekeringen met buurlanden. </w:t>
            </w:r>
          </w:p>
        </w:tc>
        <w:tc>
          <w:tcPr>
            <w:tcW w:w="1270" w:type="dxa"/>
            <w:shd w:val="clear" w:color="auto" w:fill="00B0F0"/>
          </w:tcPr>
          <w:p w:rsidRPr="00981CBA" w:rsidR="00BA1073" w:rsidP="00981CBA" w:rsidRDefault="00BA1073" w14:paraId="7C8F4750" w14:textId="69494452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6C7A24" w:rsidTr="0013725B" w14:paraId="0DAA04F3" w14:textId="77777777">
        <w:tc>
          <w:tcPr>
            <w:tcW w:w="7792" w:type="dxa"/>
          </w:tcPr>
          <w:p w:rsidRPr="00981CBA" w:rsidR="006C7A24" w:rsidP="00981CBA" w:rsidRDefault="002949AC" w14:paraId="3685C029" w14:textId="747D447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onderzoeken van </w:t>
            </w:r>
            <w:r w:rsidRPr="00981CBA" w:rsidR="00864FAB">
              <w:rPr>
                <w:rFonts w:ascii="Verdana" w:hAnsi="Verdana"/>
                <w:sz w:val="18"/>
                <w:szCs w:val="18"/>
              </w:rPr>
              <w:t xml:space="preserve">de proportionaliteit van de Nederlandse verplichtingen </w:t>
            </w:r>
            <w:r w:rsidRPr="00981CBA" w:rsidR="0096561A">
              <w:rPr>
                <w:rFonts w:ascii="Verdana" w:hAnsi="Verdana"/>
                <w:sz w:val="18"/>
                <w:szCs w:val="18"/>
              </w:rPr>
              <w:t>over</w:t>
            </w:r>
            <w:r w:rsidRPr="00981CBA" w:rsidR="00864FAB">
              <w:rPr>
                <w:rFonts w:ascii="Verdana" w:hAnsi="Verdana"/>
                <w:sz w:val="18"/>
                <w:szCs w:val="18"/>
              </w:rPr>
              <w:t xml:space="preserve"> beroepsaansprakelijkheidsverzekeringen</w:t>
            </w:r>
            <w:r w:rsidRPr="00981CBA" w:rsidR="0096561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70" w:type="dxa"/>
            <w:shd w:val="clear" w:color="auto" w:fill="00B0F0"/>
          </w:tcPr>
          <w:p w:rsidRPr="00981CBA" w:rsidR="006C7A24" w:rsidP="00981CBA" w:rsidRDefault="006C7A24" w14:paraId="4429ABA0" w14:textId="2A21E86E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6C7A24" w:rsidTr="0013725B" w14:paraId="4D702316" w14:textId="77777777">
        <w:tc>
          <w:tcPr>
            <w:tcW w:w="7792" w:type="dxa"/>
          </w:tcPr>
          <w:p w:rsidRPr="00981CBA" w:rsidR="006C7A24" w:rsidP="00981CBA" w:rsidRDefault="0096561A" w14:paraId="4E8CA05D" w14:textId="45893EB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verbeteren van de informatievoorziening </w:t>
            </w:r>
            <w:r w:rsidRPr="00981CBA" w:rsidR="003A43F3">
              <w:rPr>
                <w:rFonts w:ascii="Verdana" w:hAnsi="Verdana"/>
                <w:sz w:val="18"/>
                <w:szCs w:val="18"/>
              </w:rPr>
              <w:t xml:space="preserve">over verplicht gestelde verzekeringen, inclusief een overzicht per lidstaat. </w:t>
            </w:r>
          </w:p>
        </w:tc>
        <w:tc>
          <w:tcPr>
            <w:tcW w:w="1270" w:type="dxa"/>
            <w:shd w:val="clear" w:color="auto" w:fill="00B0F0"/>
          </w:tcPr>
          <w:p w:rsidRPr="00981CBA" w:rsidR="006C7A24" w:rsidP="00981CBA" w:rsidRDefault="006C7A24" w14:paraId="03F0F192" w14:textId="71DE8A9E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6C7A24" w:rsidTr="0013725B" w14:paraId="089B9771" w14:textId="77777777">
        <w:tc>
          <w:tcPr>
            <w:tcW w:w="7792" w:type="dxa"/>
          </w:tcPr>
          <w:p w:rsidRPr="00981CBA" w:rsidR="006C7A24" w:rsidP="00981CBA" w:rsidRDefault="007D2563" w14:paraId="61FEF3E8" w14:textId="605BE316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verbeteren van de toegankelijkheid </w:t>
            </w:r>
            <w:r w:rsidRPr="00981CBA" w:rsidR="00094332">
              <w:rPr>
                <w:rFonts w:ascii="Verdana" w:hAnsi="Verdana"/>
                <w:sz w:val="18"/>
                <w:szCs w:val="18"/>
              </w:rPr>
              <w:t>van informatie over beroepsverzekeringen in Nederland.</w:t>
            </w:r>
          </w:p>
        </w:tc>
        <w:tc>
          <w:tcPr>
            <w:tcW w:w="1270" w:type="dxa"/>
            <w:shd w:val="clear" w:color="auto" w:fill="00B0F0"/>
          </w:tcPr>
          <w:p w:rsidRPr="00981CBA" w:rsidR="006C7A24" w:rsidP="00981CBA" w:rsidRDefault="006C7A24" w14:paraId="0CE00139" w14:textId="0178B442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FD6A50" w:rsidTr="0013725B" w14:paraId="25334300" w14:textId="77777777">
        <w:tc>
          <w:tcPr>
            <w:tcW w:w="7792" w:type="dxa"/>
          </w:tcPr>
          <w:p w:rsidRPr="00981CBA" w:rsidR="00FD6A50" w:rsidP="00981CBA" w:rsidRDefault="00EE538B" w14:paraId="5515262E" w14:textId="00718F48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>Het gezamenlijk met buurlanden en grensregio’s verkennen van proportionele vestigings</w:t>
            </w:r>
            <w:r w:rsidRPr="00981CBA" w:rsidR="00284FA7">
              <w:rPr>
                <w:rFonts w:ascii="Verdana" w:hAnsi="Verdana"/>
                <w:sz w:val="18"/>
                <w:szCs w:val="18"/>
              </w:rPr>
              <w:t>voor</w:t>
            </w:r>
            <w:r w:rsidRPr="00981CBA">
              <w:rPr>
                <w:rFonts w:ascii="Verdana" w:hAnsi="Verdana"/>
                <w:sz w:val="18"/>
                <w:szCs w:val="18"/>
              </w:rPr>
              <w:t xml:space="preserve">waarden. </w:t>
            </w:r>
          </w:p>
        </w:tc>
        <w:tc>
          <w:tcPr>
            <w:tcW w:w="1270" w:type="dxa"/>
            <w:shd w:val="clear" w:color="auto" w:fill="00B0F0"/>
          </w:tcPr>
          <w:p w:rsidRPr="00981CBA" w:rsidR="00A919E1" w:rsidP="00981CBA" w:rsidRDefault="00A919E1" w14:paraId="27669372" w14:textId="1F9279A0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FD6A50" w:rsidTr="0013725B" w14:paraId="73BF6039" w14:textId="77777777">
        <w:tc>
          <w:tcPr>
            <w:tcW w:w="7792" w:type="dxa"/>
          </w:tcPr>
          <w:p w:rsidRPr="00981CBA" w:rsidR="00FD6A50" w:rsidP="00981CBA" w:rsidRDefault="000F7B61" w14:paraId="7F872EC1" w14:textId="6163174F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Nadere uitwerking </w:t>
            </w:r>
            <w:r w:rsidRPr="00981CBA" w:rsidR="00117A59">
              <w:rPr>
                <w:rFonts w:ascii="Verdana" w:hAnsi="Verdana"/>
                <w:sz w:val="18"/>
                <w:szCs w:val="18"/>
              </w:rPr>
              <w:t xml:space="preserve">van de inzet en prioriteiten </w:t>
            </w:r>
            <w:r w:rsidRPr="00981CBA" w:rsidR="00620043">
              <w:rPr>
                <w:rFonts w:ascii="Verdana" w:hAnsi="Verdana"/>
                <w:sz w:val="18"/>
                <w:szCs w:val="18"/>
              </w:rPr>
              <w:t>over</w:t>
            </w:r>
            <w:r w:rsidRPr="00981CBA" w:rsidR="00117A59">
              <w:rPr>
                <w:rFonts w:ascii="Verdana" w:hAnsi="Verdana"/>
                <w:sz w:val="18"/>
                <w:szCs w:val="18"/>
              </w:rPr>
              <w:t xml:space="preserve"> de erkenning van beroepskwalificaties. </w:t>
            </w:r>
          </w:p>
        </w:tc>
        <w:tc>
          <w:tcPr>
            <w:tcW w:w="1270" w:type="dxa"/>
          </w:tcPr>
          <w:p w:rsidRPr="00981CBA" w:rsidR="00A919E1" w:rsidP="00981CBA" w:rsidRDefault="00A919E1" w14:paraId="0019AAF0" w14:textId="740A750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FD6A50" w:rsidTr="0013725B" w14:paraId="04DE08D3" w14:textId="77777777">
        <w:tc>
          <w:tcPr>
            <w:tcW w:w="7792" w:type="dxa"/>
          </w:tcPr>
          <w:p w:rsidRPr="00981CBA" w:rsidR="00FD6A50" w:rsidP="00981CBA" w:rsidRDefault="003E34E2" w14:paraId="0C7C51BA" w14:textId="0E028DAE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verbeteren van informatievoorziening over erkenning via het Centraal </w:t>
            </w:r>
            <w:r w:rsidRPr="00981CBA" w:rsidR="006E6CD5">
              <w:rPr>
                <w:rFonts w:ascii="Verdana" w:hAnsi="Verdana"/>
                <w:sz w:val="18"/>
                <w:szCs w:val="18"/>
              </w:rPr>
              <w:t>Loket.</w:t>
            </w:r>
          </w:p>
        </w:tc>
        <w:tc>
          <w:tcPr>
            <w:tcW w:w="1270" w:type="dxa"/>
            <w:shd w:val="clear" w:color="auto" w:fill="FFFF00"/>
          </w:tcPr>
          <w:p w:rsidRPr="00981CBA" w:rsidR="00FD6A50" w:rsidP="00981CBA" w:rsidRDefault="00FD6A50" w14:paraId="18580C56" w14:textId="252A2C28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204404" w:rsidTr="0013725B" w14:paraId="79715AB7" w14:textId="77777777">
        <w:tc>
          <w:tcPr>
            <w:tcW w:w="7792" w:type="dxa"/>
          </w:tcPr>
          <w:p w:rsidRPr="00981CBA" w:rsidR="00204404" w:rsidP="00981CBA" w:rsidRDefault="00704A3D" w14:paraId="72898599" w14:textId="5EF8AB3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verbeteren van digitale procedures voor de erkenning van beroepskwalificaties. </w:t>
            </w:r>
          </w:p>
        </w:tc>
        <w:tc>
          <w:tcPr>
            <w:tcW w:w="1270" w:type="dxa"/>
            <w:shd w:val="clear" w:color="auto" w:fill="FFFF00"/>
          </w:tcPr>
          <w:p w:rsidRPr="00981CBA" w:rsidR="00204404" w:rsidP="00981CBA" w:rsidRDefault="00204404" w14:paraId="20D729F5" w14:textId="5DECC29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204404" w:rsidTr="0013725B" w14:paraId="2E2611EB" w14:textId="77777777">
        <w:tc>
          <w:tcPr>
            <w:tcW w:w="7792" w:type="dxa"/>
          </w:tcPr>
          <w:p w:rsidRPr="00981CBA" w:rsidR="00204404" w:rsidP="00981CBA" w:rsidRDefault="00CA2BDB" w14:paraId="7093DF6A" w14:textId="232AC52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Opvolging van </w:t>
            </w:r>
            <w:r w:rsidRPr="00981CBA" w:rsidR="007D47B1">
              <w:rPr>
                <w:rFonts w:ascii="Verdana" w:hAnsi="Verdana"/>
                <w:sz w:val="18"/>
                <w:szCs w:val="18"/>
              </w:rPr>
              <w:t xml:space="preserve">grensbelemmeringen in het kader van onder andere het GROS-overleg en het traject </w:t>
            </w:r>
            <w:proofErr w:type="spellStart"/>
            <w:r w:rsidRPr="00981CBA" w:rsidR="007D47B1">
              <w:rPr>
                <w:rFonts w:ascii="Verdana" w:hAnsi="Verdana"/>
                <w:sz w:val="18"/>
                <w:szCs w:val="18"/>
              </w:rPr>
              <w:t>Berx</w:t>
            </w:r>
            <w:proofErr w:type="spellEnd"/>
            <w:r w:rsidRPr="00981CBA" w:rsidR="007D47B1">
              <w:rPr>
                <w:rFonts w:ascii="Verdana" w:hAnsi="Verdana"/>
                <w:sz w:val="18"/>
                <w:szCs w:val="18"/>
              </w:rPr>
              <w:t xml:space="preserve">-Donner. </w:t>
            </w:r>
          </w:p>
        </w:tc>
        <w:tc>
          <w:tcPr>
            <w:tcW w:w="1270" w:type="dxa"/>
            <w:shd w:val="clear" w:color="auto" w:fill="FFFF00"/>
          </w:tcPr>
          <w:p w:rsidRPr="00981CBA" w:rsidR="00FE3F0D" w:rsidP="00981CBA" w:rsidRDefault="00FE3F0D" w14:paraId="73EEE076" w14:textId="5EF2D0D5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204404" w:rsidTr="0013725B" w14:paraId="1FB3E67C" w14:textId="77777777">
        <w:tc>
          <w:tcPr>
            <w:tcW w:w="7792" w:type="dxa"/>
          </w:tcPr>
          <w:p w:rsidRPr="00981CBA" w:rsidR="00204404" w:rsidP="00981CBA" w:rsidRDefault="0069381F" w14:paraId="2821E88D" w14:textId="37050FC9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Aanpak van knelpunten </w:t>
            </w:r>
            <w:r w:rsidRPr="00981CBA" w:rsidR="003243C6">
              <w:rPr>
                <w:rFonts w:ascii="Verdana" w:hAnsi="Verdana"/>
                <w:sz w:val="18"/>
                <w:szCs w:val="18"/>
              </w:rPr>
              <w:t>over</w:t>
            </w:r>
            <w:r w:rsidRPr="00981CBA" w:rsidR="00DB083A">
              <w:rPr>
                <w:rFonts w:ascii="Verdana" w:hAnsi="Verdana"/>
                <w:sz w:val="18"/>
                <w:szCs w:val="18"/>
              </w:rPr>
              <w:t xml:space="preserve"> bankrekeningen en </w:t>
            </w:r>
            <w:r w:rsidRPr="00981CBA" w:rsidR="0010338C">
              <w:rPr>
                <w:rFonts w:ascii="Verdana" w:hAnsi="Verdana"/>
                <w:sz w:val="18"/>
                <w:szCs w:val="18"/>
              </w:rPr>
              <w:t>IBAN-discriminatie</w:t>
            </w:r>
            <w:r w:rsidRPr="00981CBA" w:rsidR="00DB083A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1270" w:type="dxa"/>
            <w:shd w:val="clear" w:color="auto" w:fill="FFFF00"/>
          </w:tcPr>
          <w:p w:rsidRPr="00981CBA" w:rsidR="00204404" w:rsidP="00981CBA" w:rsidRDefault="00204404" w14:paraId="37E3229E" w14:textId="2442666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3243C6" w:rsidTr="0013725B" w14:paraId="25EF9661" w14:textId="77777777">
        <w:tc>
          <w:tcPr>
            <w:tcW w:w="7792" w:type="dxa"/>
            <w:tcBorders>
              <w:right w:val="nil"/>
            </w:tcBorders>
          </w:tcPr>
          <w:p w:rsidRPr="00981CBA" w:rsidR="003243C6" w:rsidP="00981CBA" w:rsidRDefault="008A5920" w14:paraId="7AB42B69" w14:textId="219F3DDF">
            <w:pPr>
              <w:spacing w:line="240" w:lineRule="atLeas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981CB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Digitalisering </w:t>
            </w:r>
          </w:p>
        </w:tc>
        <w:tc>
          <w:tcPr>
            <w:tcW w:w="1270" w:type="dxa"/>
            <w:tcBorders>
              <w:left w:val="nil"/>
            </w:tcBorders>
          </w:tcPr>
          <w:p w:rsidRPr="00981CBA" w:rsidR="003243C6" w:rsidP="00981CBA" w:rsidRDefault="003243C6" w14:paraId="6CF24936" w14:textId="7777777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3243C6" w:rsidTr="0013725B" w14:paraId="105CB8D6" w14:textId="77777777">
        <w:tc>
          <w:tcPr>
            <w:tcW w:w="7792" w:type="dxa"/>
          </w:tcPr>
          <w:p w:rsidRPr="00981CBA" w:rsidR="003243C6" w:rsidP="00981CBA" w:rsidRDefault="008A4F61" w14:paraId="3218D428" w14:textId="01C6A828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</w:t>
            </w:r>
            <w:r w:rsidRPr="00981CBA" w:rsidR="00E41ED5">
              <w:rPr>
                <w:rFonts w:ascii="Verdana" w:hAnsi="Verdana"/>
                <w:sz w:val="18"/>
                <w:szCs w:val="18"/>
              </w:rPr>
              <w:t xml:space="preserve">versterken van het toezicht dat lidstaten geen aanvullende eisen stellen aan digitale handtekeningen. </w:t>
            </w:r>
          </w:p>
        </w:tc>
        <w:tc>
          <w:tcPr>
            <w:tcW w:w="1270" w:type="dxa"/>
            <w:shd w:val="clear" w:color="auto" w:fill="FFFF00"/>
          </w:tcPr>
          <w:p w:rsidRPr="00981CBA" w:rsidR="003243C6" w:rsidP="00981CBA" w:rsidRDefault="003243C6" w14:paraId="7D8FCA9C" w14:textId="2BBDD0E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3243C6" w:rsidTr="0013725B" w14:paraId="17B2B04A" w14:textId="77777777">
        <w:tc>
          <w:tcPr>
            <w:tcW w:w="7792" w:type="dxa"/>
          </w:tcPr>
          <w:p w:rsidRPr="00981CBA" w:rsidR="003243C6" w:rsidP="00981CBA" w:rsidRDefault="006F7767" w14:paraId="733078B1" w14:textId="6CB2C22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De ontwikkeling van een Europese </w:t>
            </w:r>
            <w:r w:rsidRPr="00981CBA" w:rsidR="00645842">
              <w:rPr>
                <w:rFonts w:ascii="Verdana" w:hAnsi="Verdana"/>
                <w:sz w:val="18"/>
                <w:szCs w:val="18"/>
              </w:rPr>
              <w:t>digitale identiteit en digitale identiteitsp</w:t>
            </w:r>
            <w:r w:rsidRPr="00981CBA" w:rsidR="009475FF">
              <w:rPr>
                <w:rFonts w:ascii="Verdana" w:hAnsi="Verdana"/>
                <w:sz w:val="18"/>
                <w:szCs w:val="18"/>
              </w:rPr>
              <w:t>orte</w:t>
            </w:r>
            <w:r w:rsidRPr="00981CBA" w:rsidR="00645842">
              <w:rPr>
                <w:rFonts w:ascii="Verdana" w:hAnsi="Verdana"/>
                <w:sz w:val="18"/>
                <w:szCs w:val="18"/>
              </w:rPr>
              <w:t xml:space="preserve">feuilles. </w:t>
            </w:r>
          </w:p>
        </w:tc>
        <w:tc>
          <w:tcPr>
            <w:tcW w:w="1270" w:type="dxa"/>
            <w:shd w:val="clear" w:color="auto" w:fill="FFFF00"/>
          </w:tcPr>
          <w:p w:rsidRPr="00981CBA" w:rsidR="003243C6" w:rsidP="00981CBA" w:rsidRDefault="003243C6" w14:paraId="25931C55" w14:textId="2C038575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3243C6" w:rsidTr="0013725B" w14:paraId="13A50E5E" w14:textId="77777777">
        <w:tc>
          <w:tcPr>
            <w:tcW w:w="7792" w:type="dxa"/>
          </w:tcPr>
          <w:p w:rsidRPr="00981CBA" w:rsidR="003243C6" w:rsidP="00981CBA" w:rsidRDefault="006178D8" w14:paraId="671DB750" w14:textId="4652AF6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borgen van erkenning van digitale zegels en stempels. </w:t>
            </w:r>
          </w:p>
        </w:tc>
        <w:tc>
          <w:tcPr>
            <w:tcW w:w="1270" w:type="dxa"/>
            <w:shd w:val="clear" w:color="auto" w:fill="FFFF00"/>
          </w:tcPr>
          <w:p w:rsidRPr="00981CBA" w:rsidR="00FC693F" w:rsidP="00981CBA" w:rsidRDefault="00FC693F" w14:paraId="7A0E5A24" w14:textId="1E23B00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3243C6" w:rsidTr="0013725B" w14:paraId="3DB248CB" w14:textId="77777777">
        <w:tc>
          <w:tcPr>
            <w:tcW w:w="7792" w:type="dxa"/>
          </w:tcPr>
          <w:p w:rsidRPr="00981CBA" w:rsidR="003243C6" w:rsidP="00981CBA" w:rsidRDefault="00036121" w14:paraId="3A75A7E1" w14:textId="23C7035F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lastRenderedPageBreak/>
              <w:t xml:space="preserve">De ontwikkeling </w:t>
            </w:r>
            <w:r w:rsidRPr="00981CBA" w:rsidR="00232C0D">
              <w:rPr>
                <w:rFonts w:ascii="Verdana" w:hAnsi="Verdana"/>
                <w:sz w:val="18"/>
                <w:szCs w:val="18"/>
              </w:rPr>
              <w:t xml:space="preserve">en toepassing van gekwalificeerde archiefdiensten en authentieke documentenuitwisseling. </w:t>
            </w:r>
          </w:p>
        </w:tc>
        <w:tc>
          <w:tcPr>
            <w:tcW w:w="1270" w:type="dxa"/>
            <w:shd w:val="clear" w:color="auto" w:fill="FFFF00"/>
          </w:tcPr>
          <w:p w:rsidRPr="00981CBA" w:rsidR="004B7EE1" w:rsidP="00981CBA" w:rsidRDefault="004B7EE1" w14:paraId="4EB62B91" w14:textId="5A258E5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EE6458" w:rsidTr="0013725B" w14:paraId="252964C1" w14:textId="77777777">
        <w:tc>
          <w:tcPr>
            <w:tcW w:w="7792" w:type="dxa"/>
          </w:tcPr>
          <w:p w:rsidRPr="00981CBA" w:rsidR="00EE6458" w:rsidP="00981CBA" w:rsidRDefault="00152E54" w14:paraId="78CD9FC8" w14:textId="3ED3CD2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uitwerken van een visie </w:t>
            </w:r>
            <w:r w:rsidRPr="00981CBA" w:rsidR="005B673E">
              <w:rPr>
                <w:rFonts w:ascii="Verdana" w:hAnsi="Verdana"/>
                <w:sz w:val="18"/>
                <w:szCs w:val="18"/>
              </w:rPr>
              <w:t xml:space="preserve">op het stelsel van vrij verkeer van goederen. </w:t>
            </w:r>
          </w:p>
        </w:tc>
        <w:tc>
          <w:tcPr>
            <w:tcW w:w="1270" w:type="dxa"/>
          </w:tcPr>
          <w:p w:rsidRPr="00981CBA" w:rsidR="00B05353" w:rsidP="00981CBA" w:rsidRDefault="00B05353" w14:paraId="0377C767" w14:textId="263E351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EE6458" w:rsidTr="0013725B" w14:paraId="0755126E" w14:textId="77777777">
        <w:tc>
          <w:tcPr>
            <w:tcW w:w="7792" w:type="dxa"/>
          </w:tcPr>
          <w:p w:rsidRPr="00981CBA" w:rsidR="00EE6458" w:rsidP="00981CBA" w:rsidRDefault="000C509D" w14:paraId="2B381056" w14:textId="5F65655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De opvolging van het advies </w:t>
            </w:r>
            <w:r w:rsidRPr="00981CBA" w:rsidR="00AE59F9">
              <w:rPr>
                <w:rFonts w:ascii="Verdana" w:hAnsi="Verdana"/>
                <w:sz w:val="18"/>
                <w:szCs w:val="18"/>
              </w:rPr>
              <w:t xml:space="preserve">van de Sociaal </w:t>
            </w:r>
            <w:r w:rsidRPr="00981CBA" w:rsidR="0083752A">
              <w:rPr>
                <w:rFonts w:ascii="Verdana" w:hAnsi="Verdana"/>
                <w:sz w:val="18"/>
                <w:szCs w:val="18"/>
              </w:rPr>
              <w:t xml:space="preserve">Economische </w:t>
            </w:r>
            <w:r w:rsidRPr="00981CBA" w:rsidR="00C32800">
              <w:rPr>
                <w:rFonts w:ascii="Verdana" w:hAnsi="Verdana"/>
                <w:sz w:val="18"/>
                <w:szCs w:val="18"/>
              </w:rPr>
              <w:t xml:space="preserve">Raad over directe import. </w:t>
            </w:r>
          </w:p>
        </w:tc>
        <w:tc>
          <w:tcPr>
            <w:tcW w:w="1270" w:type="dxa"/>
          </w:tcPr>
          <w:p w:rsidRPr="00981CBA" w:rsidR="00456B5F" w:rsidP="00981CBA" w:rsidRDefault="00456B5F" w14:paraId="20D786A4" w14:textId="01CD19E0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EE6458" w:rsidTr="0013725B" w14:paraId="05138E4B" w14:textId="77777777">
        <w:tc>
          <w:tcPr>
            <w:tcW w:w="7792" w:type="dxa"/>
            <w:tcBorders>
              <w:bottom w:val="single" w:color="auto" w:sz="4" w:space="0"/>
            </w:tcBorders>
          </w:tcPr>
          <w:p w:rsidRPr="00981CBA" w:rsidR="00EE6458" w:rsidP="00981CBA" w:rsidRDefault="003064D6" w14:paraId="09ADC45D" w14:textId="3AD375D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Europese inzet op het tot stand brengen </w:t>
            </w:r>
            <w:r w:rsidRPr="00981CBA" w:rsidR="006D3C66">
              <w:rPr>
                <w:rFonts w:ascii="Verdana" w:hAnsi="Verdana"/>
                <w:sz w:val="18"/>
                <w:szCs w:val="18"/>
              </w:rPr>
              <w:t>van de Verordening algemene productveiligheid.</w:t>
            </w:r>
          </w:p>
        </w:tc>
        <w:tc>
          <w:tcPr>
            <w:tcW w:w="1270" w:type="dxa"/>
            <w:tcBorders>
              <w:bottom w:val="single" w:color="auto" w:sz="4" w:space="0"/>
            </w:tcBorders>
          </w:tcPr>
          <w:p w:rsidRPr="00981CBA" w:rsidR="00456B5F" w:rsidP="00981CBA" w:rsidRDefault="00456B5F" w14:paraId="6A52C9C6" w14:textId="3715472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EE6458" w:rsidTr="0013725B" w14:paraId="68C58BEC" w14:textId="77777777">
        <w:tc>
          <w:tcPr>
            <w:tcW w:w="7792" w:type="dxa"/>
            <w:tcBorders>
              <w:right w:val="nil"/>
            </w:tcBorders>
          </w:tcPr>
          <w:p w:rsidRPr="00981CBA" w:rsidR="00EE6458" w:rsidP="00981CBA" w:rsidRDefault="0040422F" w14:paraId="2EF672D1" w14:textId="0B71C6C5">
            <w:pPr>
              <w:spacing w:line="240" w:lineRule="atLeas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981CB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Vergroening</w:t>
            </w:r>
          </w:p>
        </w:tc>
        <w:tc>
          <w:tcPr>
            <w:tcW w:w="1270" w:type="dxa"/>
            <w:tcBorders>
              <w:left w:val="nil"/>
            </w:tcBorders>
          </w:tcPr>
          <w:p w:rsidRPr="00981CBA" w:rsidR="00EE6458" w:rsidP="00981CBA" w:rsidRDefault="00EE6458" w14:paraId="3F9F9936" w14:textId="7777777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EE6458" w:rsidTr="0013725B" w14:paraId="0C0861FD" w14:textId="77777777">
        <w:tc>
          <w:tcPr>
            <w:tcW w:w="7792" w:type="dxa"/>
          </w:tcPr>
          <w:p w:rsidRPr="00981CBA" w:rsidR="00EE6458" w:rsidP="00981CBA" w:rsidRDefault="00B3458F" w14:paraId="6B5A92FA" w14:textId="2DF37D1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Het verkennen van vervolgacties met Frankrijk in het kader van het SMET project </w:t>
            </w:r>
            <w:r w:rsidRPr="00981CBA" w:rsidR="00963296">
              <w:rPr>
                <w:rFonts w:ascii="Verdana" w:hAnsi="Verdana"/>
                <w:sz w:val="18"/>
                <w:szCs w:val="18"/>
              </w:rPr>
              <w:t>over laadpalen.</w:t>
            </w:r>
          </w:p>
        </w:tc>
        <w:tc>
          <w:tcPr>
            <w:tcW w:w="1270" w:type="dxa"/>
          </w:tcPr>
          <w:p w:rsidRPr="00981CBA" w:rsidR="00456B5F" w:rsidP="00981CBA" w:rsidRDefault="00456B5F" w14:paraId="0CC566E0" w14:textId="70FC2828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3243C6" w:rsidTr="0013725B" w14:paraId="7A4D8C88" w14:textId="77777777">
        <w:tc>
          <w:tcPr>
            <w:tcW w:w="7792" w:type="dxa"/>
          </w:tcPr>
          <w:p w:rsidRPr="00981CBA" w:rsidR="003243C6" w:rsidP="00981CBA" w:rsidRDefault="00295440" w14:paraId="4AEDBC01" w14:textId="15A3CC36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Aanpak </w:t>
            </w:r>
            <w:r w:rsidRPr="00981CBA" w:rsidR="0040186B">
              <w:rPr>
                <w:rFonts w:ascii="Verdana" w:hAnsi="Verdana"/>
                <w:sz w:val="18"/>
                <w:szCs w:val="18"/>
              </w:rPr>
              <w:t xml:space="preserve">van het ontbreken </w:t>
            </w:r>
            <w:r w:rsidRPr="00981CBA" w:rsidR="00A70770">
              <w:rPr>
                <w:rFonts w:ascii="Verdana" w:hAnsi="Verdana"/>
                <w:sz w:val="18"/>
                <w:szCs w:val="18"/>
              </w:rPr>
              <w:t xml:space="preserve">van geharmoniseerde standaarden voor laadstations. </w:t>
            </w:r>
          </w:p>
        </w:tc>
        <w:tc>
          <w:tcPr>
            <w:tcW w:w="1270" w:type="dxa"/>
            <w:shd w:val="clear" w:color="auto" w:fill="FFFF00"/>
          </w:tcPr>
          <w:p w:rsidRPr="00981CBA" w:rsidR="00431503" w:rsidP="00981CBA" w:rsidRDefault="00431503" w14:paraId="1D52532C" w14:textId="53714FA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DA3AFB" w:rsidTr="0013725B" w14:paraId="54FD4936" w14:textId="77777777">
        <w:tc>
          <w:tcPr>
            <w:tcW w:w="7792" w:type="dxa"/>
          </w:tcPr>
          <w:p w:rsidRPr="00981CBA" w:rsidR="00DA3AFB" w:rsidP="00981CBA" w:rsidRDefault="00B74C83" w14:paraId="4E54CB13" w14:textId="1F9861B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Nader specificeren van standaarden bij herziening van de Verordening infrastructuur voor alternatieve </w:t>
            </w:r>
            <w:r w:rsidRPr="00981CBA" w:rsidR="00EC6F7D">
              <w:rPr>
                <w:rFonts w:ascii="Verdana" w:hAnsi="Verdana"/>
                <w:sz w:val="18"/>
                <w:szCs w:val="18"/>
              </w:rPr>
              <w:t>brandstoffen (AFIR).</w:t>
            </w:r>
          </w:p>
        </w:tc>
        <w:tc>
          <w:tcPr>
            <w:tcW w:w="1270" w:type="dxa"/>
            <w:shd w:val="clear" w:color="auto" w:fill="FFFF00"/>
          </w:tcPr>
          <w:p w:rsidRPr="00981CBA" w:rsidR="00DA3AFB" w:rsidP="00981CBA" w:rsidRDefault="00DA3AFB" w14:paraId="25FF7A23" w14:textId="329A148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9C2820" w:rsidTr="0013725B" w14:paraId="46F99519" w14:textId="77777777">
        <w:tc>
          <w:tcPr>
            <w:tcW w:w="7792" w:type="dxa"/>
          </w:tcPr>
          <w:p w:rsidRPr="00981CBA" w:rsidR="009C2820" w:rsidP="00981CBA" w:rsidRDefault="009C2820" w14:paraId="39C1D625" w14:textId="4A25B8E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>Evaluatie van de Meetinstrumentenrichtlijn met betrekking tot metrologische eisen voor laadstations.</w:t>
            </w:r>
          </w:p>
        </w:tc>
        <w:tc>
          <w:tcPr>
            <w:tcW w:w="1270" w:type="dxa"/>
            <w:shd w:val="clear" w:color="auto" w:fill="FFFF00"/>
          </w:tcPr>
          <w:p w:rsidRPr="00981CBA" w:rsidR="009C2820" w:rsidP="00981CBA" w:rsidRDefault="009C2820" w14:paraId="5C410F6C" w14:textId="3D0A01B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9C2820" w:rsidTr="0013725B" w14:paraId="550D7B3C" w14:textId="77777777">
        <w:tc>
          <w:tcPr>
            <w:tcW w:w="7792" w:type="dxa"/>
          </w:tcPr>
          <w:p w:rsidRPr="00981CBA" w:rsidR="009C2820" w:rsidP="00981CBA" w:rsidRDefault="009C2820" w14:paraId="173523C6" w14:textId="45B0292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>Aanpak van lange vergunningsprocedures voor de bouw van nieuwe laadpalen.</w:t>
            </w:r>
          </w:p>
        </w:tc>
        <w:tc>
          <w:tcPr>
            <w:tcW w:w="1270" w:type="dxa"/>
          </w:tcPr>
          <w:p w:rsidRPr="00981CBA" w:rsidR="009C2820" w:rsidP="00981CBA" w:rsidRDefault="009C2820" w14:paraId="6CAA1C53" w14:textId="725B45B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14009F" w:rsidTr="0013725B" w14:paraId="026D1820" w14:textId="77777777">
        <w:tc>
          <w:tcPr>
            <w:tcW w:w="7792" w:type="dxa"/>
          </w:tcPr>
          <w:p w:rsidRPr="00981CBA" w:rsidR="0014009F" w:rsidP="00981CBA" w:rsidRDefault="0014009F" w14:paraId="011D51A7" w14:textId="1C11889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Verschillen in fiscale en regelgevende behandeling van laadpaaldiensten tussen lidstaten. </w:t>
            </w:r>
          </w:p>
        </w:tc>
        <w:tc>
          <w:tcPr>
            <w:tcW w:w="1270" w:type="dxa"/>
          </w:tcPr>
          <w:p w:rsidRPr="00981CBA" w:rsidR="0014009F" w:rsidP="00981CBA" w:rsidRDefault="0014009F" w14:paraId="5CD21499" w14:textId="328F407F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14009F" w:rsidTr="0013725B" w14:paraId="07B24435" w14:textId="77777777">
        <w:tc>
          <w:tcPr>
            <w:tcW w:w="7792" w:type="dxa"/>
          </w:tcPr>
          <w:p w:rsidRPr="00981CBA" w:rsidR="0014009F" w:rsidP="00981CBA" w:rsidRDefault="0014009F" w14:paraId="1B7E844D" w14:textId="14FACCA0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Verschillende veiligheidseisen voor componenten van laadpalen tussen lidstaten. </w:t>
            </w:r>
          </w:p>
        </w:tc>
        <w:tc>
          <w:tcPr>
            <w:tcW w:w="1270" w:type="dxa"/>
            <w:shd w:val="clear" w:color="auto" w:fill="FFFF00"/>
          </w:tcPr>
          <w:p w:rsidRPr="00981CBA" w:rsidR="0014009F" w:rsidP="00981CBA" w:rsidRDefault="0014009F" w14:paraId="5FA63E56" w14:textId="767EDC4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14009F" w:rsidTr="0013725B" w14:paraId="11EB670C" w14:textId="77777777">
        <w:tc>
          <w:tcPr>
            <w:tcW w:w="7792" w:type="dxa"/>
          </w:tcPr>
          <w:p w:rsidRPr="00981CBA" w:rsidR="009E7D0A" w:rsidP="00981CBA" w:rsidRDefault="00D329DD" w14:paraId="38D8A60D" w14:textId="42D4920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Wordt meegenomen in de inzet </w:t>
            </w:r>
            <w:r w:rsidRPr="00981CBA" w:rsidR="00E621F8">
              <w:rPr>
                <w:rFonts w:ascii="Verdana" w:hAnsi="Verdana"/>
                <w:sz w:val="18"/>
                <w:szCs w:val="18"/>
              </w:rPr>
              <w:t xml:space="preserve">op wederzijds erkenning </w:t>
            </w:r>
            <w:r w:rsidRPr="00981CBA" w:rsidR="00330B87">
              <w:rPr>
                <w:rFonts w:ascii="Verdana" w:hAnsi="Verdana"/>
                <w:sz w:val="18"/>
                <w:szCs w:val="18"/>
              </w:rPr>
              <w:t>via van</w:t>
            </w:r>
            <w:r w:rsidRPr="00981CBA" w:rsidR="00E621F8">
              <w:rPr>
                <w:rFonts w:ascii="Verdana" w:hAnsi="Verdana"/>
                <w:sz w:val="18"/>
                <w:szCs w:val="18"/>
              </w:rPr>
              <w:t xml:space="preserve"> beroepskwalificaties en </w:t>
            </w:r>
            <w:proofErr w:type="spellStart"/>
            <w:r w:rsidRPr="00981CBA" w:rsidR="00E621F8">
              <w:rPr>
                <w:rFonts w:ascii="Verdana" w:hAnsi="Verdana"/>
                <w:sz w:val="18"/>
                <w:szCs w:val="18"/>
              </w:rPr>
              <w:t>servitisation</w:t>
            </w:r>
            <w:proofErr w:type="spellEnd"/>
            <w:r w:rsidRPr="00981CBA" w:rsidR="00E621F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70" w:type="dxa"/>
            <w:shd w:val="clear" w:color="auto" w:fill="FFFF00"/>
          </w:tcPr>
          <w:p w:rsidRPr="00981CBA" w:rsidR="0014009F" w:rsidP="00981CBA" w:rsidRDefault="0014009F" w14:paraId="6A672460" w14:textId="014A400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330B87" w:rsidTr="0013725B" w14:paraId="5DE7F49E" w14:textId="77777777">
        <w:tc>
          <w:tcPr>
            <w:tcW w:w="7792" w:type="dxa"/>
          </w:tcPr>
          <w:p w:rsidRPr="00981CBA" w:rsidR="00330B87" w:rsidP="00981CBA" w:rsidRDefault="00330B87" w14:paraId="787F2398" w14:textId="403A4915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Pilot standaarden zakelijke dienstverlening die deels betrekking heeft op laadpaalinfrastructuur. </w:t>
            </w:r>
          </w:p>
        </w:tc>
        <w:tc>
          <w:tcPr>
            <w:tcW w:w="1270" w:type="dxa"/>
          </w:tcPr>
          <w:p w:rsidRPr="00981CBA" w:rsidR="00330B87" w:rsidP="00981CBA" w:rsidRDefault="00330B87" w14:paraId="40858910" w14:textId="2D57BB6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330B87" w:rsidTr="0013725B" w14:paraId="0CC576AF" w14:textId="77777777">
        <w:tc>
          <w:tcPr>
            <w:tcW w:w="7792" w:type="dxa"/>
          </w:tcPr>
          <w:p w:rsidRPr="00981CBA" w:rsidR="00330B87" w:rsidP="00981CBA" w:rsidRDefault="00330B87" w14:paraId="06286BD2" w14:textId="28BE6042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Europese inzet voor een gelijkspeelveld over milieu en zero emissiezones. </w:t>
            </w:r>
          </w:p>
        </w:tc>
        <w:tc>
          <w:tcPr>
            <w:tcW w:w="1270" w:type="dxa"/>
            <w:shd w:val="clear" w:color="auto" w:fill="FFFF00"/>
          </w:tcPr>
          <w:p w:rsidRPr="00981CBA" w:rsidR="00330B87" w:rsidP="00981CBA" w:rsidRDefault="00330B87" w14:paraId="57BD1B19" w14:textId="4C3B727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330B87" w:rsidTr="0013725B" w14:paraId="6D87F70E" w14:textId="77777777">
        <w:tc>
          <w:tcPr>
            <w:tcW w:w="7792" w:type="dxa"/>
          </w:tcPr>
          <w:p w:rsidRPr="00981CBA" w:rsidR="00330B87" w:rsidP="00981CBA" w:rsidRDefault="00330B87" w14:paraId="10765B28" w14:textId="2B605760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Harmonisatie van regelgeving en certificaten over milieu en zero emissiezones. </w:t>
            </w:r>
          </w:p>
        </w:tc>
        <w:tc>
          <w:tcPr>
            <w:tcW w:w="1270" w:type="dxa"/>
            <w:shd w:val="clear" w:color="auto" w:fill="FFFF00"/>
          </w:tcPr>
          <w:p w:rsidRPr="00981CBA" w:rsidR="00330B87" w:rsidP="00981CBA" w:rsidRDefault="00330B87" w14:paraId="2793D610" w14:textId="1FA27355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330B87" w:rsidTr="0013725B" w14:paraId="4BA94397" w14:textId="77777777">
        <w:tc>
          <w:tcPr>
            <w:tcW w:w="7792" w:type="dxa"/>
          </w:tcPr>
          <w:p w:rsidRPr="00981CBA" w:rsidR="00330B87" w:rsidP="00981CBA" w:rsidRDefault="00330B87" w14:paraId="331ED8DA" w14:textId="5694578B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>Bilaterale samenwerking met België, Duitsland en Frankrijk over milieuzones.</w:t>
            </w:r>
          </w:p>
        </w:tc>
        <w:tc>
          <w:tcPr>
            <w:tcW w:w="1270" w:type="dxa"/>
            <w:shd w:val="clear" w:color="auto" w:fill="FFFF00"/>
          </w:tcPr>
          <w:p w:rsidRPr="00981CBA" w:rsidR="00330B87" w:rsidP="00981CBA" w:rsidRDefault="00330B87" w14:paraId="4171F3F8" w14:textId="362F3748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330B87" w:rsidTr="0013725B" w14:paraId="0DE36CEC" w14:textId="77777777">
        <w:tc>
          <w:tcPr>
            <w:tcW w:w="7792" w:type="dxa"/>
          </w:tcPr>
          <w:p w:rsidRPr="00981CBA" w:rsidR="00330B87" w:rsidP="00981CBA" w:rsidRDefault="00330B87" w14:paraId="7A691604" w14:textId="0819BD6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Opvolging van het SMET voorstel voor stroomlijning van vergunningsprocedures voor zonne-en windenergie. </w:t>
            </w:r>
          </w:p>
        </w:tc>
        <w:tc>
          <w:tcPr>
            <w:tcW w:w="1270" w:type="dxa"/>
          </w:tcPr>
          <w:p w:rsidRPr="00981CBA" w:rsidR="00330B87" w:rsidP="00981CBA" w:rsidRDefault="00330B87" w14:paraId="2C7E8C91" w14:textId="365FB8E6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086678" w:rsidTr="79D1CDCD" w14:paraId="070CBC5E" w14:textId="77777777">
        <w:tc>
          <w:tcPr>
            <w:tcW w:w="9062" w:type="dxa"/>
            <w:gridSpan w:val="2"/>
          </w:tcPr>
          <w:p w:rsidRPr="00981CBA" w:rsidR="00086678" w:rsidP="00981CBA" w:rsidRDefault="00086678" w14:paraId="301A9682" w14:textId="454B29A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Randvoorwaarden voor versterking van de interne markt</w:t>
            </w:r>
          </w:p>
        </w:tc>
      </w:tr>
      <w:tr w:rsidRPr="00981CBA" w:rsidR="007474DC" w:rsidTr="0013725B" w14:paraId="64C0A717" w14:textId="77777777">
        <w:tc>
          <w:tcPr>
            <w:tcW w:w="7792" w:type="dxa"/>
          </w:tcPr>
          <w:p w:rsidRPr="00981CBA" w:rsidR="007474DC" w:rsidP="00981CBA" w:rsidRDefault="007474DC" w14:paraId="5A02B57E" w14:textId="2DAACBF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>Het verder uitwerken van inzet en prioriteiten voor doelgerichte naleving en toepassing van interne marktregels.</w:t>
            </w:r>
          </w:p>
        </w:tc>
        <w:tc>
          <w:tcPr>
            <w:tcW w:w="1270" w:type="dxa"/>
          </w:tcPr>
          <w:p w:rsidRPr="00981CBA" w:rsidR="007474DC" w:rsidP="00981CBA" w:rsidRDefault="007474DC" w14:paraId="34F98DC6" w14:textId="522FE98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7474DC" w:rsidTr="0013725B" w14:paraId="4926DD60" w14:textId="77777777">
        <w:tc>
          <w:tcPr>
            <w:tcW w:w="7792" w:type="dxa"/>
          </w:tcPr>
          <w:p w:rsidRPr="00981CBA" w:rsidR="007474DC" w:rsidP="00981CBA" w:rsidRDefault="007474DC" w14:paraId="4DD7061B" w14:textId="5F8F6DB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Europese inzet: bevorderen van dialoog en samenwerking met lidstaten in alle fasen van de beleidscyclus. </w:t>
            </w:r>
          </w:p>
        </w:tc>
        <w:tc>
          <w:tcPr>
            <w:tcW w:w="1270" w:type="dxa"/>
          </w:tcPr>
          <w:p w:rsidRPr="00981CBA" w:rsidR="007474DC" w:rsidP="00981CBA" w:rsidRDefault="007474DC" w14:paraId="4D121119" w14:textId="131FB20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7474DC" w:rsidTr="0013725B" w14:paraId="486188AD" w14:textId="77777777">
        <w:tc>
          <w:tcPr>
            <w:tcW w:w="7792" w:type="dxa"/>
          </w:tcPr>
          <w:p w:rsidRPr="00981CBA" w:rsidR="007474DC" w:rsidP="00981CBA" w:rsidRDefault="007474DC" w14:paraId="730777ED" w14:textId="1CD0D37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Europese inzet: evaluatie van de impact van de pandemie op de interne markt. </w:t>
            </w:r>
          </w:p>
        </w:tc>
        <w:tc>
          <w:tcPr>
            <w:tcW w:w="1270" w:type="dxa"/>
          </w:tcPr>
          <w:p w:rsidRPr="00981CBA" w:rsidR="007474DC" w:rsidP="00981CBA" w:rsidRDefault="007474DC" w14:paraId="0090A6F4" w14:textId="41FE3872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7474DC" w:rsidTr="0013725B" w14:paraId="7D6FD200" w14:textId="77777777">
        <w:tc>
          <w:tcPr>
            <w:tcW w:w="7792" w:type="dxa"/>
          </w:tcPr>
          <w:p w:rsidRPr="00981CBA" w:rsidR="007474DC" w:rsidP="00981CBA" w:rsidRDefault="007474DC" w14:paraId="6C869F3F" w14:textId="037DD89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Europese inzet: benutten van lessen uit de pandemie voor toekomstige crises. </w:t>
            </w:r>
          </w:p>
        </w:tc>
        <w:tc>
          <w:tcPr>
            <w:tcW w:w="1270" w:type="dxa"/>
          </w:tcPr>
          <w:p w:rsidRPr="00981CBA" w:rsidR="007474DC" w:rsidP="00981CBA" w:rsidRDefault="007474DC" w14:paraId="03981BD1" w14:textId="50C84F32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7474DC" w:rsidTr="0013725B" w14:paraId="1618DF5B" w14:textId="77777777">
        <w:tc>
          <w:tcPr>
            <w:tcW w:w="7792" w:type="dxa"/>
          </w:tcPr>
          <w:p w:rsidRPr="00981CBA" w:rsidR="007474DC" w:rsidP="00981CBA" w:rsidRDefault="007474DC" w14:paraId="22A7D320" w14:textId="6F6EEEB8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Verbetering van de informatievoorziening via het Centraal Loket. </w:t>
            </w:r>
          </w:p>
        </w:tc>
        <w:tc>
          <w:tcPr>
            <w:tcW w:w="1270" w:type="dxa"/>
            <w:shd w:val="clear" w:color="auto" w:fill="FFFF00"/>
          </w:tcPr>
          <w:p w:rsidRPr="00981CBA" w:rsidR="007474DC" w:rsidP="00981CBA" w:rsidRDefault="007474DC" w14:paraId="1B5B3BFB" w14:textId="7CDBAA68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7474DC" w:rsidTr="0013725B" w14:paraId="4DDEEDD5" w14:textId="77777777">
        <w:tc>
          <w:tcPr>
            <w:tcW w:w="7792" w:type="dxa"/>
          </w:tcPr>
          <w:p w:rsidRPr="00981CBA" w:rsidR="007474DC" w:rsidP="00981CBA" w:rsidRDefault="007474DC" w14:paraId="71C887AB" w14:textId="65ADDFD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Stimuleren van toegankelijke procedures en begrijpelijke regelgeving voor dienstverleners. </w:t>
            </w:r>
          </w:p>
        </w:tc>
        <w:tc>
          <w:tcPr>
            <w:tcW w:w="1270" w:type="dxa"/>
            <w:shd w:val="clear" w:color="auto" w:fill="FFFF00"/>
          </w:tcPr>
          <w:p w:rsidRPr="00981CBA" w:rsidR="007474DC" w:rsidP="00981CBA" w:rsidRDefault="007474DC" w14:paraId="3509A3D5" w14:textId="12254D32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7474DC" w:rsidTr="0013725B" w14:paraId="52FD1141" w14:textId="77777777">
        <w:tc>
          <w:tcPr>
            <w:tcW w:w="7792" w:type="dxa"/>
          </w:tcPr>
          <w:p w:rsidRPr="00981CBA" w:rsidR="007474DC" w:rsidP="00981CBA" w:rsidRDefault="007474DC" w14:paraId="7CFBB8FE" w14:textId="41B52580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>Europese inzet: het waarborgen van het nuttig effect van regelgeving, waaronder de Dienstenrichtlijn.</w:t>
            </w:r>
          </w:p>
        </w:tc>
        <w:tc>
          <w:tcPr>
            <w:tcW w:w="1270" w:type="dxa"/>
            <w:shd w:val="clear" w:color="auto" w:fill="FFFF00"/>
          </w:tcPr>
          <w:p w:rsidRPr="00981CBA" w:rsidR="007474DC" w:rsidP="00981CBA" w:rsidRDefault="007474DC" w14:paraId="5FF4F237" w14:textId="3C0F42EB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7474DC" w:rsidTr="0013725B" w14:paraId="5C5FA3AF" w14:textId="77777777">
        <w:tc>
          <w:tcPr>
            <w:tcW w:w="7792" w:type="dxa"/>
          </w:tcPr>
          <w:p w:rsidRPr="00981CBA" w:rsidR="007474DC" w:rsidP="00981CBA" w:rsidRDefault="007474DC" w14:paraId="2C3B4694" w14:textId="726CFB3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 xml:space="preserve">Ondersteuning van brancheorganisaties bij informatievoorziening. </w:t>
            </w:r>
          </w:p>
        </w:tc>
        <w:tc>
          <w:tcPr>
            <w:tcW w:w="1270" w:type="dxa"/>
            <w:shd w:val="clear" w:color="auto" w:fill="00B0F0"/>
          </w:tcPr>
          <w:p w:rsidRPr="00981CBA" w:rsidR="007474DC" w:rsidP="00981CBA" w:rsidRDefault="007474DC" w14:paraId="790F55E8" w14:textId="3F4F5C0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Pr="00981CBA" w:rsidR="007474DC" w:rsidTr="0013725B" w14:paraId="375FD40F" w14:textId="77777777">
        <w:tc>
          <w:tcPr>
            <w:tcW w:w="7792" w:type="dxa"/>
          </w:tcPr>
          <w:p w:rsidRPr="00981CBA" w:rsidR="007474DC" w:rsidP="00981CBA" w:rsidRDefault="007474DC" w14:paraId="73AC3E8B" w14:textId="3D90F92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981CBA">
              <w:rPr>
                <w:rFonts w:ascii="Verdana" w:hAnsi="Verdana"/>
                <w:sz w:val="18"/>
                <w:szCs w:val="18"/>
              </w:rPr>
              <w:t>Aanpak van knelpunten over belasting over de toegevoegde waarde.</w:t>
            </w:r>
          </w:p>
        </w:tc>
        <w:tc>
          <w:tcPr>
            <w:tcW w:w="1270" w:type="dxa"/>
          </w:tcPr>
          <w:p w:rsidRPr="00981CBA" w:rsidR="007474DC" w:rsidP="00981CBA" w:rsidRDefault="007474DC" w14:paraId="31E849B1" w14:textId="6658AE96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981CBA" w:rsidR="005B1016" w:rsidP="00981CBA" w:rsidRDefault="005B1016" w14:paraId="6AF3142D" w14:textId="77777777">
      <w:pPr>
        <w:spacing w:after="0" w:line="240" w:lineRule="atLeast"/>
        <w:rPr>
          <w:rFonts w:ascii="Verdana" w:hAnsi="Verdana"/>
          <w:sz w:val="18"/>
          <w:szCs w:val="18"/>
        </w:rPr>
      </w:pPr>
    </w:p>
    <w:sectPr w:rsidRPr="00981CBA" w:rsidR="005B1016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842B" w14:textId="77777777" w:rsidR="005B14E9" w:rsidRDefault="005B14E9" w:rsidP="00BA6EE6">
      <w:pPr>
        <w:spacing w:after="0" w:line="240" w:lineRule="auto"/>
      </w:pPr>
      <w:r>
        <w:separator/>
      </w:r>
    </w:p>
  </w:endnote>
  <w:endnote w:type="continuationSeparator" w:id="0">
    <w:p w14:paraId="48F91A06" w14:textId="77777777" w:rsidR="005B14E9" w:rsidRDefault="005B14E9" w:rsidP="00BA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5491" w14:textId="7D5ED236" w:rsidR="00BA6EE6" w:rsidRDefault="00BA6EE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B359CE" wp14:editId="23EB63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70205"/>
              <wp:effectExtent l="0" t="0" r="8890" b="0"/>
              <wp:wrapNone/>
              <wp:docPr id="197702224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AAF02" w14:textId="7628A4A8" w:rsidR="00BA6EE6" w:rsidRPr="00BA6EE6" w:rsidRDefault="00BA6EE6" w:rsidP="00BA6EE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EE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359C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3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" filled="f" stroked="f">
              <v:textbox style="mso-fit-shape-to-text:t" inset="20pt,0,0,15pt">
                <w:txbxContent>
                  <w:p w14:paraId="324AAF02" w14:textId="7628A4A8" w:rsidR="00BA6EE6" w:rsidRPr="00BA6EE6" w:rsidRDefault="00BA6EE6" w:rsidP="00BA6EE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EE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3586" w14:textId="1A791F2E" w:rsidR="00BA6EE6" w:rsidRDefault="00BA6EE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ADDCC3" wp14:editId="41B70EA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70205"/>
              <wp:effectExtent l="0" t="0" r="8890" b="0"/>
              <wp:wrapNone/>
              <wp:docPr id="11332396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297CB" w14:textId="4DA63BA2" w:rsidR="00BA6EE6" w:rsidRPr="00BA6EE6" w:rsidRDefault="00BA6EE6" w:rsidP="00BA6EE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EE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DDCC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9.3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" filled="f" stroked="f">
              <v:textbox style="mso-fit-shape-to-text:t" inset="20pt,0,0,15pt">
                <w:txbxContent>
                  <w:p w14:paraId="59A297CB" w14:textId="4DA63BA2" w:rsidR="00BA6EE6" w:rsidRPr="00BA6EE6" w:rsidRDefault="00BA6EE6" w:rsidP="00BA6EE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EE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19C6" w14:textId="3AACC1BE" w:rsidR="00BA6EE6" w:rsidRDefault="00BA6EE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16154" wp14:editId="66C780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70205"/>
              <wp:effectExtent l="0" t="0" r="8890" b="0"/>
              <wp:wrapNone/>
              <wp:docPr id="126427828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B4B94" w14:textId="474F578A" w:rsidR="00BA6EE6" w:rsidRPr="00BA6EE6" w:rsidRDefault="00BA6EE6" w:rsidP="00BA6EE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EE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615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9.3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" filled="f" stroked="f">
              <v:textbox style="mso-fit-shape-to-text:t" inset="20pt,0,0,15pt">
                <w:txbxContent>
                  <w:p w14:paraId="57BB4B94" w14:textId="474F578A" w:rsidR="00BA6EE6" w:rsidRPr="00BA6EE6" w:rsidRDefault="00BA6EE6" w:rsidP="00BA6EE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EE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7B35" w14:textId="77777777" w:rsidR="005B14E9" w:rsidRDefault="005B14E9" w:rsidP="00BA6EE6">
      <w:pPr>
        <w:spacing w:after="0" w:line="240" w:lineRule="auto"/>
      </w:pPr>
      <w:r>
        <w:separator/>
      </w:r>
    </w:p>
  </w:footnote>
  <w:footnote w:type="continuationSeparator" w:id="0">
    <w:p w14:paraId="4FBA0E4B" w14:textId="77777777" w:rsidR="005B14E9" w:rsidRDefault="005B14E9" w:rsidP="00BA6EE6">
      <w:pPr>
        <w:spacing w:after="0" w:line="240" w:lineRule="auto"/>
      </w:pPr>
      <w:r>
        <w:continuationSeparator/>
      </w:r>
    </w:p>
  </w:footnote>
  <w:footnote w:id="1">
    <w:p w14:paraId="49618D55" w14:textId="77777777" w:rsidR="00E12084" w:rsidRPr="00981CBA" w:rsidRDefault="00E12084" w:rsidP="00E12084">
      <w:pPr>
        <w:pStyle w:val="Voetnoottekst"/>
        <w:rPr>
          <w:rFonts w:ascii="Verdana" w:hAnsi="Verdana"/>
          <w:sz w:val="16"/>
          <w:szCs w:val="16"/>
        </w:rPr>
      </w:pPr>
      <w:r w:rsidRPr="00981CBA">
        <w:rPr>
          <w:rStyle w:val="Voetnootmarkering"/>
          <w:rFonts w:ascii="Verdana" w:hAnsi="Verdana"/>
          <w:sz w:val="16"/>
          <w:szCs w:val="16"/>
        </w:rPr>
        <w:footnoteRef/>
      </w:r>
      <w:r w:rsidRPr="00981CBA">
        <w:rPr>
          <w:rFonts w:ascii="Verdana" w:hAnsi="Verdana"/>
          <w:sz w:val="16"/>
          <w:szCs w:val="16"/>
        </w:rPr>
        <w:t xml:space="preserve"> Kamerstukken II, 2021-2022, 22112 nr. 3437.</w:t>
      </w:r>
    </w:p>
  </w:footnote>
  <w:footnote w:id="2">
    <w:p w14:paraId="57F95D8F" w14:textId="2F580E33" w:rsidR="009506AA" w:rsidRPr="00981CBA" w:rsidRDefault="009506AA">
      <w:pPr>
        <w:pStyle w:val="Voetnoottekst"/>
        <w:rPr>
          <w:rFonts w:ascii="Verdana" w:hAnsi="Verdana"/>
          <w:sz w:val="16"/>
          <w:szCs w:val="16"/>
        </w:rPr>
      </w:pPr>
      <w:r w:rsidRPr="00981CBA">
        <w:rPr>
          <w:rStyle w:val="Voetnootmarkering"/>
          <w:rFonts w:ascii="Verdana" w:hAnsi="Verdana"/>
          <w:sz w:val="16"/>
          <w:szCs w:val="16"/>
        </w:rPr>
        <w:footnoteRef/>
      </w:r>
      <w:r w:rsidR="38430FA0" w:rsidRPr="00981CBA">
        <w:rPr>
          <w:rFonts w:ascii="Verdana" w:hAnsi="Verdana"/>
          <w:sz w:val="16"/>
          <w:szCs w:val="16"/>
        </w:rPr>
        <w:t xml:space="preserve"> Zie respectievelijk Kamerstukken II, 2023-2024, 22112, nr. 3864 en Kamerstukken II, 2024-2025, 22112, nr. 3975.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6451"/>
    <w:multiLevelType w:val="hybridMultilevel"/>
    <w:tmpl w:val="C7AEDFEA"/>
    <w:lvl w:ilvl="0" w:tplc="9EE67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C4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86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4B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6A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8E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03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6F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8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5035"/>
    <w:multiLevelType w:val="hybridMultilevel"/>
    <w:tmpl w:val="5142CD22"/>
    <w:lvl w:ilvl="0" w:tplc="96F6F2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639DD"/>
    <w:multiLevelType w:val="hybridMultilevel"/>
    <w:tmpl w:val="6E82C9CE"/>
    <w:lvl w:ilvl="0" w:tplc="74E4B4D4">
      <w:start w:val="1"/>
      <w:numFmt w:val="decimal"/>
      <w:lvlText w:val="%1."/>
      <w:lvlJc w:val="left"/>
      <w:pPr>
        <w:ind w:left="720" w:hanging="360"/>
      </w:pPr>
    </w:lvl>
    <w:lvl w:ilvl="1" w:tplc="D2049270">
      <w:start w:val="1"/>
      <w:numFmt w:val="lowerLetter"/>
      <w:lvlText w:val="%2."/>
      <w:lvlJc w:val="left"/>
      <w:pPr>
        <w:ind w:left="1440" w:hanging="360"/>
      </w:pPr>
    </w:lvl>
    <w:lvl w:ilvl="2" w:tplc="768437A6">
      <w:start w:val="1"/>
      <w:numFmt w:val="lowerRoman"/>
      <w:lvlText w:val="%3."/>
      <w:lvlJc w:val="right"/>
      <w:pPr>
        <w:ind w:left="2160" w:hanging="180"/>
      </w:pPr>
    </w:lvl>
    <w:lvl w:ilvl="3" w:tplc="33CA20CE">
      <w:start w:val="1"/>
      <w:numFmt w:val="decimal"/>
      <w:lvlText w:val="%4."/>
      <w:lvlJc w:val="left"/>
      <w:pPr>
        <w:ind w:left="2880" w:hanging="360"/>
      </w:pPr>
    </w:lvl>
    <w:lvl w:ilvl="4" w:tplc="07708D2C">
      <w:start w:val="1"/>
      <w:numFmt w:val="lowerLetter"/>
      <w:lvlText w:val="%5."/>
      <w:lvlJc w:val="left"/>
      <w:pPr>
        <w:ind w:left="3600" w:hanging="360"/>
      </w:pPr>
    </w:lvl>
    <w:lvl w:ilvl="5" w:tplc="55CE4B2C">
      <w:start w:val="1"/>
      <w:numFmt w:val="lowerRoman"/>
      <w:lvlText w:val="%6."/>
      <w:lvlJc w:val="right"/>
      <w:pPr>
        <w:ind w:left="4320" w:hanging="180"/>
      </w:pPr>
    </w:lvl>
    <w:lvl w:ilvl="6" w:tplc="256049D8">
      <w:start w:val="1"/>
      <w:numFmt w:val="decimal"/>
      <w:lvlText w:val="%7."/>
      <w:lvlJc w:val="left"/>
      <w:pPr>
        <w:ind w:left="5040" w:hanging="360"/>
      </w:pPr>
    </w:lvl>
    <w:lvl w:ilvl="7" w:tplc="4446A240">
      <w:start w:val="1"/>
      <w:numFmt w:val="lowerLetter"/>
      <w:lvlText w:val="%8."/>
      <w:lvlJc w:val="left"/>
      <w:pPr>
        <w:ind w:left="5760" w:hanging="360"/>
      </w:pPr>
    </w:lvl>
    <w:lvl w:ilvl="8" w:tplc="075CC3D8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24309">
    <w:abstractNumId w:val="2"/>
  </w:num>
  <w:num w:numId="2" w16cid:durableId="368606976">
    <w:abstractNumId w:val="0"/>
  </w:num>
  <w:num w:numId="3" w16cid:durableId="729812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E6"/>
    <w:rsid w:val="00000A81"/>
    <w:rsid w:val="00001590"/>
    <w:rsid w:val="00036121"/>
    <w:rsid w:val="0005223F"/>
    <w:rsid w:val="000619CB"/>
    <w:rsid w:val="00076D94"/>
    <w:rsid w:val="00083796"/>
    <w:rsid w:val="00086678"/>
    <w:rsid w:val="00091384"/>
    <w:rsid w:val="00094332"/>
    <w:rsid w:val="000A1C02"/>
    <w:rsid w:val="000C26F2"/>
    <w:rsid w:val="000C509D"/>
    <w:rsid w:val="000D671A"/>
    <w:rsid w:val="000D7532"/>
    <w:rsid w:val="000F2A40"/>
    <w:rsid w:val="000F7B61"/>
    <w:rsid w:val="0010338C"/>
    <w:rsid w:val="001164A6"/>
    <w:rsid w:val="00117A59"/>
    <w:rsid w:val="0013725B"/>
    <w:rsid w:val="0014009F"/>
    <w:rsid w:val="00140487"/>
    <w:rsid w:val="00152E54"/>
    <w:rsid w:val="00157829"/>
    <w:rsid w:val="001633AA"/>
    <w:rsid w:val="00163964"/>
    <w:rsid w:val="001B1548"/>
    <w:rsid w:val="001B3CF8"/>
    <w:rsid w:val="001E12C6"/>
    <w:rsid w:val="001F5544"/>
    <w:rsid w:val="00204404"/>
    <w:rsid w:val="00210103"/>
    <w:rsid w:val="00232C0D"/>
    <w:rsid w:val="00244B96"/>
    <w:rsid w:val="00247521"/>
    <w:rsid w:val="00247DD0"/>
    <w:rsid w:val="00250550"/>
    <w:rsid w:val="0025568F"/>
    <w:rsid w:val="002774C7"/>
    <w:rsid w:val="0028188C"/>
    <w:rsid w:val="00284FA7"/>
    <w:rsid w:val="002949AC"/>
    <w:rsid w:val="00295045"/>
    <w:rsid w:val="00295440"/>
    <w:rsid w:val="00297236"/>
    <w:rsid w:val="002A2109"/>
    <w:rsid w:val="002B692C"/>
    <w:rsid w:val="002C0E97"/>
    <w:rsid w:val="002C5B96"/>
    <w:rsid w:val="002C7E09"/>
    <w:rsid w:val="003064D6"/>
    <w:rsid w:val="00320A0F"/>
    <w:rsid w:val="003243C6"/>
    <w:rsid w:val="00330B87"/>
    <w:rsid w:val="00331759"/>
    <w:rsid w:val="0033733E"/>
    <w:rsid w:val="00343467"/>
    <w:rsid w:val="00382EBE"/>
    <w:rsid w:val="0038761F"/>
    <w:rsid w:val="00395278"/>
    <w:rsid w:val="00396468"/>
    <w:rsid w:val="003A36C3"/>
    <w:rsid w:val="003A43F3"/>
    <w:rsid w:val="003B5780"/>
    <w:rsid w:val="003D1D56"/>
    <w:rsid w:val="003E34E2"/>
    <w:rsid w:val="00401426"/>
    <w:rsid w:val="0040186B"/>
    <w:rsid w:val="0040422F"/>
    <w:rsid w:val="00411C21"/>
    <w:rsid w:val="00412831"/>
    <w:rsid w:val="00431503"/>
    <w:rsid w:val="004352A6"/>
    <w:rsid w:val="00435FAB"/>
    <w:rsid w:val="00445E70"/>
    <w:rsid w:val="00456B5F"/>
    <w:rsid w:val="004918A6"/>
    <w:rsid w:val="00495343"/>
    <w:rsid w:val="004B257A"/>
    <w:rsid w:val="004B7EE1"/>
    <w:rsid w:val="004C0FCE"/>
    <w:rsid w:val="004C6A5C"/>
    <w:rsid w:val="004F0511"/>
    <w:rsid w:val="004F5012"/>
    <w:rsid w:val="005243A5"/>
    <w:rsid w:val="00563EA3"/>
    <w:rsid w:val="00590E84"/>
    <w:rsid w:val="005916C5"/>
    <w:rsid w:val="00595CB0"/>
    <w:rsid w:val="005B1016"/>
    <w:rsid w:val="005B14E9"/>
    <w:rsid w:val="005B5E97"/>
    <w:rsid w:val="005B673E"/>
    <w:rsid w:val="005B6A46"/>
    <w:rsid w:val="005F0601"/>
    <w:rsid w:val="005F300F"/>
    <w:rsid w:val="00611D57"/>
    <w:rsid w:val="006178D8"/>
    <w:rsid w:val="00620043"/>
    <w:rsid w:val="00624BEE"/>
    <w:rsid w:val="00633E6B"/>
    <w:rsid w:val="0063494A"/>
    <w:rsid w:val="00645842"/>
    <w:rsid w:val="006476AD"/>
    <w:rsid w:val="006610FC"/>
    <w:rsid w:val="00662EFB"/>
    <w:rsid w:val="00666DC4"/>
    <w:rsid w:val="00666E95"/>
    <w:rsid w:val="00673D00"/>
    <w:rsid w:val="00686426"/>
    <w:rsid w:val="0069381F"/>
    <w:rsid w:val="006B1A5E"/>
    <w:rsid w:val="006B50B2"/>
    <w:rsid w:val="006C7A24"/>
    <w:rsid w:val="006D3C66"/>
    <w:rsid w:val="006E26FB"/>
    <w:rsid w:val="006E2A49"/>
    <w:rsid w:val="006E6CD5"/>
    <w:rsid w:val="006F7767"/>
    <w:rsid w:val="00704A3D"/>
    <w:rsid w:val="007123F3"/>
    <w:rsid w:val="00731365"/>
    <w:rsid w:val="00731715"/>
    <w:rsid w:val="00744790"/>
    <w:rsid w:val="007474DC"/>
    <w:rsid w:val="007644C8"/>
    <w:rsid w:val="00770BED"/>
    <w:rsid w:val="00790F44"/>
    <w:rsid w:val="007A125E"/>
    <w:rsid w:val="007A5258"/>
    <w:rsid w:val="007C59C8"/>
    <w:rsid w:val="007D2563"/>
    <w:rsid w:val="007D47B1"/>
    <w:rsid w:val="007D50AC"/>
    <w:rsid w:val="007E12B8"/>
    <w:rsid w:val="007E154D"/>
    <w:rsid w:val="00803DB3"/>
    <w:rsid w:val="008223C0"/>
    <w:rsid w:val="00824522"/>
    <w:rsid w:val="00831BB2"/>
    <w:rsid w:val="0083752A"/>
    <w:rsid w:val="008424B8"/>
    <w:rsid w:val="00843FB1"/>
    <w:rsid w:val="00864FAB"/>
    <w:rsid w:val="00871DBC"/>
    <w:rsid w:val="00880A11"/>
    <w:rsid w:val="00892E80"/>
    <w:rsid w:val="00893502"/>
    <w:rsid w:val="008A4F61"/>
    <w:rsid w:val="008A5920"/>
    <w:rsid w:val="008A6FA2"/>
    <w:rsid w:val="008D2094"/>
    <w:rsid w:val="008D764C"/>
    <w:rsid w:val="00922319"/>
    <w:rsid w:val="0093028A"/>
    <w:rsid w:val="00945253"/>
    <w:rsid w:val="009475FF"/>
    <w:rsid w:val="009506AA"/>
    <w:rsid w:val="00957D3B"/>
    <w:rsid w:val="009603A8"/>
    <w:rsid w:val="00962EE0"/>
    <w:rsid w:val="00963270"/>
    <w:rsid w:val="00963296"/>
    <w:rsid w:val="0096561A"/>
    <w:rsid w:val="00972C8F"/>
    <w:rsid w:val="00981CBA"/>
    <w:rsid w:val="009A1EE6"/>
    <w:rsid w:val="009C2820"/>
    <w:rsid w:val="009E0F79"/>
    <w:rsid w:val="009E7D0A"/>
    <w:rsid w:val="00A03423"/>
    <w:rsid w:val="00A15CEF"/>
    <w:rsid w:val="00A34995"/>
    <w:rsid w:val="00A568E5"/>
    <w:rsid w:val="00A60556"/>
    <w:rsid w:val="00A64E42"/>
    <w:rsid w:val="00A70770"/>
    <w:rsid w:val="00A762AC"/>
    <w:rsid w:val="00A846BD"/>
    <w:rsid w:val="00A919E1"/>
    <w:rsid w:val="00AA5A62"/>
    <w:rsid w:val="00AC0EE5"/>
    <w:rsid w:val="00AC1B3A"/>
    <w:rsid w:val="00AD5E9B"/>
    <w:rsid w:val="00AE59F9"/>
    <w:rsid w:val="00AF0A91"/>
    <w:rsid w:val="00B05353"/>
    <w:rsid w:val="00B13A24"/>
    <w:rsid w:val="00B13E7D"/>
    <w:rsid w:val="00B3458F"/>
    <w:rsid w:val="00B40D39"/>
    <w:rsid w:val="00B74C83"/>
    <w:rsid w:val="00B87BC5"/>
    <w:rsid w:val="00BA1073"/>
    <w:rsid w:val="00BA6EE6"/>
    <w:rsid w:val="00BB5CFD"/>
    <w:rsid w:val="00BD1072"/>
    <w:rsid w:val="00C32800"/>
    <w:rsid w:val="00C3418A"/>
    <w:rsid w:val="00C44E3A"/>
    <w:rsid w:val="00C64F83"/>
    <w:rsid w:val="00C71FE7"/>
    <w:rsid w:val="00C945E0"/>
    <w:rsid w:val="00CA2BDB"/>
    <w:rsid w:val="00CC6489"/>
    <w:rsid w:val="00CE2EFE"/>
    <w:rsid w:val="00CE5DA5"/>
    <w:rsid w:val="00CF0789"/>
    <w:rsid w:val="00D03724"/>
    <w:rsid w:val="00D329DD"/>
    <w:rsid w:val="00D5057F"/>
    <w:rsid w:val="00D5749A"/>
    <w:rsid w:val="00D63211"/>
    <w:rsid w:val="00D66572"/>
    <w:rsid w:val="00D722F1"/>
    <w:rsid w:val="00D82F6C"/>
    <w:rsid w:val="00D91C79"/>
    <w:rsid w:val="00D9247C"/>
    <w:rsid w:val="00DA3AFB"/>
    <w:rsid w:val="00DB083A"/>
    <w:rsid w:val="00DB6053"/>
    <w:rsid w:val="00DC47E7"/>
    <w:rsid w:val="00E06831"/>
    <w:rsid w:val="00E12084"/>
    <w:rsid w:val="00E33DDC"/>
    <w:rsid w:val="00E41ED5"/>
    <w:rsid w:val="00E56DAE"/>
    <w:rsid w:val="00E621F8"/>
    <w:rsid w:val="00E648BF"/>
    <w:rsid w:val="00E80F54"/>
    <w:rsid w:val="00EB5667"/>
    <w:rsid w:val="00EC6F7D"/>
    <w:rsid w:val="00EE538B"/>
    <w:rsid w:val="00EE6458"/>
    <w:rsid w:val="00F14F68"/>
    <w:rsid w:val="00F213F6"/>
    <w:rsid w:val="00F238FA"/>
    <w:rsid w:val="00F340EF"/>
    <w:rsid w:val="00F567E2"/>
    <w:rsid w:val="00F73699"/>
    <w:rsid w:val="00F74B46"/>
    <w:rsid w:val="00F7615B"/>
    <w:rsid w:val="00FA21AD"/>
    <w:rsid w:val="00FB0883"/>
    <w:rsid w:val="00FB3F92"/>
    <w:rsid w:val="00FB6724"/>
    <w:rsid w:val="00FC56C6"/>
    <w:rsid w:val="00FC693F"/>
    <w:rsid w:val="00FD6A50"/>
    <w:rsid w:val="00FD7383"/>
    <w:rsid w:val="00FE3F0D"/>
    <w:rsid w:val="00FE479D"/>
    <w:rsid w:val="00FF1035"/>
    <w:rsid w:val="00FF319C"/>
    <w:rsid w:val="00FF399E"/>
    <w:rsid w:val="00FF6D39"/>
    <w:rsid w:val="0550F63F"/>
    <w:rsid w:val="09B48C28"/>
    <w:rsid w:val="0C8D7BAB"/>
    <w:rsid w:val="0C97AFD0"/>
    <w:rsid w:val="0D3F9E11"/>
    <w:rsid w:val="0D54CE72"/>
    <w:rsid w:val="0E4B7F54"/>
    <w:rsid w:val="1147D30F"/>
    <w:rsid w:val="15C864C3"/>
    <w:rsid w:val="15CFA324"/>
    <w:rsid w:val="1610EF76"/>
    <w:rsid w:val="16F4C00C"/>
    <w:rsid w:val="1A6CA2B7"/>
    <w:rsid w:val="1B51BC4C"/>
    <w:rsid w:val="209F7504"/>
    <w:rsid w:val="20D97985"/>
    <w:rsid w:val="2115F520"/>
    <w:rsid w:val="26FF6B3F"/>
    <w:rsid w:val="294C5DDC"/>
    <w:rsid w:val="2CF65DFB"/>
    <w:rsid w:val="2EE1E2E4"/>
    <w:rsid w:val="35493D46"/>
    <w:rsid w:val="37F36922"/>
    <w:rsid w:val="38430FA0"/>
    <w:rsid w:val="39D4CA5A"/>
    <w:rsid w:val="3A46F4EF"/>
    <w:rsid w:val="3AC1868F"/>
    <w:rsid w:val="3AF1FA21"/>
    <w:rsid w:val="419A73A1"/>
    <w:rsid w:val="43AED6FC"/>
    <w:rsid w:val="44FD4DAD"/>
    <w:rsid w:val="47B718EC"/>
    <w:rsid w:val="4CAFF0CD"/>
    <w:rsid w:val="5348AB8F"/>
    <w:rsid w:val="59359F60"/>
    <w:rsid w:val="5A928CFD"/>
    <w:rsid w:val="5C363B79"/>
    <w:rsid w:val="60C4B4AC"/>
    <w:rsid w:val="64E31D56"/>
    <w:rsid w:val="6C0B5ED0"/>
    <w:rsid w:val="6DB82A9D"/>
    <w:rsid w:val="6E4D551D"/>
    <w:rsid w:val="7178C38D"/>
    <w:rsid w:val="78CB6CCC"/>
    <w:rsid w:val="79D1C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F9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6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6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6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6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6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6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6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6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6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6E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6E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6E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6E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6E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6E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6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6E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6E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6E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6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6E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6EE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BA6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6EE6"/>
  </w:style>
  <w:style w:type="table" w:styleId="Tabelraster">
    <w:name w:val="Table Grid"/>
    <w:basedOn w:val="Standaardtabel"/>
    <w:uiPriority w:val="39"/>
    <w:rsid w:val="006C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06A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06A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6AA"/>
    <w:rPr>
      <w:vertAlign w:val="superscript"/>
    </w:rPr>
  </w:style>
  <w:style w:type="paragraph" w:styleId="Revisie">
    <w:name w:val="Revision"/>
    <w:hidden/>
    <w:uiPriority w:val="99"/>
    <w:semiHidden/>
    <w:rsid w:val="008A6FA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81C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81C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81C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81C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81CB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5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6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791</ap:Words>
  <ap:Characters>4356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2026-05-22T09:20:00.0000000Z</dcterms:created>
  <dcterms:modified xsi:type="dcterms:W3CDTF">2026-05-22T09:20:00.0000000Z</dcterms:modified>
  <version/>
  <category/>
</coreProperties>
</file>