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AD0531" w:rsidR="00A9111F" w:rsidP="00AD0531" w14:paraId="27A6F38B" w14:textId="04623AB7">
      <w:pPr>
        <w:spacing w:line="240" w:lineRule="exact"/>
      </w:pPr>
      <w:r w:rsidRPr="00AD0531">
        <w:t xml:space="preserve">Om in aanloop naar het </w:t>
      </w:r>
      <w:r w:rsidRPr="00AD0531" w:rsidR="00C37921">
        <w:t>commissie</w:t>
      </w:r>
      <w:r w:rsidRPr="00AD0531">
        <w:t>debat Bouwregelgeving op 4 juni a</w:t>
      </w:r>
      <w:r w:rsidR="009F0784">
        <w:t>anstaande</w:t>
      </w:r>
      <w:r w:rsidRPr="00AD0531">
        <w:t xml:space="preserve"> meer inzicht te krijgen in de beleidsagenda van het kabinet, heeft de Vaste Commissie voor Volkshuisvesting en Ruimtelijke Ordening mij in de brief van 8 april </w:t>
      </w:r>
      <w:r w:rsidR="009F0784">
        <w:t>jongstleden</w:t>
      </w:r>
      <w:r w:rsidRPr="00AD0531">
        <w:t xml:space="preserve"> verzocht om een brief met een nadere uitwerking van de beleidsagenda en de te maken strategische keuzes ten aanzien van modernisering van de bouwregelgeving.</w:t>
      </w:r>
      <w:r w:rsidRPr="00AD0531" w:rsidR="004B3D63">
        <w:t xml:space="preserve"> </w:t>
      </w:r>
      <w:r w:rsidRPr="00AD0531">
        <w:t xml:space="preserve">De Commissie refereert hierbij aan het </w:t>
      </w:r>
      <w:r w:rsidR="008E7860">
        <w:t>regeer</w:t>
      </w:r>
      <w:r w:rsidRPr="00AD0531">
        <w:t>akkoord en de ambitie daarin o</w:t>
      </w:r>
      <w:r w:rsidRPr="00AD0531" w:rsidR="0088787D">
        <w:t>m</w:t>
      </w:r>
      <w:r w:rsidRPr="00AD0531">
        <w:t xml:space="preserve"> de bouweisen te vereenvoudigen en standaardiseren. </w:t>
      </w:r>
    </w:p>
    <w:p w:rsidRPr="00AD0531" w:rsidR="00A9111F" w:rsidP="00AD0531" w14:paraId="4AD9F5C9" w14:textId="77777777">
      <w:pPr>
        <w:spacing w:line="240" w:lineRule="exact"/>
      </w:pPr>
    </w:p>
    <w:p w:rsidRPr="00AD0531" w:rsidR="00A9111F" w:rsidP="00AD0531" w14:paraId="26B6F524" w14:textId="477338D9">
      <w:pPr>
        <w:spacing w:line="240" w:lineRule="exact"/>
      </w:pPr>
      <w:r w:rsidRPr="00AD0531">
        <w:t xml:space="preserve">Ik begin deze brief met </w:t>
      </w:r>
      <w:r w:rsidRPr="00AD0531" w:rsidR="002F2CB1">
        <w:t>d</w:t>
      </w:r>
      <w:r w:rsidRPr="00AD0531" w:rsidR="00B65FED">
        <w:t xml:space="preserve">e voornemens in </w:t>
      </w:r>
      <w:r w:rsidRPr="00AD0531">
        <w:t xml:space="preserve">het </w:t>
      </w:r>
      <w:r w:rsidR="008E7860">
        <w:t>regeer</w:t>
      </w:r>
      <w:r w:rsidRPr="00AD0531">
        <w:t xml:space="preserve">akkoord </w:t>
      </w:r>
      <w:r w:rsidRPr="00AD0531" w:rsidR="002F2CB1">
        <w:t xml:space="preserve">ten aanzien van de bouwregelgeving. </w:t>
      </w:r>
      <w:r w:rsidRPr="00AD0531" w:rsidR="009F78AA">
        <w:t xml:space="preserve">Het gaat daarbij om (1) standaardisatie en industriële bouw en (2) </w:t>
      </w:r>
      <w:r w:rsidRPr="00AD0531" w:rsidR="0088787D">
        <w:t>v</w:t>
      </w:r>
      <w:r w:rsidRPr="00AD0531" w:rsidR="009F78AA">
        <w:t xml:space="preserve">ereenvoudiging van de bouwregelgeving. </w:t>
      </w:r>
      <w:r w:rsidRPr="00AD0531" w:rsidR="004B3B0D">
        <w:t>Als laatste</w:t>
      </w:r>
      <w:r w:rsidRPr="00AD0531" w:rsidR="009F78AA">
        <w:t xml:space="preserve"> informeer ik u over </w:t>
      </w:r>
      <w:r w:rsidRPr="00AD0531" w:rsidR="00B96CD0">
        <w:t xml:space="preserve">(3) </w:t>
      </w:r>
      <w:r w:rsidRPr="00AD0531" w:rsidR="009F78AA">
        <w:t>de verdere modernisering van de bouwregelgeving</w:t>
      </w:r>
      <w:r w:rsidRPr="00AD0531" w:rsidR="0088787D">
        <w:t xml:space="preserve">. </w:t>
      </w:r>
      <w:r w:rsidR="00FD69BD">
        <w:t xml:space="preserve">Daarnaast wordt met deze brief invulling gegeven aan een aantal moties en toezeggingen. </w:t>
      </w:r>
    </w:p>
    <w:p w:rsidR="00AC77FE" w:rsidP="00A9111F" w14:paraId="08FC6411" w14:textId="77777777">
      <w:pPr>
        <w:rPr>
          <w:color w:val="auto"/>
        </w:rPr>
      </w:pPr>
    </w:p>
    <w:p w:rsidR="00AA43C1" w:rsidP="00A9111F" w14:paraId="290566D0" w14:textId="77777777">
      <w:pPr>
        <w:rPr>
          <w:color w:val="auto"/>
        </w:rPr>
      </w:pPr>
    </w:p>
    <w:p w:rsidRPr="007A7E63" w:rsidR="00152897" w:rsidP="007A7E63" w14:paraId="7BEE5306" w14:textId="714EFA19">
      <w:pPr>
        <w:pStyle w:val="ListParagraph"/>
        <w:numPr>
          <w:ilvl w:val="0"/>
          <w:numId w:val="18"/>
        </w:numPr>
        <w:autoSpaceDN/>
        <w:spacing w:line="240" w:lineRule="auto"/>
        <w:ind w:left="284" w:hanging="284"/>
        <w:textAlignment w:val="auto"/>
        <w:rPr>
          <w:rFonts w:eastAsia="Times New Roman"/>
          <w:b/>
          <w:bCs/>
          <w:color w:val="auto"/>
        </w:rPr>
      </w:pPr>
      <w:r w:rsidRPr="007A7E63">
        <w:rPr>
          <w:rFonts w:eastAsia="Times New Roman"/>
          <w:b/>
          <w:bCs/>
          <w:color w:val="auto"/>
        </w:rPr>
        <w:t>Standa</w:t>
      </w:r>
      <w:r w:rsidRPr="007A7E63">
        <w:rPr>
          <w:rFonts w:eastAsia="Times New Roman"/>
          <w:b/>
          <w:bCs/>
          <w:color w:val="auto"/>
        </w:rPr>
        <w:t>ardis</w:t>
      </w:r>
      <w:r w:rsidRPr="007A7E63" w:rsidR="00B65FED">
        <w:rPr>
          <w:rFonts w:eastAsia="Times New Roman"/>
          <w:b/>
          <w:bCs/>
          <w:color w:val="auto"/>
        </w:rPr>
        <w:t xml:space="preserve">atie </w:t>
      </w:r>
      <w:r w:rsidRPr="007A7E63" w:rsidR="00FC4E0A">
        <w:rPr>
          <w:rFonts w:eastAsia="Times New Roman"/>
          <w:b/>
          <w:bCs/>
          <w:color w:val="auto"/>
        </w:rPr>
        <w:t>en industriële bouw</w:t>
      </w:r>
    </w:p>
    <w:p w:rsidR="005504D8" w:rsidP="00FC4E0A" w14:paraId="7A4FC7D5" w14:textId="77777777">
      <w:pPr>
        <w:autoSpaceDN/>
        <w:spacing w:line="240" w:lineRule="auto"/>
        <w:textAlignment w:val="auto"/>
        <w:rPr>
          <w:rFonts w:eastAsia="Times New Roman"/>
          <w:i/>
          <w:iCs/>
          <w:color w:val="auto"/>
        </w:rPr>
      </w:pPr>
    </w:p>
    <w:p w:rsidRPr="00F95E32" w:rsidR="00FC4E0A" w:rsidP="00F95E32" w14:paraId="493E81DD" w14:textId="2AA4409E">
      <w:pPr>
        <w:spacing w:line="240" w:lineRule="exact"/>
        <w:rPr>
          <w:i/>
          <w:iCs/>
        </w:rPr>
      </w:pPr>
      <w:r w:rsidRPr="00F95E32">
        <w:rPr>
          <w:i/>
          <w:iCs/>
        </w:rPr>
        <w:t>Landelijke uniforme regels</w:t>
      </w:r>
    </w:p>
    <w:p w:rsidRPr="00AD0531" w:rsidR="00152897" w:rsidP="00AD0531" w14:paraId="44826683" w14:textId="70C1D09C">
      <w:pPr>
        <w:spacing w:line="240" w:lineRule="exact"/>
      </w:pPr>
      <w:r w:rsidRPr="00AD0531">
        <w:t xml:space="preserve">Met het </w:t>
      </w:r>
      <w:r w:rsidRPr="00AD0531">
        <w:t>Bbl</w:t>
      </w:r>
      <w:r w:rsidRPr="00AD0531">
        <w:t xml:space="preserve"> (en hiervoor Bouwbesluit) is in Nederland sprake van landelijke uniforme </w:t>
      </w:r>
      <w:r w:rsidRPr="00AD0531" w:rsidR="009D112E">
        <w:t>regels voor veilige, gezonde, bruikbare en duurzame bouwwerken</w:t>
      </w:r>
      <w:r w:rsidRPr="00AD0531">
        <w:t xml:space="preserve">. </w:t>
      </w:r>
      <w:r w:rsidR="00CE325A">
        <w:t xml:space="preserve">Het betreft </w:t>
      </w:r>
      <w:r w:rsidRPr="00AD0531">
        <w:t xml:space="preserve">zowel </w:t>
      </w:r>
      <w:r w:rsidR="00CE325A">
        <w:t xml:space="preserve">regels </w:t>
      </w:r>
      <w:r w:rsidRPr="00AD0531">
        <w:t xml:space="preserve">voor nieuwbouw, bestaande bouw </w:t>
      </w:r>
      <w:r w:rsidRPr="00AD0531" w:rsidR="004B3B0D">
        <w:t>als voor</w:t>
      </w:r>
      <w:r w:rsidRPr="00AD0531">
        <w:t xml:space="preserve"> verbouw. </w:t>
      </w:r>
      <w:r w:rsidRPr="00AD0531" w:rsidR="009D112E">
        <w:t>Landelijke uniformering stond bij</w:t>
      </w:r>
      <w:r w:rsidRPr="00AD0531">
        <w:t xml:space="preserve"> de totstandkoming van het Bouwbesluit 1992 centraal. Tot dat moment waren bouwverordeningen lokaal geregeld, wat leidde tot </w:t>
      </w:r>
      <w:r w:rsidRPr="00AD0531" w:rsidR="00FC4E0A">
        <w:t xml:space="preserve">soms </w:t>
      </w:r>
      <w:r w:rsidRPr="00AD0531">
        <w:t>aanzienlijke verschillen tussen gemeenten, onduidelijkheid voor marktpartijen en inefficiëntie in het bouwproces.</w:t>
      </w:r>
    </w:p>
    <w:p w:rsidRPr="00AD0531" w:rsidR="00FC4E0A" w:rsidP="00AD0531" w14:paraId="67BD3633" w14:textId="77777777">
      <w:pPr>
        <w:spacing w:line="240" w:lineRule="exact"/>
      </w:pPr>
    </w:p>
    <w:p w:rsidRPr="00AD0531" w:rsidR="00152897" w:rsidP="00AD0531" w14:paraId="532FDF51" w14:textId="4F0309FD">
      <w:pPr>
        <w:spacing w:line="240" w:lineRule="exact"/>
      </w:pPr>
      <w:r w:rsidRPr="00AD0531">
        <w:t xml:space="preserve">Met het Bouwbesluit 1992 is </w:t>
      </w:r>
      <w:r w:rsidRPr="00AD0531">
        <w:t>expliciet gekozen voor één samenhangend en landelijk geldend stelsel van technische bouwvoorschriften, met als doel het bevorderen van rechtsgelijkheid, het vergroten van de transparantie en het verminderen van administratieve lasten.</w:t>
      </w:r>
      <w:r>
        <w:rPr>
          <w:vertAlign w:val="superscript"/>
        </w:rPr>
        <w:footnoteReference w:id="2"/>
      </w:r>
      <w:r w:rsidRPr="00AD0531">
        <w:t xml:space="preserve"> Uniforme regels dragen bij aan een gelijk speelveld, een efficiëntere bouwpraktijk</w:t>
      </w:r>
      <w:r w:rsidRPr="00AD0531" w:rsidR="009D112E">
        <w:t>, duidelijkheid en rechtszekerheid</w:t>
      </w:r>
      <w:r w:rsidRPr="00AD0531">
        <w:t xml:space="preserve">. </w:t>
      </w:r>
      <w:r w:rsidRPr="00AD0531" w:rsidR="009D112E">
        <w:t xml:space="preserve">Landelijk uniforme regels </w:t>
      </w:r>
      <w:r w:rsidRPr="00AD0531">
        <w:t xml:space="preserve">zijn ook het uitgangspunt van het </w:t>
      </w:r>
      <w:r w:rsidRPr="00AD0531">
        <w:t>Bbl</w:t>
      </w:r>
      <w:r w:rsidRPr="00AD0531">
        <w:t xml:space="preserve"> en </w:t>
      </w:r>
      <w:r w:rsidRPr="00AD0531" w:rsidR="009D112E">
        <w:t xml:space="preserve">blijven </w:t>
      </w:r>
      <w:r w:rsidRPr="00AD0531">
        <w:t xml:space="preserve">dit </w:t>
      </w:r>
      <w:r w:rsidRPr="00AD0531" w:rsidR="009D112E">
        <w:t>bij de verdere ontwikkeling van de regelgeving, zeker nu het kabinet</w:t>
      </w:r>
      <w:r w:rsidRPr="00AD0531" w:rsidR="00BF094F">
        <w:t xml:space="preserve"> </w:t>
      </w:r>
      <w:r w:rsidRPr="00AD0531" w:rsidR="009D112E">
        <w:t xml:space="preserve">samen met de markt </w:t>
      </w:r>
      <w:r w:rsidRPr="00AD0531" w:rsidR="00BF094F">
        <w:t xml:space="preserve">breed </w:t>
      </w:r>
      <w:r w:rsidRPr="00AD0531" w:rsidR="009D112E">
        <w:t xml:space="preserve">inzet op industriële bouw. Mede daarom kan dit </w:t>
      </w:r>
      <w:r w:rsidRPr="00AD0531" w:rsidR="00BF094F">
        <w:t xml:space="preserve">belangrijke </w:t>
      </w:r>
      <w:r w:rsidRPr="00AD0531" w:rsidR="009D112E">
        <w:t xml:space="preserve">uitgangspunt </w:t>
      </w:r>
      <w:r w:rsidRPr="00AD0531" w:rsidR="00BF094F">
        <w:t xml:space="preserve">blijvend </w:t>
      </w:r>
      <w:r w:rsidRPr="00AD0531" w:rsidR="009D112E">
        <w:t>rekenen op brede steun in de bouw.</w:t>
      </w:r>
    </w:p>
    <w:p w:rsidR="00CE325A" w14:paraId="13E2470A" w14:textId="77777777">
      <w:pPr>
        <w:spacing w:line="240" w:lineRule="auto"/>
        <w:rPr>
          <w:i/>
          <w:iCs/>
        </w:rPr>
      </w:pPr>
      <w:r>
        <w:rPr>
          <w:i/>
          <w:iCs/>
        </w:rPr>
        <w:br w:type="page"/>
      </w:r>
    </w:p>
    <w:p w:rsidRPr="00F95E32" w:rsidR="003129D1" w:rsidP="00CE325A" w14:paraId="55034E9E" w14:textId="06CD7A87">
      <w:pPr>
        <w:spacing w:line="240" w:lineRule="auto"/>
        <w:rPr>
          <w:i/>
          <w:iCs/>
        </w:rPr>
      </w:pPr>
      <w:r w:rsidRPr="00F95E32">
        <w:rPr>
          <w:i/>
          <w:iCs/>
        </w:rPr>
        <w:t>Landelijke regels versus lokale regels</w:t>
      </w:r>
    </w:p>
    <w:p w:rsidRPr="00AD0531" w:rsidR="009D112E" w:rsidP="00AD0531" w14:paraId="5896C5FC" w14:textId="0B6342C1">
      <w:pPr>
        <w:spacing w:line="240" w:lineRule="exact"/>
      </w:pPr>
      <w:r w:rsidRPr="00AD0531">
        <w:t xml:space="preserve">Het stelsel van de bouwregelgeving is limitatief. Dit wil zeggen dat het </w:t>
      </w:r>
      <w:r w:rsidRPr="00AD0531">
        <w:t>Bbl</w:t>
      </w:r>
      <w:r w:rsidRPr="00AD0531">
        <w:t xml:space="preserve"> een uitputtend en landelijk uniform kader vormt voor bouwtechnische eisen aan bouwwerken. </w:t>
      </w:r>
      <w:r w:rsidRPr="00AD0531" w:rsidR="00750149">
        <w:t xml:space="preserve">Tijdens de </w:t>
      </w:r>
      <w:r w:rsidRPr="00AD0531" w:rsidR="00750149">
        <w:t>Woontop</w:t>
      </w:r>
      <w:r w:rsidRPr="00AD0531" w:rsidR="00750149">
        <w:t xml:space="preserve"> in december 2024 is dit door alle betrokken partijen nogmaals bevestigd. </w:t>
      </w:r>
    </w:p>
    <w:p w:rsidRPr="00AD0531" w:rsidR="008C1C9F" w:rsidP="00AD0531" w14:paraId="4FEDBFB4" w14:textId="77777777">
      <w:pPr>
        <w:spacing w:line="240" w:lineRule="exact"/>
      </w:pPr>
    </w:p>
    <w:p w:rsidRPr="00AD0531" w:rsidR="008C1C9F" w:rsidP="00AD0531" w14:paraId="29B8539B" w14:textId="64C1A5F8">
      <w:pPr>
        <w:spacing w:line="240" w:lineRule="exact"/>
      </w:pPr>
      <w:r w:rsidRPr="00AD0531">
        <w:t>Zoals afgesproken op de</w:t>
      </w:r>
      <w:r w:rsidRPr="00AD0531" w:rsidR="00444ADD">
        <w:t xml:space="preserve"> </w:t>
      </w:r>
      <w:r w:rsidRPr="00AD0531" w:rsidR="00444ADD">
        <w:t>Woontop</w:t>
      </w:r>
      <w:r w:rsidRPr="00AD0531" w:rsidR="00444ADD">
        <w:t xml:space="preserve"> </w:t>
      </w:r>
      <w:r w:rsidRPr="00AD0531">
        <w:t>(afspraak 12)</w:t>
      </w:r>
      <w:r w:rsidRPr="00AD0531" w:rsidR="00444ADD">
        <w:t xml:space="preserve"> </w:t>
      </w:r>
      <w:r w:rsidR="00A55CB3">
        <w:t>is</w:t>
      </w:r>
      <w:r w:rsidRPr="00AD0531" w:rsidR="00444ADD">
        <w:t xml:space="preserve"> recent uitgewerkt hoe de eisen in het </w:t>
      </w:r>
      <w:r w:rsidRPr="00AD0531" w:rsidR="00444ADD">
        <w:t>Bbl</w:t>
      </w:r>
      <w:r w:rsidRPr="00AD0531" w:rsidR="00444ADD">
        <w:t xml:space="preserve"> de gemeenten publiekrechtelijk binden</w:t>
      </w:r>
      <w:r w:rsidRPr="00AD0531">
        <w:t>,</w:t>
      </w:r>
      <w:r w:rsidRPr="00AD0531" w:rsidR="00444ADD">
        <w:t xml:space="preserve"> waarbij ook de </w:t>
      </w:r>
      <w:r w:rsidRPr="00AD0531" w:rsidR="00B96CD0">
        <w:t>jurisprudentie</w:t>
      </w:r>
      <w:r w:rsidRPr="00AD0531" w:rsidR="00444ADD">
        <w:t xml:space="preserve"> is beschouw</w:t>
      </w:r>
      <w:r w:rsidR="00B07BE0">
        <w:t>d</w:t>
      </w:r>
      <w:r w:rsidRPr="00AD0531" w:rsidR="00444ADD">
        <w:t xml:space="preserve">. Dit is vastgelegd in </w:t>
      </w:r>
      <w:r w:rsidRPr="00AD0531" w:rsidR="00352D8B">
        <w:t xml:space="preserve">de </w:t>
      </w:r>
      <w:r w:rsidRPr="00AD0531" w:rsidR="00444ADD">
        <w:t xml:space="preserve">bijlage </w:t>
      </w:r>
      <w:r w:rsidRPr="00AD0531" w:rsidR="00352D8B">
        <w:t>bij deze brief</w:t>
      </w:r>
      <w:r w:rsidRPr="00AD0531" w:rsidR="00444ADD">
        <w:t xml:space="preserve">. </w:t>
      </w:r>
      <w:r w:rsidRPr="00AD0531">
        <w:t xml:space="preserve">Uit de beschouwing volgt dat gemeenten in beginsel geen ruimte hebben om aanvullende of strengere technische eisen te stellen, tenzij het </w:t>
      </w:r>
      <w:r w:rsidRPr="00AD0531">
        <w:t>Bbl</w:t>
      </w:r>
      <w:r w:rsidRPr="00AD0531">
        <w:t xml:space="preserve"> die mogelijkheid expliciet biedt. Lokale </w:t>
      </w:r>
      <w:r w:rsidRPr="00AD0531" w:rsidR="00352D8B">
        <w:t xml:space="preserve">voorschriften </w:t>
      </w:r>
      <w:r w:rsidRPr="00AD0531">
        <w:t xml:space="preserve">die toch technische eisen aan bouwwerken stellen, bijvoorbeeld via het omgevingsplan of vergunningverlening, zijn in strijd met de wettelijke systematiek en daarmee onverbindend. Gemeenten kunnen wel sturen via ruimtelijke of functionele regels, mits deze niet neerkomen op </w:t>
      </w:r>
      <w:r w:rsidRPr="00AD0531" w:rsidR="00352D8B">
        <w:t>regels</w:t>
      </w:r>
      <w:r w:rsidRPr="00AD0531">
        <w:t xml:space="preserve"> over de technische uitvoering van bouwwerken. </w:t>
      </w:r>
    </w:p>
    <w:p w:rsidRPr="00AD0531" w:rsidR="008C1C9F" w:rsidP="00AD0531" w14:paraId="11494A7A" w14:textId="77777777">
      <w:pPr>
        <w:spacing w:line="240" w:lineRule="exact"/>
      </w:pPr>
    </w:p>
    <w:p w:rsidR="00BF094F" w:rsidP="00AD0531" w14:paraId="70973139" w14:textId="6DF4134B">
      <w:pPr>
        <w:spacing w:line="240" w:lineRule="exact"/>
      </w:pPr>
      <w:r w:rsidRPr="00AD0531">
        <w:t>Het</w:t>
      </w:r>
      <w:r w:rsidRPr="00AD0531" w:rsidR="008C1C9F">
        <w:t xml:space="preserve"> </w:t>
      </w:r>
      <w:r w:rsidRPr="00AD0531" w:rsidR="00B96CD0">
        <w:t xml:space="preserve">Instituut voor Bouwrecht </w:t>
      </w:r>
      <w:r w:rsidRPr="00AD0531" w:rsidR="006F3291">
        <w:t xml:space="preserve">(IBR) </w:t>
      </w:r>
      <w:r w:rsidRPr="00AD0531" w:rsidR="00B96CD0">
        <w:t>h</w:t>
      </w:r>
      <w:r w:rsidRPr="00AD0531" w:rsidR="00750149">
        <w:t>eeft</w:t>
      </w:r>
      <w:r w:rsidRPr="00AD0531" w:rsidR="006F3291">
        <w:t xml:space="preserve"> </w:t>
      </w:r>
      <w:r w:rsidRPr="00AD0531" w:rsidR="00750149">
        <w:t xml:space="preserve">in </w:t>
      </w:r>
      <w:r w:rsidRPr="00AD0531" w:rsidR="008C1C9F">
        <w:t xml:space="preserve">mijn opdracht </w:t>
      </w:r>
      <w:r w:rsidRPr="00AD0531" w:rsidR="006F3291">
        <w:t xml:space="preserve">ook </w:t>
      </w:r>
      <w:r w:rsidRPr="00AD0531" w:rsidR="008C1C9F">
        <w:t>de privaatrechtelijke kant beschouwd</w:t>
      </w:r>
      <w:r w:rsidRPr="00AD0531" w:rsidR="00750149">
        <w:t>.</w:t>
      </w:r>
      <w:r>
        <w:rPr>
          <w:vertAlign w:val="superscript"/>
        </w:rPr>
        <w:footnoteReference w:id="3"/>
      </w:r>
      <w:r w:rsidRPr="00E22480" w:rsidR="008C1C9F">
        <w:rPr>
          <w:vertAlign w:val="superscript"/>
        </w:rPr>
        <w:t xml:space="preserve"> </w:t>
      </w:r>
      <w:r w:rsidRPr="00AD0531" w:rsidR="006F3291">
        <w:t xml:space="preserve">Hieruit blijkt dat de Omgevingswet (artikel 23.7) gemeenten verbiedt </w:t>
      </w:r>
      <w:r w:rsidRPr="00AD0531" w:rsidR="008C1C9F">
        <w:t>via privaatrechtelijke weg (alsnog) aanvullende bouwtechnische eisen</w:t>
      </w:r>
      <w:r w:rsidR="00620332">
        <w:t xml:space="preserve"> te</w:t>
      </w:r>
      <w:r w:rsidRPr="00AD0531" w:rsidR="008C1C9F">
        <w:t xml:space="preserve"> stellen bovenop of in afwijking van het </w:t>
      </w:r>
      <w:r w:rsidRPr="00AD0531" w:rsidR="008C1C9F">
        <w:t>Bbl</w:t>
      </w:r>
      <w:r w:rsidRPr="00AD0531" w:rsidR="008C1C9F">
        <w:t xml:space="preserve">. Afspraken in overeenkomsten (bijvoorbeeld bij grondverkoop, anterieure overeenkomsten of selectieprocedures) die verder gaan dan het </w:t>
      </w:r>
      <w:r w:rsidRPr="00AD0531" w:rsidR="008C1C9F">
        <w:t>Bbl</w:t>
      </w:r>
      <w:r w:rsidR="001F7508">
        <w:t>, waarbij medeoverheden partij zijn,</w:t>
      </w:r>
      <w:r w:rsidRPr="00AD0531" w:rsidR="008C1C9F">
        <w:t xml:space="preserve"> zijn in beginsel nietig.</w:t>
      </w:r>
      <w:r w:rsidR="001F7508">
        <w:t xml:space="preserve"> </w:t>
      </w:r>
      <w:r w:rsidR="000428C2">
        <w:t xml:space="preserve">Opdrachtgevers van nieuwe bouwwerken </w:t>
      </w:r>
      <w:r w:rsidR="006A3BBD">
        <w:t xml:space="preserve">mogen uiteraard voor eigen rekening wel tegen hogere kwaliteitsniveaus laten bouwen dan het </w:t>
      </w:r>
      <w:r w:rsidR="006A3BBD">
        <w:t>Bbl</w:t>
      </w:r>
      <w:r w:rsidR="006A3BBD">
        <w:t xml:space="preserve"> als minimum voorschrijft, zolang dwang achterwege blijft. </w:t>
      </w:r>
    </w:p>
    <w:p w:rsidRPr="00AD0531" w:rsidR="007B3C4F" w:rsidP="00AD0531" w14:paraId="11E17C63" w14:textId="77777777">
      <w:pPr>
        <w:spacing w:line="240" w:lineRule="exact"/>
      </w:pPr>
    </w:p>
    <w:p w:rsidR="00CB1B63" w:rsidP="00AD0531" w14:paraId="0A5BCD04" w14:textId="4FBF4B90">
      <w:pPr>
        <w:spacing w:line="240" w:lineRule="exact"/>
      </w:pPr>
      <w:r w:rsidRPr="00AD0531">
        <w:t xml:space="preserve">In het </w:t>
      </w:r>
      <w:r w:rsidR="008E7860">
        <w:t>regeer</w:t>
      </w:r>
      <w:r w:rsidRPr="00AD0531">
        <w:t>akkoord is opgenomen dat de Regering zich zal inzetten om lokale</w:t>
      </w:r>
      <w:r w:rsidRPr="00AD0531" w:rsidR="002F62CA">
        <w:t>, bovenwettelijke</w:t>
      </w:r>
      <w:r w:rsidRPr="00AD0531">
        <w:t xml:space="preserve"> regels tegen </w:t>
      </w:r>
      <w:r w:rsidRPr="00AD0531" w:rsidR="002F62CA">
        <w:t>te gaan</w:t>
      </w:r>
      <w:r w:rsidR="000428C2">
        <w:t>,</w:t>
      </w:r>
      <w:r w:rsidRPr="00AD0531" w:rsidR="002F62CA">
        <w:t xml:space="preserve"> </w:t>
      </w:r>
      <w:r w:rsidRPr="00AD0531">
        <w:t>zodat overal dezelfde regels gelden. Ook in uw Kamer zijn bovenwettelijke regels regelmatig onderwerp van discussie</w:t>
      </w:r>
      <w:r w:rsidRPr="00AD0531" w:rsidR="00977F04">
        <w:t xml:space="preserve"> blijkens de </w:t>
      </w:r>
      <w:r w:rsidRPr="00AD0531" w:rsidR="00026004">
        <w:t xml:space="preserve">door uw Kamer aangenomen </w:t>
      </w:r>
      <w:r w:rsidRPr="00AD0531" w:rsidR="00977F04">
        <w:t xml:space="preserve">moties van </w:t>
      </w:r>
      <w:r w:rsidR="00620332">
        <w:t>het Kamerlid</w:t>
      </w:r>
      <w:r w:rsidRPr="00AD0531" w:rsidR="00977F04">
        <w:t xml:space="preserve"> </w:t>
      </w:r>
      <w:r w:rsidRPr="00AD0531" w:rsidR="00977F04">
        <w:t>Mooiman</w:t>
      </w:r>
      <w:r w:rsidRPr="00AD0531" w:rsidR="00977F04">
        <w:t xml:space="preserve"> vorige jaar tijdens de begrotingsbehandeling en recent </w:t>
      </w:r>
      <w:r w:rsidR="00620332">
        <w:t>van het Kamerlid</w:t>
      </w:r>
      <w:r w:rsidRPr="00AD0531" w:rsidR="00977F04">
        <w:t xml:space="preserve"> Nobel tijdens het tweeminutendebat Klimaatbeleid gebouwde omgeving.</w:t>
      </w:r>
      <w:r>
        <w:rPr>
          <w:vertAlign w:val="superscript"/>
        </w:rPr>
        <w:footnoteReference w:id="4"/>
      </w:r>
      <w:r w:rsidRPr="00AD0531" w:rsidR="00977F04">
        <w:t xml:space="preserve"> Beide moties vragen om actie richting gemeenten om ervoor te zorgen dat ze geen aanvullende eisen aan de bouw opleggen. Mede </w:t>
      </w:r>
      <w:r w:rsidRPr="00AD0531" w:rsidR="009810A6">
        <w:t>hierom</w:t>
      </w:r>
      <w:r w:rsidRPr="00AD0531" w:rsidR="00977F04">
        <w:t xml:space="preserve"> heb ik recent aan alle gemeenteraden een brief verzonden met </w:t>
      </w:r>
      <w:r w:rsidRPr="00AD0531" w:rsidR="009810A6">
        <w:t>daarin</w:t>
      </w:r>
      <w:r w:rsidR="00A55CB3">
        <w:t>, onder meer,</w:t>
      </w:r>
      <w:r w:rsidRPr="00AD0531" w:rsidR="009810A6">
        <w:t xml:space="preserve"> de uitleg waarom het stellen van aanvullende eisen niet alleen juridisch niet toelaatbaar is maar ook contraproductief gezien de woningbouwopgave </w:t>
      </w:r>
      <w:r w:rsidR="00656B00">
        <w:t xml:space="preserve">en de verduurzaming </w:t>
      </w:r>
      <w:r w:rsidRPr="00AD0531" w:rsidR="009810A6">
        <w:t>waar we op dit moment gezamenlijk voor</w:t>
      </w:r>
      <w:r w:rsidR="006D3193">
        <w:t xml:space="preserve"> </w:t>
      </w:r>
      <w:r w:rsidRPr="00AD0531" w:rsidR="009810A6">
        <w:t>staan.</w:t>
      </w:r>
      <w:r w:rsidR="006510E8">
        <w:t xml:space="preserve"> Daarnaast zet dit de betaalbaarheid van woningen onder druk.</w:t>
      </w:r>
      <w:r w:rsidRPr="00AD0531" w:rsidR="009810A6">
        <w:t xml:space="preserve"> </w:t>
      </w:r>
    </w:p>
    <w:p w:rsidR="007B3C4F" w:rsidP="00AD0531" w14:paraId="12E3BC74" w14:textId="77777777">
      <w:pPr>
        <w:spacing w:line="240" w:lineRule="exact"/>
      </w:pPr>
    </w:p>
    <w:p w:rsidRPr="00AD0531" w:rsidR="00BF094F" w:rsidP="00AD0531" w14:paraId="36A3F6F3" w14:textId="31FB96D6">
      <w:pPr>
        <w:spacing w:line="240" w:lineRule="exact"/>
      </w:pPr>
      <w:r w:rsidRPr="00AD0531">
        <w:t xml:space="preserve">In aanvulling daarop onderzoek ik naar aanleiding van de motie van </w:t>
      </w:r>
      <w:r w:rsidR="00620332">
        <w:t>het lid</w:t>
      </w:r>
      <w:r w:rsidRPr="00AD0531">
        <w:t xml:space="preserve"> Nobel op dit moment welke instrumenten mij ter beschikking staan </w:t>
      </w:r>
      <w:r w:rsidR="006510E8">
        <w:t>of</w:t>
      </w:r>
      <w:r w:rsidR="001F7508">
        <w:t xml:space="preserve"> </w:t>
      </w:r>
      <w:r w:rsidR="006510E8">
        <w:t>kunnen</w:t>
      </w:r>
      <w:r w:rsidR="001F7508">
        <w:t xml:space="preserve"> worden ontwikkeld, </w:t>
      </w:r>
      <w:r w:rsidRPr="00AD0531">
        <w:t xml:space="preserve">om zo nodig maatregelen te treffen daar waar gemeenten onverhoopt aanvullende eisen blijven stellen. </w:t>
      </w:r>
      <w:r w:rsidR="00620332">
        <w:t>Het lid</w:t>
      </w:r>
      <w:r w:rsidRPr="00AD0531">
        <w:t xml:space="preserve"> Nobel legt in zijn motie ook een relatie met duurzaamheidsambities; hier kom ik verderop in deze brief terug.</w:t>
      </w:r>
    </w:p>
    <w:p w:rsidRPr="00A9111F" w:rsidR="00444ADD" w:rsidP="00444ADD" w14:paraId="027A85A2" w14:textId="77777777">
      <w:pPr>
        <w:rPr>
          <w:color w:val="auto"/>
        </w:rPr>
      </w:pPr>
    </w:p>
    <w:p w:rsidRPr="00E22480" w:rsidR="003129D1" w:rsidP="00E22480" w14:paraId="62F156D2" w14:textId="3F55C88F">
      <w:pPr>
        <w:spacing w:line="240" w:lineRule="exact"/>
        <w:rPr>
          <w:i/>
          <w:iCs/>
        </w:rPr>
      </w:pPr>
      <w:r w:rsidRPr="00E22480">
        <w:rPr>
          <w:i/>
          <w:iCs/>
        </w:rPr>
        <w:t>Industrialisatie en</w:t>
      </w:r>
      <w:r w:rsidRPr="00E22480">
        <w:rPr>
          <w:i/>
          <w:iCs/>
        </w:rPr>
        <w:t xml:space="preserve"> typegoedkeuring</w:t>
      </w:r>
    </w:p>
    <w:p w:rsidRPr="00AD0531" w:rsidR="00B96DF4" w:rsidP="00AD0531" w14:paraId="778BC345" w14:textId="5ED2A96F">
      <w:pPr>
        <w:spacing w:line="240" w:lineRule="exact"/>
      </w:pPr>
      <w:r w:rsidRPr="00AD0531">
        <w:t xml:space="preserve">Met de uniforme eisen in het </w:t>
      </w:r>
      <w:r w:rsidRPr="00AD0531">
        <w:t>Bbl</w:t>
      </w:r>
      <w:r w:rsidRPr="00AD0531">
        <w:t xml:space="preserve"> is landelijke standaardisatie mogelijk van nieuwbouw. Dit geeft ruimte voor de verdere industrialisatie van woningbouw, wat </w:t>
      </w:r>
      <w:r w:rsidRPr="00AD0531">
        <w:t>een essentieel onderdeel is om de woningnood aan te pakken.</w:t>
      </w:r>
      <w:r>
        <w:rPr>
          <w:vertAlign w:val="superscript"/>
        </w:rPr>
        <w:footnoteReference w:id="5"/>
      </w:r>
      <w:r w:rsidRPr="00E22480">
        <w:rPr>
          <w:vertAlign w:val="superscript"/>
        </w:rPr>
        <w:t xml:space="preserve"> </w:t>
      </w:r>
      <w:r w:rsidRPr="00AD0531">
        <w:t>Ook typegoedkeuring op basis van het stelsel voor Erkende Kwaliteitsverklaringen (verder: EKV) draagt bij aan meer woningen in minder tijd. Een EKV zorgt ervoor dat een woningconcept slechts eenmalig technisch beoordeeld hoeft te worden en verdere (lokale) beoordeling achterwege kan blijven. De afgelopen tijd zijn al de eerste ervaringen opgedaan met woningen gebouwd onder een EKV, waarbij de kwaliteitsverklaring niet alleen de productie</w:t>
      </w:r>
      <w:r w:rsidR="00A55CB3">
        <w:t>,</w:t>
      </w:r>
      <w:r w:rsidRPr="00AD0531">
        <w:t xml:space="preserve"> maar ook de bouw zelf</w:t>
      </w:r>
      <w:r>
        <w:rPr>
          <w:rFonts w:eastAsia="Times New Roman"/>
          <w:color w:val="auto"/>
        </w:rPr>
        <w:t xml:space="preserve"> </w:t>
      </w:r>
      <w:r w:rsidRPr="00AD0531">
        <w:t>omvat. De controle van de bouwkwaliteit verschuift hier van een controle per project naar een controle op het product en het bouwproces, wat leidt tot een verdere versnelling van de bouw.</w:t>
      </w:r>
      <w:r w:rsidRPr="00E22480">
        <w:rPr>
          <w:vertAlign w:val="superscript"/>
        </w:rPr>
        <w:t xml:space="preserve"> </w:t>
      </w:r>
      <w:r w:rsidR="000428C2">
        <w:rPr>
          <w:vertAlign w:val="superscript"/>
        </w:rPr>
        <w:t xml:space="preserve"> </w:t>
      </w:r>
      <w:r w:rsidR="000428C2">
        <w:t xml:space="preserve">Bovendien leidt een fabrieksmatige manier van bouwen vaker tot een hogere technische bouwkwaliteit vanwege een herhaalbare productie onder gecontroleerde omstandigheden. </w:t>
      </w:r>
      <w:r w:rsidRPr="00AD0531">
        <w:t>Ik ben voornemens om bij woningen</w:t>
      </w:r>
      <w:r w:rsidR="0099700E">
        <w:t>,</w:t>
      </w:r>
      <w:r w:rsidRPr="00AD0531">
        <w:t xml:space="preserve"> gebouwd onder een </w:t>
      </w:r>
      <w:r w:rsidR="000428C2">
        <w:t>volledig</w:t>
      </w:r>
      <w:r w:rsidR="009709AC">
        <w:t xml:space="preserve"> </w:t>
      </w:r>
      <w:r w:rsidR="000428C2">
        <w:t xml:space="preserve">dekkende </w:t>
      </w:r>
      <w:r w:rsidRPr="00AD0531">
        <w:t>EKV</w:t>
      </w:r>
      <w:r w:rsidR="0099700E">
        <w:t>,</w:t>
      </w:r>
      <w:r w:rsidRPr="00AD0531">
        <w:t xml:space="preserve"> de vergunning- en meldplicht voor de technische bouwactiviteit te laten vervallen.</w:t>
      </w:r>
      <w:r>
        <w:rPr>
          <w:rStyle w:val="FootnoteReference"/>
        </w:rPr>
        <w:footnoteReference w:id="6"/>
      </w:r>
      <w:r w:rsidRPr="00AD0531">
        <w:t xml:space="preserve"> Om ook tijdelijke huisvesting en </w:t>
      </w:r>
      <w:r w:rsidRPr="00AD0531">
        <w:t>flexbouw</w:t>
      </w:r>
      <w:r w:rsidRPr="00AD0531">
        <w:t xml:space="preserve"> te vereenvoudigen zal ik, in navolging van de motie </w:t>
      </w:r>
      <w:r w:rsidR="00642E5D">
        <w:t xml:space="preserve">van het </w:t>
      </w:r>
      <w:r w:rsidR="00B377A8">
        <w:t>K</w:t>
      </w:r>
      <w:r w:rsidR="00642E5D">
        <w:t xml:space="preserve">amerlid </w:t>
      </w:r>
      <w:r w:rsidR="00B37096">
        <w:t>Steen</w:t>
      </w:r>
      <w:r>
        <w:rPr>
          <w:rStyle w:val="FootnoteReference"/>
        </w:rPr>
        <w:footnoteReference w:id="7"/>
      </w:r>
      <w:r w:rsidRPr="00AD0531">
        <w:t xml:space="preserve">, bezien onder welke voorwaarden woningen met een typegoedkeuring ook vergunning- en </w:t>
      </w:r>
      <w:r w:rsidRPr="00AD0531">
        <w:t>meldingvrij</w:t>
      </w:r>
      <w:r w:rsidRPr="00AD0531">
        <w:t xml:space="preserve"> verplaatst kunnen worden.</w:t>
      </w:r>
    </w:p>
    <w:p w:rsidR="00411EA7" w:rsidP="00AD0531" w14:paraId="6539989C" w14:textId="7708C4AB">
      <w:pPr>
        <w:spacing w:line="240" w:lineRule="exact"/>
      </w:pPr>
    </w:p>
    <w:p w:rsidRPr="00AD0531" w:rsidR="00B96DF4" w:rsidP="00AD0531" w14:paraId="731ED85F" w14:textId="0AC470DB">
      <w:pPr>
        <w:spacing w:line="240" w:lineRule="exact"/>
      </w:pPr>
      <w:r>
        <w:t>In aanvulling hierop werk ik samen met gemeenten in het programma Innovatie en Opschaling Woningbouw aan</w:t>
      </w:r>
      <w:r w:rsidR="00FB5247">
        <w:t xml:space="preserve"> standaardisatie van ruimtelijke lokale regels, zoals welstand en stedenbouwkundige plannen</w:t>
      </w:r>
      <w:r>
        <w:t>.</w:t>
      </w:r>
      <w:r>
        <w:rPr>
          <w:vertAlign w:val="superscript"/>
        </w:rPr>
        <w:footnoteReference w:id="8"/>
      </w:r>
      <w:r w:rsidRPr="00E22480">
        <w:rPr>
          <w:vertAlign w:val="superscript"/>
        </w:rPr>
        <w:t xml:space="preserve"> </w:t>
      </w:r>
      <w:r>
        <w:t xml:space="preserve">In de </w:t>
      </w:r>
      <w:r w:rsidRPr="00AD0531">
        <w:t xml:space="preserve">industriële </w:t>
      </w:r>
      <w:r w:rsidRPr="00AD0531">
        <w:t>fastlane</w:t>
      </w:r>
      <w:r>
        <w:t xml:space="preserve"> van de Groene Metropoolregio Arnhem-Nijmegen doen we daar nu al ervaring mee op en worden vergunningen sneller verleend.</w:t>
      </w:r>
    </w:p>
    <w:p w:rsidR="00B96DF4" w:rsidP="00A9111F" w14:paraId="1A73545A" w14:textId="77777777">
      <w:pPr>
        <w:autoSpaceDN/>
        <w:spacing w:line="240" w:lineRule="auto"/>
        <w:textAlignment w:val="auto"/>
        <w:rPr>
          <w:rFonts w:eastAsia="Times New Roman"/>
          <w:color w:val="auto"/>
        </w:rPr>
      </w:pPr>
    </w:p>
    <w:p w:rsidRPr="00A9111F" w:rsidR="00B96DF4" w:rsidP="00A9111F" w14:paraId="143987BE" w14:textId="77777777">
      <w:pPr>
        <w:autoSpaceDN/>
        <w:spacing w:line="240" w:lineRule="auto"/>
        <w:textAlignment w:val="auto"/>
        <w:rPr>
          <w:rFonts w:eastAsia="Times New Roman"/>
          <w:color w:val="auto"/>
        </w:rPr>
      </w:pPr>
    </w:p>
    <w:p w:rsidR="00A9111F" w:rsidP="007A7E63" w14:paraId="2F321960" w14:textId="0F0E36D5">
      <w:pPr>
        <w:pStyle w:val="ListParagraph"/>
        <w:numPr>
          <w:ilvl w:val="0"/>
          <w:numId w:val="18"/>
        </w:numPr>
        <w:autoSpaceDN/>
        <w:spacing w:line="240" w:lineRule="auto"/>
        <w:ind w:left="284" w:hanging="284"/>
        <w:textAlignment w:val="auto"/>
        <w:rPr>
          <w:rFonts w:eastAsia="Times New Roman"/>
          <w:b/>
          <w:bCs/>
          <w:color w:val="auto"/>
        </w:rPr>
      </w:pPr>
      <w:bookmarkStart w:name="_Hlk227157576" w:id="0"/>
      <w:r w:rsidRPr="007A7E63">
        <w:rPr>
          <w:rFonts w:eastAsia="Times New Roman"/>
          <w:b/>
          <w:bCs/>
          <w:color w:val="auto"/>
        </w:rPr>
        <w:t xml:space="preserve">Vereenvoudiging bouwregelgeving </w:t>
      </w:r>
    </w:p>
    <w:p w:rsidRPr="007A7E63" w:rsidR="00F95E32" w:rsidP="00F95E32" w14:paraId="65A7CE8E" w14:textId="77777777">
      <w:pPr>
        <w:pStyle w:val="ListParagraph"/>
        <w:autoSpaceDN/>
        <w:spacing w:line="240" w:lineRule="auto"/>
        <w:ind w:left="284"/>
        <w:textAlignment w:val="auto"/>
        <w:rPr>
          <w:rFonts w:eastAsia="Times New Roman"/>
          <w:b/>
          <w:bCs/>
          <w:color w:val="auto"/>
        </w:rPr>
      </w:pPr>
    </w:p>
    <w:p w:rsidRPr="00AD0531" w:rsidR="00A9111F" w:rsidP="00AD0531" w14:paraId="300452C4" w14:textId="4A3569EE">
      <w:pPr>
        <w:spacing w:line="240" w:lineRule="exact"/>
      </w:pPr>
      <w:r w:rsidRPr="00AD0531">
        <w:t xml:space="preserve">In het </w:t>
      </w:r>
      <w:r w:rsidR="008E7860">
        <w:t>regeer</w:t>
      </w:r>
      <w:r w:rsidRPr="00AD0531">
        <w:t xml:space="preserve">akkoord is de vereenvoudiging van het </w:t>
      </w:r>
      <w:r w:rsidRPr="00AD0531">
        <w:t>Bbl</w:t>
      </w:r>
      <w:r w:rsidRPr="00AD0531">
        <w:t xml:space="preserve"> met name gekoppeld aan het schrappen van onnodige en kostbare bouweisen. De vereenvoudiging kan echter ook </w:t>
      </w:r>
      <w:r w:rsidR="0099700E">
        <w:t xml:space="preserve">worden </w:t>
      </w:r>
      <w:r w:rsidRPr="00AD0531">
        <w:t>gevonden in meer vergunningsvrij bouwen</w:t>
      </w:r>
      <w:r w:rsidR="00C9257E">
        <w:t xml:space="preserve"> en </w:t>
      </w:r>
      <w:r w:rsidRPr="00AD0531">
        <w:t>het meer werken met erkende kwaliteitsverklaring</w:t>
      </w:r>
      <w:r w:rsidRPr="00AD0531" w:rsidR="00C37921">
        <w:t>en</w:t>
      </w:r>
      <w:r w:rsidRPr="00AD0531">
        <w:t xml:space="preserve"> of maatregelen</w:t>
      </w:r>
      <w:r w:rsidR="00C9257E">
        <w:t>.</w:t>
      </w:r>
    </w:p>
    <w:p w:rsidRPr="00AD0531" w:rsidR="00A9111F" w:rsidP="00AD0531" w14:paraId="30E7E958" w14:textId="77777777">
      <w:pPr>
        <w:spacing w:line="240" w:lineRule="exact"/>
      </w:pPr>
    </w:p>
    <w:p w:rsidRPr="00AD0531" w:rsidR="00C3765C" w:rsidP="00AD0531" w14:paraId="50318C95" w14:textId="7E2D9F2E">
      <w:pPr>
        <w:spacing w:line="240" w:lineRule="exact"/>
      </w:pPr>
      <w:r w:rsidRPr="00AD0531">
        <w:t xml:space="preserve">Voor het schrappen van eisen is in 2025 met </w:t>
      </w:r>
      <w:r w:rsidRPr="00AD0531" w:rsidR="007D5CCD">
        <w:t xml:space="preserve">het programma </w:t>
      </w:r>
      <w:r w:rsidRPr="00AD0531">
        <w:t xml:space="preserve">Stoer al het nodige in gang gezet. </w:t>
      </w:r>
      <w:r w:rsidRPr="00AD0531" w:rsidR="00B775E3">
        <w:t>Hierover bent u door mijn ambt</w:t>
      </w:r>
      <w:r w:rsidRPr="00AD0531" w:rsidR="007D5CCD">
        <w:t>s</w:t>
      </w:r>
      <w:r w:rsidRPr="00AD0531" w:rsidR="00B775E3">
        <w:t xml:space="preserve">voorganger geïnformeerd in </w:t>
      </w:r>
      <w:r w:rsidRPr="00AD0531" w:rsidR="00E14632">
        <w:t xml:space="preserve">de brieven </w:t>
      </w:r>
      <w:r w:rsidRPr="00AD0531" w:rsidR="00B775E3">
        <w:t>van</w:t>
      </w:r>
      <w:r w:rsidR="00B775E3">
        <w:t xml:space="preserve"> 23 juni 2025</w:t>
      </w:r>
      <w:r w:rsidRPr="00AD0531" w:rsidR="00B775E3">
        <w:t xml:space="preserve"> en 10 oktober 2025</w:t>
      </w:r>
      <w:r w:rsidRPr="00AD0531" w:rsidR="007D5CCD">
        <w:t>.</w:t>
      </w:r>
      <w:r>
        <w:rPr>
          <w:vertAlign w:val="superscript"/>
        </w:rPr>
        <w:footnoteReference w:id="9"/>
      </w:r>
      <w:r w:rsidRPr="00E22480" w:rsidR="007D5CCD">
        <w:rPr>
          <w:vertAlign w:val="superscript"/>
        </w:rPr>
        <w:t>,</w:t>
      </w:r>
      <w:r>
        <w:rPr>
          <w:vertAlign w:val="superscript"/>
        </w:rPr>
        <w:footnoteReference w:id="10"/>
      </w:r>
      <w:r w:rsidRPr="00AD0531" w:rsidR="007D5CCD">
        <w:t xml:space="preserve"> </w:t>
      </w:r>
      <w:r w:rsidRPr="00AD0531">
        <w:t xml:space="preserve">Ik ben bezig met een wijziging van het </w:t>
      </w:r>
      <w:r w:rsidRPr="00AD0531">
        <w:t>Bbl</w:t>
      </w:r>
      <w:r w:rsidRPr="00AD0531">
        <w:t xml:space="preserve"> aansluitend op de adviezen van Stoer</w:t>
      </w:r>
      <w:r w:rsidRPr="00AD0531" w:rsidR="007D5CCD">
        <w:t xml:space="preserve"> die ik na </w:t>
      </w:r>
      <w:r w:rsidR="0099700E">
        <w:t>di</w:t>
      </w:r>
      <w:r w:rsidRPr="00AD0531" w:rsidR="0099700E">
        <w:t xml:space="preserve">t </w:t>
      </w:r>
      <w:r w:rsidRPr="00AD0531" w:rsidR="007D5CCD">
        <w:t>zomerreces aan uw Kamer ter voorhang wil voorleggen</w:t>
      </w:r>
      <w:r w:rsidRPr="00AD0531">
        <w:t xml:space="preserve">. Het betreft </w:t>
      </w:r>
      <w:r w:rsidRPr="00AD0531" w:rsidR="00E14632">
        <w:t>het verlagen van eisen aan plafond- en deurhoogtes, steilheid trappen en interne geluid</w:t>
      </w:r>
      <w:r w:rsidRPr="00AD0531" w:rsidR="005E1A4B">
        <w:t xml:space="preserve"> voor woningbouw</w:t>
      </w:r>
      <w:r w:rsidRPr="00AD0531" w:rsidR="00E14632">
        <w:t xml:space="preserve">. Voorts worden de geplande nieuwe eisen voor daglicht op basis van de NEN-EN </w:t>
      </w:r>
      <w:r w:rsidRPr="00AD0531" w:rsidR="001842B3">
        <w:t>17037</w:t>
      </w:r>
      <w:r w:rsidRPr="00AD0531" w:rsidR="00E14632">
        <w:t xml:space="preserve"> </w:t>
      </w:r>
      <w:r w:rsidRPr="00AD0531" w:rsidR="001842B3">
        <w:t xml:space="preserve">teruggedraaid, verdwijnt deels </w:t>
      </w:r>
      <w:r w:rsidRPr="00AD0531" w:rsidR="00E14632">
        <w:t xml:space="preserve">de ministeriële toestemming </w:t>
      </w:r>
      <w:r w:rsidRPr="00AD0531" w:rsidR="001842B3">
        <w:t>voor l</w:t>
      </w:r>
      <w:r w:rsidRPr="00AD0531" w:rsidR="00E14632">
        <w:t xml:space="preserve">agere kwaliteitsniveaus </w:t>
      </w:r>
      <w:r w:rsidRPr="00AD0531" w:rsidR="005E1A4B">
        <w:t xml:space="preserve">voor bruikbaarheid </w:t>
      </w:r>
      <w:r w:rsidRPr="00AD0531" w:rsidR="00E14632">
        <w:t>via maatwerkvoorschriften</w:t>
      </w:r>
      <w:r w:rsidRPr="00AD0531" w:rsidR="005E1A4B">
        <w:t xml:space="preserve">, en is voor lage woningbouw het indienen van de Checklist Veilig onderhoud niet meer vereist. </w:t>
      </w:r>
    </w:p>
    <w:p w:rsidRPr="00AD0531" w:rsidR="00C3765C" w:rsidP="00AD0531" w14:paraId="74167724" w14:textId="77777777">
      <w:pPr>
        <w:spacing w:line="240" w:lineRule="exact"/>
      </w:pPr>
    </w:p>
    <w:p w:rsidRPr="00AD0531" w:rsidR="005E1A4B" w:rsidP="00AD0531" w14:paraId="07D3B31F" w14:textId="12F6492C">
      <w:pPr>
        <w:spacing w:line="240" w:lineRule="exact"/>
      </w:pPr>
      <w:r w:rsidRPr="00AD0531">
        <w:t xml:space="preserve">Aanvullend </w:t>
      </w:r>
      <w:r w:rsidRPr="00AD0531" w:rsidR="00C3765C">
        <w:t>op deze uitwerking van de Stoer</w:t>
      </w:r>
      <w:r w:rsidR="0099700E">
        <w:t>-</w:t>
      </w:r>
      <w:r w:rsidRPr="00AD0531" w:rsidR="00C3765C">
        <w:t>adviezen wordt</w:t>
      </w:r>
      <w:r w:rsidRPr="00AD0531">
        <w:t xml:space="preserve"> in deze wijziging van het </w:t>
      </w:r>
      <w:r w:rsidRPr="00AD0531">
        <w:t>Bbl</w:t>
      </w:r>
      <w:r w:rsidRPr="00AD0531">
        <w:t xml:space="preserve"> een verruiming </w:t>
      </w:r>
      <w:r w:rsidRPr="00AD0531" w:rsidR="00C3765C">
        <w:t>op</w:t>
      </w:r>
      <w:r w:rsidRPr="00AD0531" w:rsidR="00CA1055">
        <w:t>ge</w:t>
      </w:r>
      <w:r w:rsidRPr="00AD0531" w:rsidR="00C3765C">
        <w:t>n</w:t>
      </w:r>
      <w:r w:rsidRPr="00AD0531" w:rsidR="00CA1055">
        <w:t>o</w:t>
      </w:r>
      <w:r w:rsidRPr="00AD0531" w:rsidR="00C3765C">
        <w:t xml:space="preserve">men </w:t>
      </w:r>
      <w:r w:rsidRPr="00AD0531">
        <w:t xml:space="preserve">van het </w:t>
      </w:r>
      <w:r w:rsidR="00656B00">
        <w:t xml:space="preserve">(technisch) </w:t>
      </w:r>
      <w:r w:rsidRPr="00AD0531">
        <w:t>vergunningsvrij bouwen</w:t>
      </w:r>
      <w:r w:rsidRPr="00AD0531" w:rsidR="004B3D63">
        <w:t xml:space="preserve">. </w:t>
      </w:r>
      <w:r w:rsidRPr="00AD0531" w:rsidR="00CA1055">
        <w:t>Verder wordt een wijziging opgenomen</w:t>
      </w:r>
      <w:r w:rsidR="00CB1B63">
        <w:t>,</w:t>
      </w:r>
      <w:r w:rsidRPr="00AD0531" w:rsidR="00CA1055">
        <w:t xml:space="preserve"> die het mogelijk m</w:t>
      </w:r>
      <w:r w:rsidRPr="00AD0531" w:rsidR="007E3BE3">
        <w:t>a</w:t>
      </w:r>
      <w:r w:rsidRPr="00AD0531" w:rsidR="00CA1055">
        <w:t>ak</w:t>
      </w:r>
      <w:r w:rsidRPr="00AD0531" w:rsidR="007E3BE3">
        <w:t>t</w:t>
      </w:r>
      <w:r w:rsidRPr="00AD0531" w:rsidR="00CA1055">
        <w:t xml:space="preserve"> te </w:t>
      </w:r>
      <w:r w:rsidRPr="00AD0531" w:rsidR="00C3765C">
        <w:t>werk</w:t>
      </w:r>
      <w:r w:rsidRPr="00AD0531" w:rsidR="00CA1055">
        <w:t xml:space="preserve">en </w:t>
      </w:r>
      <w:r w:rsidRPr="00AD0531" w:rsidR="00C3765C">
        <w:t xml:space="preserve">met landelijk erkende maatregelen in het verlengde met de al bestaande erkende kwaliteitsverklaringen. </w:t>
      </w:r>
      <w:r w:rsidRPr="00AD0531" w:rsidR="000A5320">
        <w:t>Hierdoor wordt het werken met innovatieve bouwmethoden eenvoudiger.</w:t>
      </w:r>
      <w:r w:rsidRPr="00AD0531" w:rsidR="006F2DED">
        <w:t xml:space="preserve"> </w:t>
      </w:r>
    </w:p>
    <w:p w:rsidRPr="00AD0531" w:rsidR="00A9111F" w:rsidP="00AD0531" w14:paraId="64DDCF6A" w14:textId="77777777">
      <w:pPr>
        <w:spacing w:line="240" w:lineRule="exact"/>
      </w:pPr>
    </w:p>
    <w:p w:rsidR="00B70172" w:rsidP="00B70172" w14:paraId="4CD170E5" w14:textId="0AE9E84B">
      <w:r w:rsidRPr="00AD0531">
        <w:t xml:space="preserve">Er zijn </w:t>
      </w:r>
      <w:r w:rsidR="0077745A">
        <w:t>in het</w:t>
      </w:r>
      <w:r w:rsidRPr="00AD0531">
        <w:t xml:space="preserve"> </w:t>
      </w:r>
      <w:r w:rsidR="00A16CAB">
        <w:t>Stoer</w:t>
      </w:r>
      <w:r w:rsidR="0077745A">
        <w:t xml:space="preserve">-traject </w:t>
      </w:r>
      <w:r w:rsidRPr="00AD0531">
        <w:t xml:space="preserve">geen </w:t>
      </w:r>
      <w:r w:rsidR="00CB1B63">
        <w:t>andere</w:t>
      </w:r>
      <w:r w:rsidRPr="00AD0531">
        <w:t xml:space="preserve"> </w:t>
      </w:r>
      <w:r w:rsidR="00CB1B63">
        <w:t xml:space="preserve">potentieel te schrappen </w:t>
      </w:r>
      <w:r w:rsidR="00830D31">
        <w:t xml:space="preserve">technische </w:t>
      </w:r>
      <w:r w:rsidRPr="00AD0531">
        <w:t>eisen</w:t>
      </w:r>
      <w:r w:rsidR="006A3BBD">
        <w:t xml:space="preserve"> </w:t>
      </w:r>
      <w:r w:rsidRPr="00AD0531">
        <w:t xml:space="preserve">naar voren gekomen die kunnen worden geschrapt in het </w:t>
      </w:r>
      <w:r w:rsidRPr="00AD0531">
        <w:t>Bbl</w:t>
      </w:r>
      <w:r w:rsidRPr="00AD0531">
        <w:t xml:space="preserve">. Daarbij wil ik </w:t>
      </w:r>
      <w:r w:rsidRPr="00AD0531" w:rsidR="00A16CAB">
        <w:t>ben</w:t>
      </w:r>
      <w:r w:rsidR="00A16CAB">
        <w:t>adrukken</w:t>
      </w:r>
      <w:r w:rsidRPr="00AD0531" w:rsidR="00A16CAB">
        <w:t xml:space="preserve"> </w:t>
      </w:r>
      <w:r w:rsidRPr="00AD0531">
        <w:t xml:space="preserve">dat </w:t>
      </w:r>
      <w:r w:rsidR="006A3BBD">
        <w:t xml:space="preserve">bouwtechnische </w:t>
      </w:r>
      <w:r w:rsidRPr="00AD0531">
        <w:t xml:space="preserve">regelgeving </w:t>
      </w:r>
      <w:r w:rsidR="00A16CAB">
        <w:t>met name positief</w:t>
      </w:r>
      <w:r w:rsidRPr="00AD0531">
        <w:t xml:space="preserve"> uitwerkt voor de bouw. Het geeft de sector </w:t>
      </w:r>
      <w:r w:rsidR="00A16CAB">
        <w:t xml:space="preserve">immers </w:t>
      </w:r>
      <w:r w:rsidRPr="00AD0531">
        <w:t>houvast en duidelijkheid bij het bouwen van voldoende veilige, gezonde, duurzame en bruikbare gebouwen. Ook voor consumenten, waarvan niet ver</w:t>
      </w:r>
      <w:r w:rsidR="003B28B8">
        <w:t>w</w:t>
      </w:r>
      <w:r w:rsidRPr="00AD0531">
        <w:t xml:space="preserve">acht kan worden dat ze zelf voldoende kennis hebben over de bouw, is </w:t>
      </w:r>
      <w:r w:rsidR="006A3BBD">
        <w:t xml:space="preserve">bouwtechnische </w:t>
      </w:r>
      <w:r w:rsidRPr="00AD0531">
        <w:t>regelgeving van belang</w:t>
      </w:r>
      <w:r w:rsidR="006A3BBD">
        <w:t>,</w:t>
      </w:r>
      <w:r w:rsidRPr="00AD0531">
        <w:t xml:space="preserve"> omdat het zekerheid geeft over het </w:t>
      </w:r>
      <w:r w:rsidR="0079785F">
        <w:t>minimum</w:t>
      </w:r>
      <w:r w:rsidR="00585443">
        <w:t xml:space="preserve"> </w:t>
      </w:r>
      <w:r w:rsidRPr="00AD0531">
        <w:t xml:space="preserve">kwaliteitsniveau van hun woning. </w:t>
      </w:r>
    </w:p>
    <w:p w:rsidRPr="00AD0531" w:rsidR="005825A8" w:rsidP="00AD0531" w14:paraId="3F8590C7" w14:textId="19E4DC62">
      <w:pPr>
        <w:spacing w:line="240" w:lineRule="exact"/>
      </w:pPr>
    </w:p>
    <w:p w:rsidR="00FD69BD" w:rsidP="00FD69BD" w14:paraId="47DE7DAC" w14:textId="767AF88B">
      <w:bookmarkStart w:name="_Hlk229580723" w:id="1"/>
      <w:bookmarkEnd w:id="0"/>
      <w:r>
        <w:t xml:space="preserve">Binnenkort laat ik verder een analyse uitvoeren </w:t>
      </w:r>
      <w:r w:rsidR="00500DF0">
        <w:t xml:space="preserve">van </w:t>
      </w:r>
      <w:r>
        <w:t xml:space="preserve">de grondslagen en achtergronden van het </w:t>
      </w:r>
      <w:r>
        <w:t>Bbl</w:t>
      </w:r>
      <w:r>
        <w:t xml:space="preserve"> en haar voorlopers vanaf het Bouwbesluit 1992. Op basis van deze analyse kunnen de beoogde doelen van het </w:t>
      </w:r>
      <w:r>
        <w:t>Bbl</w:t>
      </w:r>
      <w:r>
        <w:t xml:space="preserve"> opnieuw worden geijkt. Aansluitend </w:t>
      </w:r>
      <w:r w:rsidR="00C9257E">
        <w:t xml:space="preserve">hierop </w:t>
      </w:r>
      <w:r>
        <w:t xml:space="preserve">zal ik opnieuw kritisch kijken </w:t>
      </w:r>
      <w:r w:rsidR="00C9257E">
        <w:t xml:space="preserve">waar verdere vereenvoudiging van </w:t>
      </w:r>
      <w:r w:rsidR="00A16CAB">
        <w:t>(</w:t>
      </w:r>
      <w:r w:rsidR="00C9257E">
        <w:t>de regels in</w:t>
      </w:r>
      <w:r w:rsidR="00A16CAB">
        <w:t>)</w:t>
      </w:r>
      <w:r w:rsidR="00C9257E">
        <w:t xml:space="preserve"> het </w:t>
      </w:r>
      <w:r w:rsidR="00C9257E">
        <w:t>Bbl</w:t>
      </w:r>
      <w:r w:rsidR="00C9257E">
        <w:t xml:space="preserve"> mogelijk </w:t>
      </w:r>
      <w:r w:rsidR="00075B0B">
        <w:t>is</w:t>
      </w:r>
      <w:r w:rsidR="00C9257E">
        <w:t xml:space="preserve">. </w:t>
      </w:r>
      <w:r w:rsidR="00830D31">
        <w:t xml:space="preserve">Recent heb ik ook het TNO-rapport </w:t>
      </w:r>
      <w:r w:rsidRPr="00223726" w:rsidR="00830D31">
        <w:rPr>
          <w:i/>
          <w:iCs/>
        </w:rPr>
        <w:t>Visie op een toekomstbestendige bouwregelgeving</w:t>
      </w:r>
      <w:r w:rsidR="00830D31">
        <w:t xml:space="preserve"> ontvangen van de VNG</w:t>
      </w:r>
      <w:r w:rsidR="000F4B17">
        <w:t xml:space="preserve"> en </w:t>
      </w:r>
      <w:r w:rsidR="00904058">
        <w:t xml:space="preserve">het </w:t>
      </w:r>
      <w:r w:rsidR="000F4B17">
        <w:t>IPO</w:t>
      </w:r>
      <w:r w:rsidR="00223726">
        <w:t>,</w:t>
      </w:r>
      <w:r w:rsidR="00830D31">
        <w:t xml:space="preserve"> dat ik </w:t>
      </w:r>
      <w:r w:rsidR="009D39DF">
        <w:t xml:space="preserve">nog nader zal bestuderen. </w:t>
      </w:r>
    </w:p>
    <w:p w:rsidR="00484321" w:rsidP="00FD69BD" w14:paraId="32E01F28" w14:textId="77777777"/>
    <w:p w:rsidR="00484321" w:rsidP="00FD69BD" w14:paraId="3267FB69" w14:textId="3E270110">
      <w:pPr>
        <w:rPr>
          <w:rFonts w:ascii="Calibri" w:hAnsi="Calibri" w:cs="Calibri"/>
          <w:color w:val="auto"/>
          <w:sz w:val="22"/>
          <w:szCs w:val="22"/>
          <w:lang w:eastAsia="en-US"/>
        </w:rPr>
      </w:pPr>
      <w:r>
        <w:t xml:space="preserve">Voorts </w:t>
      </w:r>
      <w:r w:rsidR="009D39DF">
        <w:t>heb ik u over de eerste resultaten van de Taskforce</w:t>
      </w:r>
      <w:r w:rsidR="00830D31">
        <w:t xml:space="preserve"> Versnelling Woningbouw</w:t>
      </w:r>
      <w:r w:rsidR="009D39DF">
        <w:t xml:space="preserve"> </w:t>
      </w:r>
      <w:r w:rsidR="00830D31">
        <w:t>op 20 april jl. geïnformeerd.</w:t>
      </w:r>
      <w:r>
        <w:rPr>
          <w:rStyle w:val="FootnoteReference"/>
        </w:rPr>
        <w:footnoteReference w:id="11"/>
      </w:r>
      <w:r w:rsidR="00830D31">
        <w:t xml:space="preserve"> </w:t>
      </w:r>
      <w:r w:rsidR="009D39DF">
        <w:t>Daarin is opgenomen dat</w:t>
      </w:r>
      <w:r w:rsidR="00830D31">
        <w:t xml:space="preserve"> </w:t>
      </w:r>
      <w:r>
        <w:t xml:space="preserve">meer juridische ruimte </w:t>
      </w:r>
      <w:r w:rsidR="009D39DF">
        <w:t xml:space="preserve">wordt </w:t>
      </w:r>
      <w:r w:rsidR="00830D31">
        <w:t>gecreëerd</w:t>
      </w:r>
      <w:r w:rsidR="009D39DF">
        <w:t>,</w:t>
      </w:r>
      <w:r w:rsidR="00830D31">
        <w:t xml:space="preserve"> </w:t>
      </w:r>
      <w:r>
        <w:t>zodat er sneller en gemakkelijker gebouwd kan worden door nieuwe wet- en regelgeving eenvoudig te houden, procedures te versnellen, vigerende wetten te vereenvoudigen en actief opzoek te gaan naar overbodige stapeling van regels. Voor dat laatste zal het kabinet voortvarend aan de slag gaan met een jaarlijkse Vereenvoudigingswet. Hiermee wordt een structurele, blijvende werkwijze gecreëerd met een vast ritme om problemen sneller op te lossen en tot oplossingen te komen die echt werken en waarmee structureel knelpunten worden aangepakt</w:t>
      </w:r>
      <w:r w:rsidR="00830D31">
        <w:t xml:space="preserve">. </w:t>
      </w:r>
    </w:p>
    <w:bookmarkEnd w:id="1"/>
    <w:p w:rsidR="00FD69BD" w:rsidP="00AD0531" w14:paraId="6ABB61C6" w14:textId="77777777">
      <w:pPr>
        <w:spacing w:line="240" w:lineRule="exact"/>
      </w:pPr>
    </w:p>
    <w:p w:rsidRPr="00AD0531" w:rsidR="00014B59" w:rsidP="0074711D" w14:paraId="7524AA32" w14:textId="42DD0BDE">
      <w:r w:rsidRPr="00AD0531">
        <w:t xml:space="preserve">Naast het schrappen van eisen kan er altijd sprake zijn van nieuwe eisen in het </w:t>
      </w:r>
      <w:r w:rsidRPr="00AD0531">
        <w:t>Bbl</w:t>
      </w:r>
      <w:r w:rsidRPr="00AD0531">
        <w:t xml:space="preserve">. De wens of noodzaak tot stellen van nieuwe of strengere eisen in het </w:t>
      </w:r>
      <w:r w:rsidRPr="00AD0531">
        <w:t>Bbl</w:t>
      </w:r>
      <w:r w:rsidRPr="00AD0531">
        <w:t xml:space="preserve"> kan bijvoorbeeld voortvloeien uit maatschappelijke ontwikkelingen, nieuwe bouwmethoden of Europese regelgeving. Bij deze nieuwe eisen wordt door mij altijd goed gekeken naar de nut en noodzaak, de meerkosten en mogelijke knelpunten met bestaande eisen. </w:t>
      </w:r>
    </w:p>
    <w:p w:rsidRPr="00A9111F" w:rsidR="00A9111F" w:rsidP="00A9111F" w14:paraId="57288C31" w14:textId="77777777">
      <w:pPr>
        <w:autoSpaceDN/>
        <w:spacing w:line="240" w:lineRule="auto"/>
        <w:textAlignment w:val="auto"/>
        <w:rPr>
          <w:rFonts w:eastAsia="Times New Roman"/>
          <w:color w:val="auto"/>
        </w:rPr>
      </w:pPr>
    </w:p>
    <w:p w:rsidR="006F33A2" w:rsidP="00132C5F" w14:paraId="241BAAEA" w14:textId="77777777">
      <w:pPr>
        <w:spacing w:line="240" w:lineRule="auto"/>
        <w:rPr>
          <w:b/>
          <w:bCs/>
        </w:rPr>
      </w:pPr>
    </w:p>
    <w:p w:rsidRPr="007A7E63" w:rsidR="00A9143E" w:rsidP="007A7E63" w14:paraId="73000BF9" w14:textId="5EC56A4A">
      <w:pPr>
        <w:pStyle w:val="ListParagraph"/>
        <w:numPr>
          <w:ilvl w:val="0"/>
          <w:numId w:val="18"/>
        </w:numPr>
        <w:autoSpaceDN/>
        <w:spacing w:line="240" w:lineRule="auto"/>
        <w:ind w:left="284" w:hanging="284"/>
        <w:textAlignment w:val="auto"/>
        <w:rPr>
          <w:rFonts w:eastAsia="Times New Roman"/>
          <w:b/>
          <w:bCs/>
          <w:color w:val="auto"/>
        </w:rPr>
      </w:pPr>
      <w:r w:rsidRPr="007A7E63">
        <w:rPr>
          <w:rFonts w:eastAsia="Times New Roman"/>
          <w:b/>
          <w:bCs/>
          <w:color w:val="auto"/>
        </w:rPr>
        <w:t xml:space="preserve">Overige modernisering bouwregelgeving </w:t>
      </w:r>
    </w:p>
    <w:p w:rsidR="00E22480" w:rsidP="00AD0531" w14:paraId="2C042DE3" w14:textId="77777777">
      <w:pPr>
        <w:spacing w:line="240" w:lineRule="exact"/>
      </w:pPr>
    </w:p>
    <w:p w:rsidR="007E4B5F" w:rsidP="00AD0531" w14:paraId="16F7A583" w14:textId="701C7D12">
      <w:pPr>
        <w:spacing w:line="240" w:lineRule="exact"/>
      </w:pPr>
      <w:r>
        <w:t xml:space="preserve">Bij de vorige twee onderwerpen heb ik de </w:t>
      </w:r>
      <w:r w:rsidR="0097033A">
        <w:t xml:space="preserve">modernisering </w:t>
      </w:r>
      <w:r>
        <w:t xml:space="preserve">van de bouwregelgeving beschreven in relatie tot de twee specifieke thema’s in het </w:t>
      </w:r>
      <w:r w:rsidR="008E7860">
        <w:t>regeer</w:t>
      </w:r>
      <w:r>
        <w:t xml:space="preserve">akkoord: standaardisering en vereenvoudiging. Hieronder ga ik in op andere belangrijke thema’s waarop </w:t>
      </w:r>
      <w:r w:rsidRPr="00A4050D" w:rsidR="00A9143E">
        <w:t xml:space="preserve">modernisering van de bouwregelgeving </w:t>
      </w:r>
      <w:r>
        <w:t xml:space="preserve">in gang is gezet. </w:t>
      </w:r>
    </w:p>
    <w:p w:rsidR="007E4B5F" w:rsidP="00AD0531" w14:paraId="21940549" w14:textId="77777777">
      <w:pPr>
        <w:spacing w:line="240" w:lineRule="exact"/>
      </w:pPr>
    </w:p>
    <w:p w:rsidRPr="00F95E32" w:rsidR="007E4B5F" w:rsidP="00F95E32" w14:paraId="22FB3669" w14:textId="77777777">
      <w:pPr>
        <w:spacing w:line="240" w:lineRule="exact"/>
        <w:rPr>
          <w:b/>
          <w:bCs/>
          <w:i/>
          <w:iCs/>
        </w:rPr>
      </w:pPr>
      <w:r w:rsidRPr="00F95E32">
        <w:rPr>
          <w:b/>
          <w:bCs/>
          <w:i/>
          <w:iCs/>
        </w:rPr>
        <w:t xml:space="preserve">Europese ontwikkelingen </w:t>
      </w:r>
    </w:p>
    <w:p w:rsidR="00223726" w:rsidP="00825C2F" w14:paraId="69838B17" w14:textId="7960A99C">
      <w:pPr>
        <w:spacing w:line="240" w:lineRule="exact"/>
      </w:pPr>
      <w:r w:rsidRPr="007E4B5F">
        <w:t>Vanuit Europa kom</w:t>
      </w:r>
      <w:r w:rsidR="00B66F87">
        <w:t>t</w:t>
      </w:r>
      <w:r w:rsidRPr="007E4B5F">
        <w:t xml:space="preserve"> regelmatig nieuwe regelgeving waarop het </w:t>
      </w:r>
      <w:r w:rsidRPr="007E4B5F">
        <w:t>Bbl</w:t>
      </w:r>
      <w:r w:rsidRPr="007E4B5F">
        <w:t xml:space="preserve"> moet worden aangepast. </w:t>
      </w:r>
      <w:r>
        <w:br w:type="page"/>
      </w:r>
    </w:p>
    <w:p w:rsidRPr="007E4B5F" w:rsidR="007E4B5F" w:rsidP="007E4B5F" w14:paraId="3A5166F4" w14:textId="77777777"/>
    <w:p w:rsidRPr="00F95E32" w:rsidR="0097033A" w:rsidP="00AD0531" w14:paraId="5A83A7EA" w14:textId="730BA981">
      <w:pPr>
        <w:spacing w:line="240" w:lineRule="exact"/>
        <w:rPr>
          <w:i/>
          <w:iCs/>
        </w:rPr>
      </w:pPr>
      <w:r w:rsidRPr="00F95E32">
        <w:rPr>
          <w:i/>
          <w:iCs/>
        </w:rPr>
        <w:t>Europese richtlijn voor energieprestatie gebouwen (</w:t>
      </w:r>
      <w:bookmarkStart w:name="_Hlk228953495" w:id="2"/>
      <w:r w:rsidRPr="00F95E32">
        <w:rPr>
          <w:i/>
          <w:iCs/>
        </w:rPr>
        <w:t>EPBD IV</w:t>
      </w:r>
      <w:bookmarkEnd w:id="2"/>
      <w:r w:rsidRPr="00F95E32">
        <w:rPr>
          <w:i/>
          <w:iCs/>
        </w:rPr>
        <w:t>)</w:t>
      </w:r>
    </w:p>
    <w:p w:rsidR="00CE325A" w:rsidP="00AD0531" w14:paraId="653456C9" w14:textId="20FB9AA0">
      <w:pPr>
        <w:spacing w:line="240" w:lineRule="exact"/>
      </w:pPr>
      <w:bookmarkStart w:name="_Hlk228718810" w:id="3"/>
      <w:r w:rsidRPr="007E4B5F">
        <w:t>Over de implementatie van EPBD IV bent u meest recent met de brief van 17 maart jl. geïnformeerd.</w:t>
      </w:r>
      <w:r>
        <w:rPr>
          <w:vertAlign w:val="superscript"/>
        </w:rPr>
        <w:footnoteReference w:id="12"/>
      </w:r>
      <w:r w:rsidRPr="007E4B5F">
        <w:t xml:space="preserve"> Vanaf 2030 gaa</w:t>
      </w:r>
      <w:r w:rsidR="00C220BC">
        <w:t>n</w:t>
      </w:r>
      <w:r w:rsidRPr="007E4B5F">
        <w:t xml:space="preserve"> voor alle nieuwbouw in het </w:t>
      </w:r>
      <w:r w:rsidRPr="007E4B5F">
        <w:t>Bbl</w:t>
      </w:r>
      <w:r w:rsidRPr="007E4B5F">
        <w:t xml:space="preserve"> </w:t>
      </w:r>
      <w:r w:rsidR="00C220BC">
        <w:t>nieuwe eisen gelden voor energiezuinigheid (</w:t>
      </w:r>
      <w:r w:rsidRPr="007E4B5F">
        <w:t>ZEB-eis</w:t>
      </w:r>
      <w:r>
        <w:rPr>
          <w:vertAlign w:val="superscript"/>
        </w:rPr>
        <w:footnoteReference w:id="13"/>
      </w:r>
      <w:r w:rsidR="00C220BC">
        <w:t>)</w:t>
      </w:r>
      <w:r w:rsidRPr="00B36F82">
        <w:rPr>
          <w:vertAlign w:val="superscript"/>
        </w:rPr>
        <w:t xml:space="preserve"> </w:t>
      </w:r>
      <w:r w:rsidRPr="007E4B5F">
        <w:t xml:space="preserve">en </w:t>
      </w:r>
      <w:r w:rsidR="00C220BC">
        <w:t>duurzaamheid (</w:t>
      </w:r>
      <w:r w:rsidR="00E42A4E">
        <w:t>wlc-gwp</w:t>
      </w:r>
      <w:r w:rsidR="00E42A4E">
        <w:t xml:space="preserve"> </w:t>
      </w:r>
      <w:r w:rsidRPr="007E4B5F">
        <w:t>eis</w:t>
      </w:r>
      <w:r>
        <w:rPr>
          <w:vertAlign w:val="superscript"/>
        </w:rPr>
        <w:footnoteReference w:id="14"/>
      </w:r>
      <w:r w:rsidR="00C220BC">
        <w:t>)</w:t>
      </w:r>
      <w:r w:rsidRPr="007E4B5F">
        <w:t xml:space="preserve">. </w:t>
      </w:r>
      <w:r w:rsidR="00E42A4E">
        <w:t xml:space="preserve">De ZEB-eis wordt in </w:t>
      </w:r>
      <w:r w:rsidRPr="007E4B5F">
        <w:t xml:space="preserve">2030 gebaseerd op een gemoderniseerde bepalingsmethode </w:t>
      </w:r>
      <w:r>
        <w:t xml:space="preserve">voor de </w:t>
      </w:r>
      <w:r w:rsidRPr="007E4B5F">
        <w:t xml:space="preserve">energieprestatie </w:t>
      </w:r>
      <w:r>
        <w:t>die op dit moment in mijn</w:t>
      </w:r>
      <w:r w:rsidRPr="00014B59">
        <w:t xml:space="preserve"> </w:t>
      </w:r>
      <w:r>
        <w:t xml:space="preserve">opdracht bij </w:t>
      </w:r>
      <w:r w:rsidRPr="007E4B5F">
        <w:t>Nederlands Normalisatie Instituut</w:t>
      </w:r>
      <w:r>
        <w:t xml:space="preserve"> NEN (verder: NEN) wordt ontwikkeld</w:t>
      </w:r>
      <w:r w:rsidRPr="007E4B5F">
        <w:t xml:space="preserve">. </w:t>
      </w:r>
      <w:bookmarkEnd w:id="3"/>
    </w:p>
    <w:p w:rsidR="00CE325A" w:rsidP="00AD0531" w14:paraId="28EA64D0" w14:textId="77777777">
      <w:pPr>
        <w:spacing w:line="240" w:lineRule="exact"/>
      </w:pPr>
    </w:p>
    <w:p w:rsidR="00C15A0A" w:rsidP="00AD0531" w14:paraId="02220FB7" w14:textId="5BFBB525">
      <w:pPr>
        <w:spacing w:line="240" w:lineRule="exact"/>
      </w:pPr>
      <w:r w:rsidRPr="007E4B5F">
        <w:t xml:space="preserve">De </w:t>
      </w:r>
      <w:r>
        <w:t>wlc-gwp</w:t>
      </w:r>
      <w:r w:rsidRPr="007E4B5F">
        <w:t xml:space="preserve"> eis betreft </w:t>
      </w:r>
      <w:r>
        <w:t xml:space="preserve">de </w:t>
      </w:r>
      <w:r w:rsidRPr="007E4B5F">
        <w:t xml:space="preserve">broeikasgasemissies van </w:t>
      </w:r>
      <w:r>
        <w:t xml:space="preserve">de toegepaste materialen en het energieverbruik in </w:t>
      </w:r>
      <w:r w:rsidRPr="007E4B5F">
        <w:t>een gebouw gedurende de gehele levenscyclus. Deze eis</w:t>
      </w:r>
      <w:r w:rsidR="00CE325A">
        <w:t xml:space="preserve"> </w:t>
      </w:r>
      <w:r w:rsidRPr="007E4B5F">
        <w:t>moet periodiek worden aangescherpt,</w:t>
      </w:r>
      <w:r>
        <w:t xml:space="preserve"> met het streven om te komen tot een emissievrije gebouwenvoorraad in 2050. </w:t>
      </w:r>
      <w:r>
        <w:t xml:space="preserve">Bij </w:t>
      </w:r>
      <w:r w:rsidR="007F5391">
        <w:t xml:space="preserve">het </w:t>
      </w:r>
      <w:r w:rsidR="00642E5D">
        <w:t xml:space="preserve">proces om te komen tot </w:t>
      </w:r>
      <w:r>
        <w:t xml:space="preserve">de </w:t>
      </w:r>
      <w:r>
        <w:t>wlc-gwp</w:t>
      </w:r>
      <w:r>
        <w:t xml:space="preserve"> eis in 2030 en de aanscherping</w:t>
      </w:r>
      <w:r w:rsidR="00642E5D">
        <w:t>en</w:t>
      </w:r>
      <w:r>
        <w:t xml:space="preserve"> tot 2050 ga ik ook invulling geven aan </w:t>
      </w:r>
      <w:r w:rsidR="007F5391">
        <w:t xml:space="preserve">drie </w:t>
      </w:r>
      <w:r>
        <w:t>moties</w:t>
      </w:r>
      <w:r w:rsidR="00642E5D">
        <w:t>:</w:t>
      </w:r>
      <w:r>
        <w:t xml:space="preserve"> </w:t>
      </w:r>
    </w:p>
    <w:p w:rsidR="009027D3" w:rsidP="007F5391" w14:paraId="159FD83B" w14:textId="4217E225">
      <w:pPr>
        <w:pStyle w:val="ListParagraph"/>
        <w:numPr>
          <w:ilvl w:val="0"/>
          <w:numId w:val="19"/>
        </w:numPr>
        <w:spacing w:line="240" w:lineRule="exact"/>
        <w:ind w:left="284" w:hanging="284"/>
      </w:pPr>
      <w:r>
        <w:t>d</w:t>
      </w:r>
      <w:r w:rsidRPr="007F5391">
        <w:t xml:space="preserve">e motie van het lid </w:t>
      </w:r>
      <w:r w:rsidRPr="007F5391">
        <w:t>Grinwis</w:t>
      </w:r>
      <w:r>
        <w:rPr>
          <w:rStyle w:val="FootnoteReference"/>
        </w:rPr>
        <w:footnoteReference w:id="15"/>
      </w:r>
      <w:r>
        <w:t xml:space="preserve">, door </w:t>
      </w:r>
      <w:r w:rsidRPr="007F5391">
        <w:t xml:space="preserve">de </w:t>
      </w:r>
      <w:r w:rsidR="007F5391">
        <w:t xml:space="preserve">belangrijkste </w:t>
      </w:r>
      <w:r w:rsidRPr="007F5391">
        <w:t>relevante beleidskeuzes en varianten in kaart te brengen en te onderbouwen</w:t>
      </w:r>
      <w:r w:rsidR="007F5391">
        <w:t>;</w:t>
      </w:r>
    </w:p>
    <w:p w:rsidRPr="007F5391" w:rsidR="009027D3" w:rsidP="00642E5D" w14:paraId="59882E00" w14:textId="4E0B8467">
      <w:pPr>
        <w:pStyle w:val="ListParagraph"/>
        <w:numPr>
          <w:ilvl w:val="0"/>
          <w:numId w:val="19"/>
        </w:numPr>
        <w:spacing w:line="240" w:lineRule="exact"/>
        <w:ind w:left="284" w:hanging="284"/>
      </w:pPr>
      <w:r>
        <w:t xml:space="preserve">de motie van het lid </w:t>
      </w:r>
      <w:r>
        <w:t>Mooiman</w:t>
      </w:r>
      <w:r>
        <w:rPr>
          <w:rStyle w:val="FootnoteReference"/>
          <w:rFonts w:eastAsia="Times New Roman" w:cs="Times New Roman"/>
        </w:rPr>
        <w:footnoteReference w:id="16"/>
      </w:r>
      <w:r>
        <w:t xml:space="preserve">, door te zorgen dat de eisen de </w:t>
      </w:r>
      <w:r w:rsidRPr="009027D3">
        <w:rPr>
          <w:rFonts w:eastAsia="Times New Roman" w:cs="Times New Roman"/>
        </w:rPr>
        <w:t>betaalbaarheid en realisatiekracht voor nieuwe woningen niet belemmert</w:t>
      </w:r>
      <w:r>
        <w:rPr>
          <w:rFonts w:eastAsia="Times New Roman" w:cs="Times New Roman"/>
        </w:rPr>
        <w:t>;</w:t>
      </w:r>
    </w:p>
    <w:p w:rsidR="001318FD" w:rsidP="001318FD" w14:paraId="4B92853B" w14:textId="7CEE9F53">
      <w:pPr>
        <w:pStyle w:val="ListParagraph"/>
        <w:numPr>
          <w:ilvl w:val="0"/>
          <w:numId w:val="19"/>
        </w:numPr>
        <w:spacing w:line="240" w:lineRule="exact"/>
        <w:ind w:left="284" w:hanging="284"/>
      </w:pPr>
      <w:r>
        <w:t xml:space="preserve">en </w:t>
      </w:r>
      <w:r w:rsidR="00642E5D">
        <w:t xml:space="preserve">de hiervoor genoemde motie van het </w:t>
      </w:r>
      <w:r>
        <w:t>l</w:t>
      </w:r>
      <w:r w:rsidR="00642E5D">
        <w:t>id Nobel, door het betrekken van de bouwsector bij het vaststellen van de eisen</w:t>
      </w:r>
      <w:r w:rsidR="00B97CCE">
        <w:t>.</w:t>
      </w:r>
    </w:p>
    <w:p w:rsidR="00E42A4E" w:rsidP="009027D3" w14:paraId="13F5C66E" w14:textId="77777777">
      <w:pPr>
        <w:spacing w:line="240" w:lineRule="exact"/>
      </w:pPr>
    </w:p>
    <w:p w:rsidR="001318FD" w:rsidP="00AD0531" w14:paraId="728EA325" w14:textId="32D29B3C">
      <w:pPr>
        <w:spacing w:line="240" w:lineRule="exact"/>
      </w:pPr>
      <w:r>
        <w:t xml:space="preserve">Over de Routekaart voor de </w:t>
      </w:r>
      <w:r>
        <w:t>wlc</w:t>
      </w:r>
      <w:r w:rsidR="0077745A">
        <w:t>-g</w:t>
      </w:r>
      <w:r>
        <w:t>wp</w:t>
      </w:r>
      <w:r>
        <w:t xml:space="preserve"> naar 2050 zal ik uw Kamer na het zomerreces informeren. Momenteel worden diverse berekeningen opgesteld en besproken in een breed samengestelde klankbordgroep met bouwexperts. </w:t>
      </w:r>
    </w:p>
    <w:p w:rsidR="001318FD" w:rsidP="00AD0531" w14:paraId="505A7DF0" w14:textId="77777777">
      <w:pPr>
        <w:spacing w:line="240" w:lineRule="exact"/>
      </w:pPr>
    </w:p>
    <w:p w:rsidR="001318FD" w:rsidP="00AD0531" w14:paraId="419B12ED" w14:textId="4991F2F9">
      <w:pPr>
        <w:spacing w:line="240" w:lineRule="exact"/>
      </w:pPr>
      <w:r>
        <w:t xml:space="preserve">Inmiddels </w:t>
      </w:r>
      <w:r w:rsidR="00563C0B">
        <w:t>bevindt</w:t>
      </w:r>
      <w:r>
        <w:t xml:space="preserve"> de</w:t>
      </w:r>
      <w:r w:rsidRPr="007E4B5F" w:rsidR="007E4B5F">
        <w:t xml:space="preserve"> </w:t>
      </w:r>
      <w:r w:rsidR="00563C0B">
        <w:t xml:space="preserve">aangekondigde </w:t>
      </w:r>
      <w:r w:rsidRPr="007E4B5F" w:rsidR="007E4B5F">
        <w:t>beleidsevaluatie</w:t>
      </w:r>
      <w:r w:rsidR="00563C0B">
        <w:t xml:space="preserve"> </w:t>
      </w:r>
      <w:r w:rsidR="00E42A4E">
        <w:t xml:space="preserve">naar de effectiviteit van het </w:t>
      </w:r>
      <w:r w:rsidRPr="007E4B5F" w:rsidR="007E4B5F">
        <w:t>huidige milieuprestatie-</w:t>
      </w:r>
      <w:r w:rsidR="00E42A4E">
        <w:t>instrument voor</w:t>
      </w:r>
      <w:r w:rsidRPr="007E4B5F" w:rsidR="007E4B5F">
        <w:t xml:space="preserve"> gebouwen (</w:t>
      </w:r>
      <w:r w:rsidR="00014B59">
        <w:t>mpg</w:t>
      </w:r>
      <w:r w:rsidRPr="007E4B5F" w:rsidR="007E4B5F">
        <w:t xml:space="preserve">) in het </w:t>
      </w:r>
      <w:r w:rsidRPr="007E4B5F" w:rsidR="007E4B5F">
        <w:t>Bbl</w:t>
      </w:r>
      <w:r w:rsidR="0077745A">
        <w:t xml:space="preserve"> zich</w:t>
      </w:r>
      <w:r w:rsidR="00563C0B">
        <w:t xml:space="preserve"> in </w:t>
      </w:r>
      <w:r>
        <w:t>e</w:t>
      </w:r>
      <w:r w:rsidR="00563C0B">
        <w:t>e</w:t>
      </w:r>
      <w:r>
        <w:t>n</w:t>
      </w:r>
      <w:r w:rsidR="00563C0B">
        <w:t xml:space="preserve"> afrond</w:t>
      </w:r>
      <w:r>
        <w:t>e</w:t>
      </w:r>
      <w:r w:rsidR="00563C0B">
        <w:t>n</w:t>
      </w:r>
      <w:r>
        <w:t>d stadium.</w:t>
      </w:r>
      <w:r w:rsidR="00AC0E2C">
        <w:t xml:space="preserve"> </w:t>
      </w:r>
      <w:r w:rsidRPr="007E4B5F" w:rsidR="007E4B5F">
        <w:t xml:space="preserve">Bij de </w:t>
      </w:r>
      <w:r w:rsidR="00E22480">
        <w:t>mpg</w:t>
      </w:r>
      <w:r w:rsidR="00AC0E2C">
        <w:t xml:space="preserve">, die zonder Europese verplichting in het vorige </w:t>
      </w:r>
      <w:r w:rsidR="0077745A">
        <w:t>decen</w:t>
      </w:r>
      <w:r w:rsidR="00585443">
        <w:t>n</w:t>
      </w:r>
      <w:r w:rsidR="0077745A">
        <w:t>ium</w:t>
      </w:r>
      <w:r w:rsidR="00AC0E2C">
        <w:t xml:space="preserve"> in het </w:t>
      </w:r>
      <w:r w:rsidR="00AC0E2C">
        <w:t>Bbl</w:t>
      </w:r>
      <w:r w:rsidR="00AC0E2C">
        <w:t xml:space="preserve"> is opgenomen,</w:t>
      </w:r>
      <w:r w:rsidRPr="007E4B5F" w:rsidR="007E4B5F">
        <w:t xml:space="preserve"> tellen niet alleen de broeikasgasemissies (zoals bij de </w:t>
      </w:r>
      <w:r w:rsidR="00E42A4E">
        <w:t>wlc-gwp</w:t>
      </w:r>
      <w:r w:rsidRPr="007E4B5F" w:rsidR="007E4B5F">
        <w:t>) maar ook andere vormen van milieubelasting van bouwmaterialen</w:t>
      </w:r>
      <w:r w:rsidR="00E42A4E">
        <w:t xml:space="preserve"> mee</w:t>
      </w:r>
      <w:r w:rsidRPr="007E4B5F" w:rsidR="007E4B5F">
        <w:t xml:space="preserve">. </w:t>
      </w:r>
      <w:r w:rsidR="00563C0B">
        <w:t xml:space="preserve">In de kabinetsreactie op het adviesrapport </w:t>
      </w:r>
      <w:r w:rsidR="00A16CAB">
        <w:t>Stoer</w:t>
      </w:r>
      <w:r w:rsidR="00563C0B">
        <w:t xml:space="preserve">, </w:t>
      </w:r>
      <w:r w:rsidR="00585443">
        <w:t>is</w:t>
      </w:r>
      <w:r w:rsidR="00563C0B">
        <w:t xml:space="preserve"> aangekondigd dat de </w:t>
      </w:r>
      <w:r w:rsidR="00563C0B">
        <w:t>mpg</w:t>
      </w:r>
      <w:r w:rsidR="00563C0B">
        <w:t xml:space="preserve"> </w:t>
      </w:r>
      <w:r w:rsidR="00AC0E2C">
        <w:t xml:space="preserve">als eis </w:t>
      </w:r>
      <w:r w:rsidR="00563C0B">
        <w:t xml:space="preserve">in ieder geval tot 2030 onderdeel zal blijven uitmaken van het </w:t>
      </w:r>
      <w:r w:rsidR="00563C0B">
        <w:t>Bbl</w:t>
      </w:r>
      <w:r w:rsidR="00563C0B">
        <w:t>.</w:t>
      </w:r>
      <w:r w:rsidR="0077745A">
        <w:t xml:space="preserve"> </w:t>
      </w:r>
      <w:r w:rsidR="00563C0B">
        <w:t xml:space="preserve">Of de </w:t>
      </w:r>
      <w:r>
        <w:t xml:space="preserve">instrumenten </w:t>
      </w:r>
      <w:r w:rsidR="00563C0B">
        <w:t>mpg</w:t>
      </w:r>
      <w:r w:rsidR="00563C0B">
        <w:t xml:space="preserve"> en</w:t>
      </w:r>
      <w:r>
        <w:t xml:space="preserve"> de nieuwe</w:t>
      </w:r>
      <w:r w:rsidR="00563C0B">
        <w:t xml:space="preserve"> </w:t>
      </w:r>
      <w:r w:rsidR="00563C0B">
        <w:t>wlc</w:t>
      </w:r>
      <w:r w:rsidR="00585443">
        <w:t>-</w:t>
      </w:r>
      <w:r w:rsidR="00563C0B">
        <w:t>gwp</w:t>
      </w:r>
      <w:r w:rsidR="00563C0B">
        <w:t xml:space="preserve"> vanaf 2030 naast elkaar blijven bestaan </w:t>
      </w:r>
      <w:r>
        <w:t xml:space="preserve">in het </w:t>
      </w:r>
      <w:r>
        <w:t>Bbl</w:t>
      </w:r>
      <w:r>
        <w:t xml:space="preserve"> onderzoek </w:t>
      </w:r>
      <w:r w:rsidR="00563C0B">
        <w:t>ik op dit moment</w:t>
      </w:r>
      <w:r>
        <w:t xml:space="preserve">. De </w:t>
      </w:r>
      <w:r>
        <w:t xml:space="preserve">conclusies </w:t>
      </w:r>
      <w:r w:rsidR="00563C0B">
        <w:t xml:space="preserve">van de </w:t>
      </w:r>
      <w:r>
        <w:t>beleids</w:t>
      </w:r>
      <w:r w:rsidR="00563C0B">
        <w:t xml:space="preserve">evaluatie van de </w:t>
      </w:r>
      <w:r w:rsidR="00563C0B">
        <w:t>mpg</w:t>
      </w:r>
      <w:r>
        <w:t xml:space="preserve"> én de logica van de vormgeving </w:t>
      </w:r>
      <w:r w:rsidR="001077B0">
        <w:t xml:space="preserve">van </w:t>
      </w:r>
      <w:r>
        <w:t xml:space="preserve">het nieuwe instrument </w:t>
      </w:r>
      <w:r>
        <w:t>wlc</w:t>
      </w:r>
      <w:r w:rsidR="00585443">
        <w:t>-</w:t>
      </w:r>
      <w:r>
        <w:t>gwp</w:t>
      </w:r>
      <w:r>
        <w:t xml:space="preserve"> vormen aanleiding voor een zorgvuldige</w:t>
      </w:r>
      <w:r w:rsidR="00AC0E2C">
        <w:t xml:space="preserve"> afweging. Ik wil voorkomen dat bouwers en ontwikkelaars door de introductie van de </w:t>
      </w:r>
      <w:r w:rsidR="00AC0E2C">
        <w:t>wlc</w:t>
      </w:r>
      <w:r w:rsidR="0077745A">
        <w:t>-</w:t>
      </w:r>
      <w:r w:rsidR="00AC0E2C">
        <w:t>gwp</w:t>
      </w:r>
      <w:r w:rsidR="00AC0E2C">
        <w:t xml:space="preserve"> in het </w:t>
      </w:r>
      <w:r w:rsidR="00AC0E2C">
        <w:t>Bbl</w:t>
      </w:r>
      <w:r w:rsidR="00AC0E2C">
        <w:t xml:space="preserve"> worden geconfronteerd met verschillende beleidsuitgangspunten en tegengestelde effecten of prikkels, maar zeker onnodige kosten</w:t>
      </w:r>
      <w:r w:rsidR="00563C0B">
        <w:t>.</w:t>
      </w:r>
      <w:r>
        <w:t xml:space="preserve"> </w:t>
      </w:r>
    </w:p>
    <w:p w:rsidRPr="007E4B5F" w:rsidR="00F95E32" w:rsidP="00AD0531" w14:paraId="6E343746" w14:textId="77777777">
      <w:pPr>
        <w:spacing w:line="240" w:lineRule="exact"/>
      </w:pPr>
    </w:p>
    <w:p w:rsidRPr="00F95E32" w:rsidR="007E4B5F" w:rsidP="00AD0531" w14:paraId="673028D8" w14:textId="352812F0">
      <w:pPr>
        <w:spacing w:line="240" w:lineRule="exact"/>
        <w:rPr>
          <w:i/>
          <w:iCs/>
        </w:rPr>
      </w:pPr>
      <w:r w:rsidRPr="00F95E32">
        <w:rPr>
          <w:i/>
          <w:iCs/>
        </w:rPr>
        <w:t>Herziene Europese Verordening Bouwproducten (CPR)</w:t>
      </w:r>
      <w:r w:rsidRPr="00F95E32" w:rsidR="000570DB">
        <w:rPr>
          <w:i/>
          <w:iCs/>
        </w:rPr>
        <w:t xml:space="preserve"> </w:t>
      </w:r>
    </w:p>
    <w:p w:rsidRPr="00AD0531" w:rsidR="007E4B5F" w:rsidP="00AD0531" w14:paraId="3D9BE5D9" w14:textId="64D793CC">
      <w:pPr>
        <w:spacing w:line="240" w:lineRule="exact"/>
      </w:pPr>
      <w:r w:rsidRPr="00AD0531">
        <w:t>Aansluitend op de herziene Europese Verordening Bouwproducten (CPR2024) wordt momenteel binnen Europa gewerkt aan 440 nieuwe geharmoniseerde productnormen</w:t>
      </w:r>
      <w:r w:rsidR="00372597">
        <w:t xml:space="preserve">. </w:t>
      </w:r>
      <w:r w:rsidRPr="00372597" w:rsidR="00372597">
        <w:t>Deze normen vormen de basis voor de CE-markering van bouwproducten en beschrijven hoe productprestaties moeten worden vastgesteld.</w:t>
      </w:r>
      <w:r w:rsidRPr="00AD0531">
        <w:t xml:space="preserve"> Het ministerie </w:t>
      </w:r>
      <w:r w:rsidRPr="00AD0531" w:rsidR="00291D9A">
        <w:t>zorgt ervoor</w:t>
      </w:r>
      <w:r w:rsidRPr="00AD0531">
        <w:t xml:space="preserve"> dat (per productfamilie) experts vanuit Nederland betrokken zijn bij dit zogenaamde CPR-</w:t>
      </w:r>
      <w:r w:rsidRPr="00AD0531">
        <w:t>aquis</w:t>
      </w:r>
      <w:r w:rsidRPr="00AD0531">
        <w:t xml:space="preserve"> proces</w:t>
      </w:r>
      <w:r w:rsidRPr="00372597" w:rsidR="00372597">
        <w:t>, zodat Nederlandse kennis en belangen worden ingebracht bij de ontwikkeling van deze normen</w:t>
      </w:r>
      <w:r w:rsidRPr="00AD0531">
        <w:t xml:space="preserve">. Ook wordt door mij in 2026 verder gewerkt aan wijzigingen van het </w:t>
      </w:r>
      <w:r w:rsidRPr="00AD0531">
        <w:t>Bbl</w:t>
      </w:r>
      <w:r w:rsidRPr="00AD0531">
        <w:t xml:space="preserve"> in relatie tot de herziene verordening. </w:t>
      </w:r>
    </w:p>
    <w:p w:rsidRPr="00AD0531" w:rsidR="007A7E63" w:rsidP="00AD0531" w14:paraId="3CE4E2AE" w14:textId="56D9BE65">
      <w:pPr>
        <w:spacing w:line="240" w:lineRule="exact"/>
      </w:pPr>
      <w:bookmarkStart w:name="_Hlk229062443" w:id="5"/>
    </w:p>
    <w:p w:rsidRPr="00F95E32" w:rsidR="007E4B5F" w:rsidP="00AD0531" w14:paraId="07D71921" w14:textId="201ABD82">
      <w:pPr>
        <w:spacing w:line="240" w:lineRule="exact"/>
        <w:rPr>
          <w:i/>
          <w:iCs/>
        </w:rPr>
      </w:pPr>
      <w:r w:rsidRPr="00F95E32">
        <w:rPr>
          <w:i/>
          <w:iCs/>
        </w:rPr>
        <w:t>Tweede generatie Eurocodes</w:t>
      </w:r>
    </w:p>
    <w:bookmarkEnd w:id="5"/>
    <w:p w:rsidR="00B66F87" w:rsidP="00AD0531" w14:paraId="708E786B" w14:textId="45C03BA8">
      <w:pPr>
        <w:spacing w:line="240" w:lineRule="exact"/>
      </w:pPr>
      <w:r w:rsidRPr="007E4B5F">
        <w:t xml:space="preserve">Voor de eisen voor constructieve veiligheid van bouwwerken maakt het </w:t>
      </w:r>
      <w:r w:rsidRPr="007E4B5F">
        <w:t>Bbl</w:t>
      </w:r>
      <w:r w:rsidRPr="007E4B5F">
        <w:t xml:space="preserve"> gebruik van de Europese constructienormen, de zogenaamde Eurocodes die stammen uit de jaren 90. Binnen Europa is de afgelopen jaren gewerkt aan de tweede generatie van de Eurocodes. Door NEN worden nu in mijn opdracht de bijbehorende Nationale bijlagen opgesteld. De nieuwe Eurocodes en Nationale bijlagen treden in Nederland naar verwachting op 1 januari 2029 in werking. </w:t>
      </w:r>
    </w:p>
    <w:p w:rsidR="0097033A" w:rsidP="007E4B5F" w14:paraId="7EAFC7A6" w14:textId="77777777">
      <w:pPr>
        <w:autoSpaceDN/>
        <w:spacing w:after="160" w:line="259" w:lineRule="auto"/>
        <w:textAlignment w:val="auto"/>
        <w:rPr>
          <w:b/>
          <w:bCs/>
          <w:i/>
          <w:iCs/>
        </w:rPr>
      </w:pPr>
    </w:p>
    <w:p w:rsidRPr="00F95E32" w:rsidR="007E4B5F" w:rsidP="00F95E32" w14:paraId="78F00D57" w14:textId="48EE729D">
      <w:pPr>
        <w:spacing w:line="240" w:lineRule="exact"/>
        <w:rPr>
          <w:b/>
          <w:bCs/>
          <w:i/>
          <w:iCs/>
        </w:rPr>
      </w:pPr>
      <w:r w:rsidRPr="00F95E32">
        <w:rPr>
          <w:b/>
          <w:bCs/>
          <w:i/>
          <w:iCs/>
        </w:rPr>
        <w:t>Maatschappelijke ontwikkelingen</w:t>
      </w:r>
      <w:bookmarkStart w:name="_Hlk228718597" w:id="6"/>
      <w:r w:rsidRPr="00F95E32">
        <w:rPr>
          <w:b/>
          <w:bCs/>
          <w:i/>
          <w:iCs/>
        </w:rPr>
        <w:t xml:space="preserve"> </w:t>
      </w:r>
    </w:p>
    <w:p w:rsidRPr="00F95E32" w:rsidR="007E4B5F" w:rsidP="00AD0531" w14:paraId="318616E5" w14:textId="39EB59B7">
      <w:pPr>
        <w:spacing w:line="240" w:lineRule="exact"/>
        <w:rPr>
          <w:i/>
          <w:iCs/>
        </w:rPr>
      </w:pPr>
      <w:r w:rsidRPr="00BC0AB0">
        <w:t>Mensen met lichamelijke beperking blijven steeds langer zelfstandig thuis wonen.</w:t>
      </w:r>
      <w:r w:rsidRPr="007E4B5F">
        <w:t xml:space="preserve"> Ook in het algemeen wordt de fysieke toegankelijkheid van gebouwen belangrijker. </w:t>
      </w:r>
      <w:r w:rsidRPr="00F95E32">
        <w:rPr>
          <w:i/>
          <w:iCs/>
        </w:rPr>
        <w:t>Woonfunctie voor zorg</w:t>
      </w:r>
      <w:bookmarkEnd w:id="6"/>
    </w:p>
    <w:p w:rsidR="00B96DF4" w:rsidP="00AD0531" w14:paraId="3C76EFAC" w14:textId="6F75A274">
      <w:pPr>
        <w:spacing w:line="240" w:lineRule="exact"/>
      </w:pPr>
      <w:r w:rsidRPr="007E35D3">
        <w:t xml:space="preserve">In </w:t>
      </w:r>
      <w:r w:rsidR="0024152E">
        <w:t xml:space="preserve">het huidige </w:t>
      </w:r>
      <w:r w:rsidR="0024152E">
        <w:t>Bbl</w:t>
      </w:r>
      <w:r w:rsidR="0024152E">
        <w:t xml:space="preserve"> </w:t>
      </w:r>
      <w:r w:rsidRPr="007E35D3" w:rsidR="004F0CB8">
        <w:t>word</w:t>
      </w:r>
      <w:r w:rsidR="004F0CB8">
        <w:t>t</w:t>
      </w:r>
      <w:r w:rsidRPr="007E35D3" w:rsidR="004F0CB8">
        <w:t xml:space="preserve"> </w:t>
      </w:r>
      <w:r w:rsidRPr="007E35D3">
        <w:t xml:space="preserve">aan huisvesting bestemd voor ouderen en minder zelfredzamen </w:t>
      </w:r>
      <w:r w:rsidR="0024152E">
        <w:t>(</w:t>
      </w:r>
      <w:r w:rsidR="00C05D38">
        <w:t xml:space="preserve">de zogenoemde </w:t>
      </w:r>
      <w:r w:rsidR="0024152E">
        <w:t xml:space="preserve">woonfunctie voor zorg) </w:t>
      </w:r>
      <w:r w:rsidRPr="007E35D3">
        <w:t xml:space="preserve">extra eisen gesteld aan de brandveiligheid. Om na te gaan in hoeverre deze regels nog aansluiten bij de veranderende zorg heeft het </w:t>
      </w:r>
      <w:r w:rsidR="0024152E">
        <w:t xml:space="preserve">Nederlands Instituut Publieke Veiligheid (hierna: </w:t>
      </w:r>
      <w:r w:rsidRPr="007E35D3">
        <w:t>NIPV</w:t>
      </w:r>
      <w:r w:rsidR="0024152E">
        <w:t>)</w:t>
      </w:r>
      <w:r w:rsidRPr="007E35D3">
        <w:t xml:space="preserve"> in opdracht van mijn ministerie een inventariserend onderzoek uitgevoerd naar zorgwoningen.</w:t>
      </w:r>
      <w:r>
        <w:rPr>
          <w:vertAlign w:val="superscript"/>
        </w:rPr>
        <w:footnoteReference w:id="17"/>
      </w:r>
      <w:r w:rsidRPr="00B36F82">
        <w:rPr>
          <w:vertAlign w:val="superscript"/>
        </w:rPr>
        <w:t xml:space="preserve"> </w:t>
      </w:r>
      <w:r w:rsidRPr="007E35D3">
        <w:t xml:space="preserve">Bij het onderzoek </w:t>
      </w:r>
      <w:r>
        <w:t>is</w:t>
      </w:r>
      <w:r w:rsidRPr="007E35D3">
        <w:t xml:space="preserve"> een brede klankbordgroep </w:t>
      </w:r>
      <w:r>
        <w:t xml:space="preserve">betrokken </w:t>
      </w:r>
      <w:r w:rsidRPr="007E35D3">
        <w:t>me</w:t>
      </w:r>
      <w:r>
        <w:t xml:space="preserve">t vertegenwoordigers van </w:t>
      </w:r>
      <w:r>
        <w:t>huisvesters</w:t>
      </w:r>
      <w:r>
        <w:t xml:space="preserve">, zorgaanbieders, zorgontvangers, de brandweer en het </w:t>
      </w:r>
      <w:r w:rsidR="004F0CB8">
        <w:t xml:space="preserve">Ministerie </w:t>
      </w:r>
      <w:r>
        <w:t>van VWS</w:t>
      </w:r>
      <w:r w:rsidRPr="007E35D3">
        <w:t xml:space="preserve">. </w:t>
      </w:r>
      <w:r>
        <w:t xml:space="preserve">Het </w:t>
      </w:r>
      <w:r w:rsidRPr="007E35D3">
        <w:t xml:space="preserve">onderzoek </w:t>
      </w:r>
      <w:r>
        <w:t xml:space="preserve">laat zien dat de relatie tussen de zorgbehoefte van bewoners niet langer automatisch gekoppeld is aan daartoe bestemde woonvormen. Bewoners blijven bij toenemende zorg in hun eigen huis wonen en door ‘gespikkeld wonen’ varieert de zelfredzaamheid van bewoners in woongebouwen van woning tot woning. </w:t>
      </w:r>
    </w:p>
    <w:p w:rsidR="00B96DF4" w:rsidP="00AD0531" w14:paraId="39D580D0" w14:textId="653339DE">
      <w:pPr>
        <w:spacing w:line="240" w:lineRule="exact"/>
      </w:pPr>
      <w:r>
        <w:t>Naar aanleiding van de resultaten is de klankbordgroep onder begeleiding van het NIPV inmiddels gestart met een verkenn</w:t>
      </w:r>
      <w:r w:rsidR="0024152E">
        <w:t>ing</w:t>
      </w:r>
      <w:r>
        <w:t xml:space="preserve"> naar mogelijke nieuwe manieren om de brandveiligheid van minder zelfredzamen te borgen. Daarbij wordt onderzocht hoe de brandveiligheid kan worden verbeterd, rekening houdend met </w:t>
      </w:r>
      <w:r w:rsidR="007F607A">
        <w:t>het</w:t>
      </w:r>
      <w:r>
        <w:t xml:space="preserve"> belang van de keuze die een bewoner maakt en de benodigde zorg. </w:t>
      </w:r>
      <w:r w:rsidRPr="00372597" w:rsidR="00372597">
        <w:t xml:space="preserve">De uitkomsten van dit vervolgonderzoek en de gezamenlijk gekozen richting voor aanpassing van het </w:t>
      </w:r>
      <w:r w:rsidRPr="00372597" w:rsidR="00372597">
        <w:t>Bbl</w:t>
      </w:r>
      <w:r w:rsidR="00372597">
        <w:t xml:space="preserve"> </w:t>
      </w:r>
      <w:r>
        <w:t>zal ik eind dit jaar met uw Kamer delen.</w:t>
      </w:r>
    </w:p>
    <w:p w:rsidR="00F95E32" w:rsidP="00AD0531" w14:paraId="66D612EF" w14:textId="77777777">
      <w:pPr>
        <w:spacing w:line="240" w:lineRule="exact"/>
        <w:rPr>
          <w:i/>
          <w:iCs/>
        </w:rPr>
      </w:pPr>
    </w:p>
    <w:p w:rsidRPr="00F95E32" w:rsidR="007E4B5F" w:rsidP="00AD0531" w14:paraId="2C163FED" w14:textId="68D5A2DE">
      <w:pPr>
        <w:spacing w:line="240" w:lineRule="exact"/>
        <w:rPr>
          <w:i/>
          <w:iCs/>
        </w:rPr>
      </w:pPr>
      <w:r w:rsidRPr="00F95E32">
        <w:rPr>
          <w:i/>
          <w:iCs/>
        </w:rPr>
        <w:t xml:space="preserve">Woonfunctie </w:t>
      </w:r>
      <w:r w:rsidRPr="00F95E32">
        <w:rPr>
          <w:i/>
          <w:iCs/>
        </w:rPr>
        <w:t>nultreden</w:t>
      </w:r>
      <w:r w:rsidRPr="00F95E32">
        <w:rPr>
          <w:i/>
          <w:iCs/>
        </w:rPr>
        <w:t xml:space="preserve"> en woonfunctie zorggeschikt</w:t>
      </w:r>
    </w:p>
    <w:p w:rsidRPr="007E4B5F" w:rsidR="007E4B5F" w:rsidP="00AD0531" w14:paraId="6C9F32B3" w14:textId="5835E285">
      <w:pPr>
        <w:spacing w:line="240" w:lineRule="exact"/>
      </w:pPr>
      <w:r w:rsidRPr="007E4B5F">
        <w:t xml:space="preserve">In het </w:t>
      </w:r>
      <w:r w:rsidRPr="007E4B5F">
        <w:t>Bbl</w:t>
      </w:r>
      <w:r w:rsidRPr="007E4B5F">
        <w:t xml:space="preserve"> worden voor de woonfunctie </w:t>
      </w:r>
      <w:r w:rsidRPr="007E4B5F">
        <w:t>nultreden</w:t>
      </w:r>
      <w:r w:rsidRPr="007E4B5F">
        <w:t xml:space="preserve"> en de woonfunctie zorggeschikt specifieke bruikbaarheidseisen opgenomen. Deze wijziging van het </w:t>
      </w:r>
      <w:r w:rsidRPr="007E4B5F">
        <w:t>Bbl</w:t>
      </w:r>
      <w:r w:rsidRPr="007E4B5F">
        <w:t xml:space="preserve"> is ter voorhang geweest en leg ik binnenkort voor aan de Raad van State ter advies en hoop ik hierna snel te kunnen publiceren in het Staatsblad.</w:t>
      </w:r>
      <w:r>
        <w:rPr>
          <w:vertAlign w:val="superscript"/>
        </w:rPr>
        <w:footnoteReference w:id="18"/>
      </w:r>
    </w:p>
    <w:p w:rsidR="00F95E32" w:rsidP="00AD0531" w14:paraId="71A3F36B" w14:textId="77777777">
      <w:pPr>
        <w:spacing w:line="240" w:lineRule="exact"/>
      </w:pPr>
    </w:p>
    <w:p w:rsidRPr="00E22480" w:rsidR="007E4B5F" w:rsidP="00B97CCE" w14:paraId="7C9D2215" w14:textId="4C09330B">
      <w:pPr>
        <w:spacing w:line="240" w:lineRule="auto"/>
        <w:rPr>
          <w:i/>
          <w:iCs/>
        </w:rPr>
      </w:pPr>
      <w:r w:rsidRPr="00F95E32">
        <w:rPr>
          <w:i/>
          <w:iCs/>
        </w:rPr>
        <w:t>NEN 9120 Toegankelijkheid van gebouwen</w:t>
      </w:r>
      <w:r w:rsidRPr="00AD0531" w:rsidR="000570DB">
        <w:t xml:space="preserve"> </w:t>
      </w:r>
    </w:p>
    <w:p w:rsidR="00E22480" w:rsidP="00E22480" w14:paraId="4A2ACDBF" w14:textId="2D96C361">
      <w:pPr>
        <w:spacing w:line="240" w:lineRule="exact"/>
      </w:pPr>
      <w:r w:rsidRPr="007E4B5F">
        <w:t xml:space="preserve">Sinds februari 2025 is er een vrijwillig </w:t>
      </w:r>
      <w:r w:rsidRPr="007E4B5F">
        <w:t>NEN-norm</w:t>
      </w:r>
      <w:r w:rsidRPr="007E4B5F">
        <w:t xml:space="preserve"> 9120 beschikbaar voor toegankelijk bouwen, gefinancierd </w:t>
      </w:r>
      <w:r w:rsidR="002B19E8">
        <w:t>d</w:t>
      </w:r>
      <w:r w:rsidRPr="007E4B5F">
        <w:t xml:space="preserve">oor </w:t>
      </w:r>
      <w:r w:rsidR="00F479E3">
        <w:t>mijn</w:t>
      </w:r>
      <w:r w:rsidRPr="007E4B5F" w:rsidR="00F479E3">
        <w:t xml:space="preserve"> </w:t>
      </w:r>
      <w:r w:rsidRPr="007E4B5F">
        <w:t xml:space="preserve">ministerie. Hierin staan </w:t>
      </w:r>
      <w:r w:rsidR="00706A5D">
        <w:t xml:space="preserve">voorzieningen </w:t>
      </w:r>
      <w:r w:rsidRPr="007E4B5F">
        <w:t xml:space="preserve">voor toegankelijk bouwen aanvullend op de </w:t>
      </w:r>
      <w:r w:rsidR="00706A5D">
        <w:t>minimum</w:t>
      </w:r>
      <w:r w:rsidRPr="007E4B5F">
        <w:t xml:space="preserve">eisen in het </w:t>
      </w:r>
      <w:r w:rsidRPr="007E4B5F">
        <w:t>Bbl</w:t>
      </w:r>
      <w:r w:rsidRPr="007E4B5F">
        <w:t xml:space="preserve"> voor toegankelijkheid. Er loopt een periode van twee jaar waarin wordt gemonitord wat de drijfveer van marktpartijen is om </w:t>
      </w:r>
      <w:r w:rsidR="00706A5D">
        <w:t xml:space="preserve">(delen van) </w:t>
      </w:r>
      <w:r w:rsidRPr="007E4B5F">
        <w:t xml:space="preserve">de </w:t>
      </w:r>
      <w:r w:rsidRPr="007E4B5F">
        <w:t>NEN-norm</w:t>
      </w:r>
      <w:r w:rsidRPr="007E4B5F">
        <w:t xml:space="preserve"> wel of niet toe te passen. Na deze periode wordt door mij bepaald of specifieke delen van de </w:t>
      </w:r>
      <w:r w:rsidRPr="007E4B5F">
        <w:t>NEN-norm</w:t>
      </w:r>
      <w:r w:rsidRPr="007E4B5F">
        <w:t xml:space="preserve"> opgenomen </w:t>
      </w:r>
      <w:r w:rsidR="000B0168">
        <w:t xml:space="preserve">moeten </w:t>
      </w:r>
      <w:r w:rsidRPr="007E4B5F">
        <w:t xml:space="preserve">worden in het </w:t>
      </w:r>
      <w:r w:rsidRPr="007E4B5F">
        <w:t>Bbl</w:t>
      </w:r>
      <w:r w:rsidRPr="007E4B5F">
        <w:t xml:space="preserve">. </w:t>
      </w:r>
      <w:bookmarkStart w:name="_Hlk228947544" w:id="7"/>
    </w:p>
    <w:p w:rsidR="00E22480" w:rsidP="00E22480" w14:paraId="66FF8489" w14:textId="77777777">
      <w:pPr>
        <w:spacing w:line="240" w:lineRule="exact"/>
      </w:pPr>
    </w:p>
    <w:p w:rsidR="00BC0AB0" w:rsidP="00E22480" w14:paraId="1C7DEC6A" w14:textId="2B7B0FDD">
      <w:pPr>
        <w:spacing w:line="240" w:lineRule="exact"/>
        <w:rPr>
          <w:b/>
          <w:bCs/>
          <w:i/>
          <w:iCs/>
        </w:rPr>
      </w:pPr>
      <w:r w:rsidRPr="007E4B5F">
        <w:rPr>
          <w:b/>
          <w:bCs/>
          <w:i/>
          <w:iCs/>
        </w:rPr>
        <w:t>Ontwikkelingen in de bouw</w:t>
      </w:r>
      <w:bookmarkEnd w:id="7"/>
    </w:p>
    <w:p w:rsidRPr="007E4B5F" w:rsidR="00CF2918" w:rsidP="00AD0531" w14:paraId="1D0A625B" w14:textId="0F6520DE">
      <w:pPr>
        <w:spacing w:line="240" w:lineRule="exact"/>
      </w:pPr>
      <w:r w:rsidRPr="00BC0AB0">
        <w:t>Door de verduurzaming en industrialisatie van de bouw wordt er steeds meer</w:t>
      </w:r>
      <w:r w:rsidRPr="007E4B5F">
        <w:t xml:space="preserve"> gebouwd met lichte bouwmaterialen. Ook worden er </w:t>
      </w:r>
      <w:r w:rsidR="00E42A4E">
        <w:t xml:space="preserve">veelal </w:t>
      </w:r>
      <w:r w:rsidRPr="007E4B5F">
        <w:t>meer installaties toegevoegd. Dit leidt tot meer risico’s op het gebied van brandveiligheid. Hierover bent u eerder geïnformeerd, meest recent in de brieven van 23 mei 2025</w:t>
      </w:r>
      <w:r>
        <w:rPr>
          <w:vertAlign w:val="superscript"/>
        </w:rPr>
        <w:footnoteReference w:id="19"/>
      </w:r>
      <w:r w:rsidRPr="007E4B5F">
        <w:t xml:space="preserve"> en van 6 februari 2026</w:t>
      </w:r>
      <w:r>
        <w:t xml:space="preserve"> (</w:t>
      </w:r>
      <w:r w:rsidR="008774A6">
        <w:t>g</w:t>
      </w:r>
      <w:r>
        <w:t>eagendeerd voor het commissiedebat</w:t>
      </w:r>
      <w:r w:rsidR="00AC0E2C">
        <w:t xml:space="preserve"> van 4 juni a.s.</w:t>
      </w:r>
      <w:r>
        <w:t>)</w:t>
      </w:r>
      <w:r w:rsidRPr="007E4B5F">
        <w:t>.</w:t>
      </w:r>
      <w:r>
        <w:rPr>
          <w:vertAlign w:val="superscript"/>
        </w:rPr>
        <w:footnoteReference w:id="20"/>
      </w:r>
      <w:r w:rsidRPr="007E4B5F">
        <w:t xml:space="preserve"> Ik geef hieronder aanvullend informatie</w:t>
      </w:r>
      <w:r w:rsidR="00F479E3">
        <w:t>.</w:t>
      </w:r>
    </w:p>
    <w:p w:rsidR="001077B0" w14:paraId="274129F4" w14:textId="412FA3F1">
      <w:pPr>
        <w:spacing w:line="240" w:lineRule="auto"/>
        <w:rPr>
          <w:i/>
          <w:iCs/>
        </w:rPr>
      </w:pPr>
    </w:p>
    <w:p w:rsidRPr="00F95E32" w:rsidR="00CF2918" w:rsidP="00AD0531" w14:paraId="75308452" w14:textId="23BD10FB">
      <w:pPr>
        <w:spacing w:line="240" w:lineRule="exact"/>
        <w:rPr>
          <w:i/>
          <w:iCs/>
        </w:rPr>
      </w:pPr>
      <w:r w:rsidRPr="00F95E32">
        <w:rPr>
          <w:i/>
          <w:iCs/>
        </w:rPr>
        <w:t xml:space="preserve">Gebouwschil </w:t>
      </w:r>
    </w:p>
    <w:p w:rsidRPr="007E4B5F" w:rsidR="00CF2918" w:rsidP="00AD0531" w14:paraId="6151440F" w14:textId="77777777">
      <w:pPr>
        <w:spacing w:line="240" w:lineRule="exact"/>
      </w:pPr>
      <w:r w:rsidRPr="007E4B5F">
        <w:t>Haskoning</w:t>
      </w:r>
      <w:r w:rsidRPr="007E4B5F">
        <w:t xml:space="preserve"> </w:t>
      </w:r>
      <w:r>
        <w:t>heeft</w:t>
      </w:r>
      <w:r w:rsidRPr="007E4B5F">
        <w:t xml:space="preserve"> in opdracht van mijn ministerie een onderzoek uitgevoerd naar mogelijke oplossingen om branduitbreiding via de gebouwschil te beperken</w:t>
      </w:r>
      <w:r>
        <w:rPr>
          <w:vertAlign w:val="superscript"/>
        </w:rPr>
        <w:footnoteReference w:id="21"/>
      </w:r>
      <w:r w:rsidRPr="007E4B5F">
        <w:t>. Aanleiding voor dit onderzoek was het rapport van het NIPV in 2024 naar drie branden in Nederland</w:t>
      </w:r>
      <w:r>
        <w:rPr>
          <w:vertAlign w:val="superscript"/>
        </w:rPr>
        <w:footnoteReference w:id="22"/>
      </w:r>
      <w:r w:rsidRPr="007E4B5F">
        <w:t xml:space="preserve"> waarbij sprake was van snelle branduitbreiding in de gebouwschil. </w:t>
      </w:r>
    </w:p>
    <w:p w:rsidR="00F95E32" w:rsidP="00AD0531" w14:paraId="60C59891" w14:textId="77777777">
      <w:pPr>
        <w:spacing w:line="240" w:lineRule="exact"/>
      </w:pPr>
    </w:p>
    <w:p w:rsidRPr="007E4B5F" w:rsidR="00CF2918" w:rsidP="00AD0531" w14:paraId="05ACE079" w14:textId="212342C7">
      <w:pPr>
        <w:spacing w:line="240" w:lineRule="exact"/>
      </w:pPr>
      <w:r w:rsidRPr="007E4B5F">
        <w:t>Haskoning</w:t>
      </w:r>
      <w:r w:rsidRPr="007E4B5F">
        <w:t xml:space="preserve"> </w:t>
      </w:r>
      <w:r>
        <w:t>stelt</w:t>
      </w:r>
      <w:r w:rsidRPr="007E4B5F">
        <w:t xml:space="preserve"> in het rapport een </w:t>
      </w:r>
      <w:r w:rsidRPr="007E4B5F">
        <w:t>tweesporenaanpak</w:t>
      </w:r>
      <w:r w:rsidRPr="007E4B5F">
        <w:t xml:space="preserve"> voor. Op korte termijn wordt voorgesteld om een traject te starten dat moet leiden tot een betere naleving van de al bestaande brandveiligheidseisen, door het meer toelichten en verduidelijken van deze eisen. Parallel hieraan stelt </w:t>
      </w:r>
      <w:r w:rsidRPr="007E4B5F">
        <w:t>Haskoning</w:t>
      </w:r>
      <w:r w:rsidRPr="007E4B5F">
        <w:t xml:space="preserve"> voor een traject te starten naar nieuwe eisen in het </w:t>
      </w:r>
      <w:r w:rsidRPr="007E4B5F">
        <w:t>Bbl</w:t>
      </w:r>
      <w:r w:rsidRPr="007E4B5F">
        <w:t xml:space="preserve"> voor de begrenzing van branduitbreiding in de gebouwschil. Ik neem deze voorstellen over. </w:t>
      </w:r>
    </w:p>
    <w:p w:rsidR="00F95E32" w:rsidP="00AD0531" w14:paraId="532DDA79" w14:textId="77777777">
      <w:pPr>
        <w:spacing w:line="240" w:lineRule="exact"/>
        <w:rPr>
          <w:i/>
          <w:iCs/>
        </w:rPr>
      </w:pPr>
    </w:p>
    <w:p w:rsidRPr="00F95E32" w:rsidR="007E4B5F" w:rsidP="00AD0531" w14:paraId="344550C5" w14:textId="71EAAE4E">
      <w:pPr>
        <w:spacing w:line="240" w:lineRule="exact"/>
        <w:rPr>
          <w:i/>
          <w:iCs/>
        </w:rPr>
      </w:pPr>
      <w:r w:rsidRPr="00F95E32">
        <w:rPr>
          <w:i/>
          <w:iCs/>
        </w:rPr>
        <w:t xml:space="preserve">Gevels hoogbouw </w:t>
      </w:r>
    </w:p>
    <w:p w:rsidRPr="007E4B5F" w:rsidR="007E4B5F" w:rsidP="00AD0531" w14:paraId="623857A7" w14:textId="4EBD4769">
      <w:pPr>
        <w:spacing w:line="240" w:lineRule="exact"/>
      </w:pPr>
      <w:r w:rsidRPr="007E4B5F">
        <w:t xml:space="preserve">In het </w:t>
      </w:r>
      <w:r w:rsidRPr="007E4B5F">
        <w:t>Bbl</w:t>
      </w:r>
      <w:r w:rsidRPr="007E4B5F">
        <w:t xml:space="preserve"> gaan strengere eisen gelden voor hoogbouwgevels.</w:t>
      </w:r>
      <w:r>
        <w:rPr>
          <w:vertAlign w:val="superscript"/>
        </w:rPr>
        <w:footnoteReference w:id="23"/>
      </w:r>
      <w:r w:rsidRPr="00B36F82">
        <w:rPr>
          <w:vertAlign w:val="superscript"/>
        </w:rPr>
        <w:t xml:space="preserve"> </w:t>
      </w:r>
      <w:r w:rsidRPr="007E4B5F">
        <w:t xml:space="preserve">Door NEN is een bijbehorend testmethode vastgelegd in de Nederlandse Praktijkrichtlijn NPR 6999. Deze NPR en het kwaliteitsniveau waar de hoogbouwgevel aan moet voldoen, leg ik vast in de Omgevingsregeling. Ik verwacht dat deze strengere eisen vervolgens per 1 juli 2027 in werking treden.  </w:t>
      </w:r>
    </w:p>
    <w:p w:rsidRPr="007E4B5F" w:rsidR="007E4B5F" w:rsidP="00AD0531" w14:paraId="26878EF4" w14:textId="77777777">
      <w:pPr>
        <w:spacing w:line="240" w:lineRule="exact"/>
      </w:pPr>
    </w:p>
    <w:p w:rsidRPr="007E4B5F" w:rsidR="007E4B5F" w:rsidP="00AD0531" w14:paraId="3983EA60" w14:textId="1F810DB2">
      <w:pPr>
        <w:spacing w:line="240" w:lineRule="exact"/>
      </w:pPr>
      <w:r w:rsidRPr="007E4B5F">
        <w:t xml:space="preserve">Aanleiding voor deze strengere eisen was de fatale brand van de </w:t>
      </w:r>
      <w:r w:rsidRPr="007E4B5F">
        <w:t>Grenfell</w:t>
      </w:r>
      <w:r w:rsidRPr="007E4B5F">
        <w:t xml:space="preserve"> woontoren in Londen (2017) en het advies van de ATGB</w:t>
      </w:r>
      <w:r>
        <w:rPr>
          <w:vertAlign w:val="superscript"/>
        </w:rPr>
        <w:footnoteReference w:id="24"/>
      </w:r>
      <w:r w:rsidRPr="00B36F82">
        <w:rPr>
          <w:vertAlign w:val="superscript"/>
        </w:rPr>
        <w:t xml:space="preserve"> </w:t>
      </w:r>
      <w:r w:rsidRPr="007E4B5F">
        <w:t xml:space="preserve">op het Engelse onderzoeksrapport fase 1 (2019). In september 2024 is het onderzoeksrapport fase 2 over de </w:t>
      </w:r>
      <w:r w:rsidRPr="007E4B5F">
        <w:t>Grenfellbrand</w:t>
      </w:r>
      <w:r w:rsidRPr="007E4B5F">
        <w:t xml:space="preserve"> gepubliceerd in Engeland. De ATGB heeft recent ook over dit fase 2</w:t>
      </w:r>
      <w:r w:rsidR="00F479E3">
        <w:t>-</w:t>
      </w:r>
      <w:r w:rsidRPr="007E4B5F">
        <w:t>rapport haar advies</w:t>
      </w:r>
      <w:r>
        <w:rPr>
          <w:vertAlign w:val="superscript"/>
        </w:rPr>
        <w:footnoteReference w:id="25"/>
      </w:r>
      <w:r w:rsidRPr="00B36F82">
        <w:rPr>
          <w:vertAlign w:val="superscript"/>
        </w:rPr>
        <w:t xml:space="preserve"> </w:t>
      </w:r>
      <w:r w:rsidRPr="007E4B5F">
        <w:t xml:space="preserve">uitgebracht. Dit advies bevat geen wijziging van haar eerdere advies voor hoogbouwgevels. In het nieuwe rapport worden door de ATGB wel nieuwe, meer algemene, aanbevelingen gedaan gericht op het tot stand komen van de bouwregelgeving, de risico-indeling van gebouwen, het kennisniveau binnen de bouw en de testmethoden en certificatie. Ik bezie deze aanbevelingen nog in relatie tot de verdere modernisering van de bouwregelgeving en een betere naleving. </w:t>
      </w:r>
    </w:p>
    <w:p w:rsidRPr="007E4B5F" w:rsidR="007E4B5F" w:rsidP="00AD0531" w14:paraId="14C34682" w14:textId="77777777">
      <w:pPr>
        <w:spacing w:line="240" w:lineRule="exact"/>
      </w:pPr>
    </w:p>
    <w:p w:rsidRPr="00F95E32" w:rsidR="007E4B5F" w:rsidP="00AD0531" w14:paraId="2274B6B4" w14:textId="76D7E9FB">
      <w:pPr>
        <w:spacing w:line="240" w:lineRule="exact"/>
        <w:rPr>
          <w:i/>
          <w:iCs/>
        </w:rPr>
      </w:pPr>
      <w:r w:rsidRPr="00F95E32">
        <w:rPr>
          <w:i/>
          <w:iCs/>
        </w:rPr>
        <w:t xml:space="preserve">Houtbouw </w:t>
      </w:r>
    </w:p>
    <w:p w:rsidRPr="00AD0531" w:rsidR="00CF27DD" w:rsidP="00AD0531" w14:paraId="779077BC" w14:textId="506E177E">
      <w:pPr>
        <w:spacing w:line="240" w:lineRule="exact"/>
      </w:pPr>
      <w:r w:rsidRPr="007E4B5F">
        <w:t>Uit TNO-onderzoek</w:t>
      </w:r>
      <w:r>
        <w:rPr>
          <w:vertAlign w:val="superscript"/>
        </w:rPr>
        <w:footnoteReference w:id="26"/>
      </w:r>
      <w:r w:rsidRPr="00B36F82">
        <w:rPr>
          <w:vertAlign w:val="superscript"/>
        </w:rPr>
        <w:t xml:space="preserve"> </w:t>
      </w:r>
      <w:r w:rsidRPr="007E4B5F">
        <w:t>volgt dat de huidige prestatie</w:t>
      </w:r>
      <w:r w:rsidR="002B19E8">
        <w:t>-</w:t>
      </w:r>
      <w:r w:rsidRPr="007E4B5F">
        <w:t xml:space="preserve">eisen </w:t>
      </w:r>
      <w:r w:rsidR="002B19E8">
        <w:t xml:space="preserve">voor brandveiligheid </w:t>
      </w:r>
      <w:r w:rsidRPr="007E4B5F">
        <w:t xml:space="preserve">uit het </w:t>
      </w:r>
      <w:r w:rsidRPr="007E4B5F">
        <w:t>Bbl</w:t>
      </w:r>
      <w:r w:rsidRPr="007E4B5F">
        <w:t xml:space="preserve"> niet adequaat zijn voor gebouwen van massief hout door de verhoogde permanente vuurbelasting. De ATGB heeft eind 2024 geadviseerd het </w:t>
      </w:r>
      <w:r w:rsidRPr="007E4B5F">
        <w:t>Bbl</w:t>
      </w:r>
      <w:r w:rsidRPr="007E4B5F">
        <w:t xml:space="preserve"> </w:t>
      </w:r>
      <w:r>
        <w:t xml:space="preserve">hierop </w:t>
      </w:r>
      <w:r w:rsidRPr="007E4B5F">
        <w:t>aan te passen.</w:t>
      </w:r>
      <w:r>
        <w:rPr>
          <w:vertAlign w:val="superscript"/>
        </w:rPr>
        <w:footnoteReference w:id="27"/>
      </w:r>
      <w:r w:rsidRPr="007E4B5F">
        <w:t xml:space="preserve"> </w:t>
      </w:r>
      <w:r>
        <w:t>Ik werk inmiddels</w:t>
      </w:r>
      <w:r w:rsidRPr="007E4B5F">
        <w:t xml:space="preserve"> aan deze aanpassing van het </w:t>
      </w:r>
      <w:r w:rsidRPr="007E4B5F">
        <w:t>Bbl</w:t>
      </w:r>
      <w:r>
        <w:t>,</w:t>
      </w:r>
      <w:r w:rsidRPr="007E4B5F">
        <w:t xml:space="preserve"> die naar verwachting na de</w:t>
      </w:r>
      <w:r w:rsidR="00F479E3">
        <w:t>ze</w:t>
      </w:r>
      <w:r w:rsidRPr="007E4B5F">
        <w:t xml:space="preserve"> zomer in consultatie gaat. Door NEN is in opdracht van </w:t>
      </w:r>
      <w:r w:rsidR="00F479E3">
        <w:t>mijn</w:t>
      </w:r>
      <w:r w:rsidRPr="007E4B5F" w:rsidR="00F479E3">
        <w:t xml:space="preserve"> </w:t>
      </w:r>
      <w:r w:rsidRPr="007E4B5F">
        <w:t xml:space="preserve">ministerie in 2025 al de Nederlandse Technische Afspraak </w:t>
      </w:r>
      <w:r w:rsidRPr="00AD0531">
        <w:t>NTA 6125 “Brandveiligheid massieve houtbouw” opgesteld.</w:t>
      </w:r>
      <w:r>
        <w:rPr>
          <w:vertAlign w:val="superscript"/>
        </w:rPr>
        <w:footnoteReference w:id="28"/>
      </w:r>
      <w:r w:rsidRPr="004F3ABD">
        <w:rPr>
          <w:vertAlign w:val="superscript"/>
        </w:rPr>
        <w:t xml:space="preserve"> </w:t>
      </w:r>
      <w:r w:rsidRPr="00AD0531">
        <w:t xml:space="preserve">Deze NTA 6125 kan straks door bouwers worden gebruikt voor de nieuwe </w:t>
      </w:r>
      <w:r w:rsidRPr="00AD0531">
        <w:t>Bbl</w:t>
      </w:r>
      <w:r w:rsidRPr="00AD0531">
        <w:t xml:space="preserve">-eisen. </w:t>
      </w:r>
    </w:p>
    <w:p w:rsidRPr="00AD0531" w:rsidR="007E4B5F" w:rsidP="00AD0531" w14:paraId="62D20243" w14:textId="77777777">
      <w:pPr>
        <w:spacing w:line="240" w:lineRule="exact"/>
      </w:pPr>
    </w:p>
    <w:p w:rsidRPr="00F95E32" w:rsidR="00CF27DD" w:rsidP="00AD0531" w14:paraId="164714C2" w14:textId="72B01010">
      <w:pPr>
        <w:spacing w:line="240" w:lineRule="exact"/>
        <w:rPr>
          <w:i/>
          <w:iCs/>
        </w:rPr>
      </w:pPr>
      <w:r w:rsidRPr="00F95E32">
        <w:rPr>
          <w:i/>
          <w:iCs/>
        </w:rPr>
        <w:t>Motie Welzijn</w:t>
      </w:r>
    </w:p>
    <w:p w:rsidRPr="00AD0531" w:rsidR="0097033A" w:rsidP="00AD0531" w14:paraId="65B1AF67" w14:textId="0FFC2C37">
      <w:pPr>
        <w:spacing w:line="240" w:lineRule="exact"/>
      </w:pPr>
      <w:r>
        <w:t xml:space="preserve">Ik maak hier verder gebruik van deze </w:t>
      </w:r>
      <w:r w:rsidRPr="007E4B5F" w:rsidR="007E4B5F">
        <w:t>brief om u te informeren over uitvoering van de motie Welzijn over een publieksregister met gebruikte gevelmaterialen en het brandrisico daarvan.</w:t>
      </w:r>
      <w:r>
        <w:rPr>
          <w:vertAlign w:val="superscript"/>
        </w:rPr>
        <w:footnoteReference w:id="29"/>
      </w:r>
      <w:r w:rsidRPr="007E4B5F" w:rsidR="007E4B5F">
        <w:t xml:space="preserve"> Ik heb het Nederlandse Instituut Publieke Veiligheid NIPV gevraagd een publieksinformatieblad op te stellen met informatie over de brandveiligheid van gevels van woningen en woongebouwen. Hierin komt voor bewoners toegankelijke informatie beschikbaar over gebruikte gevelmaterialen en brandrisico’s. Ook zal het een handelingsperspectief geven voor bewoners die twijfel hebben over brandveiligheid van hun gevel. </w:t>
      </w:r>
      <w:bookmarkStart w:name="_Hlk228717302" w:id="8"/>
    </w:p>
    <w:p w:rsidR="00B97CCE" w:rsidP="0097033A" w14:paraId="2C878BB0" w14:textId="77777777">
      <w:pPr>
        <w:rPr>
          <w:b/>
          <w:bCs/>
          <w:i/>
          <w:iCs/>
        </w:rPr>
      </w:pPr>
    </w:p>
    <w:p w:rsidRPr="00A9776B" w:rsidR="00E43479" w:rsidP="00B97CCE" w14:paraId="3CE14D5A" w14:textId="5F852061">
      <w:pPr>
        <w:spacing w:line="240" w:lineRule="auto"/>
        <w:rPr>
          <w:b/>
          <w:bCs/>
          <w:i/>
          <w:iCs/>
        </w:rPr>
      </w:pPr>
      <w:r w:rsidRPr="00A9776B">
        <w:rPr>
          <w:b/>
          <w:bCs/>
          <w:i/>
          <w:iCs/>
        </w:rPr>
        <w:t xml:space="preserve">Verduurzaming van de gebouwde omgeving </w:t>
      </w:r>
    </w:p>
    <w:p w:rsidR="00E43479" w:rsidP="00AD0531" w14:paraId="705159F8" w14:textId="2D411230">
      <w:pPr>
        <w:spacing w:line="240" w:lineRule="exact"/>
      </w:pPr>
      <w:r>
        <w:t xml:space="preserve">Naast de </w:t>
      </w:r>
      <w:r w:rsidR="004501DF">
        <w:t>implementatie van de hiervoor genoemde EPBD</w:t>
      </w:r>
      <w:r w:rsidR="00F479E3">
        <w:t xml:space="preserve"> </w:t>
      </w:r>
      <w:r w:rsidR="004501DF">
        <w:t>IV</w:t>
      </w:r>
      <w:r>
        <w:t xml:space="preserve"> zijn er nationaal verdere ambities voor de verduurzaming van de gebouwde omgeving</w:t>
      </w:r>
      <w:r w:rsidR="0097033A">
        <w:t xml:space="preserve"> die een doorvertaling krijgen in het </w:t>
      </w:r>
      <w:r w:rsidR="0097033A">
        <w:t>Bbl</w:t>
      </w:r>
      <w:r>
        <w:t xml:space="preserve">. </w:t>
      </w:r>
    </w:p>
    <w:p w:rsidR="00B97CCE" w14:paraId="0883D51D" w14:textId="2A1CC916">
      <w:pPr>
        <w:spacing w:line="240" w:lineRule="auto"/>
      </w:pPr>
    </w:p>
    <w:p w:rsidRPr="00F95E32" w:rsidR="003E1CF8" w:rsidP="00AD0531" w14:paraId="3600E98C" w14:textId="6367AB79">
      <w:pPr>
        <w:spacing w:line="240" w:lineRule="exact"/>
        <w:rPr>
          <w:i/>
          <w:iCs/>
        </w:rPr>
      </w:pPr>
      <w:r w:rsidRPr="00F95E32">
        <w:rPr>
          <w:i/>
          <w:iCs/>
        </w:rPr>
        <w:t>Uitfasering EFG-labels</w:t>
      </w:r>
    </w:p>
    <w:p w:rsidRPr="003E1CF8" w:rsidR="003E1CF8" w:rsidP="00AD0531" w14:paraId="5C0C738E" w14:textId="08B77EB1">
      <w:pPr>
        <w:spacing w:line="240" w:lineRule="exact"/>
      </w:pPr>
      <w:r w:rsidRPr="003E1CF8">
        <w:t>Er wo</w:t>
      </w:r>
      <w:r w:rsidRPr="00A9776B">
        <w:t xml:space="preserve">rdt </w:t>
      </w:r>
      <w:r>
        <w:t xml:space="preserve">door </w:t>
      </w:r>
      <w:r w:rsidRPr="00A9776B">
        <w:t>mij gewerkt a</w:t>
      </w:r>
      <w:r>
        <w:t xml:space="preserve">an een wijziging van het </w:t>
      </w:r>
      <w:r>
        <w:t>Bbl</w:t>
      </w:r>
      <w:r>
        <w:t xml:space="preserve"> voor de verplichte uitfasering van E</w:t>
      </w:r>
      <w:r w:rsidR="00075B0B">
        <w:t xml:space="preserve">, </w:t>
      </w:r>
      <w:r>
        <w:t>F</w:t>
      </w:r>
      <w:r w:rsidR="00075B0B">
        <w:t xml:space="preserve">, en </w:t>
      </w:r>
      <w:r>
        <w:t xml:space="preserve">G-labels in 2029 bij huurwoningen. </w:t>
      </w:r>
      <w:r w:rsidR="001077B0">
        <w:t xml:space="preserve">Ik stuur deze wijziging van het </w:t>
      </w:r>
      <w:r w:rsidR="001077B0">
        <w:t>Bbl</w:t>
      </w:r>
      <w:r w:rsidR="001077B0">
        <w:t xml:space="preserve"> in de zomer ter voorhang aan uw Kamer. </w:t>
      </w:r>
    </w:p>
    <w:p w:rsidR="003E1CF8" w:rsidP="00AD0531" w14:paraId="6B757A2F" w14:textId="77777777">
      <w:pPr>
        <w:spacing w:line="240" w:lineRule="exact"/>
      </w:pPr>
    </w:p>
    <w:p w:rsidRPr="00F95E32" w:rsidR="00E43479" w:rsidP="00AD0531" w14:paraId="7BF56E82" w14:textId="040FC8AC">
      <w:pPr>
        <w:spacing w:line="240" w:lineRule="exact"/>
        <w:rPr>
          <w:i/>
          <w:iCs/>
        </w:rPr>
      </w:pPr>
      <w:r w:rsidRPr="00F95E32">
        <w:rPr>
          <w:i/>
          <w:iCs/>
        </w:rPr>
        <w:t>H</w:t>
      </w:r>
      <w:r w:rsidRPr="00F95E32" w:rsidR="004501DF">
        <w:rPr>
          <w:i/>
          <w:iCs/>
        </w:rPr>
        <w:t>ybride warmtepompen</w:t>
      </w:r>
    </w:p>
    <w:p w:rsidR="003E1CF8" w:rsidP="00AD0531" w14:paraId="35459947" w14:textId="3CBEAD63">
      <w:pPr>
        <w:spacing w:line="240" w:lineRule="exact"/>
      </w:pPr>
      <w:r>
        <w:t xml:space="preserve">Samen met de minister van KGG </w:t>
      </w:r>
      <w:r>
        <w:t xml:space="preserve">bezie </w:t>
      </w:r>
      <w:r>
        <w:t xml:space="preserve">ik </w:t>
      </w:r>
      <w:r>
        <w:t xml:space="preserve">momenteel hoe </w:t>
      </w:r>
      <w:r w:rsidR="000926D4">
        <w:t xml:space="preserve">de normering </w:t>
      </w:r>
      <w:r>
        <w:t xml:space="preserve">van hybride warmtepompen kan worden vormgegeven in het </w:t>
      </w:r>
      <w:r>
        <w:t>Bbl</w:t>
      </w:r>
      <w:r>
        <w:t xml:space="preserve">. </w:t>
      </w:r>
      <w:bookmarkStart w:name="_Hlk230273172" w:id="9"/>
      <w:r w:rsidR="000926D4">
        <w:t>B</w:t>
      </w:r>
      <w:r w:rsidRPr="000926D4" w:rsidR="000926D4">
        <w:t>ij de verder</w:t>
      </w:r>
      <w:r w:rsidR="0028355E">
        <w:t>e</w:t>
      </w:r>
      <w:r w:rsidRPr="000926D4" w:rsidR="000926D4">
        <w:t xml:space="preserve"> uitwerking van de norm betrekken </w:t>
      </w:r>
      <w:r w:rsidR="000926D4">
        <w:t xml:space="preserve">we </w:t>
      </w:r>
      <w:r w:rsidRPr="000926D4" w:rsidR="000926D4">
        <w:t>of de</w:t>
      </w:r>
      <w:r w:rsidR="000926D4">
        <w:t>ze</w:t>
      </w:r>
      <w:r w:rsidRPr="000926D4" w:rsidR="000926D4">
        <w:t xml:space="preserve"> voor huishoudens haalbaar is</w:t>
      </w:r>
      <w:r w:rsidR="000926D4">
        <w:t xml:space="preserve">. </w:t>
      </w:r>
      <w:bookmarkEnd w:id="9"/>
      <w:r>
        <w:t>Dit najaar wordt uw Kamer hierover verder geïnformeerd.</w:t>
      </w:r>
    </w:p>
    <w:p w:rsidR="00B97CCE" w:rsidP="00B97CCE" w14:paraId="26074AB9" w14:textId="77777777">
      <w:pPr>
        <w:spacing w:line="240" w:lineRule="auto"/>
        <w:rPr>
          <w:b/>
          <w:bCs/>
          <w:i/>
          <w:iCs/>
        </w:rPr>
      </w:pPr>
      <w:bookmarkStart w:name="_Hlk229055475" w:id="10"/>
    </w:p>
    <w:p w:rsidR="00B52559" w:rsidP="00B97CCE" w14:paraId="680E2CEA" w14:textId="77777777">
      <w:pPr>
        <w:spacing w:line="240" w:lineRule="auto"/>
        <w:rPr>
          <w:b/>
          <w:bCs/>
          <w:i/>
          <w:iCs/>
        </w:rPr>
      </w:pPr>
    </w:p>
    <w:p w:rsidRPr="007E4B5F" w:rsidR="007E4B5F" w:rsidP="00B97CCE" w14:paraId="7077F6E6" w14:textId="00CA689D">
      <w:pPr>
        <w:spacing w:line="240" w:lineRule="auto"/>
        <w:rPr>
          <w:b/>
          <w:bCs/>
          <w:i/>
          <w:iCs/>
        </w:rPr>
      </w:pPr>
      <w:r w:rsidRPr="007E4B5F">
        <w:rPr>
          <w:b/>
          <w:bCs/>
          <w:i/>
          <w:iCs/>
        </w:rPr>
        <w:t>Klimaatadaptief</w:t>
      </w:r>
      <w:r w:rsidRPr="007E4B5F">
        <w:rPr>
          <w:b/>
          <w:bCs/>
          <w:i/>
          <w:iCs/>
        </w:rPr>
        <w:t xml:space="preserve"> en </w:t>
      </w:r>
      <w:r w:rsidRPr="007E4B5F">
        <w:rPr>
          <w:b/>
          <w:bCs/>
          <w:i/>
          <w:iCs/>
        </w:rPr>
        <w:t>natuurinclusief</w:t>
      </w:r>
      <w:r w:rsidRPr="007E4B5F">
        <w:rPr>
          <w:b/>
          <w:bCs/>
          <w:i/>
          <w:iCs/>
        </w:rPr>
        <w:t xml:space="preserve"> bouwen</w:t>
      </w:r>
    </w:p>
    <w:p w:rsidRPr="00AD0531" w:rsidR="0097033A" w:rsidP="00AD0531" w14:paraId="1B551ECE" w14:textId="66A3EFBB">
      <w:pPr>
        <w:spacing w:line="240" w:lineRule="exact"/>
      </w:pPr>
      <w:r w:rsidRPr="007E4B5F">
        <w:t>Klimaatadaptief</w:t>
      </w:r>
      <w:r w:rsidRPr="007E4B5F">
        <w:t xml:space="preserve"> bouwen en </w:t>
      </w:r>
      <w:r w:rsidRPr="007E4B5F">
        <w:t>natuurinclusief</w:t>
      </w:r>
      <w:r w:rsidRPr="007E4B5F">
        <w:t xml:space="preserve"> bouwen kan </w:t>
      </w:r>
      <w:r w:rsidR="00C8658F">
        <w:t xml:space="preserve">vooral </w:t>
      </w:r>
      <w:r w:rsidRPr="007E4B5F">
        <w:t xml:space="preserve">lokaal worden bewerkstelligd met ruimtelijke regels in omgevingsplannen. Het gaat </w:t>
      </w:r>
      <w:r w:rsidR="007434E9">
        <w:t xml:space="preserve">daarbij </w:t>
      </w:r>
      <w:r w:rsidRPr="007E4B5F">
        <w:t xml:space="preserve">beperkt om landelijke technische regels aan gebouwen in het </w:t>
      </w:r>
      <w:r w:rsidRPr="007E4B5F">
        <w:t>Bbl</w:t>
      </w:r>
      <w:r w:rsidRPr="007E4B5F">
        <w:t xml:space="preserve">.  </w:t>
      </w:r>
    </w:p>
    <w:p w:rsidR="00AD0531" w:rsidP="00AD0531" w14:paraId="5E773E01" w14:textId="77777777">
      <w:pPr>
        <w:spacing w:line="240" w:lineRule="exact"/>
      </w:pPr>
    </w:p>
    <w:p w:rsidRPr="00F95E32" w:rsidR="007E4B5F" w:rsidP="00AD0531" w14:paraId="6D39EF48" w14:textId="7D22495B">
      <w:pPr>
        <w:spacing w:line="240" w:lineRule="exact"/>
        <w:rPr>
          <w:i/>
          <w:iCs/>
        </w:rPr>
      </w:pPr>
      <w:r w:rsidRPr="00F95E32">
        <w:rPr>
          <w:i/>
          <w:iCs/>
        </w:rPr>
        <w:t>Hergebruik water</w:t>
      </w:r>
      <w:bookmarkEnd w:id="8"/>
      <w:r w:rsidRPr="00F95E32" w:rsidR="000570DB">
        <w:rPr>
          <w:i/>
          <w:iCs/>
        </w:rPr>
        <w:t xml:space="preserve"> </w:t>
      </w:r>
    </w:p>
    <w:p w:rsidRPr="00AD0531" w:rsidR="007E4B5F" w:rsidP="00AD0531" w14:paraId="629D89F3" w14:textId="77777777">
      <w:pPr>
        <w:spacing w:line="240" w:lineRule="exact"/>
      </w:pPr>
      <w:r w:rsidRPr="00AD0531">
        <w:t xml:space="preserve">In de brief van 27 januari 2026 heeft de minister van </w:t>
      </w:r>
      <w:r w:rsidRPr="00AD0531">
        <w:t>IenW</w:t>
      </w:r>
      <w:r w:rsidRPr="00AD0531">
        <w:t xml:space="preserve"> in afstemming met mijn </w:t>
      </w:r>
      <w:r w:rsidRPr="007E4B5F">
        <w:t>ambtsvoorganger uw Kamer geïnformeerd</w:t>
      </w:r>
      <w:r>
        <w:rPr>
          <w:vertAlign w:val="superscript"/>
        </w:rPr>
        <w:footnoteReference w:id="30"/>
      </w:r>
      <w:r w:rsidRPr="004F3ABD">
        <w:rPr>
          <w:vertAlign w:val="superscript"/>
        </w:rPr>
        <w:t xml:space="preserve"> </w:t>
      </w:r>
      <w:r w:rsidRPr="007E4B5F">
        <w:t xml:space="preserve">dat er vooralsnog geen eisen in het </w:t>
      </w:r>
      <w:r w:rsidRPr="007E4B5F">
        <w:t>Bbl</w:t>
      </w:r>
      <w:r w:rsidRPr="007E4B5F">
        <w:t xml:space="preserve"> komen voor het hergebruik van hemel- en grijswater. Dit overeenkomstig een advies van RIVM ter </w:t>
      </w:r>
      <w:r w:rsidRPr="00AD0531">
        <w:t xml:space="preserve">voorkoming van gezondheidsrisico’s. De komende twee jaar wordt de veilige toepassing verder onderzocht. Hierna maken de minister van </w:t>
      </w:r>
      <w:r w:rsidRPr="00AD0531">
        <w:t>IenW</w:t>
      </w:r>
      <w:r w:rsidRPr="00AD0531">
        <w:t xml:space="preserve"> en ik samen de balans op. </w:t>
      </w:r>
    </w:p>
    <w:p w:rsidRPr="007E4B5F" w:rsidR="007E4B5F" w:rsidP="007E4B5F" w14:paraId="50C22597" w14:textId="77777777">
      <w:pPr>
        <w:autoSpaceDN/>
        <w:spacing w:after="160" w:line="259" w:lineRule="auto"/>
        <w:contextualSpacing/>
        <w:textAlignment w:val="auto"/>
        <w:rPr>
          <w:rFonts w:eastAsia="Calibri" w:cs="Calibri"/>
        </w:rPr>
      </w:pPr>
    </w:p>
    <w:p w:rsidRPr="00F95E32" w:rsidR="007E4B5F" w:rsidP="00AD0531" w14:paraId="4328E46D" w14:textId="276510E3">
      <w:pPr>
        <w:spacing w:line="240" w:lineRule="exact"/>
        <w:rPr>
          <w:i/>
          <w:iCs/>
        </w:rPr>
      </w:pPr>
      <w:r w:rsidRPr="00F95E32">
        <w:rPr>
          <w:i/>
          <w:iCs/>
        </w:rPr>
        <w:t>Oververhitting</w:t>
      </w:r>
      <w:r w:rsidRPr="00F95E32" w:rsidR="000570DB">
        <w:rPr>
          <w:i/>
          <w:iCs/>
        </w:rPr>
        <w:t xml:space="preserve"> </w:t>
      </w:r>
    </w:p>
    <w:p w:rsidRPr="00AD0531" w:rsidR="007E4B5F" w:rsidP="00AD0531" w14:paraId="12D009E2" w14:textId="11081D68">
      <w:pPr>
        <w:spacing w:line="240" w:lineRule="exact"/>
      </w:pPr>
      <w:r w:rsidRPr="007E4B5F">
        <w:t>Ter voorkoming van over</w:t>
      </w:r>
      <w:r w:rsidR="00677076">
        <w:t>ver</w:t>
      </w:r>
      <w:r w:rsidRPr="007E4B5F">
        <w:t xml:space="preserve">hitting geldt er sinds 2021 in het </w:t>
      </w:r>
      <w:r w:rsidRPr="007E4B5F">
        <w:t>Bbl</w:t>
      </w:r>
      <w:r w:rsidRPr="007E4B5F">
        <w:t xml:space="preserve"> al de zogenaamde </w:t>
      </w:r>
      <w:r w:rsidRPr="007E4B5F">
        <w:t>TO</w:t>
      </w:r>
      <w:r w:rsidRPr="00802F58">
        <w:rPr>
          <w:vertAlign w:val="subscript"/>
        </w:rPr>
        <w:t>juli</w:t>
      </w:r>
      <w:r w:rsidRPr="007E4B5F">
        <w:t xml:space="preserve"> -eis voor nieuwbouw</w:t>
      </w:r>
      <w:r w:rsidR="00677076">
        <w:t>woningen</w:t>
      </w:r>
      <w:r w:rsidRPr="007E4B5F">
        <w:t>. In 2030 (zie hiervoor bij</w:t>
      </w:r>
      <w:r w:rsidRPr="00AD0531">
        <w:t xml:space="preserve"> </w:t>
      </w:r>
      <w:r w:rsidRPr="007E4B5F">
        <w:t xml:space="preserve">EPBD IV) wordt in de gemoderniseerde bepalingsmethode energieprestatie (NEN) verder bezien op welke wijze beter op het risico van oververhitting </w:t>
      </w:r>
      <w:r w:rsidR="00D63718">
        <w:t xml:space="preserve">in bouwwerken </w:t>
      </w:r>
      <w:r w:rsidRPr="007E4B5F">
        <w:t>kan worden gestuurd.</w:t>
      </w:r>
    </w:p>
    <w:p w:rsidRPr="00AD0531" w:rsidR="007E4B5F" w:rsidP="00AD0531" w14:paraId="5217E63D" w14:textId="77777777">
      <w:pPr>
        <w:spacing w:line="240" w:lineRule="exact"/>
      </w:pPr>
    </w:p>
    <w:p w:rsidRPr="00F95E32" w:rsidR="007E4B5F" w:rsidP="00AD0531" w14:paraId="79E88268" w14:textId="77777777">
      <w:pPr>
        <w:spacing w:line="240" w:lineRule="exact"/>
        <w:rPr>
          <w:i/>
          <w:iCs/>
        </w:rPr>
      </w:pPr>
      <w:r w:rsidRPr="00F95E32">
        <w:rPr>
          <w:i/>
          <w:iCs/>
        </w:rPr>
        <w:t>Verblijfsvoorzieningen beschermde diersoorten</w:t>
      </w:r>
    </w:p>
    <w:p w:rsidRPr="007E4B5F" w:rsidR="009E4FAE" w:rsidP="00AD0531" w14:paraId="142D5806" w14:textId="6A07242E">
      <w:pPr>
        <w:spacing w:line="240" w:lineRule="exact"/>
      </w:pPr>
      <w:r w:rsidRPr="007E4B5F">
        <w:t xml:space="preserve">In het </w:t>
      </w:r>
      <w:r w:rsidRPr="007E4B5F">
        <w:t>Bbl</w:t>
      </w:r>
      <w:r w:rsidRPr="007E4B5F">
        <w:t xml:space="preserve"> wordt voor nieuwe utiliteits</w:t>
      </w:r>
      <w:r>
        <w:t>ge</w:t>
      </w:r>
      <w:r w:rsidRPr="007E4B5F">
        <w:t>bouw</w:t>
      </w:r>
      <w:r>
        <w:t>en</w:t>
      </w:r>
      <w:r w:rsidRPr="007E4B5F">
        <w:t xml:space="preserve"> </w:t>
      </w:r>
      <w:r>
        <w:t>regels</w:t>
      </w:r>
      <w:r w:rsidRPr="007E4B5F">
        <w:t xml:space="preserve"> opgenomen voor </w:t>
      </w:r>
      <w:r>
        <w:t xml:space="preserve">opnemen </w:t>
      </w:r>
      <w:r w:rsidRPr="007E4B5F">
        <w:t xml:space="preserve">verblijfsvoorzieningen voor gierzwaluwen, huismussen en vleermuizen. Deze wijziging van het </w:t>
      </w:r>
      <w:r w:rsidRPr="007E4B5F">
        <w:t>Bbl</w:t>
      </w:r>
      <w:r w:rsidRPr="007E4B5F">
        <w:t xml:space="preserve"> is ter voorhang geweest</w:t>
      </w:r>
      <w:r>
        <w:rPr>
          <w:vertAlign w:val="superscript"/>
        </w:rPr>
        <w:footnoteReference w:id="31"/>
      </w:r>
      <w:r w:rsidRPr="007E4B5F">
        <w:t xml:space="preserve"> en leg ik binnenkort voor aan de Raad van State ter advies en hoop ik hierna snel te kunnen publiceren in het Staatsblad.</w:t>
      </w:r>
    </w:p>
    <w:p w:rsidR="00BC0AB0" w:rsidP="00AD0531" w14:paraId="052020A2" w14:textId="77777777">
      <w:pPr>
        <w:spacing w:line="240" w:lineRule="exact"/>
      </w:pPr>
      <w:bookmarkStart w:name="_Hlk229053822" w:id="11"/>
      <w:bookmarkEnd w:id="10"/>
    </w:p>
    <w:p w:rsidRPr="00AD0531" w:rsidR="00C335B7" w:rsidP="00AD0531" w14:paraId="2BE6C1ED" w14:textId="77777777">
      <w:pPr>
        <w:spacing w:line="240" w:lineRule="exact"/>
      </w:pPr>
    </w:p>
    <w:p w:rsidRPr="002F62CA" w:rsidR="007E4B5F" w:rsidP="003D70E5" w14:paraId="0D918706" w14:textId="39AB8BD4">
      <w:pPr>
        <w:spacing w:line="240" w:lineRule="exact"/>
        <w:rPr>
          <w:b/>
          <w:bCs/>
          <w:i/>
          <w:iCs/>
        </w:rPr>
      </w:pPr>
      <w:r>
        <w:rPr>
          <w:b/>
          <w:bCs/>
          <w:i/>
          <w:iCs/>
        </w:rPr>
        <w:t>Verbetering n</w:t>
      </w:r>
      <w:r w:rsidRPr="002F62CA" w:rsidR="002F62CA">
        <w:rPr>
          <w:b/>
          <w:bCs/>
          <w:i/>
          <w:iCs/>
        </w:rPr>
        <w:t>aleving bouwregels</w:t>
      </w:r>
    </w:p>
    <w:bookmarkEnd w:id="11"/>
    <w:p w:rsidRPr="002F62CA" w:rsidR="002F62CA" w:rsidP="00AD0531" w14:paraId="4CA1A426" w14:textId="7FC71F37">
      <w:pPr>
        <w:spacing w:line="240" w:lineRule="exact"/>
      </w:pPr>
      <w:r>
        <w:t xml:space="preserve">De kwaliteit van </w:t>
      </w:r>
      <w:r w:rsidR="000A48FC">
        <w:t>ge</w:t>
      </w:r>
      <w:r>
        <w:t>bouw</w:t>
      </w:r>
      <w:r w:rsidR="000A48FC">
        <w:t>en</w:t>
      </w:r>
      <w:r>
        <w:t xml:space="preserve"> staat of valt bij de naleving</w:t>
      </w:r>
      <w:r w:rsidR="006F17D9">
        <w:t xml:space="preserve"> van de bouwtechnische regels in het </w:t>
      </w:r>
      <w:r w:rsidR="006F17D9">
        <w:t>Bbl</w:t>
      </w:r>
      <w:r>
        <w:t xml:space="preserve">. </w:t>
      </w:r>
      <w:r w:rsidR="00EC7AC4">
        <w:t>Om de naleving bij nieuwbouw te verbeteren is in 2024 de Wet Kwaliteitsborging voor het bouwen (</w:t>
      </w:r>
      <w:r w:rsidR="00EC7AC4">
        <w:t>Wkb</w:t>
      </w:r>
      <w:r w:rsidR="00EC7AC4">
        <w:t xml:space="preserve">) in werking getreden. Bij </w:t>
      </w:r>
      <w:r w:rsidR="006F17D9">
        <w:t xml:space="preserve">de </w:t>
      </w:r>
      <w:r w:rsidR="00EC7AC4">
        <w:t xml:space="preserve">bestaande bouw wordt </w:t>
      </w:r>
      <w:r w:rsidR="000A48FC">
        <w:t xml:space="preserve">het </w:t>
      </w:r>
      <w:r w:rsidR="00EC7AC4">
        <w:t xml:space="preserve">toezicht door gemeenten </w:t>
      </w:r>
      <w:r w:rsidR="000A48FC">
        <w:t xml:space="preserve">op de naleving </w:t>
      </w:r>
      <w:r w:rsidR="00EC7AC4">
        <w:t>belangrijk</w:t>
      </w:r>
      <w:r w:rsidR="000A48FC">
        <w:t>er,</w:t>
      </w:r>
      <w:r w:rsidRPr="000A48FC" w:rsidR="000A48FC">
        <w:t xml:space="preserve"> </w:t>
      </w:r>
      <w:r w:rsidR="000A48FC">
        <w:t>vooral door de nieuwe duurzaamheidseisen</w:t>
      </w:r>
      <w:r w:rsidR="00EC7AC4">
        <w:t>.</w:t>
      </w:r>
    </w:p>
    <w:p w:rsidR="00F95E32" w:rsidP="00AD0531" w14:paraId="17AFBE29" w14:textId="77777777">
      <w:pPr>
        <w:spacing w:line="240" w:lineRule="exact"/>
      </w:pPr>
    </w:p>
    <w:p w:rsidRPr="003D70E5" w:rsidR="002F62CA" w:rsidP="00AD0531" w14:paraId="2F7B58EA" w14:textId="54D20251">
      <w:pPr>
        <w:spacing w:line="240" w:lineRule="exact"/>
        <w:rPr>
          <w:i/>
          <w:iCs/>
        </w:rPr>
      </w:pPr>
      <w:r w:rsidRPr="003D70E5">
        <w:rPr>
          <w:i/>
          <w:iCs/>
        </w:rPr>
        <w:t xml:space="preserve">Kwaliteitsborging </w:t>
      </w:r>
      <w:r w:rsidRPr="003D70E5" w:rsidR="000E1386">
        <w:rPr>
          <w:i/>
          <w:iCs/>
        </w:rPr>
        <w:t>(</w:t>
      </w:r>
      <w:r w:rsidRPr="003D70E5">
        <w:rPr>
          <w:i/>
          <w:iCs/>
        </w:rPr>
        <w:t>Wkb</w:t>
      </w:r>
      <w:r w:rsidRPr="003D70E5" w:rsidR="000E1386">
        <w:rPr>
          <w:i/>
          <w:iCs/>
        </w:rPr>
        <w:t>)</w:t>
      </w:r>
    </w:p>
    <w:p w:rsidR="0073590D" w:rsidP="00AD0531" w14:paraId="705A9EDB" w14:textId="15D46960">
      <w:pPr>
        <w:spacing w:line="240" w:lineRule="exact"/>
      </w:pPr>
      <w:r w:rsidRPr="007E4B5F">
        <w:t xml:space="preserve">In het </w:t>
      </w:r>
      <w:r w:rsidRPr="007E4B5F">
        <w:t>Bbl</w:t>
      </w:r>
      <w:r w:rsidRPr="007E4B5F">
        <w:t xml:space="preserve"> </w:t>
      </w:r>
      <w:r w:rsidRPr="007E4B5F" w:rsidR="00BE6261">
        <w:t>word</w:t>
      </w:r>
      <w:r w:rsidR="00BE6261">
        <w:t>t</w:t>
      </w:r>
      <w:r w:rsidRPr="007E4B5F" w:rsidR="00BE6261">
        <w:t xml:space="preserve"> </w:t>
      </w:r>
      <w:r>
        <w:t>een maatwerkbevoegdheid opgenomen voor gemeenten bij de ingebruikname van gebouwen</w:t>
      </w:r>
      <w:r w:rsidRPr="00EC7AC4" w:rsidR="00EC7AC4">
        <w:t xml:space="preserve"> </w:t>
      </w:r>
      <w:r w:rsidR="00EC7AC4">
        <w:t xml:space="preserve">in geval sprake is van beperkte, niet </w:t>
      </w:r>
      <w:r w:rsidR="0077745A">
        <w:t>(</w:t>
      </w:r>
      <w:r w:rsidR="006F17D9">
        <w:t>proportioneel</w:t>
      </w:r>
      <w:r w:rsidR="0077745A">
        <w:t>)</w:t>
      </w:r>
      <w:r w:rsidR="006F17D9">
        <w:t xml:space="preserve"> </w:t>
      </w:r>
      <w:r w:rsidR="00EC7AC4">
        <w:t xml:space="preserve">herstelbare strijdigheden bij </w:t>
      </w:r>
      <w:r w:rsidR="00EC7AC4">
        <w:t>gereedmelding</w:t>
      </w:r>
      <w:r w:rsidR="00EC7AC4">
        <w:t>.</w:t>
      </w:r>
      <w:r>
        <w:t xml:space="preserve"> </w:t>
      </w:r>
      <w:r w:rsidRPr="007E4B5F">
        <w:t xml:space="preserve">Deze wijziging van het </w:t>
      </w:r>
      <w:r w:rsidRPr="007E4B5F">
        <w:t>Bbl</w:t>
      </w:r>
      <w:r w:rsidRPr="007E4B5F">
        <w:t xml:space="preserve"> is ter voorhang</w:t>
      </w:r>
      <w:r>
        <w:rPr>
          <w:vertAlign w:val="superscript"/>
        </w:rPr>
        <w:footnoteReference w:id="32"/>
      </w:r>
      <w:r w:rsidRPr="004F3ABD">
        <w:rPr>
          <w:vertAlign w:val="superscript"/>
        </w:rPr>
        <w:t xml:space="preserve"> </w:t>
      </w:r>
      <w:r w:rsidRPr="007E4B5F">
        <w:t xml:space="preserve">geweest </w:t>
      </w:r>
      <w:r>
        <w:t xml:space="preserve">bij uw Kamer </w:t>
      </w:r>
      <w:r w:rsidRPr="007E4B5F">
        <w:t xml:space="preserve">en </w:t>
      </w:r>
      <w:r>
        <w:t>zal naar verwachting 1 januari 2027 in werking treden.</w:t>
      </w:r>
    </w:p>
    <w:p w:rsidR="0097033A" w:rsidP="00AD0531" w14:paraId="1C664CB9" w14:textId="4ED2F6BF">
      <w:pPr>
        <w:spacing w:line="240" w:lineRule="exact"/>
      </w:pPr>
      <w:r>
        <w:t>Voor</w:t>
      </w:r>
      <w:r w:rsidR="00BE6261">
        <w:t xml:space="preserve"> </w:t>
      </w:r>
      <w:r w:rsidR="002F62CA">
        <w:t xml:space="preserve">het </w:t>
      </w:r>
      <w:r>
        <w:t>c</w:t>
      </w:r>
      <w:r w:rsidR="002F62CA">
        <w:t xml:space="preserve">ommissiedebat </w:t>
      </w:r>
      <w:r>
        <w:t xml:space="preserve">zal ik u </w:t>
      </w:r>
      <w:r w:rsidR="002F62CA">
        <w:t>nog de monitoringsrapportage over 2025</w:t>
      </w:r>
      <w:r>
        <w:t xml:space="preserve"> toesturen</w:t>
      </w:r>
      <w:r w:rsidR="002F62CA">
        <w:t xml:space="preserve">. </w:t>
      </w:r>
      <w:r w:rsidR="000E1386">
        <w:t>Naar aanleiding van deze rapportage zal ik op korte termijn enkele aanpassingen in de regelgeving doorvoeren. Ik zal u daar verder over informeren in de begeleidende brief bij de monitoringsrapportage.</w:t>
      </w:r>
    </w:p>
    <w:p w:rsidR="003D70E5" w:rsidP="00AD0531" w14:paraId="6ACE60E8" w14:textId="77777777">
      <w:pPr>
        <w:spacing w:line="240" w:lineRule="exact"/>
      </w:pPr>
    </w:p>
    <w:p w:rsidRPr="003D70E5" w:rsidR="000E1386" w:rsidP="00AD0531" w14:paraId="23C7F71B" w14:textId="1BAD84DA">
      <w:pPr>
        <w:spacing w:line="240" w:lineRule="exact"/>
        <w:rPr>
          <w:i/>
          <w:iCs/>
        </w:rPr>
      </w:pPr>
      <w:r w:rsidRPr="003D70E5">
        <w:rPr>
          <w:i/>
          <w:iCs/>
        </w:rPr>
        <w:t>Naleving, toezicht en handhaving bestaande bouw</w:t>
      </w:r>
    </w:p>
    <w:p w:rsidRPr="000D05FE" w:rsidR="00B96DF4" w:rsidP="00AD0531" w14:paraId="5DC0F789" w14:textId="6947766A">
      <w:pPr>
        <w:spacing w:line="240" w:lineRule="exact"/>
      </w:pPr>
      <w:r>
        <w:t>D</w:t>
      </w:r>
      <w:r w:rsidR="003222F2">
        <w:t xml:space="preserve">at </w:t>
      </w:r>
      <w:r w:rsidR="002C52F4">
        <w:t xml:space="preserve">bestaande </w:t>
      </w:r>
      <w:r w:rsidR="003222F2">
        <w:t xml:space="preserve">gebouwen voldoen aan de </w:t>
      </w:r>
      <w:r w:rsidR="003222F2">
        <w:t>Bbl</w:t>
      </w:r>
      <w:r w:rsidR="003222F2">
        <w:t xml:space="preserve">-eisen </w:t>
      </w:r>
      <w:r>
        <w:t xml:space="preserve">is primair de verantwoordelijkheid van gebouweigenaren. Zeker daar waar de veiligheid of gezondheid van gebruikers, huurders en passanten in het geding is, is hier ook een belangrijke rol voor de gemeente als bevoegd gezag weggelegd. Daarnaast introduceert de </w:t>
      </w:r>
      <w:r w:rsidRPr="006D4093">
        <w:t xml:space="preserve">EPBD IV </w:t>
      </w:r>
      <w:r>
        <w:t>de komende jaren</w:t>
      </w:r>
      <w:r w:rsidRPr="006D4093">
        <w:t xml:space="preserve"> verschillende nieuwe regels voor </w:t>
      </w:r>
      <w:r w:rsidRPr="000D05FE">
        <w:t xml:space="preserve">bestaande woningen en utiliteitsgebouwen. Aangezien dit </w:t>
      </w:r>
      <w:r w:rsidR="002C52F4">
        <w:t>een intensivering van</w:t>
      </w:r>
      <w:r w:rsidRPr="000D05FE" w:rsidR="002C52F4">
        <w:t xml:space="preserve"> </w:t>
      </w:r>
      <w:r w:rsidRPr="000D05FE">
        <w:t>toezichtstaken met zich meebrengt voor gemeenten</w:t>
      </w:r>
      <w:r w:rsidR="00BE6261">
        <w:t>,</w:t>
      </w:r>
      <w:r w:rsidRPr="000D05FE">
        <w:t xml:space="preserve"> wil ik de komende tijd samen met de VNG en </w:t>
      </w:r>
      <w:r w:rsidR="00BE6261">
        <w:t xml:space="preserve">het </w:t>
      </w:r>
      <w:r w:rsidRPr="000D05FE">
        <w:t xml:space="preserve">IPO bezien hoe het toezicht op de bestaande bouw zo goed mogelijk kan worden vormgegeven. Hiervoor is recent een gezamenlijk onderzoek gestart waarbij gekeken wordt naar de financiële middelen, het </w:t>
      </w:r>
      <w:r w:rsidR="00BD13CF">
        <w:t>we</w:t>
      </w:r>
      <w:r w:rsidR="003222F2">
        <w:t xml:space="preserve">ttelijke </w:t>
      </w:r>
      <w:r w:rsidRPr="000D05FE">
        <w:t xml:space="preserve">instrumentarium dat het bevoegd gezag ter beschikking staat en de wijze waarop het toezicht door gemeenten wordt ingevuld. Ik verwacht u begin volgend jaar over de resultaten van het onderzoek te kunnen informeren. </w:t>
      </w:r>
    </w:p>
    <w:p w:rsidR="00C335B7" w:rsidP="003D70E5" w14:paraId="78D264B0" w14:textId="77777777">
      <w:pPr>
        <w:spacing w:line="240" w:lineRule="exact"/>
        <w:rPr>
          <w:b/>
          <w:bCs/>
          <w:i/>
          <w:iCs/>
        </w:rPr>
      </w:pPr>
    </w:p>
    <w:p w:rsidRPr="002F62CA" w:rsidR="006F2DED" w:rsidP="003D70E5" w14:paraId="120BFF9C" w14:textId="758635A9">
      <w:pPr>
        <w:spacing w:line="240" w:lineRule="exact"/>
        <w:rPr>
          <w:b/>
          <w:bCs/>
          <w:i/>
          <w:iCs/>
        </w:rPr>
      </w:pPr>
      <w:r>
        <w:rPr>
          <w:b/>
          <w:bCs/>
          <w:i/>
          <w:iCs/>
        </w:rPr>
        <w:t xml:space="preserve">Overige </w:t>
      </w:r>
    </w:p>
    <w:p w:rsidR="00580137" w:rsidP="0077745A" w14:paraId="4B7EA340" w14:textId="7F2313B1">
      <w:pPr>
        <w:spacing w:line="240" w:lineRule="exact"/>
        <w:rPr>
          <w:color w:val="FF0000"/>
        </w:rPr>
      </w:pPr>
      <w:r>
        <w:t xml:space="preserve">Voor wat betreft de </w:t>
      </w:r>
      <w:r w:rsidR="00C335B7">
        <w:t>toezeggingen in</w:t>
      </w:r>
      <w:r>
        <w:t xml:space="preserve"> het commissiedebat geagendeerde brief over de opvolging van de aanbevelingen in de evaluatie van het CO-stelsel, kan ik u berichten dat ik het </w:t>
      </w:r>
      <w:r>
        <w:t>Bbl</w:t>
      </w:r>
      <w:r>
        <w:t xml:space="preserve"> zal aanpassen om de melding van de zogenaamde bijna-ongevallen te vereenvoudigen. Situaties waarbij een concentratie koolmonoxide wordt gemeten van meer dan 20 </w:t>
      </w:r>
      <w:r>
        <w:t>ppm</w:t>
      </w:r>
      <w:r>
        <w:t xml:space="preserve"> en waarbij het probleem door de installateur is opgelost, hoeven dan niet meer bij de gemeente te worden gemeld. Deze wijziging neem ik mee in de wijziging van het </w:t>
      </w:r>
      <w:r>
        <w:t>Bbl</w:t>
      </w:r>
      <w:r>
        <w:t xml:space="preserve"> in het kader van </w:t>
      </w:r>
      <w:r w:rsidR="00A16CAB">
        <w:t xml:space="preserve">Stoer </w:t>
      </w:r>
      <w:r>
        <w:t>die ik hiervoor heb beschreven. Daarnaast zal ik de meldplicht bijna-ongevallen uitbreiden met informatie over de (achterliggende) oorzaak van het bijna-ongeval. Hiervoor zal de Omgevingsregeling worden aangepast. Verder kan ik u in verband met het CO-stelsel</w:t>
      </w:r>
      <w:r w:rsidR="002642F8">
        <w:t xml:space="preserve"> </w:t>
      </w:r>
      <w:r>
        <w:t>melden dat eind 2025 een nieuw certificatieschema is aangewezen. Dit schema van SKG-IKOB Certificatie B.V. is specifiek voor zzp-</w:t>
      </w:r>
      <w:r>
        <w:t>ers</w:t>
      </w:r>
      <w:r>
        <w:t xml:space="preserve"> en kleine bedrijven en is bedoeld om certificering voor deze bedrijven eenvoudiger en goedkoper te maken. </w:t>
      </w:r>
      <w:r w:rsidRPr="00BC4C60">
        <w:rPr>
          <w:color w:val="auto"/>
        </w:rPr>
        <w:t>Ook is door de sector het verlengen van het Vakmanschap CO sinds medio 2025 eenvoudiger gemaakt. Het gaat hier om een praktisch uitvoerbare en laagdrempelige procedure met minder tijdsinvestering en kosten, maar met behoud van kwaliteit en veiligheid.</w:t>
      </w:r>
    </w:p>
    <w:p w:rsidRPr="0077745A" w:rsidR="0077745A" w:rsidP="0077745A" w14:paraId="7CEDA6C2" w14:textId="77777777">
      <w:pPr>
        <w:spacing w:line="240" w:lineRule="exact"/>
        <w:rPr>
          <w:color w:val="FF0000"/>
        </w:rPr>
      </w:pPr>
    </w:p>
    <w:p w:rsidRPr="007A7E63" w:rsidR="00A9143E" w:rsidP="00603F3D" w14:paraId="3FC2EE0D" w14:textId="269C0BD5">
      <w:pPr>
        <w:autoSpaceDN/>
        <w:spacing w:after="160" w:line="259" w:lineRule="auto"/>
        <w:textAlignment w:val="auto"/>
        <w:rPr>
          <w:b/>
          <w:bCs/>
        </w:rPr>
      </w:pPr>
      <w:r w:rsidRPr="007A7E63">
        <w:rPr>
          <w:b/>
          <w:bCs/>
        </w:rPr>
        <w:t>Tot slot</w:t>
      </w:r>
    </w:p>
    <w:p w:rsidR="001077B0" w:rsidP="00580137" w14:paraId="03C1DDA8" w14:textId="77777777">
      <w:pPr>
        <w:spacing w:line="240" w:lineRule="exact"/>
      </w:pPr>
      <w:r>
        <w:t>Het grot</w:t>
      </w:r>
      <w:r w:rsidR="004B0058">
        <w:t>e</w:t>
      </w:r>
      <w:r>
        <w:t xml:space="preserve"> aantal onderwerpen in deze brief laat zien dat er veel stappen zijn en worden gezet om </w:t>
      </w:r>
      <w:r w:rsidR="004B0058">
        <w:t xml:space="preserve">de </w:t>
      </w:r>
      <w:r>
        <w:t>bouwregelgeving te standaardiseren, te vereenvoudigen en te moderniseren.</w:t>
      </w:r>
      <w:r w:rsidR="004B0058">
        <w:t xml:space="preserve"> Een stevige agenda.</w:t>
      </w:r>
      <w:r>
        <w:t xml:space="preserve"> </w:t>
      </w:r>
      <w:r w:rsidR="004B0058">
        <w:t>Al deze ontwikkel</w:t>
      </w:r>
      <w:r w:rsidR="008F7BAE">
        <w:t>ing</w:t>
      </w:r>
      <w:r w:rsidR="004B0058">
        <w:t xml:space="preserve">en hebben effecten voor bouwers en ontwikkelaars, die hier uiteindelijk rekening mee moeten houden in hun </w:t>
      </w:r>
      <w:r w:rsidR="008F7BAE">
        <w:t xml:space="preserve">dagelijkse bouwplannen en </w:t>
      </w:r>
      <w:r w:rsidR="004B0058">
        <w:t>proces</w:t>
      </w:r>
      <w:r w:rsidR="008F7BAE">
        <w:t>sen</w:t>
      </w:r>
      <w:r w:rsidR="004B0058">
        <w:t xml:space="preserve">. </w:t>
      </w:r>
    </w:p>
    <w:p w:rsidR="001077B0" w:rsidP="00580137" w14:paraId="0B600A79" w14:textId="77777777">
      <w:pPr>
        <w:spacing w:line="240" w:lineRule="exact"/>
      </w:pPr>
    </w:p>
    <w:p w:rsidR="001077B0" w:rsidP="00580137" w14:paraId="12BC00CB" w14:textId="5BD1199D">
      <w:pPr>
        <w:spacing w:line="240" w:lineRule="exact"/>
      </w:pPr>
      <w:r>
        <w:t>Tegelijkertijd klink</w:t>
      </w:r>
      <w:r w:rsidR="008F7BAE">
        <w:t>t</w:t>
      </w:r>
      <w:r>
        <w:t xml:space="preserve"> vanuit diverse verschillende maatschappelijke stakeholders bijna voortdurend </w:t>
      </w:r>
      <w:r w:rsidR="008F7BAE">
        <w:t xml:space="preserve">de roep </w:t>
      </w:r>
      <w:r>
        <w:t xml:space="preserve">om </w:t>
      </w:r>
      <w:r w:rsidR="008F7BAE">
        <w:t xml:space="preserve">nog meer regels en eisen of andere bevoegdhedenverdeling tussen overheidslagen. Voor mij staat voorop dat de bouwregelgeving landelijk uitvoerbaar moet zijn en ziet op het bouwkwaliteitsniveau dat overal </w:t>
      </w:r>
      <w:r>
        <w:t xml:space="preserve">ten minste </w:t>
      </w:r>
      <w:r w:rsidR="008F7BAE">
        <w:t>moet worden</w:t>
      </w:r>
      <w:r w:rsidRPr="008F7BAE" w:rsidR="008F7BAE">
        <w:t xml:space="preserve"> </w:t>
      </w:r>
      <w:r w:rsidR="008F7BAE">
        <w:t>gehaald. Dat niveau stel ik vast als minister van Volkshuisvesting en Ruimtelijke ordening, nadat ik uw Kamer hierover heb gehoord. De bouwsector heeft meermaals aangegeven grote behoefte te hebben aan deze duidelijkheid.</w:t>
      </w:r>
      <w:r w:rsidR="005014E1">
        <w:t xml:space="preserve"> </w:t>
      </w:r>
    </w:p>
    <w:p w:rsidR="001077B0" w:rsidP="00580137" w14:paraId="632371CC" w14:textId="77777777">
      <w:pPr>
        <w:spacing w:line="240" w:lineRule="exact"/>
      </w:pPr>
    </w:p>
    <w:p w:rsidRPr="00AD0531" w:rsidR="001F63FE" w:rsidP="00580137" w14:paraId="0BEA15BE" w14:textId="51772717">
      <w:pPr>
        <w:spacing w:line="240" w:lineRule="exact"/>
      </w:pPr>
      <w:r>
        <w:t xml:space="preserve">Graag ga ik op 4 juni </w:t>
      </w:r>
      <w:r w:rsidR="00580137">
        <w:t xml:space="preserve">bij het commissiedebat </w:t>
      </w:r>
      <w:r>
        <w:t xml:space="preserve">verder in gesprek met uw Kamer over de bouwregelgeving. </w:t>
      </w:r>
    </w:p>
    <w:p w:rsidR="001F63FE" w:rsidP="00A9111F" w14:paraId="6B0E2E82" w14:textId="77777777">
      <w:pPr>
        <w:spacing w:line="240" w:lineRule="auto"/>
        <w:rPr>
          <w:color w:val="auto"/>
        </w:rPr>
      </w:pPr>
    </w:p>
    <w:p w:rsidRPr="00A9111F" w:rsidR="00A9111F" w:rsidP="00A9111F" w14:paraId="3A6F3C54" w14:textId="77777777">
      <w:pPr>
        <w:rPr>
          <w:color w:val="auto"/>
        </w:rPr>
      </w:pPr>
    </w:p>
    <w:p w:rsidRPr="00A9111F" w:rsidR="00A9111F" w:rsidP="00A9111F" w14:paraId="586A2E44" w14:textId="77777777">
      <w:pPr>
        <w:rPr>
          <w:color w:val="auto"/>
        </w:rPr>
      </w:pPr>
    </w:p>
    <w:p w:rsidRPr="00A9111F" w:rsidR="00A9111F" w:rsidP="00A9111F" w14:paraId="7C7DD90A" w14:textId="77777777">
      <w:pPr>
        <w:rPr>
          <w:color w:val="auto"/>
        </w:rPr>
      </w:pPr>
      <w:r w:rsidRPr="00A9111F">
        <w:rPr>
          <w:color w:val="auto"/>
        </w:rPr>
        <w:t>De minister van Volkshuisvesting en Ruimtelijke Ordening</w:t>
      </w:r>
      <w:r w:rsidRPr="00A9111F">
        <w:rPr>
          <w:i/>
          <w:color w:val="auto"/>
        </w:rPr>
        <w:t>,</w:t>
      </w:r>
    </w:p>
    <w:p w:rsidRPr="00A9111F" w:rsidR="00A9111F" w:rsidP="00A9111F" w14:paraId="02FC5BE2" w14:textId="77777777">
      <w:pPr>
        <w:rPr>
          <w:color w:val="auto"/>
        </w:rPr>
      </w:pPr>
    </w:p>
    <w:p w:rsidRPr="00A9111F" w:rsidR="00A9111F" w:rsidP="00A9111F" w14:paraId="265D9B56" w14:textId="77777777">
      <w:pPr>
        <w:rPr>
          <w:color w:val="auto"/>
        </w:rPr>
      </w:pPr>
    </w:p>
    <w:p w:rsidRPr="00A9111F" w:rsidR="00A9111F" w:rsidP="00A9111F" w14:paraId="701CE87D" w14:textId="77777777">
      <w:pPr>
        <w:rPr>
          <w:color w:val="auto"/>
        </w:rPr>
      </w:pPr>
    </w:p>
    <w:p w:rsidRPr="00A9111F" w:rsidR="00A9111F" w:rsidP="00A9111F" w14:paraId="201007BC" w14:textId="77777777">
      <w:pPr>
        <w:rPr>
          <w:color w:val="auto"/>
        </w:rPr>
      </w:pPr>
    </w:p>
    <w:p w:rsidR="00A9111F" w:rsidP="00A9111F" w14:paraId="220588BF" w14:textId="77777777"/>
    <w:p w:rsidR="00A9111F" w:rsidP="00A9111F" w14:paraId="495BCBDF" w14:textId="77777777">
      <w:r>
        <w:t>Elanor</w:t>
      </w:r>
      <w:r>
        <w:t xml:space="preserve"> </w:t>
      </w:r>
      <w:r>
        <w:t>Boekholt-O'Sullivan</w:t>
      </w:r>
    </w:p>
    <w:p w:rsidR="00776F84" w14:paraId="12787F16"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altName w:val="Times New Roman"/>
    <w:charset w:val="00"/>
    <w:family w:val="auto"/>
    <w:pitch w:val="default"/>
  </w:font>
  <w:font w:name="DejaVu Sans">
    <w:altName w:val="Arial"/>
    <w:charset w:val="00"/>
    <w:family w:val="swiss"/>
    <w:pitch w:val="variable"/>
    <w:sig w:usb0="E7000EFF"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71F1" w14:paraId="5729BD6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6F84" w14:paraId="12787F18"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71F1" w14:paraId="10362D6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2132A" w14:paraId="12787F1B" w14:textId="77777777">
      <w:pPr>
        <w:spacing w:line="240" w:lineRule="auto"/>
      </w:pPr>
      <w:r>
        <w:separator/>
      </w:r>
    </w:p>
  </w:footnote>
  <w:footnote w:type="continuationSeparator" w:id="1">
    <w:p w:rsidR="00A2132A" w14:paraId="12787F1D" w14:textId="77777777">
      <w:pPr>
        <w:spacing w:line="240" w:lineRule="auto"/>
      </w:pPr>
      <w:r>
        <w:continuationSeparator/>
      </w:r>
    </w:p>
  </w:footnote>
  <w:footnote w:id="2">
    <w:p w:rsidR="00152897" w:rsidRPr="00E22480" w:rsidP="00152897" w14:paraId="464C250C" w14:textId="1C57B670">
      <w:pPr>
        <w:autoSpaceDN/>
        <w:spacing w:line="240" w:lineRule="auto"/>
        <w:textAlignment w:val="auto"/>
        <w:rPr>
          <w:rFonts w:eastAsia="Times New Roman"/>
          <w:color w:val="auto"/>
          <w:sz w:val="16"/>
          <w:szCs w:val="16"/>
        </w:rPr>
      </w:pPr>
      <w:r>
        <w:rPr>
          <w:rStyle w:val="FootnoteReference"/>
        </w:rPr>
        <w:footnoteRef/>
      </w:r>
      <w:r>
        <w:t xml:space="preserve"> </w:t>
      </w:r>
      <w:r w:rsidRPr="00E22480">
        <w:rPr>
          <w:rFonts w:eastAsia="Times New Roman"/>
          <w:color w:val="auto"/>
          <w:sz w:val="16"/>
          <w:szCs w:val="16"/>
        </w:rPr>
        <w:t>St</w:t>
      </w:r>
      <w:r w:rsidRPr="00E22480" w:rsidR="00E22480">
        <w:rPr>
          <w:rFonts w:eastAsia="Times New Roman"/>
          <w:color w:val="auto"/>
          <w:sz w:val="16"/>
          <w:szCs w:val="16"/>
        </w:rPr>
        <w:t>aatsblad</w:t>
      </w:r>
      <w:r w:rsidRPr="00E22480">
        <w:rPr>
          <w:rFonts w:eastAsia="Times New Roman"/>
          <w:color w:val="auto"/>
          <w:sz w:val="16"/>
          <w:szCs w:val="16"/>
        </w:rPr>
        <w:t xml:space="preserve"> 1991, 680</w:t>
      </w:r>
    </w:p>
    <w:p w:rsidR="00152897" w14:paraId="26DFB24D" w14:textId="723611E0">
      <w:pPr>
        <w:pStyle w:val="FootnoteText"/>
      </w:pPr>
    </w:p>
  </w:footnote>
  <w:footnote w:id="3">
    <w:p w:rsidR="008C1C9F" w:rsidP="00BB3175" w14:paraId="31BFB3FD" w14:textId="1178B550">
      <w:r w:rsidRPr="00BB3175">
        <w:rPr>
          <w:rStyle w:val="FootnoteReference"/>
        </w:rPr>
        <w:footnoteRef/>
      </w:r>
      <w:r w:rsidRPr="00BB3175">
        <w:t xml:space="preserve"> </w:t>
      </w:r>
      <w:hyperlink r:id="rId1" w:history="1">
        <w:r w:rsidRPr="00BB3175" w:rsidR="00BB3175">
          <w:rPr>
            <w:rStyle w:val="Hyperlink"/>
            <w:sz w:val="16"/>
            <w:szCs w:val="16"/>
          </w:rPr>
          <w:t>https://open.overheid.nl/details/e5192ebe-63f6-408c-980a-df9842739db1</w:t>
        </w:r>
      </w:hyperlink>
    </w:p>
  </w:footnote>
  <w:footnote w:id="4">
    <w:p w:rsidR="00977F04" w14:paraId="22CA93B4" w14:textId="35B7E885">
      <w:pPr>
        <w:pStyle w:val="FootnoteText"/>
      </w:pPr>
      <w:r w:rsidRPr="00977F04">
        <w:rPr>
          <w:rStyle w:val="FootnoteReference"/>
          <w:sz w:val="16"/>
          <w:szCs w:val="16"/>
        </w:rPr>
        <w:footnoteRef/>
      </w:r>
      <w:r w:rsidRPr="00977F04">
        <w:rPr>
          <w:sz w:val="16"/>
          <w:szCs w:val="16"/>
        </w:rPr>
        <w:t xml:space="preserve"> Kamerstukken II, 2024/25, 36 600, nr. 25 en Kamerstukken II, 2025/26, 32 857, nr. 1438</w:t>
      </w:r>
    </w:p>
  </w:footnote>
  <w:footnote w:id="5">
    <w:p w:rsidR="00B96DF4" w:rsidP="00B96DF4" w14:paraId="06AD4B84" w14:textId="325D78B8">
      <w:pPr>
        <w:pStyle w:val="FootnoteText"/>
      </w:pPr>
      <w:r w:rsidRPr="007A7E63">
        <w:rPr>
          <w:rStyle w:val="FootnoteReference"/>
          <w:sz w:val="16"/>
          <w:szCs w:val="16"/>
        </w:rPr>
        <w:footnoteRef/>
      </w:r>
      <w:r w:rsidRPr="007A7E63" w:rsidR="004E45B0">
        <w:rPr>
          <w:sz w:val="16"/>
          <w:szCs w:val="16"/>
        </w:rPr>
        <w:t xml:space="preserve"> Kamerstukken II, 2025/26, 32 847, nr. 1448</w:t>
      </w:r>
    </w:p>
  </w:footnote>
  <w:footnote w:id="6">
    <w:p w:rsidR="00656B00" w14:paraId="58E3F5BF" w14:textId="263D293C">
      <w:pPr>
        <w:pStyle w:val="FootnoteText"/>
      </w:pPr>
      <w:r w:rsidRPr="00223726">
        <w:rPr>
          <w:rStyle w:val="FootnoteReference"/>
          <w:sz w:val="16"/>
          <w:szCs w:val="16"/>
        </w:rPr>
        <w:footnoteRef/>
      </w:r>
      <w:r w:rsidRPr="00223726">
        <w:rPr>
          <w:sz w:val="16"/>
          <w:szCs w:val="16"/>
        </w:rPr>
        <w:t xml:space="preserve"> De vergunning voor de omgevingsplanactiviteit blijft logischerwijs bestaan. Via het </w:t>
      </w:r>
      <w:r w:rsidRPr="00223726">
        <w:rPr>
          <w:sz w:val="16"/>
          <w:szCs w:val="16"/>
        </w:rPr>
        <w:t>Bbl</w:t>
      </w:r>
      <w:r w:rsidRPr="00223726">
        <w:rPr>
          <w:sz w:val="16"/>
          <w:szCs w:val="16"/>
        </w:rPr>
        <w:t xml:space="preserve"> zal tevens worden geregeld dat het bevoegd gezag een volledige dossier van het uiteindelijk gerealiseerde bouwwerk ontvangt.</w:t>
      </w:r>
    </w:p>
  </w:footnote>
  <w:footnote w:id="7">
    <w:p w:rsidR="00642E5D" w14:paraId="7067584F" w14:textId="73AA933B">
      <w:pPr>
        <w:pStyle w:val="FootnoteText"/>
      </w:pPr>
      <w:r>
        <w:rPr>
          <w:rStyle w:val="FootnoteReference"/>
        </w:rPr>
        <w:footnoteRef/>
      </w:r>
      <w:r>
        <w:t xml:space="preserve"> </w:t>
      </w:r>
      <w:r w:rsidRPr="007F5391">
        <w:rPr>
          <w:rFonts w:eastAsia="Times New Roman" w:cs="Times New Roman"/>
          <w:sz w:val="16"/>
          <w:szCs w:val="16"/>
        </w:rPr>
        <w:t>Kamerstuk II 2025/26, 28 325, nr. 306</w:t>
      </w:r>
    </w:p>
  </w:footnote>
  <w:footnote w:id="8">
    <w:p w:rsidR="00B96DF4" w:rsidP="00B96DF4" w14:paraId="015FAE0D" w14:textId="4525954F">
      <w:pPr>
        <w:pStyle w:val="FootnoteText"/>
      </w:pPr>
      <w:r>
        <w:rPr>
          <w:rStyle w:val="FootnoteReference"/>
        </w:rPr>
        <w:footnoteRef/>
      </w:r>
      <w:r>
        <w:t xml:space="preserve"> </w:t>
      </w:r>
      <w:r w:rsidRPr="009F3520" w:rsidR="004D55B6">
        <w:rPr>
          <w:sz w:val="16"/>
          <w:szCs w:val="16"/>
        </w:rPr>
        <w:t>Kamerstuk</w:t>
      </w:r>
      <w:r w:rsidR="004D55B6">
        <w:rPr>
          <w:sz w:val="16"/>
          <w:szCs w:val="16"/>
        </w:rPr>
        <w:t>ken II, 2025/26,</w:t>
      </w:r>
      <w:r w:rsidRPr="009F3520" w:rsidR="004D55B6">
        <w:rPr>
          <w:sz w:val="16"/>
          <w:szCs w:val="16"/>
        </w:rPr>
        <w:t xml:space="preserve"> 32847, nr. 1448</w:t>
      </w:r>
    </w:p>
  </w:footnote>
  <w:footnote w:id="9">
    <w:p w:rsidR="007D5CCD" w:rsidRPr="00B775E3" w:rsidP="007D5CCD" w14:paraId="0C6CC931" w14:textId="6D48DB47">
      <w:pPr>
        <w:pStyle w:val="FootnoteText"/>
        <w:rPr>
          <w:sz w:val="16"/>
          <w:szCs w:val="16"/>
        </w:rPr>
      </w:pPr>
      <w:r>
        <w:rPr>
          <w:rStyle w:val="FootnoteReference"/>
        </w:rPr>
        <w:footnoteRef/>
      </w:r>
      <w:r w:rsidRPr="00B775E3">
        <w:t xml:space="preserve"> </w:t>
      </w:r>
      <w:hyperlink r:id="rId2" w:history="1">
        <w:r w:rsidRPr="007A7E63" w:rsidR="004D55B6">
          <w:rPr>
            <w:sz w:val="16"/>
            <w:szCs w:val="16"/>
          </w:rPr>
          <w:t>Kamerstuk</w:t>
        </w:r>
        <w:r w:rsidR="004D55B6">
          <w:rPr>
            <w:sz w:val="16"/>
            <w:szCs w:val="16"/>
          </w:rPr>
          <w:t>ken II, 2025/26,</w:t>
        </w:r>
        <w:r w:rsidRPr="007A7E63" w:rsidR="004D55B6">
          <w:rPr>
            <w:sz w:val="16"/>
            <w:szCs w:val="16"/>
          </w:rPr>
          <w:t xml:space="preserve"> 32847, nr. 1352</w:t>
        </w:r>
        <w:r w:rsidRPr="00B775E3" w:rsidR="004D55B6">
          <w:rPr>
            <w:color w:val="0000FF"/>
            <w:sz w:val="16"/>
            <w:szCs w:val="16"/>
            <w:u w:val="single"/>
          </w:rPr>
          <w:t xml:space="preserve"> </w:t>
        </w:r>
      </w:hyperlink>
    </w:p>
  </w:footnote>
  <w:footnote w:id="10">
    <w:p w:rsidR="00B775E3" w:rsidRPr="004D55B6" w14:paraId="42F3F0C8" w14:textId="1F83E951">
      <w:pPr>
        <w:pStyle w:val="FootnoteText"/>
        <w:rPr>
          <w:sz w:val="16"/>
          <w:szCs w:val="16"/>
        </w:rPr>
      </w:pPr>
      <w:r>
        <w:rPr>
          <w:rStyle w:val="FootnoteReference"/>
        </w:rPr>
        <w:footnoteRef/>
      </w:r>
      <w:r>
        <w:t xml:space="preserve"> </w:t>
      </w:r>
      <w:r w:rsidRPr="007A7E63" w:rsidR="004D55B6">
        <w:rPr>
          <w:sz w:val="16"/>
          <w:szCs w:val="16"/>
        </w:rPr>
        <w:t>Kamerstukken II, 2025/26, 32847, nr. 1383</w:t>
      </w:r>
    </w:p>
  </w:footnote>
  <w:footnote w:id="11">
    <w:p w:rsidR="00830D31" w:rsidP="00830D31" w14:paraId="2B4153F4" w14:textId="77777777">
      <w:pPr>
        <w:pStyle w:val="FootnoteText"/>
      </w:pPr>
      <w:r>
        <w:rPr>
          <w:rStyle w:val="FootnoteReference"/>
        </w:rPr>
        <w:footnoteRef/>
      </w:r>
      <w:r>
        <w:t xml:space="preserve"> </w:t>
      </w:r>
      <w:r w:rsidRPr="003F5D47">
        <w:rPr>
          <w:sz w:val="16"/>
          <w:szCs w:val="16"/>
        </w:rPr>
        <w:t>Kamerstuk</w:t>
      </w:r>
      <w:r>
        <w:rPr>
          <w:sz w:val="16"/>
          <w:szCs w:val="16"/>
        </w:rPr>
        <w:t xml:space="preserve">ken II, 2025/26, </w:t>
      </w:r>
      <w:r w:rsidRPr="003F5D47">
        <w:rPr>
          <w:sz w:val="16"/>
          <w:szCs w:val="16"/>
        </w:rPr>
        <w:t xml:space="preserve"> 32847, nr. 1448</w:t>
      </w:r>
    </w:p>
  </w:footnote>
  <w:footnote w:id="12">
    <w:p w:rsidR="00014B59" w:rsidP="00014B59" w14:paraId="155D725E" w14:textId="77777777">
      <w:pPr>
        <w:pStyle w:val="FootnoteText"/>
      </w:pPr>
      <w:r w:rsidRPr="009F3520">
        <w:rPr>
          <w:rStyle w:val="FootnoteReference"/>
          <w:sz w:val="16"/>
          <w:szCs w:val="16"/>
        </w:rPr>
        <w:footnoteRef/>
      </w:r>
      <w:r w:rsidRPr="009F3520">
        <w:rPr>
          <w:sz w:val="16"/>
          <w:szCs w:val="16"/>
        </w:rPr>
        <w:t xml:space="preserve"> Kamerstukken II, 2025/26, 32 847, nr. 1405</w:t>
      </w:r>
    </w:p>
  </w:footnote>
  <w:footnote w:id="13">
    <w:p w:rsidR="00014B59" w:rsidRPr="00C220BC" w:rsidP="00014B59" w14:paraId="3CF93D84" w14:textId="77777777">
      <w:pPr>
        <w:pStyle w:val="FootnoteText"/>
        <w:rPr>
          <w:sz w:val="16"/>
          <w:szCs w:val="16"/>
        </w:rPr>
      </w:pPr>
      <w:r w:rsidRPr="00223726">
        <w:rPr>
          <w:rStyle w:val="FootnoteReference"/>
          <w:sz w:val="16"/>
          <w:szCs w:val="16"/>
        </w:rPr>
        <w:footnoteRef/>
      </w:r>
      <w:r w:rsidRPr="00223726">
        <w:rPr>
          <w:sz w:val="16"/>
          <w:szCs w:val="16"/>
        </w:rPr>
        <w:t xml:space="preserve"> </w:t>
      </w:r>
      <w:r w:rsidRPr="00C220BC">
        <w:rPr>
          <w:sz w:val="16"/>
          <w:szCs w:val="16"/>
        </w:rPr>
        <w:t xml:space="preserve">ZEB staat voor Zero </w:t>
      </w:r>
      <w:r w:rsidRPr="00C220BC">
        <w:rPr>
          <w:sz w:val="16"/>
          <w:szCs w:val="16"/>
        </w:rPr>
        <w:t>Emission</w:t>
      </w:r>
      <w:r w:rsidRPr="00C220BC">
        <w:rPr>
          <w:sz w:val="16"/>
          <w:szCs w:val="16"/>
        </w:rPr>
        <w:t xml:space="preserve"> Building</w:t>
      </w:r>
    </w:p>
  </w:footnote>
  <w:footnote w:id="14">
    <w:p w:rsidR="00014B59" w:rsidRPr="00C335B7" w:rsidP="00014B59" w14:paraId="40B9C1BA" w14:textId="1043AD8F">
      <w:pPr>
        <w:pStyle w:val="FootnoteText"/>
      </w:pPr>
      <w:r>
        <w:rPr>
          <w:rStyle w:val="FootnoteReference"/>
        </w:rPr>
        <w:footnoteRef/>
      </w:r>
      <w:r w:rsidRPr="00C335B7">
        <w:t xml:space="preserve"> </w:t>
      </w:r>
      <w:r w:rsidRPr="00C335B7" w:rsidR="00CE325A">
        <w:rPr>
          <w:sz w:val="16"/>
          <w:szCs w:val="16"/>
        </w:rPr>
        <w:t>wlc-gwp</w:t>
      </w:r>
      <w:r w:rsidRPr="00C335B7">
        <w:rPr>
          <w:sz w:val="16"/>
          <w:szCs w:val="16"/>
        </w:rPr>
        <w:t xml:space="preserve"> staat voor </w:t>
      </w:r>
      <w:r w:rsidRPr="00C335B7" w:rsidR="00CE325A">
        <w:rPr>
          <w:sz w:val="16"/>
          <w:szCs w:val="16"/>
        </w:rPr>
        <w:t>w</w:t>
      </w:r>
      <w:r w:rsidRPr="00C335B7">
        <w:rPr>
          <w:sz w:val="16"/>
          <w:szCs w:val="16"/>
        </w:rPr>
        <w:t>hole</w:t>
      </w:r>
      <w:r w:rsidRPr="00C335B7">
        <w:rPr>
          <w:sz w:val="16"/>
          <w:szCs w:val="16"/>
        </w:rPr>
        <w:t xml:space="preserve"> </w:t>
      </w:r>
      <w:r w:rsidRPr="00C335B7" w:rsidR="00CE325A">
        <w:rPr>
          <w:sz w:val="16"/>
          <w:szCs w:val="16"/>
        </w:rPr>
        <w:t>l</w:t>
      </w:r>
      <w:r w:rsidRPr="00C335B7">
        <w:rPr>
          <w:sz w:val="16"/>
          <w:szCs w:val="16"/>
        </w:rPr>
        <w:t xml:space="preserve">ife </w:t>
      </w:r>
      <w:r w:rsidRPr="00C335B7" w:rsidR="00CE325A">
        <w:rPr>
          <w:sz w:val="16"/>
          <w:szCs w:val="16"/>
        </w:rPr>
        <w:t>c</w:t>
      </w:r>
      <w:r w:rsidRPr="00C335B7">
        <w:rPr>
          <w:sz w:val="16"/>
          <w:szCs w:val="16"/>
        </w:rPr>
        <w:t>ycle</w:t>
      </w:r>
      <w:r w:rsidRPr="00C335B7">
        <w:rPr>
          <w:sz w:val="16"/>
          <w:szCs w:val="16"/>
        </w:rPr>
        <w:t xml:space="preserve"> </w:t>
      </w:r>
      <w:r w:rsidRPr="00C335B7" w:rsidR="00CE325A">
        <w:rPr>
          <w:sz w:val="16"/>
          <w:szCs w:val="16"/>
        </w:rPr>
        <w:t xml:space="preserve">en </w:t>
      </w:r>
      <w:r w:rsidRPr="00C335B7" w:rsidR="00CE325A">
        <w:rPr>
          <w:sz w:val="16"/>
          <w:szCs w:val="16"/>
        </w:rPr>
        <w:t>g</w:t>
      </w:r>
      <w:r w:rsidRPr="00C335B7">
        <w:rPr>
          <w:sz w:val="16"/>
          <w:szCs w:val="16"/>
        </w:rPr>
        <w:t>lobal</w:t>
      </w:r>
      <w:r w:rsidRPr="00C335B7">
        <w:rPr>
          <w:sz w:val="16"/>
          <w:szCs w:val="16"/>
        </w:rPr>
        <w:t xml:space="preserve"> </w:t>
      </w:r>
      <w:r w:rsidRPr="00C335B7" w:rsidR="00CE325A">
        <w:rPr>
          <w:sz w:val="16"/>
          <w:szCs w:val="16"/>
        </w:rPr>
        <w:t>w</w:t>
      </w:r>
      <w:r w:rsidRPr="00C335B7">
        <w:rPr>
          <w:sz w:val="16"/>
          <w:szCs w:val="16"/>
        </w:rPr>
        <w:t xml:space="preserve">arming </w:t>
      </w:r>
      <w:r w:rsidRPr="00C335B7" w:rsidR="00CE325A">
        <w:rPr>
          <w:sz w:val="16"/>
          <w:szCs w:val="16"/>
        </w:rPr>
        <w:t>p</w:t>
      </w:r>
      <w:r w:rsidRPr="00C335B7">
        <w:rPr>
          <w:sz w:val="16"/>
          <w:szCs w:val="16"/>
        </w:rPr>
        <w:t>otential</w:t>
      </w:r>
    </w:p>
  </w:footnote>
  <w:footnote w:id="15">
    <w:p w:rsidR="009027D3" w14:paraId="53230EAB" w14:textId="3DFB3826">
      <w:pPr>
        <w:pStyle w:val="FootnoteText"/>
      </w:pPr>
      <w:r>
        <w:rPr>
          <w:rStyle w:val="FootnoteReference"/>
        </w:rPr>
        <w:footnoteRef/>
      </w:r>
      <w:r>
        <w:t xml:space="preserve"> </w:t>
      </w:r>
      <w:r w:rsidRPr="007F5391">
        <w:rPr>
          <w:rFonts w:eastAsia="Times New Roman" w:cs="Times New Roman"/>
          <w:sz w:val="16"/>
          <w:szCs w:val="16"/>
        </w:rPr>
        <w:t>Kamerstuk</w:t>
      </w:r>
      <w:r w:rsidR="00C220BC">
        <w:rPr>
          <w:rFonts w:eastAsia="Times New Roman" w:cs="Times New Roman"/>
          <w:sz w:val="16"/>
          <w:szCs w:val="16"/>
        </w:rPr>
        <w:t>ken</w:t>
      </w:r>
      <w:r w:rsidRPr="007F5391">
        <w:rPr>
          <w:rFonts w:eastAsia="Times New Roman" w:cs="Times New Roman"/>
          <w:sz w:val="16"/>
          <w:szCs w:val="16"/>
        </w:rPr>
        <w:t xml:space="preserve"> II 2025/26, 32847, nr. 1434</w:t>
      </w:r>
    </w:p>
  </w:footnote>
  <w:footnote w:id="16">
    <w:p w:rsidR="009027D3" w:rsidRPr="00DC0E81" w:rsidP="009027D3" w14:paraId="42400130" w14:textId="35E95C1F">
      <w:pPr>
        <w:pStyle w:val="FootnoteText"/>
        <w:rPr>
          <w:sz w:val="16"/>
          <w:szCs w:val="16"/>
        </w:rPr>
      </w:pPr>
      <w:r>
        <w:rPr>
          <w:rStyle w:val="FootnoteReference"/>
        </w:rPr>
        <w:footnoteRef/>
      </w:r>
      <w:r>
        <w:t xml:space="preserve"> </w:t>
      </w:r>
      <w:bookmarkStart w:id="4" w:name="_Hlk229989929"/>
      <w:r w:rsidRPr="00DC0E81">
        <w:rPr>
          <w:rFonts w:eastAsia="Times New Roman" w:cs="Times New Roman"/>
          <w:sz w:val="16"/>
          <w:szCs w:val="16"/>
        </w:rPr>
        <w:t>Kamerstuk</w:t>
      </w:r>
      <w:r w:rsidR="00C220BC">
        <w:rPr>
          <w:rFonts w:eastAsia="Times New Roman" w:cs="Times New Roman"/>
          <w:sz w:val="16"/>
          <w:szCs w:val="16"/>
        </w:rPr>
        <w:t>ken</w:t>
      </w:r>
      <w:r w:rsidRPr="00DC0E81">
        <w:rPr>
          <w:rFonts w:eastAsia="Times New Roman" w:cs="Times New Roman"/>
          <w:sz w:val="16"/>
          <w:szCs w:val="16"/>
        </w:rPr>
        <w:t xml:space="preserve"> II 2025/26, 32847, nr. 1432</w:t>
      </w:r>
      <w:bookmarkEnd w:id="4"/>
    </w:p>
  </w:footnote>
  <w:footnote w:id="17">
    <w:p w:rsidR="00B96DF4" w:rsidRPr="00BD23CE" w:rsidP="00BD23CE" w14:paraId="4EBB7D02" w14:textId="0BA63B57">
      <w:pPr>
        <w:rPr>
          <w:sz w:val="16"/>
          <w:szCs w:val="16"/>
        </w:rPr>
      </w:pPr>
      <w:r>
        <w:rPr>
          <w:rStyle w:val="FootnoteReference"/>
        </w:rPr>
        <w:footnoteRef/>
      </w:r>
      <w:r w:rsidRPr="00C335B7">
        <w:t xml:space="preserve"> </w:t>
      </w:r>
      <w:hyperlink r:id="rId3" w:history="1">
        <w:r w:rsidRPr="00BD23CE" w:rsidR="00BD23CE">
          <w:rPr>
            <w:rStyle w:val="Hyperlink"/>
            <w:rFonts w:cs="Arial"/>
            <w:sz w:val="16"/>
            <w:szCs w:val="16"/>
          </w:rPr>
          <w:t>https://nipv.nl/documenten/tussen-regels-en-realiteit-inventariserend-onderzoek-naar-de-classificatie-wonen-met-zorg-in-relatie-tot-brandveiligheid/</w:t>
        </w:r>
      </w:hyperlink>
    </w:p>
  </w:footnote>
  <w:footnote w:id="18">
    <w:p w:rsidR="006D4093" w:rsidRPr="00C335B7" w:rsidP="006D4093" w14:paraId="2EB6A0A2" w14:textId="128D0E25">
      <w:pPr>
        <w:pStyle w:val="FootnoteText"/>
        <w:rPr>
          <w:sz w:val="16"/>
          <w:szCs w:val="16"/>
        </w:rPr>
      </w:pPr>
      <w:r>
        <w:rPr>
          <w:rStyle w:val="FootnoteReference"/>
        </w:rPr>
        <w:footnoteRef/>
      </w:r>
      <w:r w:rsidRPr="00C335B7">
        <w:t xml:space="preserve"> </w:t>
      </w:r>
      <w:r w:rsidRPr="00DC0E81" w:rsidR="00144291">
        <w:rPr>
          <w:rFonts w:eastAsia="Times New Roman" w:cs="Times New Roman"/>
          <w:sz w:val="16"/>
          <w:szCs w:val="16"/>
        </w:rPr>
        <w:t xml:space="preserve">Kamerstuk II 2025/26, </w:t>
      </w:r>
      <w:r w:rsidR="00144291">
        <w:rPr>
          <w:rFonts w:eastAsia="Times New Roman" w:cs="Times New Roman"/>
          <w:sz w:val="16"/>
          <w:szCs w:val="16"/>
        </w:rPr>
        <w:t>28325</w:t>
      </w:r>
      <w:r w:rsidRPr="00DC0E81" w:rsidR="00144291">
        <w:rPr>
          <w:rFonts w:eastAsia="Times New Roman" w:cs="Times New Roman"/>
          <w:sz w:val="16"/>
          <w:szCs w:val="16"/>
        </w:rPr>
        <w:t xml:space="preserve">, nr. </w:t>
      </w:r>
      <w:r w:rsidR="00144291">
        <w:rPr>
          <w:rFonts w:eastAsia="Times New Roman" w:cs="Times New Roman"/>
          <w:sz w:val="16"/>
          <w:szCs w:val="16"/>
        </w:rPr>
        <w:t>299</w:t>
      </w:r>
    </w:p>
  </w:footnote>
  <w:footnote w:id="19">
    <w:p w:rsidR="00CF2918" w:rsidRPr="00C335B7" w:rsidP="00CF2918" w14:paraId="542C4072" w14:textId="0C0180AA">
      <w:pPr>
        <w:pStyle w:val="FootnoteText"/>
        <w:rPr>
          <w:sz w:val="16"/>
          <w:szCs w:val="16"/>
        </w:rPr>
      </w:pPr>
      <w:r>
        <w:rPr>
          <w:rStyle w:val="FootnoteReference"/>
        </w:rPr>
        <w:footnoteRef/>
      </w:r>
      <w:r w:rsidRPr="00C335B7">
        <w:t xml:space="preserve"> </w:t>
      </w:r>
      <w:r w:rsidRPr="00DC0E81" w:rsidR="00F5148B">
        <w:rPr>
          <w:rFonts w:eastAsia="Times New Roman" w:cs="Times New Roman"/>
          <w:sz w:val="16"/>
          <w:szCs w:val="16"/>
        </w:rPr>
        <w:t>Kamerstuk II 202</w:t>
      </w:r>
      <w:r w:rsidR="00F5148B">
        <w:rPr>
          <w:rFonts w:eastAsia="Times New Roman" w:cs="Times New Roman"/>
          <w:sz w:val="16"/>
          <w:szCs w:val="16"/>
        </w:rPr>
        <w:t>4</w:t>
      </w:r>
      <w:r w:rsidRPr="00DC0E81" w:rsidR="00F5148B">
        <w:rPr>
          <w:rFonts w:eastAsia="Times New Roman" w:cs="Times New Roman"/>
          <w:sz w:val="16"/>
          <w:szCs w:val="16"/>
        </w:rPr>
        <w:t>/2</w:t>
      </w:r>
      <w:r w:rsidR="00F5148B">
        <w:rPr>
          <w:rFonts w:eastAsia="Times New Roman" w:cs="Times New Roman"/>
          <w:sz w:val="16"/>
          <w:szCs w:val="16"/>
        </w:rPr>
        <w:t>5</w:t>
      </w:r>
      <w:r w:rsidRPr="00DC0E81" w:rsidR="00F5148B">
        <w:rPr>
          <w:rFonts w:eastAsia="Times New Roman" w:cs="Times New Roman"/>
          <w:sz w:val="16"/>
          <w:szCs w:val="16"/>
        </w:rPr>
        <w:t xml:space="preserve">, </w:t>
      </w:r>
      <w:r w:rsidR="00F5148B">
        <w:rPr>
          <w:rFonts w:eastAsia="Times New Roman" w:cs="Times New Roman"/>
          <w:sz w:val="16"/>
          <w:szCs w:val="16"/>
        </w:rPr>
        <w:t>28325</w:t>
      </w:r>
      <w:r w:rsidRPr="00DC0E81" w:rsidR="00F5148B">
        <w:rPr>
          <w:rFonts w:eastAsia="Times New Roman" w:cs="Times New Roman"/>
          <w:sz w:val="16"/>
          <w:szCs w:val="16"/>
        </w:rPr>
        <w:t xml:space="preserve">, nr. </w:t>
      </w:r>
      <w:r w:rsidR="00F5148B">
        <w:rPr>
          <w:rFonts w:eastAsia="Times New Roman" w:cs="Times New Roman"/>
          <w:sz w:val="16"/>
          <w:szCs w:val="16"/>
        </w:rPr>
        <w:t>282</w:t>
      </w:r>
    </w:p>
  </w:footnote>
  <w:footnote w:id="20">
    <w:p w:rsidR="00CF2918" w:rsidRPr="00C335B7" w:rsidP="00CF2918" w14:paraId="40B141FC" w14:textId="5094AB70">
      <w:pPr>
        <w:pStyle w:val="FootnoteText"/>
      </w:pPr>
      <w:r>
        <w:rPr>
          <w:rStyle w:val="FootnoteReference"/>
        </w:rPr>
        <w:footnoteRef/>
      </w:r>
      <w:r w:rsidRPr="00C335B7">
        <w:t xml:space="preserve"> </w:t>
      </w:r>
      <w:r w:rsidRPr="00DC0E81" w:rsidR="00F5148B">
        <w:rPr>
          <w:rFonts w:eastAsia="Times New Roman" w:cs="Times New Roman"/>
          <w:sz w:val="16"/>
          <w:szCs w:val="16"/>
        </w:rPr>
        <w:t xml:space="preserve">Kamerstuk II 2025/26, </w:t>
      </w:r>
      <w:r w:rsidR="00F5148B">
        <w:rPr>
          <w:rFonts w:eastAsia="Times New Roman" w:cs="Times New Roman"/>
          <w:sz w:val="16"/>
          <w:szCs w:val="16"/>
        </w:rPr>
        <w:t>28325</w:t>
      </w:r>
      <w:r w:rsidRPr="00DC0E81" w:rsidR="00F5148B">
        <w:rPr>
          <w:rFonts w:eastAsia="Times New Roman" w:cs="Times New Roman"/>
          <w:sz w:val="16"/>
          <w:szCs w:val="16"/>
        </w:rPr>
        <w:t xml:space="preserve">, nr. </w:t>
      </w:r>
      <w:r w:rsidR="00F5148B">
        <w:rPr>
          <w:rFonts w:eastAsia="Times New Roman" w:cs="Times New Roman"/>
          <w:sz w:val="16"/>
          <w:szCs w:val="16"/>
        </w:rPr>
        <w:t>302</w:t>
      </w:r>
    </w:p>
  </w:footnote>
  <w:footnote w:id="21">
    <w:p w:rsidR="00CF2918" w:rsidP="007366F3" w14:paraId="6B3D41F4" w14:textId="14A3C33E">
      <w:r>
        <w:rPr>
          <w:rStyle w:val="FootnoteReference"/>
        </w:rPr>
        <w:footnoteRef/>
      </w:r>
      <w:r>
        <w:t xml:space="preserve"> </w:t>
      </w:r>
      <w:hyperlink r:id="rId4" w:history="1">
        <w:r w:rsidR="007366F3">
          <w:rPr>
            <w:rStyle w:val="Hyperlink"/>
            <w:rFonts w:ascii="Calibri" w:hAnsi="Calibri" w:cs="Calibri"/>
          </w:rPr>
          <w:t>https://open.overheid.nl/details/c4c12bb0-33ff-4348-a36f-b9897e20e0f8</w:t>
        </w:r>
      </w:hyperlink>
    </w:p>
  </w:footnote>
  <w:footnote w:id="22">
    <w:p w:rsidR="00CF2918" w:rsidRPr="00E644CD" w:rsidP="00CF2918" w14:paraId="28180C94" w14:textId="0E9DA2C4">
      <w:pPr>
        <w:pStyle w:val="FootnoteText"/>
        <w:rPr>
          <w:sz w:val="16"/>
          <w:szCs w:val="16"/>
        </w:rPr>
      </w:pPr>
      <w:r>
        <w:rPr>
          <w:rStyle w:val="FootnoteReference"/>
        </w:rPr>
        <w:footnoteRef/>
      </w:r>
      <w:r>
        <w:t xml:space="preserve"> </w:t>
      </w:r>
      <w:r w:rsidRPr="002F5BB3" w:rsidR="002F5BB3">
        <w:rPr>
          <w:sz w:val="16"/>
          <w:szCs w:val="16"/>
        </w:rPr>
        <w:t>Leren van branden in de gebouwschil van woningen – NIPV</w:t>
      </w:r>
    </w:p>
  </w:footnote>
  <w:footnote w:id="23">
    <w:p w:rsidR="007E4B5F" w:rsidRPr="007A7E63" w:rsidP="007E4B5F" w14:paraId="430B76A4" w14:textId="5B8794CC">
      <w:pPr>
        <w:pStyle w:val="FootnoteText"/>
        <w:rPr>
          <w:sz w:val="16"/>
          <w:szCs w:val="16"/>
        </w:rPr>
      </w:pPr>
      <w:r w:rsidRPr="00E644CD">
        <w:rPr>
          <w:rStyle w:val="FootnoteReference"/>
          <w:sz w:val="16"/>
          <w:szCs w:val="16"/>
        </w:rPr>
        <w:footnoteRef/>
      </w:r>
      <w:r w:rsidRPr="00E644CD">
        <w:rPr>
          <w:sz w:val="16"/>
          <w:szCs w:val="16"/>
        </w:rPr>
        <w:t xml:space="preserve"> </w:t>
      </w:r>
      <w:r w:rsidR="002F5BB3">
        <w:rPr>
          <w:sz w:val="16"/>
          <w:szCs w:val="16"/>
        </w:rPr>
        <w:t xml:space="preserve"> </w:t>
      </w:r>
      <w:hyperlink r:id="rId5" w:history="1">
        <w:r w:rsidRPr="007A7E63">
          <w:rPr>
            <w:sz w:val="16"/>
            <w:szCs w:val="16"/>
          </w:rPr>
          <w:t>Staatsblad 2023, 426</w:t>
        </w:r>
      </w:hyperlink>
    </w:p>
  </w:footnote>
  <w:footnote w:id="24">
    <w:p w:rsidR="007E4B5F" w:rsidRPr="00E644CD" w:rsidP="007E4B5F" w14:paraId="29D353D0" w14:textId="77777777">
      <w:pPr>
        <w:pStyle w:val="FootnoteText"/>
        <w:rPr>
          <w:sz w:val="16"/>
          <w:szCs w:val="16"/>
        </w:rPr>
      </w:pPr>
      <w:r>
        <w:rPr>
          <w:rStyle w:val="FootnoteReference"/>
        </w:rPr>
        <w:footnoteRef/>
      </w:r>
      <w:r>
        <w:t xml:space="preserve"> </w:t>
      </w:r>
      <w:r w:rsidRPr="00E644CD">
        <w:rPr>
          <w:sz w:val="16"/>
          <w:szCs w:val="16"/>
        </w:rPr>
        <w:t>Adviescommissie Toepassing en Gelijkwaardigheid Bouwvoorschriften, dit is een onafhankelijke BZK/VRO-adviescommissie</w:t>
      </w:r>
    </w:p>
  </w:footnote>
  <w:footnote w:id="25">
    <w:p w:rsidR="007E4B5F" w:rsidRPr="00824ECE" w:rsidP="00824ECE" w14:paraId="2B430B0F" w14:textId="72838814">
      <w:pPr>
        <w:rPr>
          <w:sz w:val="16"/>
          <w:szCs w:val="16"/>
        </w:rPr>
      </w:pPr>
      <w:r>
        <w:rPr>
          <w:rStyle w:val="FootnoteReference"/>
        </w:rPr>
        <w:footnoteRef/>
      </w:r>
      <w:r>
        <w:t xml:space="preserve"> </w:t>
      </w:r>
      <w:hyperlink r:id="rId6" w:history="1">
        <w:r w:rsidRPr="00824ECE" w:rsidR="00824ECE">
          <w:rPr>
            <w:rStyle w:val="Hyperlink"/>
            <w:rFonts w:eastAsia="Times New Roman"/>
            <w:sz w:val="16"/>
            <w:szCs w:val="16"/>
          </w:rPr>
          <w:t>https://atgb.nl/advies/atgb-grenfell-fase-2/</w:t>
        </w:r>
      </w:hyperlink>
    </w:p>
  </w:footnote>
  <w:footnote w:id="26">
    <w:p w:rsidR="00CF27DD" w:rsidRPr="009D606F" w:rsidP="00CF27DD" w14:paraId="7C4E6B3E" w14:textId="77777777">
      <w:pPr>
        <w:pStyle w:val="FootnoteText"/>
      </w:pPr>
      <w:r>
        <w:rPr>
          <w:rStyle w:val="FootnoteReference"/>
        </w:rPr>
        <w:footnoteRef/>
      </w:r>
      <w:r>
        <w:t xml:space="preserve"> </w:t>
      </w:r>
      <w:hyperlink r:id="rId7" w:history="1">
        <w:r w:rsidRPr="00E644CD">
          <w:rPr>
            <w:rFonts w:cs="Arial"/>
            <w:color w:val="0000FF"/>
            <w:sz w:val="16"/>
            <w:szCs w:val="16"/>
            <w:u w:val="single"/>
          </w:rPr>
          <w:t>Literatuurstudie - Brandveiligheid en Bouwen met Hout</w:t>
        </w:r>
      </w:hyperlink>
    </w:p>
  </w:footnote>
  <w:footnote w:id="27">
    <w:p w:rsidR="00CF27DD" w:rsidRPr="00824ECE" w:rsidP="00824ECE" w14:paraId="677524C7" w14:textId="03CFE201">
      <w:pPr>
        <w:rPr>
          <w:sz w:val="16"/>
          <w:szCs w:val="16"/>
        </w:rPr>
      </w:pPr>
      <w:r>
        <w:rPr>
          <w:rStyle w:val="FootnoteReference"/>
        </w:rPr>
        <w:footnoteRef/>
      </w:r>
      <w:r w:rsidRPr="00450E71">
        <w:t xml:space="preserve"> </w:t>
      </w:r>
      <w:hyperlink r:id="rId8" w:history="1">
        <w:r w:rsidRPr="00824ECE" w:rsidR="00824ECE">
          <w:rPr>
            <w:rStyle w:val="Hyperlink"/>
            <w:rFonts w:eastAsia="Times New Roman"/>
            <w:sz w:val="16"/>
            <w:szCs w:val="16"/>
          </w:rPr>
          <w:t>https://atgb.nl/advies/atgb-advies-houtbouw-en-pv/</w:t>
        </w:r>
      </w:hyperlink>
    </w:p>
  </w:footnote>
  <w:footnote w:id="28">
    <w:p w:rsidR="00CF27DD" w:rsidRPr="00450E71" w:rsidP="00CF27DD" w14:paraId="1410DEDB" w14:textId="77777777">
      <w:pPr>
        <w:pStyle w:val="FootnoteText"/>
      </w:pPr>
      <w:r>
        <w:rPr>
          <w:rStyle w:val="FootnoteReference"/>
        </w:rPr>
        <w:footnoteRef/>
      </w:r>
      <w:r w:rsidRPr="00450E71">
        <w:t xml:space="preserve"> </w:t>
      </w:r>
      <w:hyperlink r:id="rId9" w:history="1">
        <w:r w:rsidRPr="00450E71">
          <w:rPr>
            <w:rFonts w:cs="Arial"/>
            <w:color w:val="0000FF"/>
            <w:sz w:val="16"/>
            <w:szCs w:val="16"/>
            <w:u w:val="single"/>
          </w:rPr>
          <w:t>NEN Connect - NTA 6125</w:t>
        </w:r>
      </w:hyperlink>
    </w:p>
  </w:footnote>
  <w:footnote w:id="29">
    <w:p w:rsidR="007E4B5F" w:rsidRPr="00E644CD" w:rsidP="007E4B5F" w14:paraId="5BD2A095" w14:textId="43F13E5A">
      <w:pPr>
        <w:pStyle w:val="FootnoteText"/>
        <w:rPr>
          <w:sz w:val="16"/>
        </w:rPr>
      </w:pPr>
      <w:r>
        <w:rPr>
          <w:rStyle w:val="FootnoteReference"/>
        </w:rPr>
        <w:footnoteRef/>
      </w:r>
      <w:r>
        <w:t xml:space="preserve"> </w:t>
      </w:r>
      <w:r w:rsidRPr="00DC0E81" w:rsidR="00F5148B">
        <w:rPr>
          <w:rFonts w:eastAsia="Times New Roman" w:cs="Times New Roman"/>
          <w:sz w:val="16"/>
          <w:szCs w:val="16"/>
        </w:rPr>
        <w:t>Kamerstuk II 202</w:t>
      </w:r>
      <w:r w:rsidR="00F5148B">
        <w:rPr>
          <w:rFonts w:eastAsia="Times New Roman" w:cs="Times New Roman"/>
          <w:sz w:val="16"/>
          <w:szCs w:val="16"/>
        </w:rPr>
        <w:t>4</w:t>
      </w:r>
      <w:r w:rsidRPr="00DC0E81" w:rsidR="00F5148B">
        <w:rPr>
          <w:rFonts w:eastAsia="Times New Roman" w:cs="Times New Roman"/>
          <w:sz w:val="16"/>
          <w:szCs w:val="16"/>
        </w:rPr>
        <w:t>/2</w:t>
      </w:r>
      <w:r w:rsidR="00F5148B">
        <w:rPr>
          <w:rFonts w:eastAsia="Times New Roman" w:cs="Times New Roman"/>
          <w:sz w:val="16"/>
          <w:szCs w:val="16"/>
        </w:rPr>
        <w:t>5</w:t>
      </w:r>
      <w:r w:rsidRPr="00DC0E81" w:rsidR="00F5148B">
        <w:rPr>
          <w:rFonts w:eastAsia="Times New Roman" w:cs="Times New Roman"/>
          <w:sz w:val="16"/>
          <w:szCs w:val="16"/>
        </w:rPr>
        <w:t xml:space="preserve">, </w:t>
      </w:r>
      <w:r w:rsidR="00F5148B">
        <w:rPr>
          <w:rFonts w:eastAsia="Times New Roman" w:cs="Times New Roman"/>
          <w:sz w:val="16"/>
          <w:szCs w:val="16"/>
        </w:rPr>
        <w:t>28325</w:t>
      </w:r>
      <w:r w:rsidRPr="00DC0E81" w:rsidR="00F5148B">
        <w:rPr>
          <w:rFonts w:eastAsia="Times New Roman" w:cs="Times New Roman"/>
          <w:sz w:val="16"/>
          <w:szCs w:val="16"/>
        </w:rPr>
        <w:t xml:space="preserve">, nr. </w:t>
      </w:r>
      <w:r w:rsidR="00F5148B">
        <w:rPr>
          <w:rFonts w:eastAsia="Times New Roman" w:cs="Times New Roman"/>
          <w:sz w:val="16"/>
          <w:szCs w:val="16"/>
        </w:rPr>
        <w:t>284</w:t>
      </w:r>
    </w:p>
  </w:footnote>
  <w:footnote w:id="30">
    <w:p w:rsidR="007E4B5F" w:rsidRPr="002F2CB1" w:rsidP="007E4B5F" w14:paraId="3A6766FF" w14:textId="77777777">
      <w:pPr>
        <w:pStyle w:val="FootnoteText"/>
        <w:rPr>
          <w:sz w:val="16"/>
          <w:szCs w:val="16"/>
        </w:rPr>
      </w:pPr>
      <w:r>
        <w:rPr>
          <w:rStyle w:val="FootnoteReference"/>
        </w:rPr>
        <w:footnoteRef/>
      </w:r>
      <w:r>
        <w:t xml:space="preserve"> </w:t>
      </w:r>
      <w:hyperlink r:id="rId10" w:history="1">
        <w:r w:rsidRPr="002F2CB1">
          <w:rPr>
            <w:rStyle w:val="Hyperlink"/>
            <w:rFonts w:cs="Calibri"/>
            <w:sz w:val="16"/>
            <w:szCs w:val="16"/>
          </w:rPr>
          <w:t>https://open.overheid.nl/documenten/cf9dc42c-9cdf-44f2-88af-b2cd6c5a13fa/file</w:t>
        </w:r>
      </w:hyperlink>
    </w:p>
  </w:footnote>
  <w:footnote w:id="31">
    <w:p w:rsidR="009E4FAE" w:rsidRPr="009F3520" w:rsidP="009E4FAE" w14:paraId="2A9697A7" w14:textId="7E5E85B4">
      <w:pPr>
        <w:pStyle w:val="FootnoteText"/>
        <w:rPr>
          <w:sz w:val="16"/>
          <w:szCs w:val="16"/>
        </w:rPr>
      </w:pPr>
      <w:r>
        <w:rPr>
          <w:rStyle w:val="FootnoteReference"/>
        </w:rPr>
        <w:footnoteRef/>
      </w:r>
      <w:r w:rsidRPr="009F3520">
        <w:t xml:space="preserve"> </w:t>
      </w:r>
      <w:r w:rsidRPr="00DC0E81" w:rsidR="001077B0">
        <w:rPr>
          <w:rFonts w:eastAsia="Times New Roman" w:cs="Times New Roman"/>
          <w:sz w:val="16"/>
          <w:szCs w:val="16"/>
        </w:rPr>
        <w:t xml:space="preserve">Kamerstuk II 2025/26, </w:t>
      </w:r>
      <w:r w:rsidR="001077B0">
        <w:rPr>
          <w:rFonts w:eastAsia="Times New Roman" w:cs="Times New Roman"/>
          <w:sz w:val="16"/>
          <w:szCs w:val="16"/>
        </w:rPr>
        <w:t>28325</w:t>
      </w:r>
      <w:r w:rsidRPr="00DC0E81" w:rsidR="001077B0">
        <w:rPr>
          <w:rFonts w:eastAsia="Times New Roman" w:cs="Times New Roman"/>
          <w:sz w:val="16"/>
          <w:szCs w:val="16"/>
        </w:rPr>
        <w:t xml:space="preserve">, nr. </w:t>
      </w:r>
      <w:r w:rsidR="001077B0">
        <w:rPr>
          <w:rFonts w:eastAsia="Times New Roman" w:cs="Times New Roman"/>
          <w:sz w:val="16"/>
          <w:szCs w:val="16"/>
        </w:rPr>
        <w:t>299</w:t>
      </w:r>
    </w:p>
  </w:footnote>
  <w:footnote w:id="32">
    <w:p w:rsidR="0073590D" w14:paraId="3D513E89" w14:textId="02672D50">
      <w:pPr>
        <w:pStyle w:val="FootnoteText"/>
      </w:pPr>
      <w:r>
        <w:rPr>
          <w:rStyle w:val="FootnoteReference"/>
        </w:rPr>
        <w:footnoteRef/>
      </w:r>
      <w:r>
        <w:t xml:space="preserve"> </w:t>
      </w:r>
      <w:hyperlink r:id="rId11" w:history="1">
        <w:r w:rsidRPr="007A7E63">
          <w:rPr>
            <w:rStyle w:val="Hyperlink"/>
            <w:sz w:val="16"/>
            <w:szCs w:val="16"/>
          </w:rPr>
          <w:t>Aanbiedingsbrief ontwerpbesluit maatwerkvoorschrift ingebruikname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71F1" w14:paraId="36D69F5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6F84" w14:paraId="12787F17"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76F84" w14:textId="77777777">
                          <w:pPr>
                            <w:pStyle w:val="Referentiegegevensbold"/>
                          </w:pPr>
                          <w:r>
                            <w:t>Directoraat-Generaal Volkshuisvesting en Bouwen</w:t>
                          </w:r>
                        </w:p>
                        <w:p w:rsidR="00776F84" w14:textId="77777777">
                          <w:pPr>
                            <w:pStyle w:val="Referentiegegevens"/>
                          </w:pPr>
                          <w:r>
                            <w:t>Directie Bouwen en Energie</w:t>
                          </w:r>
                        </w:p>
                        <w:p w:rsidR="00776F84" w14:textId="77777777">
                          <w:pPr>
                            <w:pStyle w:val="WitregelW2"/>
                          </w:pPr>
                        </w:p>
                        <w:p w:rsidR="00776F84" w14:textId="77777777">
                          <w:pPr>
                            <w:pStyle w:val="WitregelW1"/>
                          </w:pPr>
                        </w:p>
                        <w:p w:rsidR="00A2132A" w:rsidRPr="00A2132A" w:rsidP="00A2132A" w14:textId="77777777"/>
                        <w:p w:rsidR="00776F84" w14:textId="77777777">
                          <w:pPr>
                            <w:pStyle w:val="Referentiegegevensbold"/>
                          </w:pPr>
                          <w:r>
                            <w:t>Onze referentie</w:t>
                          </w:r>
                        </w:p>
                        <w:p w:rsidR="003926FF" w14:textId="20F2205F">
                          <w:pPr>
                            <w:pStyle w:val="Referentiegegevens"/>
                          </w:pPr>
                          <w:r>
                            <w:fldChar w:fldCharType="begin"/>
                          </w:r>
                          <w:r>
                            <w:instrText xml:space="preserve"> DOCPROPERTY  "Kenmerk"  \* MERGEFORMAT </w:instrText>
                          </w:r>
                          <w:r>
                            <w:fldChar w:fldCharType="separate"/>
                          </w:r>
                          <w:r>
                            <w:t>2026-0000172673</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776F84" w14:paraId="12787F51" w14:textId="77777777">
                    <w:pPr>
                      <w:pStyle w:val="Referentiegegevensbold"/>
                    </w:pPr>
                    <w:r>
                      <w:t>Directoraat-Generaal Volkshuisvesting en Bouwen</w:t>
                    </w:r>
                  </w:p>
                  <w:p w:rsidR="00776F84" w14:paraId="12787F52" w14:textId="77777777">
                    <w:pPr>
                      <w:pStyle w:val="Referentiegegevens"/>
                    </w:pPr>
                    <w:r>
                      <w:t>Directie Bouwen en Energie</w:t>
                    </w:r>
                  </w:p>
                  <w:p w:rsidR="00776F84" w14:paraId="12787F53" w14:textId="77777777">
                    <w:pPr>
                      <w:pStyle w:val="WitregelW2"/>
                    </w:pPr>
                  </w:p>
                  <w:p w:rsidR="00776F84" w14:paraId="12787F56" w14:textId="77777777">
                    <w:pPr>
                      <w:pStyle w:val="WitregelW1"/>
                    </w:pPr>
                  </w:p>
                  <w:p w:rsidR="00A2132A" w:rsidRPr="00A2132A" w:rsidP="00A2132A" w14:paraId="734F4217" w14:textId="77777777"/>
                  <w:p w:rsidR="00776F84" w14:paraId="12787F57" w14:textId="77777777">
                    <w:pPr>
                      <w:pStyle w:val="Referentiegegevensbold"/>
                    </w:pPr>
                    <w:r>
                      <w:t>Onze referentie</w:t>
                    </w:r>
                  </w:p>
                  <w:p w:rsidR="003926FF" w14:paraId="4EAB802D" w14:textId="20F2205F">
                    <w:pPr>
                      <w:pStyle w:val="Referentiegegevens"/>
                    </w:pPr>
                    <w:r>
                      <w:fldChar w:fldCharType="begin"/>
                    </w:r>
                    <w:r>
                      <w:instrText xml:space="preserve"> DOCPROPERTY  "Kenmerk"  \* MERGEFORMAT </w:instrText>
                    </w:r>
                    <w:r>
                      <w:fldChar w:fldCharType="separate"/>
                    </w:r>
                    <w:r>
                      <w:t>2026-0000172673</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A2132A"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A2132A" w14:paraId="12787F65"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926F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3926FF" w14:paraId="6364220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6F84" w14:paraId="12787F19"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76F84" w14:textId="77777777">
                          <w:r>
                            <w:t>Aan de Voorzitter van de Tweede Kamer der Staten-Generaal</w:t>
                          </w:r>
                        </w:p>
                        <w:p w:rsidR="00776F84" w14:textId="77777777">
                          <w:r>
                            <w:t>Postbus 20018</w:t>
                          </w:r>
                        </w:p>
                        <w:p w:rsidR="00776F84" w14:textId="77777777">
                          <w:r>
                            <w:t>2500 EA  DEN HAAG</w:t>
                          </w:r>
                        </w:p>
                        <w:p w:rsidR="00776F84"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776F84" w14:paraId="12787F31" w14:textId="77777777">
                    <w:r>
                      <w:t>Aan de Voorzitter van de Tweede Kamer der Staten-Generaal</w:t>
                    </w:r>
                  </w:p>
                  <w:p w:rsidR="00776F84" w14:paraId="12787F32" w14:textId="77777777">
                    <w:r>
                      <w:t>Postbus 20018</w:t>
                    </w:r>
                  </w:p>
                  <w:p w:rsidR="00776F84" w14:paraId="12787F33" w14:textId="77777777">
                    <w:r>
                      <w:t>2500 EA  DEN HAAG</w:t>
                    </w:r>
                  </w:p>
                  <w:p w:rsidR="00776F84" w14:paraId="12787F34"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ragraph">
                <wp:posOffset>3352800</wp:posOffset>
              </wp:positionV>
              <wp:extent cx="4787900" cy="63246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32460"/>
                      </a:xfrm>
                      <a:prstGeom prst="rect">
                        <a:avLst/>
                      </a:prstGeom>
                      <a:noFill/>
                    </wps:spPr>
                    <wps:txbx>
                      <w:txbxContent>
                        <w:tbl>
                          <w:tblPr>
                            <w:tblW w:w="0" w:type="auto"/>
                            <w:tblInd w:w="-120" w:type="dxa"/>
                            <w:tblLayout w:type="fixed"/>
                            <w:tblLook w:val="07E0"/>
                          </w:tblPr>
                          <w:tblGrid>
                            <w:gridCol w:w="1140"/>
                            <w:gridCol w:w="5918"/>
                          </w:tblGrid>
                          <w:tr w14:paraId="12787F38" w14:textId="77777777">
                            <w:tblPrEx>
                              <w:tblW w:w="0" w:type="auto"/>
                              <w:tblInd w:w="-120" w:type="dxa"/>
                              <w:tblLayout w:type="fixed"/>
                              <w:tblLook w:val="07E0"/>
                            </w:tblPrEx>
                            <w:trPr>
                              <w:trHeight w:val="240"/>
                            </w:trPr>
                            <w:tc>
                              <w:tcPr>
                                <w:tcW w:w="1140" w:type="dxa"/>
                              </w:tcPr>
                              <w:p w:rsidR="00776F84" w14:textId="77777777">
                                <w:r>
                                  <w:t>Datum</w:t>
                                </w:r>
                              </w:p>
                            </w:tc>
                            <w:tc>
                              <w:tcPr>
                                <w:tcW w:w="5918" w:type="dxa"/>
                              </w:tcPr>
                              <w:p w:rsidR="00776F84" w14:textId="0E17C099">
                                <w:r>
                                  <w:t>22 mei 2026</w:t>
                                </w:r>
                              </w:p>
                            </w:tc>
                          </w:tr>
                          <w:tr w14:paraId="12787F3B" w14:textId="77777777">
                            <w:tblPrEx>
                              <w:tblW w:w="0" w:type="auto"/>
                              <w:tblInd w:w="-120" w:type="dxa"/>
                              <w:tblLayout w:type="fixed"/>
                              <w:tblLook w:val="07E0"/>
                            </w:tblPrEx>
                            <w:trPr>
                              <w:trHeight w:val="240"/>
                            </w:trPr>
                            <w:tc>
                              <w:tcPr>
                                <w:tcW w:w="1140" w:type="dxa"/>
                              </w:tcPr>
                              <w:p w:rsidR="00776F84" w14:textId="77777777">
                                <w:r>
                                  <w:t>Betreft</w:t>
                                </w:r>
                              </w:p>
                            </w:tc>
                            <w:tc>
                              <w:tcPr>
                                <w:tcW w:w="5918" w:type="dxa"/>
                              </w:tcPr>
                              <w:p w:rsidR="003926FF" w14:textId="72DD5254">
                                <w:r>
                                  <w:fldChar w:fldCharType="begin"/>
                                </w:r>
                                <w:r>
                                  <w:instrText xml:space="preserve"> DOCPROPERTY  "Onderwerp"  \* MERGEFORMAT </w:instrText>
                                </w:r>
                                <w:r>
                                  <w:fldChar w:fldCharType="separate"/>
                                </w:r>
                                <w:r>
                                  <w:t>Nadere uitwerking van de beleidsagenda bouwregelgeving</w:t>
                                </w:r>
                                <w:r>
                                  <w:fldChar w:fldCharType="end"/>
                                </w:r>
                              </w:p>
                            </w:tc>
                          </w:tr>
                        </w:tbl>
                        <w:p w:rsidR="00A2132A"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9.8pt;margin-top:264pt;margin-left:79.2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12787F37" w14:textId="77777777">
                      <w:tblPrEx>
                        <w:tblW w:w="0" w:type="auto"/>
                        <w:tblInd w:w="-120" w:type="dxa"/>
                        <w:tblLayout w:type="fixed"/>
                        <w:tblLook w:val="07E0"/>
                      </w:tblPrEx>
                      <w:trPr>
                        <w:trHeight w:val="240"/>
                      </w:trPr>
                      <w:tc>
                        <w:tcPr>
                          <w:tcW w:w="1140" w:type="dxa"/>
                        </w:tcPr>
                        <w:p w:rsidR="00776F84" w14:paraId="12787F35" w14:textId="77777777">
                          <w:r>
                            <w:t>Datum</w:t>
                          </w:r>
                        </w:p>
                      </w:tc>
                      <w:tc>
                        <w:tcPr>
                          <w:tcW w:w="5918" w:type="dxa"/>
                        </w:tcPr>
                        <w:p w:rsidR="00776F84" w14:paraId="12787F36" w14:textId="0E17C099">
                          <w:r>
                            <w:t>22 mei 2026</w:t>
                          </w:r>
                        </w:p>
                      </w:tc>
                    </w:tr>
                    <w:tr w14:paraId="12787F3A" w14:textId="77777777">
                      <w:tblPrEx>
                        <w:tblW w:w="0" w:type="auto"/>
                        <w:tblInd w:w="-120" w:type="dxa"/>
                        <w:tblLayout w:type="fixed"/>
                        <w:tblLook w:val="07E0"/>
                      </w:tblPrEx>
                      <w:trPr>
                        <w:trHeight w:val="240"/>
                      </w:trPr>
                      <w:tc>
                        <w:tcPr>
                          <w:tcW w:w="1140" w:type="dxa"/>
                        </w:tcPr>
                        <w:p w:rsidR="00776F84" w14:paraId="12787F38" w14:textId="77777777">
                          <w:r>
                            <w:t>Betreft</w:t>
                          </w:r>
                        </w:p>
                      </w:tc>
                      <w:tc>
                        <w:tcPr>
                          <w:tcW w:w="5918" w:type="dxa"/>
                        </w:tcPr>
                        <w:p w:rsidR="003926FF" w14:paraId="24DA4FD0" w14:textId="72DD5254">
                          <w:r>
                            <w:fldChar w:fldCharType="begin"/>
                          </w:r>
                          <w:r>
                            <w:instrText xml:space="preserve"> DOCPROPERTY  "Onderwerp"  \* MERGEFORMAT </w:instrText>
                          </w:r>
                          <w:r>
                            <w:fldChar w:fldCharType="separate"/>
                          </w:r>
                          <w:r>
                            <w:t>Nadere uitwerking van de beleidsagenda bouwregelgeving</w:t>
                          </w:r>
                          <w:r>
                            <w:fldChar w:fldCharType="end"/>
                          </w:r>
                        </w:p>
                      </w:tc>
                    </w:tr>
                  </w:tbl>
                  <w:p w:rsidR="00A2132A" w14:paraId="12787F5B"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76F84" w14:textId="77777777">
                          <w:pPr>
                            <w:pStyle w:val="Referentiegegevensbold"/>
                          </w:pPr>
                          <w:r>
                            <w:t>Directoraat-Generaal Volkshuisvesting en Bouwen</w:t>
                          </w:r>
                        </w:p>
                        <w:p w:rsidR="00776F84" w14:textId="77777777">
                          <w:pPr>
                            <w:pStyle w:val="Referentiegegevens"/>
                          </w:pPr>
                          <w:r>
                            <w:t>Directie Bouwen en Energie</w:t>
                          </w:r>
                        </w:p>
                        <w:p w:rsidR="00776F84" w14:textId="77777777">
                          <w:pPr>
                            <w:pStyle w:val="WitregelW1"/>
                          </w:pPr>
                        </w:p>
                        <w:p w:rsidR="00776F84" w:rsidRPr="00A2132A" w14:textId="77777777">
                          <w:pPr>
                            <w:pStyle w:val="Referentiegegevens"/>
                            <w:rPr>
                              <w:lang w:val="de-DE"/>
                            </w:rPr>
                          </w:pPr>
                          <w:r w:rsidRPr="00A2132A">
                            <w:rPr>
                              <w:lang w:val="de-DE"/>
                            </w:rPr>
                            <w:t>Turfmarkt</w:t>
                          </w:r>
                          <w:r w:rsidRPr="00A2132A">
                            <w:rPr>
                              <w:lang w:val="de-DE"/>
                            </w:rPr>
                            <w:t xml:space="preserve"> 147</w:t>
                          </w:r>
                        </w:p>
                        <w:p w:rsidR="00776F84" w:rsidRPr="00A2132A" w14:textId="77777777">
                          <w:pPr>
                            <w:pStyle w:val="Referentiegegevens"/>
                            <w:rPr>
                              <w:lang w:val="de-DE"/>
                            </w:rPr>
                          </w:pPr>
                          <w:r w:rsidRPr="00A2132A">
                            <w:rPr>
                              <w:lang w:val="de-DE"/>
                            </w:rPr>
                            <w:t>2511 DP Den Haag</w:t>
                          </w:r>
                        </w:p>
                        <w:p w:rsidR="00776F84" w:rsidRPr="00A2132A" w14:textId="77777777">
                          <w:pPr>
                            <w:pStyle w:val="Referentiegegevens"/>
                            <w:rPr>
                              <w:lang w:val="de-DE"/>
                            </w:rPr>
                          </w:pPr>
                          <w:r w:rsidRPr="00A2132A">
                            <w:rPr>
                              <w:lang w:val="de-DE"/>
                            </w:rPr>
                            <w:t>Postbus 20011</w:t>
                          </w:r>
                        </w:p>
                        <w:p w:rsidR="00776F84" w14:textId="77777777">
                          <w:pPr>
                            <w:pStyle w:val="Referentiegegevens"/>
                          </w:pPr>
                          <w:r>
                            <w:t>2500 EA  Den Haag</w:t>
                          </w:r>
                        </w:p>
                        <w:p w:rsidR="00776F84" w14:textId="77777777">
                          <w:pPr>
                            <w:pStyle w:val="WitregelW2"/>
                          </w:pPr>
                        </w:p>
                        <w:p w:rsidR="00776F84" w14:textId="77777777">
                          <w:pPr>
                            <w:pStyle w:val="Referentiegegevensbold"/>
                          </w:pPr>
                          <w:r>
                            <w:t>Onze referentie</w:t>
                          </w:r>
                        </w:p>
                        <w:p w:rsidR="003926FF" w14:textId="039F9DAA">
                          <w:pPr>
                            <w:pStyle w:val="Referentiegegevens"/>
                          </w:pPr>
                          <w:r>
                            <w:fldChar w:fldCharType="begin"/>
                          </w:r>
                          <w:r>
                            <w:instrText xml:space="preserve"> DOCPROPERTY  "Kenmerk"  \* MERGEFORMAT </w:instrText>
                          </w:r>
                          <w:r>
                            <w:fldChar w:fldCharType="separate"/>
                          </w:r>
                          <w:r>
                            <w:t>2026-0000172673</w:t>
                          </w:r>
                          <w:r>
                            <w:fldChar w:fldCharType="end"/>
                          </w:r>
                        </w:p>
                        <w:p w:rsidR="00776F84" w14:textId="77777777">
                          <w:pPr>
                            <w:pStyle w:val="WitregelW1"/>
                          </w:pPr>
                        </w:p>
                        <w:p w:rsidR="00776F84" w14:textId="77777777">
                          <w:pPr>
                            <w:pStyle w:val="Referentiegegevensbold"/>
                          </w:pPr>
                          <w:r>
                            <w:t>Uw referentie</w:t>
                          </w:r>
                        </w:p>
                        <w:p w:rsidR="00776F84" w14:textId="77777777">
                          <w:pPr>
                            <w:pStyle w:val="Referentiegegevens"/>
                          </w:pPr>
                          <w:r>
                            <w:t>2026Z06994/2026D16385</w:t>
                          </w:r>
                        </w:p>
                        <w:p w:rsidR="00776F84" w14:textId="77777777">
                          <w:pPr>
                            <w:pStyle w:val="WitregelW1"/>
                          </w:pPr>
                        </w:p>
                        <w:p w:rsidR="00776F84" w14:textId="77777777">
                          <w:pPr>
                            <w:pStyle w:val="Referentiegegevensbold"/>
                          </w:pPr>
                          <w:r>
                            <w:t>Bijlage(n)</w:t>
                          </w:r>
                        </w:p>
                        <w:p w:rsidR="00776F84" w14:textId="571D0711">
                          <w:pPr>
                            <w:pStyle w:val="Referentiegegevens"/>
                          </w:pPr>
                          <w:r>
                            <w:t>1</w:t>
                          </w:r>
                        </w:p>
                        <w:p w:rsidR="00776F84" w14:textId="77777777">
                          <w:pPr>
                            <w:pStyle w:val="WitregelW2"/>
                          </w:pPr>
                        </w:p>
                        <w:p w:rsidR="00776F84"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776F84" w14:paraId="12787F3B" w14:textId="77777777">
                    <w:pPr>
                      <w:pStyle w:val="Referentiegegevensbold"/>
                    </w:pPr>
                    <w:r>
                      <w:t>Directoraat-Generaal Volkshuisvesting en Bouwen</w:t>
                    </w:r>
                  </w:p>
                  <w:p w:rsidR="00776F84" w14:paraId="12787F3C" w14:textId="77777777">
                    <w:pPr>
                      <w:pStyle w:val="Referentiegegevens"/>
                    </w:pPr>
                    <w:r>
                      <w:t>Directie Bouwen en Energie</w:t>
                    </w:r>
                  </w:p>
                  <w:p w:rsidR="00776F84" w14:paraId="12787F3D" w14:textId="77777777">
                    <w:pPr>
                      <w:pStyle w:val="WitregelW1"/>
                    </w:pPr>
                  </w:p>
                  <w:p w:rsidR="00776F84" w:rsidRPr="00A2132A" w14:paraId="12787F3E" w14:textId="77777777">
                    <w:pPr>
                      <w:pStyle w:val="Referentiegegevens"/>
                      <w:rPr>
                        <w:lang w:val="de-DE"/>
                      </w:rPr>
                    </w:pPr>
                    <w:r w:rsidRPr="00A2132A">
                      <w:rPr>
                        <w:lang w:val="de-DE"/>
                      </w:rPr>
                      <w:t>Turfmarkt</w:t>
                    </w:r>
                    <w:r w:rsidRPr="00A2132A">
                      <w:rPr>
                        <w:lang w:val="de-DE"/>
                      </w:rPr>
                      <w:t xml:space="preserve"> 147</w:t>
                    </w:r>
                  </w:p>
                  <w:p w:rsidR="00776F84" w:rsidRPr="00A2132A" w14:paraId="12787F3F" w14:textId="77777777">
                    <w:pPr>
                      <w:pStyle w:val="Referentiegegevens"/>
                      <w:rPr>
                        <w:lang w:val="de-DE"/>
                      </w:rPr>
                    </w:pPr>
                    <w:r w:rsidRPr="00A2132A">
                      <w:rPr>
                        <w:lang w:val="de-DE"/>
                      </w:rPr>
                      <w:t>2511 DP Den Haag</w:t>
                    </w:r>
                  </w:p>
                  <w:p w:rsidR="00776F84" w:rsidRPr="00A2132A" w14:paraId="12787F40" w14:textId="77777777">
                    <w:pPr>
                      <w:pStyle w:val="Referentiegegevens"/>
                      <w:rPr>
                        <w:lang w:val="de-DE"/>
                      </w:rPr>
                    </w:pPr>
                    <w:r w:rsidRPr="00A2132A">
                      <w:rPr>
                        <w:lang w:val="de-DE"/>
                      </w:rPr>
                      <w:t>Postbus 20011</w:t>
                    </w:r>
                  </w:p>
                  <w:p w:rsidR="00776F84" w14:paraId="12787F41" w14:textId="77777777">
                    <w:pPr>
                      <w:pStyle w:val="Referentiegegevens"/>
                    </w:pPr>
                    <w:r>
                      <w:t>2500 EA  Den Haag</w:t>
                    </w:r>
                  </w:p>
                  <w:p w:rsidR="00776F84" w14:paraId="12787F42" w14:textId="77777777">
                    <w:pPr>
                      <w:pStyle w:val="WitregelW2"/>
                    </w:pPr>
                  </w:p>
                  <w:p w:rsidR="00776F84" w14:paraId="12787F43" w14:textId="77777777">
                    <w:pPr>
                      <w:pStyle w:val="Referentiegegevensbold"/>
                    </w:pPr>
                    <w:r>
                      <w:t>Onze referentie</w:t>
                    </w:r>
                  </w:p>
                  <w:p w:rsidR="003926FF" w14:paraId="13629773" w14:textId="039F9DAA">
                    <w:pPr>
                      <w:pStyle w:val="Referentiegegevens"/>
                    </w:pPr>
                    <w:r>
                      <w:fldChar w:fldCharType="begin"/>
                    </w:r>
                    <w:r>
                      <w:instrText xml:space="preserve"> DOCPROPERTY  "Kenmerk"  \* MERGEFORMAT </w:instrText>
                    </w:r>
                    <w:r>
                      <w:fldChar w:fldCharType="separate"/>
                    </w:r>
                    <w:r>
                      <w:t>2026-0000172673</w:t>
                    </w:r>
                    <w:r>
                      <w:fldChar w:fldCharType="end"/>
                    </w:r>
                  </w:p>
                  <w:p w:rsidR="00776F84" w14:paraId="12787F45" w14:textId="77777777">
                    <w:pPr>
                      <w:pStyle w:val="WitregelW1"/>
                    </w:pPr>
                  </w:p>
                  <w:p w:rsidR="00776F84" w14:paraId="12787F46" w14:textId="77777777">
                    <w:pPr>
                      <w:pStyle w:val="Referentiegegevensbold"/>
                    </w:pPr>
                    <w:r>
                      <w:t>Uw referentie</w:t>
                    </w:r>
                  </w:p>
                  <w:p w:rsidR="00776F84" w14:paraId="12787F47" w14:textId="77777777">
                    <w:pPr>
                      <w:pStyle w:val="Referentiegegevens"/>
                    </w:pPr>
                    <w:r>
                      <w:t>2026Z06994/2026D16385</w:t>
                    </w:r>
                  </w:p>
                  <w:p w:rsidR="00776F84" w14:paraId="12787F48" w14:textId="77777777">
                    <w:pPr>
                      <w:pStyle w:val="WitregelW1"/>
                    </w:pPr>
                  </w:p>
                  <w:p w:rsidR="00776F84" w14:paraId="12787F49" w14:textId="77777777">
                    <w:pPr>
                      <w:pStyle w:val="Referentiegegevensbold"/>
                    </w:pPr>
                    <w:r>
                      <w:t>Bijlage(n)</w:t>
                    </w:r>
                  </w:p>
                  <w:p w:rsidR="00776F84" w14:paraId="12787F4A" w14:textId="571D0711">
                    <w:pPr>
                      <w:pStyle w:val="Referentiegegevens"/>
                    </w:pPr>
                    <w:r>
                      <w:t>1</w:t>
                    </w:r>
                  </w:p>
                  <w:p w:rsidR="00776F84" w14:paraId="12787F4B" w14:textId="77777777">
                    <w:pPr>
                      <w:pStyle w:val="WitregelW2"/>
                    </w:pPr>
                  </w:p>
                  <w:p w:rsidR="00776F84" w14:paraId="12787F4C"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2132A"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A2132A" w14:paraId="12787F5E"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926F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3926FF" w14:paraId="18090B2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776F84" w14:textId="77777777">
                          <w:pPr>
                            <w:spacing w:line="240" w:lineRule="auto"/>
                          </w:pPr>
                          <w:r>
                            <w:rPr>
                              <w:noProof/>
                            </w:rPr>
                            <w:drawing>
                              <wp:inline distT="0" distB="0" distL="0" distR="0">
                                <wp:extent cx="467995" cy="1583865"/>
                                <wp:effectExtent l="0" t="0" r="0" b="0"/>
                                <wp:docPr id="190056505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0056505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776F84" w14:paraId="12787F4E"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76F84" w14:textId="77777777">
                          <w:pPr>
                            <w:spacing w:line="240" w:lineRule="auto"/>
                          </w:pPr>
                          <w:r>
                            <w:rPr>
                              <w:noProof/>
                            </w:rPr>
                            <w:drawing>
                              <wp:inline distT="0" distB="0" distL="0" distR="0">
                                <wp:extent cx="2339975" cy="1582834"/>
                                <wp:effectExtent l="0" t="0" r="0" b="0"/>
                                <wp:docPr id="166551071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6551071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776F84" w14:paraId="12787F4F"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76F8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776F84" w14:paraId="12787F50"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DE54982"/>
    <w:multiLevelType w:val="multilevel"/>
    <w:tmpl w:val="A2E8DA7C"/>
    <w:name w:val="Artikelnummering"/>
    <w:lvl w:ilvl="0">
      <w:start w:val="1"/>
      <w:numFmt w:val="decimal"/>
      <w:pStyle w:val="Artikelnummer"/>
      <w:lvlText w:val="Artikel %1."/>
      <w:lvlJc w:val="left"/>
      <w:pPr>
        <w:ind w:left="3104" w:hanging="1130"/>
      </w:pPr>
    </w:lvl>
    <w:lvl w:ilvl="1">
      <w:start w:val="1"/>
      <w:numFmt w:val="decimal"/>
      <w:pStyle w:val="Lidnummer"/>
      <w:lvlText w:val="%2."/>
      <w:lvlJc w:val="left"/>
      <w:pPr>
        <w:ind w:left="2399" w:hanging="425"/>
      </w:pPr>
    </w:lvl>
    <w:lvl w:ilvl="2">
      <w:start w:val="1"/>
      <w:numFmt w:val="lowerLetter"/>
      <w:pStyle w:val="Lidnummerabc"/>
      <w:lvlText w:val="%3."/>
      <w:lvlJc w:val="left"/>
      <w:pPr>
        <w:ind w:left="2801" w:hanging="419"/>
      </w:pPr>
    </w:lvl>
    <w:lvl w:ilvl="3">
      <w:start w:val="1"/>
      <w:numFmt w:val="none"/>
      <w:pStyle w:val="Artikelstreepje"/>
      <w:lvlText w:val="-"/>
      <w:lvlJc w:val="left"/>
      <w:pPr>
        <w:ind w:left="2331" w:hanging="357"/>
      </w:pPr>
    </w:lvl>
    <w:lvl w:ilvl="4">
      <w:start w:val="1"/>
      <w:numFmt w:val="none"/>
      <w:pStyle w:val="Artikelstreepjeinspringen"/>
      <w:lvlText w:val="-"/>
      <w:lvlJc w:val="left"/>
      <w:pPr>
        <w:ind w:left="2801" w:hanging="419"/>
      </w:pPr>
    </w:lvl>
    <w:lvl w:ilvl="5">
      <w:start w:val="1"/>
      <w:numFmt w:val="none"/>
      <w:lvlJc w:val="left"/>
      <w:pPr>
        <w:ind w:left="1974" w:firstLine="0"/>
      </w:pPr>
    </w:lvl>
    <w:lvl w:ilvl="6">
      <w:start w:val="1"/>
      <w:numFmt w:val="none"/>
      <w:lvlJc w:val="left"/>
      <w:pPr>
        <w:ind w:left="1974" w:firstLine="0"/>
      </w:pPr>
    </w:lvl>
    <w:lvl w:ilvl="7">
      <w:start w:val="1"/>
      <w:numFmt w:val="none"/>
      <w:lvlJc w:val="left"/>
      <w:pPr>
        <w:ind w:left="1974" w:firstLine="0"/>
      </w:pPr>
    </w:lvl>
    <w:lvl w:ilvl="8">
      <w:start w:val="1"/>
      <w:numFmt w:val="none"/>
      <w:lvlJc w:val="left"/>
      <w:pPr>
        <w:ind w:left="1974" w:firstLine="0"/>
      </w:pPr>
    </w:lvl>
  </w:abstractNum>
  <w:abstractNum w:abstractNumId="1">
    <w:nsid w:val="EF6984D6"/>
    <w:multiLevelType w:val="multilevel"/>
    <w:tmpl w:val="7E68A78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43E6E98"/>
    <w:multiLevelType w:val="hybridMultilevel"/>
    <w:tmpl w:val="0B38D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40AFEEA"/>
    <w:multiLevelType w:val="multilevel"/>
    <w:tmpl w:val="E5F3E49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2B3C41A1"/>
    <w:multiLevelType w:val="multilevel"/>
    <w:tmpl w:val="A74899C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30F203DD"/>
    <w:multiLevelType w:val="hybridMultilevel"/>
    <w:tmpl w:val="E29C26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C06422"/>
    <w:multiLevelType w:val="hybridMultilevel"/>
    <w:tmpl w:val="657CA8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AA63323"/>
    <w:multiLevelType w:val="hybridMultilevel"/>
    <w:tmpl w:val="0F3A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3F6C5D"/>
    <w:multiLevelType w:val="hybridMultilevel"/>
    <w:tmpl w:val="EF0C276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41867585"/>
    <w:multiLevelType w:val="hybridMultilevel"/>
    <w:tmpl w:val="2F46DD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26259F7"/>
    <w:multiLevelType w:val="hybridMultilevel"/>
    <w:tmpl w:val="326E2A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922677"/>
    <w:multiLevelType w:val="hybridMultilevel"/>
    <w:tmpl w:val="34AE6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3B91D3B"/>
    <w:multiLevelType w:val="hybridMultilevel"/>
    <w:tmpl w:val="379A95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15C4FC9"/>
    <w:multiLevelType w:val="hybridMultilevel"/>
    <w:tmpl w:val="294A67A2"/>
    <w:lvl w:ilvl="0">
      <w:start w:val="0"/>
      <w:numFmt w:val="bullet"/>
      <w:lvlText w:val=""/>
      <w:lvlJc w:val="left"/>
      <w:pPr>
        <w:ind w:left="720" w:hanging="360"/>
      </w:pPr>
      <w:rPr>
        <w:rFonts w:ascii="Wingdings" w:eastAsia="Times New Roman" w:hAnsi="Wingdings"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226C60"/>
    <w:multiLevelType w:val="hybridMultilevel"/>
    <w:tmpl w:val="E482E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7EA4289"/>
    <w:multiLevelType w:val="hybridMultilevel"/>
    <w:tmpl w:val="D2E2D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5F80EA8"/>
    <w:multiLevelType w:val="hybridMultilevel"/>
    <w:tmpl w:val="E7D2F7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EDC1B3B"/>
    <w:multiLevelType w:val="hybridMultilevel"/>
    <w:tmpl w:val="F74E2ED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287196665">
    <w:abstractNumId w:val="0"/>
  </w:num>
  <w:num w:numId="2" w16cid:durableId="1867255283">
    <w:abstractNumId w:val="1"/>
  </w:num>
  <w:num w:numId="3" w16cid:durableId="843936410">
    <w:abstractNumId w:val="3"/>
  </w:num>
  <w:num w:numId="4" w16cid:durableId="981692436">
    <w:abstractNumId w:val="4"/>
  </w:num>
  <w:num w:numId="5" w16cid:durableId="674839161">
    <w:abstractNumId w:val="14"/>
  </w:num>
  <w:num w:numId="6" w16cid:durableId="1475874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5837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5671545">
    <w:abstractNumId w:val="11"/>
  </w:num>
  <w:num w:numId="9" w16cid:durableId="1048341200">
    <w:abstractNumId w:val="16"/>
  </w:num>
  <w:num w:numId="10" w16cid:durableId="933703387">
    <w:abstractNumId w:val="7"/>
  </w:num>
  <w:num w:numId="11" w16cid:durableId="1293898746">
    <w:abstractNumId w:val="12"/>
  </w:num>
  <w:num w:numId="12" w16cid:durableId="1838769640">
    <w:abstractNumId w:val="10"/>
  </w:num>
  <w:num w:numId="13" w16cid:durableId="1967543746">
    <w:abstractNumId w:val="6"/>
  </w:num>
  <w:num w:numId="14" w16cid:durableId="1918709563">
    <w:abstractNumId w:val="5"/>
  </w:num>
  <w:num w:numId="15" w16cid:durableId="1866752104">
    <w:abstractNumId w:val="13"/>
  </w:num>
  <w:num w:numId="16" w16cid:durableId="70928474">
    <w:abstractNumId w:val="15"/>
  </w:num>
  <w:num w:numId="17" w16cid:durableId="233466431">
    <w:abstractNumId w:val="8"/>
  </w:num>
  <w:num w:numId="18" w16cid:durableId="273829072">
    <w:abstractNumId w:val="9"/>
  </w:num>
  <w:num w:numId="19" w16cid:durableId="370568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F84"/>
    <w:rsid w:val="00014B59"/>
    <w:rsid w:val="00026004"/>
    <w:rsid w:val="00040FA5"/>
    <w:rsid w:val="000428C2"/>
    <w:rsid w:val="000452B4"/>
    <w:rsid w:val="000558CF"/>
    <w:rsid w:val="000570DB"/>
    <w:rsid w:val="00060674"/>
    <w:rsid w:val="00065697"/>
    <w:rsid w:val="00075B0B"/>
    <w:rsid w:val="00077DE7"/>
    <w:rsid w:val="000926D4"/>
    <w:rsid w:val="000A48FC"/>
    <w:rsid w:val="000A5320"/>
    <w:rsid w:val="000B0168"/>
    <w:rsid w:val="000B1962"/>
    <w:rsid w:val="000D05FE"/>
    <w:rsid w:val="000D202F"/>
    <w:rsid w:val="000D22AB"/>
    <w:rsid w:val="000E1386"/>
    <w:rsid w:val="000F4B17"/>
    <w:rsid w:val="00101B8F"/>
    <w:rsid w:val="001077B0"/>
    <w:rsid w:val="00112D66"/>
    <w:rsid w:val="00123953"/>
    <w:rsid w:val="001318FD"/>
    <w:rsid w:val="00132C5F"/>
    <w:rsid w:val="00143F20"/>
    <w:rsid w:val="00144291"/>
    <w:rsid w:val="00152897"/>
    <w:rsid w:val="0016535A"/>
    <w:rsid w:val="00183053"/>
    <w:rsid w:val="001842B3"/>
    <w:rsid w:val="00187FF5"/>
    <w:rsid w:val="0019115E"/>
    <w:rsid w:val="001A4B62"/>
    <w:rsid w:val="001A6006"/>
    <w:rsid w:val="001A756B"/>
    <w:rsid w:val="001A7DC0"/>
    <w:rsid w:val="001E7E5A"/>
    <w:rsid w:val="001F63FE"/>
    <w:rsid w:val="001F7508"/>
    <w:rsid w:val="00203B29"/>
    <w:rsid w:val="00212495"/>
    <w:rsid w:val="00214DBC"/>
    <w:rsid w:val="00217157"/>
    <w:rsid w:val="00223726"/>
    <w:rsid w:val="002334F0"/>
    <w:rsid w:val="00233F1E"/>
    <w:rsid w:val="00236416"/>
    <w:rsid w:val="0024152E"/>
    <w:rsid w:val="00242EDB"/>
    <w:rsid w:val="00245C2A"/>
    <w:rsid w:val="00247D7E"/>
    <w:rsid w:val="00250EAF"/>
    <w:rsid w:val="0025370E"/>
    <w:rsid w:val="002568DA"/>
    <w:rsid w:val="0026076B"/>
    <w:rsid w:val="00260C7B"/>
    <w:rsid w:val="002642F8"/>
    <w:rsid w:val="0027284E"/>
    <w:rsid w:val="00274265"/>
    <w:rsid w:val="0028355E"/>
    <w:rsid w:val="00291D9A"/>
    <w:rsid w:val="002B19E8"/>
    <w:rsid w:val="002B56FB"/>
    <w:rsid w:val="002C52F4"/>
    <w:rsid w:val="002D43A2"/>
    <w:rsid w:val="002E5786"/>
    <w:rsid w:val="002F2CB1"/>
    <w:rsid w:val="002F33C5"/>
    <w:rsid w:val="002F5BB3"/>
    <w:rsid w:val="002F62CA"/>
    <w:rsid w:val="00305314"/>
    <w:rsid w:val="00306624"/>
    <w:rsid w:val="00307967"/>
    <w:rsid w:val="003129D1"/>
    <w:rsid w:val="00314983"/>
    <w:rsid w:val="003158BA"/>
    <w:rsid w:val="003221A2"/>
    <w:rsid w:val="003222F2"/>
    <w:rsid w:val="00330D69"/>
    <w:rsid w:val="00332E42"/>
    <w:rsid w:val="00341F2E"/>
    <w:rsid w:val="00342286"/>
    <w:rsid w:val="0034675E"/>
    <w:rsid w:val="00351512"/>
    <w:rsid w:val="0035157F"/>
    <w:rsid w:val="00352D8B"/>
    <w:rsid w:val="00361D6A"/>
    <w:rsid w:val="00372597"/>
    <w:rsid w:val="00383628"/>
    <w:rsid w:val="003926FF"/>
    <w:rsid w:val="003A065A"/>
    <w:rsid w:val="003B2868"/>
    <w:rsid w:val="003B28B8"/>
    <w:rsid w:val="003D70E5"/>
    <w:rsid w:val="003D7A16"/>
    <w:rsid w:val="003E1CF8"/>
    <w:rsid w:val="003F5D47"/>
    <w:rsid w:val="00402750"/>
    <w:rsid w:val="00411EA7"/>
    <w:rsid w:val="00433FEE"/>
    <w:rsid w:val="00444885"/>
    <w:rsid w:val="00444ADD"/>
    <w:rsid w:val="004501DF"/>
    <w:rsid w:val="00450E71"/>
    <w:rsid w:val="00451C13"/>
    <w:rsid w:val="00477EE3"/>
    <w:rsid w:val="0048119E"/>
    <w:rsid w:val="00482A4B"/>
    <w:rsid w:val="00484321"/>
    <w:rsid w:val="00484C58"/>
    <w:rsid w:val="0048620C"/>
    <w:rsid w:val="00494823"/>
    <w:rsid w:val="004A0E7C"/>
    <w:rsid w:val="004B0058"/>
    <w:rsid w:val="004B3B0D"/>
    <w:rsid w:val="004B3D63"/>
    <w:rsid w:val="004C04F1"/>
    <w:rsid w:val="004C1264"/>
    <w:rsid w:val="004C2B14"/>
    <w:rsid w:val="004C3091"/>
    <w:rsid w:val="004D55B6"/>
    <w:rsid w:val="004E45B0"/>
    <w:rsid w:val="004F0CB8"/>
    <w:rsid w:val="004F3ABD"/>
    <w:rsid w:val="00500D62"/>
    <w:rsid w:val="00500DF0"/>
    <w:rsid w:val="005014E1"/>
    <w:rsid w:val="0050301C"/>
    <w:rsid w:val="00545495"/>
    <w:rsid w:val="005504D8"/>
    <w:rsid w:val="005538B4"/>
    <w:rsid w:val="00555C6A"/>
    <w:rsid w:val="00563C0B"/>
    <w:rsid w:val="00566A5A"/>
    <w:rsid w:val="00580137"/>
    <w:rsid w:val="005825A8"/>
    <w:rsid w:val="00585443"/>
    <w:rsid w:val="00587A27"/>
    <w:rsid w:val="00592F20"/>
    <w:rsid w:val="005976DD"/>
    <w:rsid w:val="005B4D40"/>
    <w:rsid w:val="005B6D91"/>
    <w:rsid w:val="005E1A4B"/>
    <w:rsid w:val="006003AB"/>
    <w:rsid w:val="00603F3D"/>
    <w:rsid w:val="00620332"/>
    <w:rsid w:val="00622D0D"/>
    <w:rsid w:val="006277EA"/>
    <w:rsid w:val="00642E5D"/>
    <w:rsid w:val="006433EE"/>
    <w:rsid w:val="006510E8"/>
    <w:rsid w:val="0065455D"/>
    <w:rsid w:val="00656B00"/>
    <w:rsid w:val="00677076"/>
    <w:rsid w:val="00691334"/>
    <w:rsid w:val="006A07B2"/>
    <w:rsid w:val="006A1022"/>
    <w:rsid w:val="006A3BBD"/>
    <w:rsid w:val="006D3193"/>
    <w:rsid w:val="006D4093"/>
    <w:rsid w:val="006D4BE1"/>
    <w:rsid w:val="006E7C30"/>
    <w:rsid w:val="006F17D9"/>
    <w:rsid w:val="006F2DED"/>
    <w:rsid w:val="006F3291"/>
    <w:rsid w:val="006F33A2"/>
    <w:rsid w:val="006F6809"/>
    <w:rsid w:val="006F6B71"/>
    <w:rsid w:val="00704CC6"/>
    <w:rsid w:val="00704FF3"/>
    <w:rsid w:val="00706A5D"/>
    <w:rsid w:val="007121AF"/>
    <w:rsid w:val="00726F29"/>
    <w:rsid w:val="0073138D"/>
    <w:rsid w:val="007351CE"/>
    <w:rsid w:val="0073590D"/>
    <w:rsid w:val="007366F3"/>
    <w:rsid w:val="00741119"/>
    <w:rsid w:val="007434E9"/>
    <w:rsid w:val="0074711D"/>
    <w:rsid w:val="00750149"/>
    <w:rsid w:val="00764136"/>
    <w:rsid w:val="00776BC1"/>
    <w:rsid w:val="00776F84"/>
    <w:rsid w:val="0077745A"/>
    <w:rsid w:val="0078646C"/>
    <w:rsid w:val="0079785F"/>
    <w:rsid w:val="007A7E63"/>
    <w:rsid w:val="007B3C4F"/>
    <w:rsid w:val="007B4F55"/>
    <w:rsid w:val="007B69CA"/>
    <w:rsid w:val="007B6B2E"/>
    <w:rsid w:val="007B71A2"/>
    <w:rsid w:val="007D1157"/>
    <w:rsid w:val="007D5CCD"/>
    <w:rsid w:val="007E1C6B"/>
    <w:rsid w:val="007E35D3"/>
    <w:rsid w:val="007E3BE3"/>
    <w:rsid w:val="007E4B5F"/>
    <w:rsid w:val="007F5391"/>
    <w:rsid w:val="007F607A"/>
    <w:rsid w:val="0080221B"/>
    <w:rsid w:val="00802F58"/>
    <w:rsid w:val="00806021"/>
    <w:rsid w:val="00824ECE"/>
    <w:rsid w:val="00825C2F"/>
    <w:rsid w:val="00830D31"/>
    <w:rsid w:val="00840D45"/>
    <w:rsid w:val="00845F46"/>
    <w:rsid w:val="008471E0"/>
    <w:rsid w:val="0086736C"/>
    <w:rsid w:val="00870EE4"/>
    <w:rsid w:val="008774A6"/>
    <w:rsid w:val="00877A3F"/>
    <w:rsid w:val="00883E51"/>
    <w:rsid w:val="0088787D"/>
    <w:rsid w:val="00897B87"/>
    <w:rsid w:val="008B1D73"/>
    <w:rsid w:val="008C1C9F"/>
    <w:rsid w:val="008C6E22"/>
    <w:rsid w:val="008D4F63"/>
    <w:rsid w:val="008E53A7"/>
    <w:rsid w:val="008E68E5"/>
    <w:rsid w:val="008E7860"/>
    <w:rsid w:val="008F5C48"/>
    <w:rsid w:val="008F7BAE"/>
    <w:rsid w:val="009027D3"/>
    <w:rsid w:val="00904058"/>
    <w:rsid w:val="0092570A"/>
    <w:rsid w:val="00926AD3"/>
    <w:rsid w:val="00936D63"/>
    <w:rsid w:val="00944F45"/>
    <w:rsid w:val="0097033A"/>
    <w:rsid w:val="009709AC"/>
    <w:rsid w:val="00977F04"/>
    <w:rsid w:val="009810A6"/>
    <w:rsid w:val="0099700E"/>
    <w:rsid w:val="009A3441"/>
    <w:rsid w:val="009C1C3C"/>
    <w:rsid w:val="009C5773"/>
    <w:rsid w:val="009C7DEA"/>
    <w:rsid w:val="009D112E"/>
    <w:rsid w:val="009D39DF"/>
    <w:rsid w:val="009D511C"/>
    <w:rsid w:val="009D606F"/>
    <w:rsid w:val="009E4FAE"/>
    <w:rsid w:val="009F0784"/>
    <w:rsid w:val="009F3520"/>
    <w:rsid w:val="009F78AA"/>
    <w:rsid w:val="00A03566"/>
    <w:rsid w:val="00A1535D"/>
    <w:rsid w:val="00A16CAB"/>
    <w:rsid w:val="00A2132A"/>
    <w:rsid w:val="00A23A89"/>
    <w:rsid w:val="00A31987"/>
    <w:rsid w:val="00A4050D"/>
    <w:rsid w:val="00A505BA"/>
    <w:rsid w:val="00A55CB3"/>
    <w:rsid w:val="00A563EB"/>
    <w:rsid w:val="00A57163"/>
    <w:rsid w:val="00A70E15"/>
    <w:rsid w:val="00A75EFC"/>
    <w:rsid w:val="00A8259F"/>
    <w:rsid w:val="00A9111F"/>
    <w:rsid w:val="00A911FF"/>
    <w:rsid w:val="00A9143E"/>
    <w:rsid w:val="00A9776B"/>
    <w:rsid w:val="00A97B99"/>
    <w:rsid w:val="00AA1D5D"/>
    <w:rsid w:val="00AA3C70"/>
    <w:rsid w:val="00AA43C1"/>
    <w:rsid w:val="00AC0E2C"/>
    <w:rsid w:val="00AC13D3"/>
    <w:rsid w:val="00AC4588"/>
    <w:rsid w:val="00AC5102"/>
    <w:rsid w:val="00AC6216"/>
    <w:rsid w:val="00AC77FE"/>
    <w:rsid w:val="00AD0531"/>
    <w:rsid w:val="00AF64AA"/>
    <w:rsid w:val="00B07BE0"/>
    <w:rsid w:val="00B152A1"/>
    <w:rsid w:val="00B36F82"/>
    <w:rsid w:val="00B37096"/>
    <w:rsid w:val="00B377A8"/>
    <w:rsid w:val="00B52559"/>
    <w:rsid w:val="00B52D97"/>
    <w:rsid w:val="00B53645"/>
    <w:rsid w:val="00B5610D"/>
    <w:rsid w:val="00B65FED"/>
    <w:rsid w:val="00B66F87"/>
    <w:rsid w:val="00B70172"/>
    <w:rsid w:val="00B7749E"/>
    <w:rsid w:val="00B775E3"/>
    <w:rsid w:val="00B81647"/>
    <w:rsid w:val="00B9038F"/>
    <w:rsid w:val="00B903BF"/>
    <w:rsid w:val="00B9063B"/>
    <w:rsid w:val="00B92FF7"/>
    <w:rsid w:val="00B96CD0"/>
    <w:rsid w:val="00B96DF4"/>
    <w:rsid w:val="00B97CCE"/>
    <w:rsid w:val="00BB3175"/>
    <w:rsid w:val="00BC0AB0"/>
    <w:rsid w:val="00BC2DC2"/>
    <w:rsid w:val="00BC4C60"/>
    <w:rsid w:val="00BD13CF"/>
    <w:rsid w:val="00BD23CE"/>
    <w:rsid w:val="00BD37AB"/>
    <w:rsid w:val="00BD4632"/>
    <w:rsid w:val="00BE6261"/>
    <w:rsid w:val="00BE7609"/>
    <w:rsid w:val="00BF094F"/>
    <w:rsid w:val="00BF6F1D"/>
    <w:rsid w:val="00C05D38"/>
    <w:rsid w:val="00C1573E"/>
    <w:rsid w:val="00C15A0A"/>
    <w:rsid w:val="00C220BC"/>
    <w:rsid w:val="00C2321B"/>
    <w:rsid w:val="00C26955"/>
    <w:rsid w:val="00C32F63"/>
    <w:rsid w:val="00C335B7"/>
    <w:rsid w:val="00C3765C"/>
    <w:rsid w:val="00C37921"/>
    <w:rsid w:val="00C37ADF"/>
    <w:rsid w:val="00C50F00"/>
    <w:rsid w:val="00C53611"/>
    <w:rsid w:val="00C6689C"/>
    <w:rsid w:val="00C8658F"/>
    <w:rsid w:val="00C9257E"/>
    <w:rsid w:val="00CA1055"/>
    <w:rsid w:val="00CA361A"/>
    <w:rsid w:val="00CA3D88"/>
    <w:rsid w:val="00CA6067"/>
    <w:rsid w:val="00CA6E75"/>
    <w:rsid w:val="00CB1B63"/>
    <w:rsid w:val="00CB1FB8"/>
    <w:rsid w:val="00CD528F"/>
    <w:rsid w:val="00CE325A"/>
    <w:rsid w:val="00CF27DD"/>
    <w:rsid w:val="00CF2918"/>
    <w:rsid w:val="00CF2BE0"/>
    <w:rsid w:val="00D04A4E"/>
    <w:rsid w:val="00D3589C"/>
    <w:rsid w:val="00D5408A"/>
    <w:rsid w:val="00D63718"/>
    <w:rsid w:val="00D70678"/>
    <w:rsid w:val="00D7168A"/>
    <w:rsid w:val="00D73AD5"/>
    <w:rsid w:val="00D77A2B"/>
    <w:rsid w:val="00D80C82"/>
    <w:rsid w:val="00D8262D"/>
    <w:rsid w:val="00D83C61"/>
    <w:rsid w:val="00D85562"/>
    <w:rsid w:val="00D8734D"/>
    <w:rsid w:val="00D90431"/>
    <w:rsid w:val="00DB2F07"/>
    <w:rsid w:val="00DB5F40"/>
    <w:rsid w:val="00DC066A"/>
    <w:rsid w:val="00DC0E81"/>
    <w:rsid w:val="00DD0DC7"/>
    <w:rsid w:val="00E00DF8"/>
    <w:rsid w:val="00E0125B"/>
    <w:rsid w:val="00E14632"/>
    <w:rsid w:val="00E16B01"/>
    <w:rsid w:val="00E22480"/>
    <w:rsid w:val="00E42A4E"/>
    <w:rsid w:val="00E43479"/>
    <w:rsid w:val="00E46E6C"/>
    <w:rsid w:val="00E644CD"/>
    <w:rsid w:val="00E73257"/>
    <w:rsid w:val="00E81A6F"/>
    <w:rsid w:val="00E84B41"/>
    <w:rsid w:val="00E8587A"/>
    <w:rsid w:val="00E943AA"/>
    <w:rsid w:val="00E94F3A"/>
    <w:rsid w:val="00E971F1"/>
    <w:rsid w:val="00EA1B46"/>
    <w:rsid w:val="00EA762D"/>
    <w:rsid w:val="00EC0D78"/>
    <w:rsid w:val="00EC7AC4"/>
    <w:rsid w:val="00ED612B"/>
    <w:rsid w:val="00F01949"/>
    <w:rsid w:val="00F20D7A"/>
    <w:rsid w:val="00F479E3"/>
    <w:rsid w:val="00F5148B"/>
    <w:rsid w:val="00F545DA"/>
    <w:rsid w:val="00F56938"/>
    <w:rsid w:val="00F6695B"/>
    <w:rsid w:val="00F750E7"/>
    <w:rsid w:val="00F924D5"/>
    <w:rsid w:val="00F948BE"/>
    <w:rsid w:val="00F95E32"/>
    <w:rsid w:val="00FB0C4F"/>
    <w:rsid w:val="00FB1500"/>
    <w:rsid w:val="00FB5247"/>
    <w:rsid w:val="00FC0997"/>
    <w:rsid w:val="00FC4E0A"/>
    <w:rsid w:val="00FD69BD"/>
    <w:rsid w:val="00FF6B2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2787F07"/>
  <w15:docId w15:val="{DFE9A0D9-9CFE-4145-882A-4ADFC04A1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2132A"/>
    <w:pPr>
      <w:tabs>
        <w:tab w:val="center" w:pos="4536"/>
        <w:tab w:val="right" w:pos="9072"/>
      </w:tabs>
      <w:spacing w:line="240" w:lineRule="auto"/>
    </w:pPr>
  </w:style>
  <w:style w:type="character" w:customStyle="1" w:styleId="KoptekstChar">
    <w:name w:val="Koptekst Char"/>
    <w:basedOn w:val="DefaultParagraphFont"/>
    <w:link w:val="Header"/>
    <w:uiPriority w:val="99"/>
    <w:rsid w:val="00A2132A"/>
    <w:rPr>
      <w:rFonts w:ascii="Verdana" w:hAnsi="Verdana"/>
      <w:color w:val="000000"/>
      <w:sz w:val="18"/>
      <w:szCs w:val="18"/>
    </w:rPr>
  </w:style>
  <w:style w:type="paragraph" w:styleId="Footer">
    <w:name w:val="footer"/>
    <w:basedOn w:val="Normal"/>
    <w:link w:val="VoettekstChar"/>
    <w:uiPriority w:val="99"/>
    <w:unhideWhenUsed/>
    <w:rsid w:val="00A2132A"/>
    <w:pPr>
      <w:tabs>
        <w:tab w:val="center" w:pos="4536"/>
        <w:tab w:val="right" w:pos="9072"/>
      </w:tabs>
      <w:spacing w:line="240" w:lineRule="auto"/>
    </w:pPr>
  </w:style>
  <w:style w:type="character" w:customStyle="1" w:styleId="VoettekstChar">
    <w:name w:val="Voettekst Char"/>
    <w:basedOn w:val="DefaultParagraphFont"/>
    <w:link w:val="Footer"/>
    <w:uiPriority w:val="99"/>
    <w:rsid w:val="00A2132A"/>
    <w:rPr>
      <w:rFonts w:ascii="Verdana" w:hAnsi="Verdana"/>
      <w:color w:val="000000"/>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L"/>
    <w:basedOn w:val="Normal"/>
    <w:link w:val="LijstalineaChar"/>
    <w:uiPriority w:val="34"/>
    <w:qFormat/>
    <w:rsid w:val="00143F20"/>
    <w:pPr>
      <w:ind w:left="720"/>
      <w:contextualSpacing/>
    </w:pPr>
  </w:style>
  <w:style w:type="paragraph" w:customStyle="1" w:styleId="pf0">
    <w:name w:val="pf0"/>
    <w:basedOn w:val="Normal"/>
    <w:rsid w:val="00B8164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B81647"/>
    <w:rPr>
      <w:rFonts w:ascii="Segoe UI" w:hAnsi="Segoe UI" w:cs="Segoe UI" w:hint="default"/>
      <w:sz w:val="18"/>
      <w:szCs w:val="18"/>
    </w:rPr>
  </w:style>
  <w:style w:type="character" w:customStyle="1" w:styleId="cf11">
    <w:name w:val="cf11"/>
    <w:basedOn w:val="DefaultParagraphFont"/>
    <w:rsid w:val="00B81647"/>
    <w:rPr>
      <w:rFonts w:ascii="Segoe UI" w:hAnsi="Segoe UI" w:cs="Segoe UI" w:hint="default"/>
      <w:i/>
      <w:iCs/>
      <w:sz w:val="18"/>
      <w:szCs w:val="18"/>
    </w:rPr>
  </w:style>
  <w:style w:type="paragraph" w:styleId="FootnoteText">
    <w:name w:val="footnote text"/>
    <w:basedOn w:val="Normal"/>
    <w:link w:val="VoetnoottekstChar"/>
    <w:uiPriority w:val="99"/>
    <w:unhideWhenUsed/>
    <w:rsid w:val="00A9111F"/>
    <w:pPr>
      <w:spacing w:line="240" w:lineRule="auto"/>
    </w:pPr>
    <w:rPr>
      <w:sz w:val="20"/>
      <w:szCs w:val="20"/>
    </w:rPr>
  </w:style>
  <w:style w:type="character" w:customStyle="1" w:styleId="VoetnoottekstChar">
    <w:name w:val="Voetnoottekst Char"/>
    <w:basedOn w:val="DefaultParagraphFont"/>
    <w:link w:val="FootnoteText"/>
    <w:uiPriority w:val="99"/>
    <w:rsid w:val="00A9111F"/>
    <w:rPr>
      <w:rFonts w:ascii="Verdana" w:hAnsi="Verdana"/>
      <w:color w:val="000000"/>
    </w:rPr>
  </w:style>
  <w:style w:type="character" w:styleId="FootnoteReference">
    <w:name w:val="footnote reference"/>
    <w:basedOn w:val="DefaultParagraphFont"/>
    <w:uiPriority w:val="99"/>
    <w:semiHidden/>
    <w:unhideWhenUsed/>
    <w:rsid w:val="00A9111F"/>
    <w:rPr>
      <w:vertAlign w:val="superscript"/>
    </w:rPr>
  </w:style>
  <w:style w:type="character" w:styleId="UnresolvedMention">
    <w:name w:val="Unresolved Mention"/>
    <w:basedOn w:val="DefaultParagraphFont"/>
    <w:uiPriority w:val="99"/>
    <w:semiHidden/>
    <w:unhideWhenUsed/>
    <w:rsid w:val="00EC0D78"/>
    <w:rPr>
      <w:color w:val="605E5C"/>
      <w:shd w:val="clear" w:color="auto" w:fill="E1DFDD"/>
    </w:rPr>
  </w:style>
  <w:style w:type="paragraph" w:styleId="Revision">
    <w:name w:val="Revision"/>
    <w:hidden/>
    <w:uiPriority w:val="99"/>
    <w:semiHidden/>
    <w:rsid w:val="00383628"/>
    <w:pPr>
      <w:autoSpaceDN/>
      <w:textAlignment w:val="auto"/>
    </w:pPr>
    <w:rPr>
      <w:rFonts w:ascii="Verdana" w:hAnsi="Verdana"/>
      <w:color w:val="000000"/>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stParagraph"/>
    <w:uiPriority w:val="34"/>
    <w:locked/>
    <w:rsid w:val="00A9143E"/>
    <w:rPr>
      <w:rFonts w:ascii="Verdana" w:hAnsi="Verdana"/>
      <w:color w:val="000000"/>
      <w:sz w:val="18"/>
      <w:szCs w:val="18"/>
    </w:rPr>
  </w:style>
  <w:style w:type="character" w:styleId="CommentReference">
    <w:name w:val="annotation reference"/>
    <w:basedOn w:val="DefaultParagraphFont"/>
    <w:uiPriority w:val="99"/>
    <w:semiHidden/>
    <w:unhideWhenUsed/>
    <w:rsid w:val="00500D62"/>
    <w:rPr>
      <w:sz w:val="16"/>
      <w:szCs w:val="16"/>
    </w:rPr>
  </w:style>
  <w:style w:type="paragraph" w:styleId="CommentText">
    <w:name w:val="annotation text"/>
    <w:basedOn w:val="Normal"/>
    <w:link w:val="TekstopmerkingChar"/>
    <w:uiPriority w:val="99"/>
    <w:unhideWhenUsed/>
    <w:rsid w:val="00500D62"/>
    <w:pPr>
      <w:spacing w:line="240" w:lineRule="auto"/>
    </w:pPr>
    <w:rPr>
      <w:sz w:val="20"/>
      <w:szCs w:val="20"/>
    </w:rPr>
  </w:style>
  <w:style w:type="character" w:customStyle="1" w:styleId="TekstopmerkingChar">
    <w:name w:val="Tekst opmerking Char"/>
    <w:basedOn w:val="DefaultParagraphFont"/>
    <w:link w:val="CommentText"/>
    <w:uiPriority w:val="99"/>
    <w:rsid w:val="00500D62"/>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500D62"/>
    <w:rPr>
      <w:b/>
      <w:bCs/>
    </w:rPr>
  </w:style>
  <w:style w:type="character" w:customStyle="1" w:styleId="OnderwerpvanopmerkingChar">
    <w:name w:val="Onderwerp van opmerking Char"/>
    <w:basedOn w:val="TekstopmerkingChar"/>
    <w:link w:val="CommentSubject"/>
    <w:uiPriority w:val="99"/>
    <w:semiHidden/>
    <w:rsid w:val="00500D62"/>
    <w:rPr>
      <w:rFonts w:ascii="Verdana" w:hAnsi="Verdana"/>
      <w:b/>
      <w:bCs/>
      <w:color w:val="000000"/>
    </w:rPr>
  </w:style>
  <w:style w:type="character" w:styleId="FollowedHyperlink">
    <w:name w:val="FollowedHyperlink"/>
    <w:basedOn w:val="DefaultParagraphFont"/>
    <w:uiPriority w:val="99"/>
    <w:semiHidden/>
    <w:unhideWhenUsed/>
    <w:rsid w:val="00BC0AB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open.overheid.nl/details/e5192ebe-63f6-408c-980a-df9842739db1" TargetMode="External" /><Relationship Id="rId10" Type="http://schemas.openxmlformats.org/officeDocument/2006/relationships/hyperlink" Target="https://open.overheid.nl/documenten/cf9dc42c-9cdf-44f2-88af-b2cd6c5a13fa/file" TargetMode="External" /><Relationship Id="rId11" Type="http://schemas.openxmlformats.org/officeDocument/2006/relationships/hyperlink" Target="https://www.rijksoverheid.nl/documenten/kamerstukken/2025/04/17/tk-kamerbrief-voorhang-ontwerpbesluit-wijziging-besluit-bouwwerken-leefomgeving-regelen-maatwerkvoorschrift-ingebruikname" TargetMode="External" /><Relationship Id="rId2" Type="http://schemas.openxmlformats.org/officeDocument/2006/relationships/hyperlink" Target="https://zoek.officielebekendmakingen.nl/kst-32847-1352.html" TargetMode="External" /><Relationship Id="rId3" Type="http://schemas.openxmlformats.org/officeDocument/2006/relationships/hyperlink" Target="https://nipv.nl/documenten/tussen-regels-en-realiteit-inventariserend-onderzoek-naar-de-classificatie-wonen-met-zorg-in-relatie-tot-brandveiligheid/" TargetMode="External" /><Relationship Id="rId4" Type="http://schemas.openxmlformats.org/officeDocument/2006/relationships/hyperlink" Target="https://open.overheid.nl/details/c4c12bb0-33ff-4348-a36f-b9897e20e0f8" TargetMode="External" /><Relationship Id="rId5" Type="http://schemas.openxmlformats.org/officeDocument/2006/relationships/hyperlink" Target="https://zoek.officielebekendmakingen.nl/stb-2023-426.html" TargetMode="External" /><Relationship Id="rId6" Type="http://schemas.openxmlformats.org/officeDocument/2006/relationships/hyperlink" Target="https://atgb.nl/advies/atgb-grenfell-fase-2/" TargetMode="External" /><Relationship Id="rId7" Type="http://schemas.openxmlformats.org/officeDocument/2006/relationships/hyperlink" Target="https://repository.tno.nl/SingleDoc?find=UID%205fb35e56-dfb1-4b72-bcf1-fbcfc4003c65" TargetMode="External" /><Relationship Id="rId8" Type="http://schemas.openxmlformats.org/officeDocument/2006/relationships/hyperlink" Target="https://atgb.nl/advies/atgb-advies-houtbouw-en-pv/" TargetMode="External" /><Relationship Id="rId9" Type="http://schemas.openxmlformats.org/officeDocument/2006/relationships/hyperlink" Target="https://connect.nen.nl/Family/Detail?name=NTA+6125"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4251</ap:Words>
  <ap:Characters>23383</ap:Characters>
  <ap:DocSecurity>0</ap:DocSecurity>
  <ap:Lines>194</ap:Lines>
  <ap:Paragraphs>55</ap:Paragraphs>
  <ap:ScaleCrop>false</ap:ScaleCrop>
  <ap:HeadingPairs>
    <vt:vector baseType="variant" size="2">
      <vt:variant>
        <vt:lpstr>Titel</vt:lpstr>
      </vt:variant>
      <vt:variant>
        <vt:i4>1</vt:i4>
      </vt:variant>
    </vt:vector>
  </ap:HeadingPairs>
  <ap:TitlesOfParts>
    <vt:vector baseType="lpstr" size="1">
      <vt:lpstr>Brief aan Parlement - Nadere uitwerking van de beleidsagenda bouwregelgeving</vt:lpstr>
    </vt:vector>
  </ap:TitlesOfParts>
  <ap:LinksUpToDate>false</ap:LinksUpToDate>
  <ap:CharactersWithSpaces>27579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2026-05-22T11:35:00.0000000Z</dcterms:created>
  <dcterms:modified xsi:type="dcterms:W3CDTF">2026-05-22T11:35:00.0000000Z</dcterms:modified>
  <dc:creator/>
  <lastModifiedBy/>
  <dc:description>------------------------</dc:description>
  <dc:subject/>
  <keywords/>
  <version/>
  <category/>
</coreProperties>
</file>