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1AB2" w:rsidR="00F60616" w:rsidP="00EF7FA9" w:rsidRDefault="00F60616" w14:paraId="221A826E" w14:textId="782E1923">
      <w:pPr>
        <w:spacing w:line="240" w:lineRule="auto"/>
      </w:pPr>
      <w:r w:rsidRPr="005328B9">
        <w:t>De fysieke wereld en</w:t>
      </w:r>
      <w:r w:rsidRPr="005328B9" w:rsidR="001B790D">
        <w:t xml:space="preserve"> het</w:t>
      </w:r>
      <w:r w:rsidRPr="005328B9">
        <w:t xml:space="preserve"> online </w:t>
      </w:r>
      <w:r w:rsidRPr="005328B9" w:rsidR="001B790D">
        <w:t>domein</w:t>
      </w:r>
      <w:r w:rsidRPr="005328B9">
        <w:t xml:space="preserve"> zijn onlosmakelijk met elkaar verbonden, waarbij de online wereld een steeds grotere rol inneemt in onze samenleving</w:t>
      </w:r>
      <w:r w:rsidRPr="005328B9" w:rsidR="006A17A9">
        <w:t>.</w:t>
      </w:r>
      <w:r w:rsidRPr="005328B9">
        <w:t xml:space="preserve"> </w:t>
      </w:r>
      <w:r w:rsidRPr="005328B9" w:rsidR="006A17A9">
        <w:t xml:space="preserve">Dit geldt </w:t>
      </w:r>
      <w:r w:rsidRPr="005328B9">
        <w:t xml:space="preserve">in het bijzonder </w:t>
      </w:r>
      <w:r w:rsidRPr="005328B9" w:rsidR="006A17A9">
        <w:t>voor</w:t>
      </w:r>
      <w:r w:rsidRPr="005328B9">
        <w:t xml:space="preserve"> de </w:t>
      </w:r>
      <w:r w:rsidRPr="005328B9" w:rsidR="001B790D">
        <w:t>be</w:t>
      </w:r>
      <w:r w:rsidRPr="005328B9" w:rsidR="006A17A9">
        <w:t>le</w:t>
      </w:r>
      <w:r w:rsidRPr="005328B9" w:rsidR="001B790D">
        <w:t>v</w:t>
      </w:r>
      <w:r w:rsidRPr="005328B9" w:rsidR="006A17A9">
        <w:t>in</w:t>
      </w:r>
      <w:r w:rsidRPr="005328B9" w:rsidR="001B790D">
        <w:t>gswereld</w:t>
      </w:r>
      <w:r w:rsidRPr="005328B9">
        <w:t xml:space="preserve"> van jongeren. De online </w:t>
      </w:r>
      <w:r w:rsidRPr="00FD1AB2">
        <w:t>verbondenheid brengt kansen met zich mee, leidt tot innovatie en faciliteert kennisuitwisseling. Het creëert echter ook doorlopend nieuwe mogelijkheden voor terroristische en extremistische groeperingen</w:t>
      </w:r>
      <w:r w:rsidRPr="00FD1AB2" w:rsidR="00E44053">
        <w:t xml:space="preserve"> en individuen </w:t>
      </w:r>
      <w:r w:rsidRPr="00FD1AB2">
        <w:t>om propaganda te verspreiden, kwetsbare individuen – met name jongeren – te rekruteren en aan te sporen tot geweld in de fysieke wereld.</w:t>
      </w:r>
      <w:r w:rsidRPr="00FD1AB2">
        <w:rPr>
          <w:rStyle w:val="Voetnootmarkering"/>
        </w:rPr>
        <w:footnoteReference w:id="1"/>
      </w:r>
      <w:r w:rsidRPr="00FD1AB2">
        <w:t xml:space="preserve"> Het meest recente Dreigingsbeeld Terrorisme Nederland (DTN) </w:t>
      </w:r>
      <w:r w:rsidRPr="00FD1AB2" w:rsidR="00B12145">
        <w:t xml:space="preserve">benadrukt opnieuw de zorgen rondom de toenemende online radicalisering </w:t>
      </w:r>
      <w:r w:rsidRPr="00FD1AB2">
        <w:t xml:space="preserve">en waarschuwt voor de gevaren van onder andere jihadistische en rechts-terroristische propaganda. </w:t>
      </w:r>
      <w:r w:rsidRPr="00FD1AB2" w:rsidR="00BA6BCF">
        <w:t xml:space="preserve">Ook nemen </w:t>
      </w:r>
      <w:r w:rsidRPr="00FD1AB2">
        <w:t>de zorgen omtrent het online nihilistisch</w:t>
      </w:r>
      <w:r w:rsidRPr="00FD1AB2" w:rsidR="001B1D66">
        <w:t xml:space="preserve"> extremisme</w:t>
      </w:r>
      <w:r w:rsidRPr="00FD1AB2">
        <w:t xml:space="preserve"> toe</w:t>
      </w:r>
      <w:r w:rsidRPr="00FD1AB2" w:rsidR="00F80D52">
        <w:t>,</w:t>
      </w:r>
      <w:r w:rsidRPr="00FD1AB2" w:rsidR="00E44053">
        <w:rPr>
          <w:rStyle w:val="Voetnootmarkering"/>
        </w:rPr>
        <w:footnoteReference w:id="2"/>
      </w:r>
      <w:r w:rsidRPr="00FD1AB2">
        <w:t xml:space="preserve"> met name gezien de (zeer) jonge </w:t>
      </w:r>
      <w:r w:rsidRPr="00FD1AB2" w:rsidR="00960D44">
        <w:t>slachtoffers</w:t>
      </w:r>
      <w:r w:rsidRPr="00FD1AB2">
        <w:t>.</w:t>
      </w:r>
      <w:r w:rsidRPr="00FD1AB2" w:rsidR="00BB35B4">
        <w:t xml:space="preserve"> </w:t>
      </w:r>
    </w:p>
    <w:p w:rsidRPr="00FD1AB2" w:rsidR="00305BDB" w:rsidP="00EF7FA9" w:rsidRDefault="00305BDB" w14:paraId="20BEC4E7" w14:textId="77777777">
      <w:pPr>
        <w:spacing w:line="240" w:lineRule="auto"/>
      </w:pPr>
    </w:p>
    <w:p w:rsidRPr="00FD1AB2" w:rsidR="00F60616" w:rsidP="00EF7FA9" w:rsidRDefault="00F60616" w14:paraId="55D306DD" w14:textId="0DF03067">
      <w:pPr>
        <w:spacing w:line="240" w:lineRule="auto"/>
      </w:pPr>
      <w:r w:rsidRPr="00FD1AB2">
        <w:t>Het kabinet blijft zich onverminderd inzetten om online radicalisering, extremisme en terrorisme aan te pakken en effectief te reageren op nieuwe ontwikkelingen. De laatste jaren zijn veel stappen gezet in de doorontwikkeling van de Versterkte Aanpak Online (VAO).</w:t>
      </w:r>
      <w:r w:rsidRPr="00FD1AB2" w:rsidR="003B360E">
        <w:rPr>
          <w:rStyle w:val="Voetnootmarkering"/>
        </w:rPr>
        <w:footnoteReference w:id="3"/>
      </w:r>
      <w:r w:rsidRPr="00FD1AB2">
        <w:t xml:space="preserve"> </w:t>
      </w:r>
      <w:r w:rsidRPr="00FD1AB2" w:rsidR="00CC44C8">
        <w:t>Met oog op</w:t>
      </w:r>
      <w:r w:rsidRPr="00FD1AB2">
        <w:t xml:space="preserve"> de toenemende en verander</w:t>
      </w:r>
      <w:r w:rsidRPr="00FD1AB2" w:rsidR="0060153C">
        <w:t>en</w:t>
      </w:r>
      <w:r w:rsidRPr="00FD1AB2">
        <w:t>de online dreiging zijn in het coalitieakkoord</w:t>
      </w:r>
      <w:r w:rsidRPr="00FD1AB2" w:rsidR="00EE7CA5">
        <w:t xml:space="preserve"> initiatieven opgenomen die </w:t>
      </w:r>
      <w:r w:rsidRPr="00FD1AB2" w:rsidR="00B12145">
        <w:t xml:space="preserve">(kunnen) </w:t>
      </w:r>
      <w:r w:rsidRPr="00FD1AB2" w:rsidR="00EE7CA5">
        <w:t xml:space="preserve">bijdragen </w:t>
      </w:r>
      <w:r w:rsidRPr="00FD1AB2" w:rsidR="00B12145">
        <w:t xml:space="preserve">aan </w:t>
      </w:r>
      <w:r w:rsidRPr="00FD1AB2" w:rsidR="0060153C">
        <w:t>de aanpak van</w:t>
      </w:r>
      <w:r w:rsidRPr="00FD1AB2">
        <w:t xml:space="preserve"> online radicalisering, extremisme en terrorisme, waaronder een verbod </w:t>
      </w:r>
      <w:r w:rsidRPr="00FD1AB2" w:rsidR="007D42E0">
        <w:t xml:space="preserve">op </w:t>
      </w:r>
      <w:r w:rsidRPr="00FD1AB2" w:rsidR="001B790D">
        <w:t>verslavende</w:t>
      </w:r>
      <w:r w:rsidRPr="00FD1AB2" w:rsidR="0017766B">
        <w:t xml:space="preserve">, </w:t>
      </w:r>
      <w:r w:rsidRPr="00FD1AB2" w:rsidR="007D42E0">
        <w:t>polariserende</w:t>
      </w:r>
      <w:r w:rsidRPr="00FD1AB2" w:rsidR="0017766B">
        <w:t xml:space="preserve"> en democratie-ondermijnende </w:t>
      </w:r>
      <w:r w:rsidRPr="00FD1AB2">
        <w:t>algoritmen.</w:t>
      </w:r>
      <w:r w:rsidRPr="00FD1AB2" w:rsidR="00EF7FA9">
        <w:t xml:space="preserve"> </w:t>
      </w:r>
      <w:r w:rsidRPr="00FD1AB2">
        <w:t xml:space="preserve">Ook </w:t>
      </w:r>
      <w:r w:rsidRPr="00FD1AB2" w:rsidR="00C32645">
        <w:t>p</w:t>
      </w:r>
      <w:r w:rsidRPr="00FD1AB2">
        <w:t xml:space="preserve">resenteerde </w:t>
      </w:r>
      <w:r w:rsidRPr="00FD1AB2" w:rsidR="0029624C">
        <w:t xml:space="preserve">de Europese Commissie onlangs de nieuwe </w:t>
      </w:r>
      <w:r w:rsidRPr="00FD1AB2" w:rsidR="00794AFE">
        <w:t>EU Contra-terrorisme (EU-CT) agenda</w:t>
      </w:r>
      <w:r w:rsidRPr="00FD1AB2" w:rsidR="0029624C">
        <w:t>, waarin</w:t>
      </w:r>
      <w:r w:rsidRPr="00FD1AB2">
        <w:t xml:space="preserve"> specifiek aandacht </w:t>
      </w:r>
      <w:r w:rsidRPr="00FD1AB2" w:rsidR="0029624C">
        <w:t xml:space="preserve">is </w:t>
      </w:r>
      <w:r w:rsidRPr="00FD1AB2">
        <w:t>voor de online dimensie</w:t>
      </w:r>
      <w:r w:rsidRPr="00FD1AB2" w:rsidR="0029624C">
        <w:t xml:space="preserve"> en aanvullende maatregelen</w:t>
      </w:r>
      <w:r w:rsidRPr="00FD1AB2" w:rsidR="00A17A6E">
        <w:t xml:space="preserve"> om online radicalisering tegen te gaan</w:t>
      </w:r>
      <w:r w:rsidRPr="00FD1AB2">
        <w:t>.</w:t>
      </w:r>
      <w:r w:rsidRPr="00FD1AB2" w:rsidR="00794AFE">
        <w:rPr>
          <w:rStyle w:val="Voetnootmarkering"/>
        </w:rPr>
        <w:footnoteReference w:id="4"/>
      </w:r>
      <w:r w:rsidRPr="00FD1AB2">
        <w:t xml:space="preserve"> </w:t>
      </w:r>
    </w:p>
    <w:p w:rsidRPr="00FD1AB2" w:rsidR="00F60616" w:rsidP="00EF7FA9" w:rsidRDefault="00F60616" w14:paraId="0A084B67" w14:textId="77777777">
      <w:pPr>
        <w:spacing w:line="240" w:lineRule="auto"/>
      </w:pPr>
    </w:p>
    <w:p w:rsidRPr="005328B9" w:rsidR="00F60616" w:rsidP="00EF7FA9" w:rsidRDefault="00F60616" w14:paraId="1BBB2AB3" w14:textId="2393D0FF">
      <w:pPr>
        <w:spacing w:line="240" w:lineRule="auto"/>
      </w:pPr>
      <w:r w:rsidRPr="00FD1AB2">
        <w:t>In deze brief informeer</w:t>
      </w:r>
      <w:r w:rsidRPr="00FD1AB2" w:rsidR="00F42B0B">
        <w:t xml:space="preserve"> ik</w:t>
      </w:r>
      <w:r w:rsidRPr="00FD1AB2">
        <w:t xml:space="preserve"> u, </w:t>
      </w:r>
      <w:r w:rsidRPr="00FD1AB2" w:rsidR="0029624C">
        <w:t>mede namens de staatssecretaris Digitale Economie en Soevereiniteit</w:t>
      </w:r>
      <w:r w:rsidR="006801F3">
        <w:t xml:space="preserve"> en de </w:t>
      </w:r>
      <w:r w:rsidRPr="008556F3" w:rsidR="006801F3">
        <w:t>minister van Werk en Participatie</w:t>
      </w:r>
      <w:r w:rsidRPr="006801F3" w:rsidR="006801F3">
        <w:t>,</w:t>
      </w:r>
      <w:r w:rsidRPr="00FD1AB2" w:rsidR="00E44053">
        <w:t xml:space="preserve"> over de voortgang van</w:t>
      </w:r>
      <w:r w:rsidRPr="005328B9" w:rsidR="00E44053">
        <w:t xml:space="preserve"> de VAO</w:t>
      </w:r>
      <w:r w:rsidRPr="005328B9" w:rsidR="00F80D52">
        <w:t xml:space="preserve">. Hiermee </w:t>
      </w:r>
      <w:r w:rsidRPr="005328B9">
        <w:t xml:space="preserve">geef ik gehoor aan de toezegging uw Kamer dit voorjaar </w:t>
      </w:r>
      <w:r w:rsidRPr="005328B9" w:rsidR="00E44053">
        <w:t xml:space="preserve">hierover </w:t>
      </w:r>
      <w:r w:rsidRPr="005328B9">
        <w:t xml:space="preserve">te informeren. De inzet wordt in deze brief geschetst aan de hand van een </w:t>
      </w:r>
      <w:r w:rsidR="00B63F7F">
        <w:t>viertal</w:t>
      </w:r>
      <w:r w:rsidRPr="005328B9">
        <w:t xml:space="preserve"> </w:t>
      </w:r>
      <w:r w:rsidRPr="005328B9" w:rsidR="005B1B95">
        <w:t>actielijnen</w:t>
      </w:r>
      <w:r w:rsidRPr="005328B9" w:rsidR="0029624C">
        <w:t>, te weten</w:t>
      </w:r>
      <w:r w:rsidRPr="005328B9" w:rsidR="005B1B95">
        <w:t>:</w:t>
      </w:r>
    </w:p>
    <w:p w:rsidRPr="005328B9" w:rsidR="00F60616" w:rsidP="00EF7FA9" w:rsidRDefault="00F60616" w14:paraId="7661C368" w14:textId="77777777">
      <w:pPr>
        <w:pStyle w:val="Lijstalinea"/>
        <w:numPr>
          <w:ilvl w:val="0"/>
          <w:numId w:val="9"/>
        </w:numPr>
        <w:spacing w:line="240" w:lineRule="auto"/>
        <w:rPr>
          <w:rFonts w:ascii="Verdana" w:hAnsi="Verdana"/>
          <w:sz w:val="18"/>
          <w:szCs w:val="18"/>
        </w:rPr>
      </w:pPr>
      <w:r w:rsidRPr="005328B9">
        <w:rPr>
          <w:rFonts w:ascii="Verdana" w:hAnsi="Verdana"/>
          <w:sz w:val="18"/>
          <w:szCs w:val="18"/>
        </w:rPr>
        <w:t>Preventie en bewustwording</w:t>
      </w:r>
    </w:p>
    <w:p w:rsidRPr="005328B9" w:rsidR="00F60616" w:rsidP="00EF7FA9" w:rsidRDefault="00F60616" w14:paraId="1F925755" w14:textId="77777777">
      <w:pPr>
        <w:pStyle w:val="Lijstalinea"/>
        <w:numPr>
          <w:ilvl w:val="0"/>
          <w:numId w:val="9"/>
        </w:numPr>
        <w:spacing w:line="240" w:lineRule="auto"/>
        <w:rPr>
          <w:rFonts w:ascii="Verdana" w:hAnsi="Verdana"/>
          <w:sz w:val="18"/>
          <w:szCs w:val="18"/>
        </w:rPr>
      </w:pPr>
      <w:r w:rsidRPr="005328B9">
        <w:rPr>
          <w:rFonts w:ascii="Verdana" w:hAnsi="Verdana"/>
          <w:sz w:val="18"/>
          <w:szCs w:val="18"/>
        </w:rPr>
        <w:t>Normeren en signaleren</w:t>
      </w:r>
    </w:p>
    <w:p w:rsidRPr="005328B9" w:rsidR="00F60616" w:rsidP="00EF7FA9" w:rsidRDefault="00F60616" w14:paraId="4C2D16BE" w14:textId="77777777">
      <w:pPr>
        <w:pStyle w:val="Lijstalinea"/>
        <w:numPr>
          <w:ilvl w:val="0"/>
          <w:numId w:val="9"/>
        </w:numPr>
        <w:spacing w:line="240" w:lineRule="auto"/>
        <w:rPr>
          <w:rFonts w:ascii="Verdana" w:hAnsi="Verdana"/>
          <w:sz w:val="18"/>
          <w:szCs w:val="18"/>
        </w:rPr>
      </w:pPr>
      <w:r w:rsidRPr="005328B9">
        <w:rPr>
          <w:rFonts w:ascii="Verdana" w:hAnsi="Verdana"/>
          <w:sz w:val="18"/>
          <w:szCs w:val="18"/>
        </w:rPr>
        <w:t>Reguleren en handhaven</w:t>
      </w:r>
    </w:p>
    <w:p w:rsidRPr="005328B9" w:rsidR="00F60616" w:rsidP="00EF7FA9" w:rsidRDefault="00F60616" w14:paraId="204885B5" w14:textId="77777777">
      <w:pPr>
        <w:pStyle w:val="Lijstalinea"/>
        <w:numPr>
          <w:ilvl w:val="0"/>
          <w:numId w:val="9"/>
        </w:numPr>
        <w:spacing w:line="240" w:lineRule="auto"/>
        <w:rPr>
          <w:rFonts w:ascii="Verdana" w:hAnsi="Verdana"/>
          <w:sz w:val="18"/>
          <w:szCs w:val="18"/>
        </w:rPr>
      </w:pPr>
      <w:r w:rsidRPr="005328B9">
        <w:rPr>
          <w:rFonts w:ascii="Verdana" w:hAnsi="Verdana"/>
          <w:sz w:val="18"/>
          <w:szCs w:val="18"/>
        </w:rPr>
        <w:t>Kennis en onderzoek</w:t>
      </w:r>
    </w:p>
    <w:p w:rsidRPr="00F3652D" w:rsidR="00786796" w:rsidP="00EF7FA9" w:rsidRDefault="00F60616" w14:paraId="0064965C" w14:textId="094D8EA3">
      <w:pPr>
        <w:spacing w:line="240" w:lineRule="auto"/>
      </w:pPr>
      <w:r w:rsidRPr="005328B9">
        <w:t xml:space="preserve">Binnen deze </w:t>
      </w:r>
      <w:r w:rsidRPr="005328B9" w:rsidR="005B1B95">
        <w:t>actielijnen</w:t>
      </w:r>
      <w:r w:rsidRPr="005328B9">
        <w:t xml:space="preserve"> komen inhoudelijk de vier pijlers die in eerdere brieven zijn aangehouden terug: 1) de dialoog met de internetsector; 2) het wettelijk instrumentarium; 3) de lokale aanpak; en 4) de Europese en internationale inzet.</w:t>
      </w:r>
      <w:r w:rsidRPr="00F3652D" w:rsidR="00786796">
        <w:t xml:space="preserve"> </w:t>
      </w:r>
    </w:p>
    <w:p w:rsidRPr="005328B9" w:rsidR="00F60616" w:rsidP="00EF7FA9" w:rsidRDefault="00F60616" w14:paraId="39FA5659" w14:textId="77777777">
      <w:pPr>
        <w:spacing w:line="240" w:lineRule="auto"/>
      </w:pPr>
    </w:p>
    <w:p w:rsidRPr="005328B9" w:rsidR="00F60616" w:rsidP="00EF7FA9" w:rsidRDefault="00B26263" w14:paraId="010EF0F4" w14:textId="4779C47C">
      <w:pPr>
        <w:autoSpaceDN/>
        <w:spacing w:line="240" w:lineRule="auto"/>
        <w:textAlignment w:val="auto"/>
        <w:rPr>
          <w:rFonts w:cs="Times New Roman"/>
          <w:b/>
          <w:bCs/>
        </w:rPr>
      </w:pPr>
      <w:r>
        <w:rPr>
          <w:rFonts w:cs="Times New Roman"/>
          <w:b/>
          <w:bCs/>
        </w:rPr>
        <w:t xml:space="preserve">1. </w:t>
      </w:r>
      <w:r w:rsidRPr="005328B9" w:rsidR="00F60616">
        <w:rPr>
          <w:rFonts w:cs="Times New Roman"/>
          <w:b/>
          <w:bCs/>
        </w:rPr>
        <w:t>Preventie en bewustwording</w:t>
      </w:r>
    </w:p>
    <w:p w:rsidRPr="005328B9" w:rsidR="005177FB" w:rsidP="00EF7FA9" w:rsidRDefault="005E7B7A" w14:paraId="5F619424" w14:textId="5E1445EC">
      <w:pPr>
        <w:spacing w:line="240" w:lineRule="auto"/>
        <w:rPr>
          <w:rFonts w:cs="Times New Roman"/>
        </w:rPr>
      </w:pPr>
      <w:r w:rsidRPr="005328B9">
        <w:rPr>
          <w:rFonts w:cs="Times New Roman"/>
        </w:rPr>
        <w:t xml:space="preserve">Idealiter </w:t>
      </w:r>
      <w:r w:rsidR="00BB35B4">
        <w:rPr>
          <w:rFonts w:cs="Times New Roman"/>
        </w:rPr>
        <w:t>wordt voorkomen</w:t>
      </w:r>
      <w:r w:rsidRPr="005328B9">
        <w:rPr>
          <w:rFonts w:cs="Times New Roman"/>
        </w:rPr>
        <w:t xml:space="preserve"> dat individuen in contact komen met extremistische en terroristische content en daardoor radicaliseren.</w:t>
      </w:r>
      <w:r w:rsidRPr="005328B9" w:rsidR="00494278">
        <w:rPr>
          <w:rFonts w:cs="Times New Roman"/>
        </w:rPr>
        <w:t xml:space="preserve"> </w:t>
      </w:r>
      <w:r w:rsidRPr="005328B9" w:rsidR="00F60616">
        <w:rPr>
          <w:rFonts w:cs="Times New Roman"/>
        </w:rPr>
        <w:t xml:space="preserve">Hoewel de </w:t>
      </w:r>
      <w:r w:rsidRPr="005328B9" w:rsidR="005177FB">
        <w:rPr>
          <w:rFonts w:cs="Times New Roman"/>
        </w:rPr>
        <w:t xml:space="preserve">drijfveren </w:t>
      </w:r>
      <w:r w:rsidRPr="005328B9" w:rsidR="00265570">
        <w:rPr>
          <w:rFonts w:cs="Times New Roman"/>
        </w:rPr>
        <w:t>uiteenlopen</w:t>
      </w:r>
      <w:r w:rsidRPr="005328B9" w:rsidR="00F60616">
        <w:rPr>
          <w:rFonts w:cs="Times New Roman"/>
        </w:rPr>
        <w:t>,</w:t>
      </w:r>
      <w:r w:rsidRPr="005328B9" w:rsidR="005177FB">
        <w:rPr>
          <w:rFonts w:cs="Times New Roman"/>
        </w:rPr>
        <w:t xml:space="preserve"> vertonen</w:t>
      </w:r>
      <w:r w:rsidRPr="005328B9" w:rsidR="00F60616">
        <w:rPr>
          <w:rFonts w:cs="Times New Roman"/>
        </w:rPr>
        <w:t xml:space="preserve"> </w:t>
      </w:r>
      <w:proofErr w:type="spellStart"/>
      <w:r w:rsidRPr="005328B9" w:rsidR="00F60616">
        <w:rPr>
          <w:rFonts w:cs="Times New Roman"/>
        </w:rPr>
        <w:t>kwaadwillenden</w:t>
      </w:r>
      <w:proofErr w:type="spellEnd"/>
      <w:r w:rsidRPr="005328B9" w:rsidR="00F60616">
        <w:rPr>
          <w:rFonts w:cs="Times New Roman"/>
        </w:rPr>
        <w:t xml:space="preserve"> </w:t>
      </w:r>
      <w:r w:rsidRPr="005328B9" w:rsidR="005177FB">
        <w:rPr>
          <w:rFonts w:cs="Times New Roman"/>
        </w:rPr>
        <w:t xml:space="preserve">die het internet inzetten om schade aan te richten vaak vergelijkbare werkwijzen en technieken, en richten </w:t>
      </w:r>
      <w:r w:rsidR="0042713A">
        <w:rPr>
          <w:rFonts w:cs="Times New Roman"/>
        </w:rPr>
        <w:t xml:space="preserve">zij </w:t>
      </w:r>
      <w:r w:rsidRPr="005328B9" w:rsidR="005177FB">
        <w:rPr>
          <w:rFonts w:cs="Times New Roman"/>
        </w:rPr>
        <w:t>zich met name op</w:t>
      </w:r>
      <w:r w:rsidRPr="005328B9" w:rsidR="00CC44C8">
        <w:rPr>
          <w:rFonts w:cs="Times New Roman"/>
        </w:rPr>
        <w:t xml:space="preserve"> kinderen en kwetsbare jongeren</w:t>
      </w:r>
      <w:r w:rsidRPr="005328B9" w:rsidR="00F60616">
        <w:rPr>
          <w:rFonts w:cs="Times New Roman"/>
        </w:rPr>
        <w:t>.</w:t>
      </w:r>
      <w:r w:rsidRPr="005328B9" w:rsidR="00F80D52">
        <w:rPr>
          <w:rFonts w:cs="Times New Roman"/>
        </w:rPr>
        <w:t xml:space="preserve"> </w:t>
      </w:r>
      <w:r w:rsidR="001D0B5B">
        <w:rPr>
          <w:rFonts w:cs="Times New Roman"/>
        </w:rPr>
        <w:t xml:space="preserve">Het </w:t>
      </w:r>
      <w:r w:rsidRPr="005328B9" w:rsidR="00F60616">
        <w:rPr>
          <w:rFonts w:cs="Times New Roman"/>
        </w:rPr>
        <w:t xml:space="preserve">is van belang het bewustzijn ten aanzien van deze online gevaren </w:t>
      </w:r>
      <w:r w:rsidRPr="005328B9" w:rsidR="00794AFE">
        <w:rPr>
          <w:rFonts w:cs="Times New Roman"/>
        </w:rPr>
        <w:t>te vergroten</w:t>
      </w:r>
      <w:r w:rsidRPr="005328B9" w:rsidR="00F60616">
        <w:rPr>
          <w:rFonts w:cs="Times New Roman"/>
        </w:rPr>
        <w:t xml:space="preserve"> en dat de jongeren zelf, maar ook hun omgeving, bekend zijn met hun handelingsperspectief</w:t>
      </w:r>
      <w:r w:rsidRPr="005328B9" w:rsidR="005177FB">
        <w:rPr>
          <w:rFonts w:cs="Times New Roman"/>
        </w:rPr>
        <w:t xml:space="preserve">. Zo is het </w:t>
      </w:r>
      <w:r w:rsidRPr="005328B9" w:rsidR="00F60616">
        <w:rPr>
          <w:rFonts w:cs="Times New Roman"/>
        </w:rPr>
        <w:t xml:space="preserve">bijvoorbeeld </w:t>
      </w:r>
      <w:r w:rsidRPr="005328B9" w:rsidR="005177FB">
        <w:rPr>
          <w:rFonts w:cs="Times New Roman"/>
        </w:rPr>
        <w:t>mogelijk om</w:t>
      </w:r>
      <w:r w:rsidRPr="005328B9" w:rsidR="00F60616">
        <w:rPr>
          <w:rFonts w:cs="Times New Roman"/>
        </w:rPr>
        <w:t xml:space="preserve"> terroristische content</w:t>
      </w:r>
      <w:r w:rsidRPr="005328B9" w:rsidR="005177FB">
        <w:rPr>
          <w:rFonts w:cs="Times New Roman"/>
        </w:rPr>
        <w:t xml:space="preserve"> te melden</w:t>
      </w:r>
      <w:r w:rsidRPr="005328B9" w:rsidR="00F60616">
        <w:rPr>
          <w:rFonts w:cs="Times New Roman"/>
        </w:rPr>
        <w:t xml:space="preserve"> bij de Autoriteit online Terroristisch en Kinderpornografisch Materiaal (ATKM) ter verwijdering</w:t>
      </w:r>
      <w:r w:rsidRPr="005328B9" w:rsidR="005177FB">
        <w:rPr>
          <w:rFonts w:cs="Times New Roman"/>
        </w:rPr>
        <w:t>.</w:t>
      </w:r>
      <w:r w:rsidRPr="005328B9" w:rsidR="00CC44C8">
        <w:rPr>
          <w:rStyle w:val="Voetnootmarkering"/>
          <w:rFonts w:cs="Times New Roman"/>
        </w:rPr>
        <w:footnoteReference w:id="5"/>
      </w:r>
      <w:r w:rsidRPr="005328B9" w:rsidR="005177FB">
        <w:rPr>
          <w:rFonts w:cs="Times New Roman"/>
        </w:rPr>
        <w:t xml:space="preserve"> </w:t>
      </w:r>
      <w:bookmarkStart w:name="_Hlk228965224" w:id="0"/>
      <w:r w:rsidRPr="005328B9" w:rsidR="005177FB">
        <w:rPr>
          <w:rFonts w:cs="Times New Roman"/>
        </w:rPr>
        <w:t>Ter vergroting van de bekendheid</w:t>
      </w:r>
      <w:r w:rsidRPr="005328B9" w:rsidR="00794AFE">
        <w:rPr>
          <w:rFonts w:cs="Times New Roman"/>
        </w:rPr>
        <w:t xml:space="preserve"> van dit Meldpunt</w:t>
      </w:r>
      <w:r w:rsidRPr="005328B9" w:rsidR="0029624C">
        <w:rPr>
          <w:rFonts w:cs="Times New Roman"/>
        </w:rPr>
        <w:t xml:space="preserve"> </w:t>
      </w:r>
      <w:r w:rsidRPr="005328B9" w:rsidR="005177FB">
        <w:rPr>
          <w:rFonts w:cs="Times New Roman"/>
        </w:rPr>
        <w:t>start d</w:t>
      </w:r>
      <w:r w:rsidRPr="005328B9" w:rsidR="0050027B">
        <w:rPr>
          <w:rFonts w:cs="Times New Roman"/>
        </w:rPr>
        <w:t xml:space="preserve">e ATKM </w:t>
      </w:r>
      <w:r w:rsidR="00786796">
        <w:rPr>
          <w:rFonts w:cs="Times New Roman"/>
        </w:rPr>
        <w:t xml:space="preserve">deze zomer </w:t>
      </w:r>
      <w:r w:rsidRPr="005328B9" w:rsidR="0050027B">
        <w:rPr>
          <w:rFonts w:cs="Times New Roman"/>
        </w:rPr>
        <w:t>een publiekscampagne</w:t>
      </w:r>
      <w:bookmarkEnd w:id="0"/>
      <w:r w:rsidRPr="005328B9" w:rsidR="0050027B">
        <w:rPr>
          <w:rFonts w:cs="Times New Roman"/>
        </w:rPr>
        <w:t xml:space="preserve">. </w:t>
      </w:r>
    </w:p>
    <w:p w:rsidRPr="005328B9" w:rsidR="005177FB" w:rsidP="00EF7FA9" w:rsidRDefault="005177FB" w14:paraId="01E84BE6" w14:textId="77777777">
      <w:pPr>
        <w:spacing w:line="240" w:lineRule="auto"/>
        <w:rPr>
          <w:rFonts w:cs="Times New Roman"/>
        </w:rPr>
      </w:pPr>
    </w:p>
    <w:p w:rsidR="00F60616" w:rsidP="00EF7FA9" w:rsidRDefault="0029624C" w14:paraId="37587BD1" w14:textId="2EF22F1E">
      <w:pPr>
        <w:spacing w:line="240" w:lineRule="auto"/>
        <w:rPr>
          <w:rFonts w:cs="Times New Roman"/>
        </w:rPr>
      </w:pPr>
      <w:bookmarkStart w:name="_Hlk228370829" w:id="1"/>
      <w:r w:rsidRPr="005328B9">
        <w:rPr>
          <w:rFonts w:cs="Times New Roman"/>
        </w:rPr>
        <w:t>Ook</w:t>
      </w:r>
      <w:r w:rsidRPr="005328B9" w:rsidR="00F60616">
        <w:rPr>
          <w:rFonts w:cs="Times New Roman"/>
        </w:rPr>
        <w:t xml:space="preserve"> is het belangrijk dat jongeren </w:t>
      </w:r>
      <w:r w:rsidRPr="005328B9" w:rsidR="00494278">
        <w:rPr>
          <w:rFonts w:cs="Times New Roman"/>
        </w:rPr>
        <w:t>met elkaar in gesprek gaan over hun online gedrag</w:t>
      </w:r>
      <w:r w:rsidRPr="005328B9" w:rsidR="00F60616">
        <w:rPr>
          <w:rFonts w:cs="Times New Roman"/>
        </w:rPr>
        <w:t xml:space="preserve">, waaronder het bekijken of delen van bepaalde content. </w:t>
      </w:r>
      <w:r w:rsidRPr="006870AA" w:rsidR="00320F5B">
        <w:rPr>
          <w:rFonts w:cs="Times New Roman"/>
        </w:rPr>
        <w:t>Vanuit de lokale aanpak wordt er door gemeenten, ondersteund door Versterkingsgelden vanuit het Rijk, al langer ingezet op het bespreekbaar maken van extremistische verhaallijnen die jongeren online tegen kunnen komen. Dit met als doel om hun weerbaarheid hiertegen te vergroten. Ook zijn er projecten waarin aandacht is voor de rol van ouders en hoe zij in gesprek kunnen met hun kinderen over de online leefwereld en de gevaren die hierbinnen schuil kunnen gaan.</w:t>
      </w:r>
      <w:r w:rsidRPr="00D45CB0" w:rsidR="00320F5B">
        <w:rPr>
          <w:rFonts w:cs="Times New Roman"/>
        </w:rPr>
        <w:t xml:space="preserve"> </w:t>
      </w:r>
      <w:r w:rsidRPr="006870AA" w:rsidR="00320F5B">
        <w:rPr>
          <w:rFonts w:cs="Times New Roman"/>
        </w:rPr>
        <w:t>In aanvulling op deze doorlopende inzet,</w:t>
      </w:r>
      <w:r w:rsidR="00320F5B">
        <w:rPr>
          <w:rFonts w:cs="Times New Roman"/>
        </w:rPr>
        <w:t xml:space="preserve"> </w:t>
      </w:r>
      <w:r w:rsidRPr="005328B9" w:rsidR="00F60616">
        <w:rPr>
          <w:rFonts w:cs="Times New Roman"/>
        </w:rPr>
        <w:t xml:space="preserve">wordt door de Nationaal Coördinator Terrorismebestrijding en Veiligheid (NCTV) een nadere verkenning uitgevoerd naar </w:t>
      </w:r>
      <w:r w:rsidRPr="005328B9" w:rsidR="00C7400C">
        <w:rPr>
          <w:rFonts w:cs="Times New Roman"/>
        </w:rPr>
        <w:t>een gemeenschappelijke communicatieaanpak</w:t>
      </w:r>
      <w:r w:rsidRPr="005328B9" w:rsidR="002A5B40">
        <w:rPr>
          <w:rFonts w:cs="Times New Roman"/>
        </w:rPr>
        <w:t xml:space="preserve"> over online gevaren in samenwerking met verschillende partners</w:t>
      </w:r>
      <w:r w:rsidRPr="005328B9" w:rsidR="00E37594">
        <w:rPr>
          <w:rFonts w:cs="Times New Roman"/>
        </w:rPr>
        <w:t>.</w:t>
      </w:r>
      <w:r w:rsidRPr="005328B9" w:rsidR="00C7400C">
        <w:rPr>
          <w:rFonts w:cs="Times New Roman"/>
        </w:rPr>
        <w:t xml:space="preserve"> </w:t>
      </w:r>
      <w:r w:rsidRPr="005328B9" w:rsidR="00F60616">
        <w:rPr>
          <w:rFonts w:cs="Times New Roman"/>
        </w:rPr>
        <w:t>Daarnaast organiseren de ATKM en NCTV in samenwerking met het</w:t>
      </w:r>
      <w:r w:rsidRPr="005328B9" w:rsidR="00414AE9">
        <w:rPr>
          <w:rFonts w:cs="Times New Roman"/>
        </w:rPr>
        <w:t xml:space="preserve"> Platform voor Informatie</w:t>
      </w:r>
      <w:r w:rsidRPr="005328B9" w:rsidR="0095058F">
        <w:rPr>
          <w:rFonts w:cs="Times New Roman"/>
        </w:rPr>
        <w:t xml:space="preserve"> </w:t>
      </w:r>
      <w:r w:rsidRPr="005328B9" w:rsidR="00414AE9">
        <w:rPr>
          <w:rFonts w:cs="Times New Roman"/>
        </w:rPr>
        <w:t>Samenleving</w:t>
      </w:r>
      <w:r w:rsidRPr="005328B9" w:rsidR="00F60616">
        <w:rPr>
          <w:rFonts w:cs="Times New Roman"/>
        </w:rPr>
        <w:t xml:space="preserve"> </w:t>
      </w:r>
      <w:r w:rsidRPr="005328B9" w:rsidR="00414AE9">
        <w:rPr>
          <w:rFonts w:cs="Times New Roman"/>
        </w:rPr>
        <w:t>(</w:t>
      </w:r>
      <w:r w:rsidRPr="005328B9" w:rsidR="00F60616">
        <w:rPr>
          <w:rFonts w:cs="Times New Roman"/>
        </w:rPr>
        <w:t>ECP</w:t>
      </w:r>
      <w:r w:rsidRPr="005328B9" w:rsidR="00414AE9">
        <w:rPr>
          <w:rFonts w:cs="Times New Roman"/>
        </w:rPr>
        <w:t>)</w:t>
      </w:r>
      <w:r w:rsidRPr="005328B9" w:rsidR="00F60616">
        <w:rPr>
          <w:rFonts w:cs="Times New Roman"/>
        </w:rPr>
        <w:t xml:space="preserve"> </w:t>
      </w:r>
      <w:r w:rsidRPr="005328B9" w:rsidR="00E37594">
        <w:rPr>
          <w:rFonts w:cs="Times New Roman"/>
        </w:rPr>
        <w:t xml:space="preserve">in juni 2026 </w:t>
      </w:r>
      <w:r w:rsidRPr="005328B9" w:rsidR="00F60616">
        <w:rPr>
          <w:rFonts w:cs="Times New Roman"/>
        </w:rPr>
        <w:t>een evenement over online radicaliserin</w:t>
      </w:r>
      <w:r w:rsidR="00BB19E0">
        <w:rPr>
          <w:rFonts w:cs="Times New Roman"/>
        </w:rPr>
        <w:t>g van jongeren (onder de noemer van herkennen, begrijpen en handelen).</w:t>
      </w:r>
      <w:r w:rsidRPr="005328B9" w:rsidR="00F60616">
        <w:rPr>
          <w:rFonts w:cs="Times New Roman"/>
        </w:rPr>
        <w:t xml:space="preserve"> In de eerste bijeenkomst staat het perspectief van jongeren centraal en wordt in een interactieve setting bekeken hoe jongeren online content </w:t>
      </w:r>
      <w:r w:rsidRPr="005328B9" w:rsidR="00794AFE">
        <w:rPr>
          <w:rFonts w:cs="Times New Roman"/>
        </w:rPr>
        <w:t>tot zich nemen</w:t>
      </w:r>
      <w:r w:rsidRPr="005328B9" w:rsidR="00F60616">
        <w:rPr>
          <w:rFonts w:cs="Times New Roman"/>
        </w:rPr>
        <w:t xml:space="preserve"> en interpreteren. De inzichten uit deze sessie vormen de basis voor een tweede </w:t>
      </w:r>
      <w:r w:rsidRPr="005328B9">
        <w:rPr>
          <w:rFonts w:cs="Times New Roman"/>
        </w:rPr>
        <w:t>bijeenkomst</w:t>
      </w:r>
      <w:r w:rsidR="008D6880">
        <w:rPr>
          <w:rFonts w:cs="Times New Roman"/>
        </w:rPr>
        <w:t xml:space="preserve"> </w:t>
      </w:r>
      <w:r w:rsidRPr="005328B9" w:rsidR="00F60616">
        <w:rPr>
          <w:rFonts w:cs="Times New Roman"/>
        </w:rPr>
        <w:t>waarin experts, beleidsmakers en professionals bespreken hoe signalering en handelingsperspectieven in de praktijk kunnen worden versterkt.</w:t>
      </w:r>
    </w:p>
    <w:p w:rsidR="000D260B" w:rsidP="00EF7FA9" w:rsidRDefault="000D260B" w14:paraId="706FC21D" w14:textId="77777777">
      <w:pPr>
        <w:spacing w:line="240" w:lineRule="auto"/>
        <w:rPr>
          <w:rFonts w:cs="Times New Roman"/>
        </w:rPr>
      </w:pPr>
    </w:p>
    <w:p w:rsidRPr="00E23C19" w:rsidR="000D260B" w:rsidP="00EF7FA9" w:rsidRDefault="000D260B" w14:paraId="294F0490" w14:textId="52B802FB">
      <w:pPr>
        <w:spacing w:line="240" w:lineRule="auto"/>
      </w:pPr>
      <w:r w:rsidRPr="006870AA">
        <w:t xml:space="preserve">Kennis van interventiemogelijkheden bij gemeentes is een belangrijke stap om online radicalisering te voorkomen. </w:t>
      </w:r>
      <w:r w:rsidRPr="006870AA">
        <w:rPr>
          <w:rFonts w:cstheme="minorHAnsi"/>
        </w:rPr>
        <w:t xml:space="preserve">In diverse regio’s ontbreken vaak nog kennis en handelingsperspectieven over het structureel betrekken van het online domein bij lokale preventie. Daarom </w:t>
      </w:r>
      <w:r w:rsidRPr="006870AA">
        <w:t>is al eerder aan de hand van gesprekken met gemeenten en de VNG het verdiepingsdossier ‘online radicalisering’ ontwikkeld voor gemeenten en lokale professionals.</w:t>
      </w:r>
      <w:r w:rsidRPr="006870AA">
        <w:rPr>
          <w:vertAlign w:val="superscript"/>
        </w:rPr>
        <w:footnoteReference w:id="6"/>
      </w:r>
      <w:r w:rsidRPr="006870AA">
        <w:t xml:space="preserve"> Ook</w:t>
      </w:r>
      <w:r w:rsidRPr="006870AA">
        <w:rPr>
          <w:rFonts w:cstheme="minorHAnsi"/>
        </w:rPr>
        <w:t xml:space="preserve"> zijn medio 2025 afspraken gemaakt met de Expertise-unit Sociale Stabiliteit (ESS) van het ministerie van S</w:t>
      </w:r>
      <w:r w:rsidR="0042713A">
        <w:rPr>
          <w:rFonts w:cstheme="minorHAnsi"/>
        </w:rPr>
        <w:t xml:space="preserve">ociale </w:t>
      </w:r>
      <w:r w:rsidRPr="006870AA">
        <w:rPr>
          <w:rFonts w:cstheme="minorHAnsi"/>
        </w:rPr>
        <w:t>Z</w:t>
      </w:r>
      <w:r w:rsidR="0042713A">
        <w:rPr>
          <w:rFonts w:cstheme="minorHAnsi"/>
        </w:rPr>
        <w:t xml:space="preserve">aken en </w:t>
      </w:r>
      <w:r w:rsidRPr="006870AA">
        <w:rPr>
          <w:rFonts w:cstheme="minorHAnsi"/>
        </w:rPr>
        <w:t>W</w:t>
      </w:r>
      <w:r w:rsidR="0042713A">
        <w:rPr>
          <w:rFonts w:cstheme="minorHAnsi"/>
        </w:rPr>
        <w:t>erkgelegenheid (SZW)</w:t>
      </w:r>
      <w:r w:rsidRPr="006870AA">
        <w:rPr>
          <w:rFonts w:cstheme="minorHAnsi"/>
        </w:rPr>
        <w:t xml:space="preserve"> om de kennis van gemeenten op het gebied van preventie van (online) radicalisering te verbeteren. In 2026 zet de ESS, met steun van de NCTV, verder in op het vergroten van bewustwording en kennis over online radicalisering onder gemeenten, professionals, ouders en jongeren. De ESS doet dit als aanvulling op haar bestaande preventieve inzet op lokaal niveau. </w:t>
      </w:r>
      <w:bookmarkStart w:name="_Hlk227261198" w:id="2"/>
      <w:r w:rsidRPr="006870AA">
        <w:t xml:space="preserve">Ook kunnen gemeenten contact opnemen met hun lokaal adviseurs van de NCTV </w:t>
      </w:r>
      <w:bookmarkEnd w:id="2"/>
      <w:r w:rsidRPr="006870AA">
        <w:t>voor advies over hoe zij het online domein in hun lokale aanpak kunnen integreren.</w:t>
      </w:r>
    </w:p>
    <w:p w:rsidRPr="00E23C19" w:rsidR="0095058F" w:rsidP="00EF7FA9" w:rsidRDefault="0095058F" w14:paraId="3C770ABC" w14:textId="77777777">
      <w:pPr>
        <w:spacing w:line="240" w:lineRule="auto"/>
        <w:rPr>
          <w:rFonts w:cs="Times New Roman"/>
        </w:rPr>
      </w:pPr>
    </w:p>
    <w:p w:rsidRPr="00E23C19" w:rsidR="00F60616" w:rsidP="00EF7FA9" w:rsidRDefault="0095058F" w14:paraId="03AAC717" w14:textId="3DE392B5">
      <w:pPr>
        <w:spacing w:line="240" w:lineRule="auto"/>
        <w:rPr>
          <w:rFonts w:cs="Times New Roman"/>
          <w:i/>
          <w:iCs/>
        </w:rPr>
      </w:pPr>
      <w:r w:rsidRPr="00E23C19">
        <w:rPr>
          <w:rFonts w:cs="Times New Roman"/>
          <w:i/>
          <w:iCs/>
        </w:rPr>
        <w:t>Digitale weerbaarheid</w:t>
      </w:r>
    </w:p>
    <w:p w:rsidR="00417262" w:rsidP="00EF7FA9" w:rsidRDefault="00CC44C8" w14:paraId="57EBB587" w14:textId="598B0977">
      <w:pPr>
        <w:spacing w:line="240" w:lineRule="auto"/>
        <w:rPr>
          <w:rFonts w:cs="Times New Roman"/>
          <w:vertAlign w:val="superscript"/>
        </w:rPr>
      </w:pPr>
      <w:r w:rsidRPr="00E23C19">
        <w:rPr>
          <w:rFonts w:cs="Times New Roman"/>
        </w:rPr>
        <w:t>H</w:t>
      </w:r>
      <w:r w:rsidRPr="00E23C19" w:rsidR="005A145B">
        <w:rPr>
          <w:rFonts w:cs="Times New Roman"/>
        </w:rPr>
        <w:t>et vergroten van de digitale weerbaarheid is</w:t>
      </w:r>
      <w:r w:rsidRPr="00E23C19">
        <w:rPr>
          <w:rFonts w:cs="Times New Roman"/>
        </w:rPr>
        <w:t xml:space="preserve"> eveneens </w:t>
      </w:r>
      <w:r w:rsidRPr="00E23C19" w:rsidR="005A145B">
        <w:rPr>
          <w:rFonts w:cs="Times New Roman"/>
        </w:rPr>
        <w:t xml:space="preserve">een essentieel onderdeel van preventie en bewustwording. </w:t>
      </w:r>
      <w:r w:rsidRPr="00E23C19" w:rsidR="00540416">
        <w:rPr>
          <w:rFonts w:cs="Times New Roman"/>
        </w:rPr>
        <w:t xml:space="preserve">Het ministerie </w:t>
      </w:r>
      <w:r w:rsidR="001E498D">
        <w:rPr>
          <w:rFonts w:cs="Times New Roman"/>
        </w:rPr>
        <w:t xml:space="preserve">van </w:t>
      </w:r>
      <w:r w:rsidR="0042713A">
        <w:rPr>
          <w:rFonts w:cs="Times New Roman"/>
        </w:rPr>
        <w:t>SZW</w:t>
      </w:r>
      <w:r w:rsidRPr="00E23C19" w:rsidR="00540416">
        <w:rPr>
          <w:rFonts w:cs="Times New Roman"/>
        </w:rPr>
        <w:t xml:space="preserve"> zet zich via lokale overheden en (jeugd)professionals in voor kennisontwikkeling en het versterken van handelingsperspectief </w:t>
      </w:r>
      <w:r w:rsidRPr="00E23C19" w:rsidR="007C2B46">
        <w:rPr>
          <w:rFonts w:cs="Times New Roman"/>
        </w:rPr>
        <w:t xml:space="preserve">ten aanzien van </w:t>
      </w:r>
      <w:r w:rsidRPr="00E23C19" w:rsidR="00540416">
        <w:rPr>
          <w:rFonts w:cs="Times New Roman"/>
        </w:rPr>
        <w:t>de preventie van (online) radicalisering</w:t>
      </w:r>
      <w:bookmarkStart w:name="_Hlk229487700" w:id="3"/>
      <w:r w:rsidRPr="00E23C19" w:rsidR="00F318D7">
        <w:rPr>
          <w:rFonts w:cs="Times New Roman"/>
        </w:rPr>
        <w:t>.</w:t>
      </w:r>
      <w:r w:rsidRPr="00E23C19">
        <w:rPr>
          <w:rStyle w:val="Voetnootmarkering"/>
          <w:rFonts w:cs="Times New Roman"/>
        </w:rPr>
        <w:footnoteReference w:id="7"/>
      </w:r>
      <w:r w:rsidRPr="00E23C19" w:rsidR="004E22C8">
        <w:rPr>
          <w:rFonts w:cs="Times New Roman"/>
        </w:rPr>
        <w:t xml:space="preserve"> </w:t>
      </w:r>
      <w:r w:rsidRPr="005328B9" w:rsidR="00B63F7F">
        <w:rPr>
          <w:rFonts w:cs="Times New Roman"/>
        </w:rPr>
        <w:t>Daarnaast stimuleert SZW het gebruik van effectieve interventies en bewustwordingscampagnes, waarover uw Kamer op 2 maart jl.</w:t>
      </w:r>
      <w:r w:rsidRPr="005328B9" w:rsidR="00B63F7F">
        <w:rPr>
          <w:rFonts w:cs="Times New Roman"/>
          <w:vertAlign w:val="superscript"/>
        </w:rPr>
        <w:t xml:space="preserve"> </w:t>
      </w:r>
      <w:r w:rsidRPr="005328B9" w:rsidR="00B63F7F">
        <w:rPr>
          <w:rFonts w:cs="Times New Roman"/>
        </w:rPr>
        <w:t>reeds is geïnformeerd.</w:t>
      </w:r>
      <w:r w:rsidRPr="005328B9" w:rsidR="00B63F7F">
        <w:rPr>
          <w:rFonts w:cs="Times New Roman"/>
          <w:vertAlign w:val="superscript"/>
        </w:rPr>
        <w:footnoteReference w:id="8"/>
      </w:r>
      <w:r w:rsidRPr="005328B9" w:rsidR="00B63F7F">
        <w:rPr>
          <w:rFonts w:cs="Times New Roman"/>
          <w:vertAlign w:val="superscript"/>
        </w:rPr>
        <w:t xml:space="preserve"> </w:t>
      </w:r>
      <w:r w:rsidRPr="006870AA" w:rsidR="00C5149F">
        <w:rPr>
          <w:rFonts w:cs="Times New Roman"/>
        </w:rPr>
        <w:t>Sa</w:t>
      </w:r>
      <w:r w:rsidRPr="006870AA" w:rsidR="004E22C8">
        <w:rPr>
          <w:rFonts w:cs="Times New Roman"/>
        </w:rPr>
        <w:t xml:space="preserve">men met de minister van Werk en Participatie </w:t>
      </w:r>
      <w:r w:rsidRPr="006870AA" w:rsidR="00C5149F">
        <w:rPr>
          <w:rFonts w:cs="Times New Roman"/>
        </w:rPr>
        <w:t>ga ik</w:t>
      </w:r>
      <w:r w:rsidRPr="006870AA" w:rsidR="00320F5B">
        <w:rPr>
          <w:rFonts w:cs="Times New Roman"/>
        </w:rPr>
        <w:t xml:space="preserve"> dit jaar</w:t>
      </w:r>
      <w:r w:rsidRPr="006870AA" w:rsidR="00C5149F">
        <w:rPr>
          <w:rFonts w:cs="Times New Roman"/>
        </w:rPr>
        <w:t xml:space="preserve"> </w:t>
      </w:r>
      <w:r w:rsidRPr="006870AA" w:rsidR="004E22C8">
        <w:rPr>
          <w:rFonts w:cs="Times New Roman"/>
        </w:rPr>
        <w:t xml:space="preserve">in gesprek met andere departementen, het veld en jongeren zelf, over het verbeteren van de preventieve inzet. </w:t>
      </w:r>
      <w:r w:rsidRPr="005716AE" w:rsidR="002B3EB6">
        <w:rPr>
          <w:rFonts w:cs="Times New Roman"/>
        </w:rPr>
        <w:t xml:space="preserve">Naast </w:t>
      </w:r>
      <w:r w:rsidR="002B3EB6">
        <w:rPr>
          <w:rFonts w:cs="Times New Roman"/>
        </w:rPr>
        <w:t>digitale weerbaarheid</w:t>
      </w:r>
      <w:r w:rsidRPr="005716AE" w:rsidR="002B3EB6">
        <w:rPr>
          <w:rFonts w:cs="Times New Roman"/>
        </w:rPr>
        <w:t xml:space="preserve"> is er hierin ook aandacht voor bredere thema’s die bijdragen aan preventie, zoals mentale gezondheid, burgerschap en het voorkomen van discriminatie. </w:t>
      </w:r>
      <w:r w:rsidRPr="006870AA" w:rsidR="00C5149F">
        <w:rPr>
          <w:rFonts w:cs="Times New Roman"/>
        </w:rPr>
        <w:t>Onderdeel hiervan is</w:t>
      </w:r>
      <w:r w:rsidRPr="006870AA" w:rsidR="004E22C8">
        <w:rPr>
          <w:rFonts w:cs="Times New Roman"/>
        </w:rPr>
        <w:t xml:space="preserve"> een bijeenkomst dit najaar met (praktijk</w:t>
      </w:r>
      <w:r w:rsidRPr="006870AA" w:rsidR="00C5149F">
        <w:rPr>
          <w:rFonts w:cs="Times New Roman"/>
        </w:rPr>
        <w:t>-</w:t>
      </w:r>
      <w:r w:rsidRPr="006870AA" w:rsidR="004E22C8">
        <w:rPr>
          <w:rFonts w:cs="Times New Roman"/>
        </w:rPr>
        <w:t xml:space="preserve">)experts uit de diverse domeinen, </w:t>
      </w:r>
      <w:r w:rsidRPr="006870AA" w:rsidR="00786A19">
        <w:rPr>
          <w:rFonts w:cs="Times New Roman"/>
        </w:rPr>
        <w:t>waaronder</w:t>
      </w:r>
      <w:r w:rsidRPr="006870AA" w:rsidR="004E22C8">
        <w:rPr>
          <w:rFonts w:cs="Times New Roman"/>
        </w:rPr>
        <w:t xml:space="preserve"> het sociaal, onderwijs- en veiligheidsdomein. Het doel van deze bijeenkomst is het versterken van de </w:t>
      </w:r>
      <w:r w:rsidRPr="006870AA" w:rsidR="00786A19">
        <w:rPr>
          <w:rFonts w:cs="Times New Roman"/>
        </w:rPr>
        <w:t xml:space="preserve">onderlinge </w:t>
      </w:r>
      <w:r w:rsidRPr="006870AA" w:rsidR="004E22C8">
        <w:rPr>
          <w:rFonts w:cs="Times New Roman"/>
        </w:rPr>
        <w:t xml:space="preserve">verbinding en het vertrouwen tussen domeinen, en </w:t>
      </w:r>
      <w:r w:rsidRPr="006870AA" w:rsidR="00786A19">
        <w:rPr>
          <w:rFonts w:cs="Times New Roman"/>
        </w:rPr>
        <w:t>het uitwisselen van</w:t>
      </w:r>
      <w:r w:rsidRPr="006870AA" w:rsidR="004E22C8">
        <w:rPr>
          <w:rFonts w:cs="Times New Roman"/>
        </w:rPr>
        <w:t xml:space="preserve"> werkwijzen en expertise</w:t>
      </w:r>
      <w:bookmarkEnd w:id="3"/>
      <w:r w:rsidRPr="006870AA" w:rsidR="004E22C8">
        <w:rPr>
          <w:rFonts w:cs="Times New Roman"/>
        </w:rPr>
        <w:t>.</w:t>
      </w:r>
      <w:r w:rsidR="004E22C8">
        <w:rPr>
          <w:rFonts w:cs="Times New Roman"/>
        </w:rPr>
        <w:t xml:space="preserve"> </w:t>
      </w:r>
      <w:bookmarkEnd w:id="1"/>
    </w:p>
    <w:p w:rsidRPr="005328B9" w:rsidR="00F60616" w:rsidP="00EF7FA9" w:rsidRDefault="00F60616" w14:paraId="0946E57F" w14:textId="77777777">
      <w:pPr>
        <w:spacing w:line="240" w:lineRule="auto"/>
        <w:rPr>
          <w:rFonts w:cstheme="minorHAnsi"/>
        </w:rPr>
      </w:pPr>
    </w:p>
    <w:p w:rsidRPr="005328B9" w:rsidR="005A145B" w:rsidP="00EF7FA9" w:rsidRDefault="005A145B" w14:paraId="3D5E339A" w14:textId="54E6457B">
      <w:pPr>
        <w:spacing w:line="240" w:lineRule="auto"/>
        <w:rPr>
          <w:rFonts w:cs="Times New Roman"/>
        </w:rPr>
      </w:pPr>
      <w:r w:rsidRPr="005328B9">
        <w:rPr>
          <w:rFonts w:cs="Times New Roman"/>
        </w:rPr>
        <w:t xml:space="preserve">Naast bewustwording </w:t>
      </w:r>
      <w:r w:rsidR="00417262">
        <w:rPr>
          <w:rFonts w:cs="Times New Roman"/>
        </w:rPr>
        <w:t>over</w:t>
      </w:r>
      <w:r w:rsidRPr="005328B9">
        <w:rPr>
          <w:rFonts w:cs="Times New Roman"/>
        </w:rPr>
        <w:t xml:space="preserve"> online radicalisering, is bewustwording over acceptabele normen en waarden online belangrijk. Daarom lanceert de staatssecretaris van Digitale Economie en Soevereiniteit dialoogplatform </w:t>
      </w:r>
      <w:hyperlink w:history="1" r:id="rId9">
        <w:r w:rsidRPr="005328B9">
          <w:rPr>
            <w:rStyle w:val="Hyperlink"/>
            <w:rFonts w:cs="Times New Roman"/>
          </w:rPr>
          <w:t>www.praatmeemetdeoverheid.nl</w:t>
        </w:r>
      </w:hyperlink>
      <w:r w:rsidRPr="005328B9">
        <w:rPr>
          <w:rFonts w:cs="Times New Roman"/>
        </w:rPr>
        <w:t xml:space="preserve"> om het online publiek debat te sterken. </w:t>
      </w:r>
      <w:r w:rsidRPr="005328B9" w:rsidR="00D32402">
        <w:rPr>
          <w:rFonts w:cs="Times New Roman"/>
        </w:rPr>
        <w:t>Deze zomer</w:t>
      </w:r>
      <w:r w:rsidRPr="005328B9">
        <w:rPr>
          <w:rFonts w:cs="Times New Roman"/>
        </w:rPr>
        <w:t xml:space="preserve"> start een eerste hybride landelijk</w:t>
      </w:r>
      <w:r w:rsidR="00417262">
        <w:rPr>
          <w:rFonts w:cs="Times New Roman"/>
        </w:rPr>
        <w:t>e</w:t>
      </w:r>
      <w:r w:rsidRPr="005328B9">
        <w:rPr>
          <w:rFonts w:cs="Times New Roman"/>
        </w:rPr>
        <w:t xml:space="preserve"> dialoog over online discriminatie dat gebruik maakt van dit platform</w:t>
      </w:r>
      <w:r w:rsidRPr="005328B9" w:rsidR="00D32402">
        <w:rPr>
          <w:rFonts w:cs="Times New Roman"/>
        </w:rPr>
        <w:t xml:space="preserve"> en fysieke locaties verspreid door het land</w:t>
      </w:r>
      <w:r w:rsidRPr="005328B9">
        <w:rPr>
          <w:rFonts w:cs="Times New Roman"/>
        </w:rPr>
        <w:t>. Deze dialoog moet bewustwording creëren over</w:t>
      </w:r>
      <w:r w:rsidRPr="005328B9" w:rsidR="001B0B15">
        <w:rPr>
          <w:rFonts w:cs="Times New Roman"/>
        </w:rPr>
        <w:t xml:space="preserve"> hoe</w:t>
      </w:r>
      <w:r w:rsidRPr="005328B9">
        <w:rPr>
          <w:rFonts w:cs="Times New Roman"/>
        </w:rPr>
        <w:t xml:space="preserve"> polarisatie, racisme en discriminatie </w:t>
      </w:r>
      <w:r w:rsidRPr="005328B9" w:rsidR="001B0B15">
        <w:rPr>
          <w:rFonts w:cs="Times New Roman"/>
        </w:rPr>
        <w:t>bijdragen</w:t>
      </w:r>
      <w:r w:rsidRPr="005328B9">
        <w:rPr>
          <w:rFonts w:cs="Times New Roman"/>
        </w:rPr>
        <w:t xml:space="preserve"> aan </w:t>
      </w:r>
      <w:r w:rsidRPr="005328B9" w:rsidR="001B0B15">
        <w:rPr>
          <w:rFonts w:cs="Times New Roman"/>
        </w:rPr>
        <w:t>een voedingsbodem voor</w:t>
      </w:r>
      <w:r w:rsidRPr="005328B9">
        <w:rPr>
          <w:rFonts w:cs="Times New Roman"/>
        </w:rPr>
        <w:t xml:space="preserve"> </w:t>
      </w:r>
      <w:r w:rsidRPr="005328B9" w:rsidR="001B0B15">
        <w:rPr>
          <w:rFonts w:cs="Times New Roman"/>
        </w:rPr>
        <w:t xml:space="preserve">radicalisering, extremisme en terrorisme, en </w:t>
      </w:r>
      <w:r w:rsidRPr="005328B9">
        <w:rPr>
          <w:rFonts w:cs="Times New Roman"/>
        </w:rPr>
        <w:t xml:space="preserve">inzicht </w:t>
      </w:r>
      <w:r w:rsidRPr="005328B9" w:rsidR="001B0B15">
        <w:rPr>
          <w:rFonts w:cs="Times New Roman"/>
        </w:rPr>
        <w:t>bieden</w:t>
      </w:r>
      <w:r w:rsidRPr="005328B9">
        <w:rPr>
          <w:rFonts w:cs="Times New Roman"/>
        </w:rPr>
        <w:t xml:space="preserve"> in </w:t>
      </w:r>
      <w:r w:rsidRPr="005328B9" w:rsidR="001B0B15">
        <w:rPr>
          <w:rFonts w:cs="Times New Roman"/>
        </w:rPr>
        <w:t>het</w:t>
      </w:r>
      <w:r w:rsidRPr="005328B9">
        <w:rPr>
          <w:rFonts w:cs="Times New Roman"/>
        </w:rPr>
        <w:t xml:space="preserve"> maatschappelijk </w:t>
      </w:r>
      <w:r w:rsidRPr="005328B9" w:rsidR="001B0B15">
        <w:rPr>
          <w:rFonts w:cs="Times New Roman"/>
        </w:rPr>
        <w:t>sentiment</w:t>
      </w:r>
      <w:r w:rsidRPr="005328B9">
        <w:rPr>
          <w:rFonts w:cs="Times New Roman"/>
        </w:rPr>
        <w:t xml:space="preserve"> </w:t>
      </w:r>
      <w:r w:rsidRPr="005328B9" w:rsidR="001B0B15">
        <w:rPr>
          <w:rFonts w:cs="Times New Roman"/>
        </w:rPr>
        <w:t>over de verantwoord</w:t>
      </w:r>
      <w:r w:rsidRPr="005328B9" w:rsidR="00E37594">
        <w:rPr>
          <w:rFonts w:cs="Times New Roman"/>
        </w:rPr>
        <w:t>e</w:t>
      </w:r>
      <w:r w:rsidRPr="005328B9" w:rsidR="001B0B15">
        <w:rPr>
          <w:rFonts w:cs="Times New Roman"/>
        </w:rPr>
        <w:t>lijkheden van d</w:t>
      </w:r>
      <w:r w:rsidRPr="005328B9">
        <w:rPr>
          <w:rFonts w:cs="Times New Roman"/>
        </w:rPr>
        <w:t xml:space="preserve">e overheid en de platforms in het veiliger maken van de online wereld. </w:t>
      </w:r>
    </w:p>
    <w:p w:rsidRPr="005328B9" w:rsidR="005A145B" w:rsidP="00EF7FA9" w:rsidRDefault="005A145B" w14:paraId="1C1DC6BE" w14:textId="77777777">
      <w:pPr>
        <w:spacing w:line="240" w:lineRule="auto"/>
      </w:pPr>
    </w:p>
    <w:p w:rsidRPr="005328B9" w:rsidR="0095058F" w:rsidP="00EF7FA9" w:rsidRDefault="0095058F" w14:paraId="08A6A552" w14:textId="570B8EBC">
      <w:pPr>
        <w:spacing w:line="240" w:lineRule="auto"/>
        <w:rPr>
          <w:i/>
          <w:iCs/>
        </w:rPr>
      </w:pPr>
      <w:r w:rsidRPr="005328B9">
        <w:rPr>
          <w:i/>
          <w:iCs/>
        </w:rPr>
        <w:t>Samenwerking online platformen</w:t>
      </w:r>
    </w:p>
    <w:p w:rsidRPr="005328B9" w:rsidR="00F60616" w:rsidP="00EF7FA9" w:rsidRDefault="008D6880" w14:paraId="2ADE2617" w14:textId="38A819B9">
      <w:pPr>
        <w:spacing w:line="240" w:lineRule="auto"/>
      </w:pPr>
      <w:r>
        <w:t>M</w:t>
      </w:r>
      <w:r w:rsidRPr="005328B9" w:rsidR="00F60616">
        <w:t xml:space="preserve">et platformen </w:t>
      </w:r>
      <w:r>
        <w:t>wordt i</w:t>
      </w:r>
      <w:r w:rsidRPr="005328B9" w:rsidR="00F60616">
        <w:t xml:space="preserve">ngezet op preventie en bewustwording. Zoals aangekondigd in de voortgangsbrief </w:t>
      </w:r>
      <w:r w:rsidRPr="005328B9" w:rsidR="0029624C">
        <w:t>van</w:t>
      </w:r>
      <w:r w:rsidRPr="005328B9" w:rsidR="00F60616">
        <w:t xml:space="preserve"> december jl. is in samenwerking met Meta de </w:t>
      </w:r>
      <w:proofErr w:type="spellStart"/>
      <w:r w:rsidRPr="005328B9" w:rsidR="00F60616">
        <w:t>ReDirect</w:t>
      </w:r>
      <w:proofErr w:type="spellEnd"/>
      <w:r w:rsidRPr="005328B9" w:rsidR="00F60616">
        <w:t xml:space="preserve"> pilot</w:t>
      </w:r>
      <w:r w:rsidR="007C2B46">
        <w:t xml:space="preserve"> in</w:t>
      </w:r>
      <w:r w:rsidRPr="005328B9" w:rsidR="00F60616">
        <w:t xml:space="preserve"> </w:t>
      </w:r>
      <w:r w:rsidRPr="005328B9" w:rsidR="001B0B15">
        <w:t>januari 2026</w:t>
      </w:r>
      <w:r w:rsidRPr="005328B9" w:rsidR="0029624C">
        <w:t xml:space="preserve"> gestart. Deze pilot is in eerste instantie kleinschalig </w:t>
      </w:r>
      <w:r w:rsidRPr="005328B9" w:rsidR="001B0B15">
        <w:t>uitgerold op Instagram</w:t>
      </w:r>
      <w:r w:rsidRPr="005328B9" w:rsidR="00F60616">
        <w:t>.</w:t>
      </w:r>
      <w:r w:rsidRPr="005328B9" w:rsidR="006E160F">
        <w:rPr>
          <w:rStyle w:val="Voetnootmarkering"/>
        </w:rPr>
        <w:footnoteReference w:id="9"/>
      </w:r>
      <w:r w:rsidRPr="005328B9" w:rsidR="00F60616">
        <w:t xml:space="preserve"> </w:t>
      </w:r>
      <w:r w:rsidRPr="005328B9" w:rsidR="0029624C">
        <w:t xml:space="preserve">Met behulp van de </w:t>
      </w:r>
      <w:proofErr w:type="spellStart"/>
      <w:r w:rsidRPr="005328B9" w:rsidR="0029624C">
        <w:t>ReDirect</w:t>
      </w:r>
      <w:proofErr w:type="spellEnd"/>
      <w:r w:rsidRPr="005328B9" w:rsidR="0029624C">
        <w:t xml:space="preserve"> methode</w:t>
      </w:r>
      <w:r w:rsidRPr="005328B9" w:rsidR="00F60616">
        <w:t xml:space="preserve"> worden gebruikers die zoeken naar </w:t>
      </w:r>
      <w:r w:rsidRPr="005328B9" w:rsidR="006F37AD">
        <w:t>terroristische</w:t>
      </w:r>
      <w:r w:rsidRPr="005328B9" w:rsidR="00F60616">
        <w:t xml:space="preserve"> online content omgeleid naar </w:t>
      </w:r>
      <w:r w:rsidRPr="005328B9" w:rsidR="005A145B">
        <w:t>het</w:t>
      </w:r>
      <w:r w:rsidRPr="005328B9" w:rsidR="007E6C4D">
        <w:t xml:space="preserve"> Landelijk Steunpunt Extremisme</w:t>
      </w:r>
      <w:r w:rsidRPr="005328B9" w:rsidR="005A145B">
        <w:t xml:space="preserve"> </w:t>
      </w:r>
      <w:r w:rsidRPr="005328B9" w:rsidR="007E6C4D">
        <w:t>(</w:t>
      </w:r>
      <w:r w:rsidRPr="005328B9" w:rsidR="00F318D7">
        <w:t>LSE</w:t>
      </w:r>
      <w:r w:rsidRPr="005328B9" w:rsidR="007E6C4D">
        <w:t>)</w:t>
      </w:r>
      <w:r w:rsidRPr="005328B9" w:rsidR="00F60616">
        <w:t xml:space="preserve">. </w:t>
      </w:r>
      <w:r w:rsidRPr="005328B9" w:rsidR="0029624C">
        <w:t xml:space="preserve">Tot op heden is het aantal </w:t>
      </w:r>
      <w:r w:rsidR="0053181C">
        <w:t xml:space="preserve">omleidingen </w:t>
      </w:r>
      <w:r w:rsidR="007C2B46">
        <w:t xml:space="preserve">relatief </w:t>
      </w:r>
      <w:r w:rsidRPr="005328B9" w:rsidR="0029624C">
        <w:t xml:space="preserve">beperkt. In de zomer </w:t>
      </w:r>
      <w:r w:rsidR="001D4204">
        <w:t xml:space="preserve">van dit jaar </w:t>
      </w:r>
      <w:r w:rsidRPr="005328B9" w:rsidR="0029624C">
        <w:t xml:space="preserve">wordt de pilot uitgebreid naar </w:t>
      </w:r>
      <w:proofErr w:type="spellStart"/>
      <w:r w:rsidRPr="005328B9" w:rsidR="0029624C">
        <w:t>Threads</w:t>
      </w:r>
      <w:proofErr w:type="spellEnd"/>
      <w:r w:rsidRPr="005328B9" w:rsidR="0029624C">
        <w:t xml:space="preserve"> en Facebook, waarna in</w:t>
      </w:r>
      <w:r w:rsidRPr="005328B9" w:rsidR="005A145B">
        <w:t xml:space="preserve"> het najaar van</w:t>
      </w:r>
      <w:r w:rsidRPr="005328B9" w:rsidR="00FD7418">
        <w:t xml:space="preserve"> 2026</w:t>
      </w:r>
      <w:r w:rsidRPr="005328B9" w:rsidR="00F60616">
        <w:t xml:space="preserve"> zal worden bezien of een eventuele uitbreiding en/of verlenging </w:t>
      </w:r>
      <w:r w:rsidR="00A00A0E">
        <w:t xml:space="preserve">van dit initiatief </w:t>
      </w:r>
      <w:r w:rsidRPr="005328B9" w:rsidR="00F60616">
        <w:t>opportuun is.</w:t>
      </w:r>
      <w:r w:rsidRPr="005328B9" w:rsidR="00FD7418">
        <w:rPr>
          <w:rStyle w:val="Voetnootmarkering"/>
        </w:rPr>
        <w:footnoteReference w:id="10"/>
      </w:r>
      <w:r w:rsidRPr="005328B9" w:rsidR="00A76CA0">
        <w:t xml:space="preserve"> </w:t>
      </w:r>
      <w:r w:rsidR="001D4204">
        <w:t>Ik zal uw Kamer hierover informeren</w:t>
      </w:r>
      <w:r w:rsidR="00EF77E5">
        <w:t xml:space="preserve"> in de volgende voortgangsbrief </w:t>
      </w:r>
      <w:r w:rsidR="0042713A">
        <w:t>over</w:t>
      </w:r>
      <w:r w:rsidR="00EF77E5">
        <w:t xml:space="preserve"> de VAO.</w:t>
      </w:r>
    </w:p>
    <w:p w:rsidRPr="005328B9" w:rsidR="00FD7418" w:rsidP="00EF7FA9" w:rsidRDefault="00FD7418" w14:paraId="3396E093" w14:textId="77777777">
      <w:pPr>
        <w:spacing w:line="240" w:lineRule="auto"/>
      </w:pPr>
    </w:p>
    <w:p w:rsidRPr="005328B9" w:rsidR="00F60616" w:rsidP="00EF7FA9" w:rsidRDefault="00393CFD" w14:paraId="276801C5" w14:textId="6BE69CEA">
      <w:pPr>
        <w:spacing w:line="240" w:lineRule="auto"/>
        <w:rPr>
          <w:rFonts w:cs="Times New Roman"/>
        </w:rPr>
      </w:pPr>
      <w:r w:rsidRPr="005328B9">
        <w:rPr>
          <w:rFonts w:cs="Times New Roman"/>
        </w:rPr>
        <w:t>D</w:t>
      </w:r>
      <w:r w:rsidRPr="005328B9" w:rsidR="00F60616">
        <w:rPr>
          <w:rFonts w:cs="Times New Roman"/>
        </w:rPr>
        <w:t>e afgelopen periode</w:t>
      </w:r>
      <w:r w:rsidRPr="005328B9">
        <w:rPr>
          <w:rFonts w:cs="Times New Roman"/>
        </w:rPr>
        <w:t xml:space="preserve"> zijn er</w:t>
      </w:r>
      <w:r w:rsidRPr="005328B9" w:rsidR="00F60616">
        <w:rPr>
          <w:rFonts w:cs="Times New Roman"/>
        </w:rPr>
        <w:t xml:space="preserve"> mogelijkheden onderzocht om </w:t>
      </w:r>
      <w:r w:rsidR="001A230D">
        <w:rPr>
          <w:rFonts w:cs="Times New Roman"/>
        </w:rPr>
        <w:t xml:space="preserve">soortgelijke </w:t>
      </w:r>
      <w:r w:rsidRPr="005328B9" w:rsidR="00F60616">
        <w:rPr>
          <w:rFonts w:cs="Times New Roman"/>
        </w:rPr>
        <w:t xml:space="preserve">pilots op te zetten. </w:t>
      </w:r>
      <w:r w:rsidR="007C2B46">
        <w:rPr>
          <w:rFonts w:cs="Times New Roman"/>
        </w:rPr>
        <w:t>M</w:t>
      </w:r>
      <w:r w:rsidRPr="005328B9" w:rsidR="007C2B46">
        <w:rPr>
          <w:rFonts w:cs="Times New Roman"/>
        </w:rPr>
        <w:t>omenteel</w:t>
      </w:r>
      <w:r w:rsidR="007C2B46">
        <w:rPr>
          <w:rFonts w:cs="Times New Roman"/>
        </w:rPr>
        <w:t xml:space="preserve"> </w:t>
      </w:r>
      <w:r w:rsidRPr="005328B9" w:rsidR="00F60616">
        <w:rPr>
          <w:rFonts w:cs="Times New Roman"/>
        </w:rPr>
        <w:t xml:space="preserve">worden twee sporen uitgewerkt. Het eerste spoor betreft een pilot die, vergelijkbaar met de </w:t>
      </w:r>
      <w:proofErr w:type="spellStart"/>
      <w:r w:rsidRPr="005328B9" w:rsidR="00F60616">
        <w:rPr>
          <w:rFonts w:cs="Times New Roman"/>
        </w:rPr>
        <w:t>ReDirect</w:t>
      </w:r>
      <w:proofErr w:type="spellEnd"/>
      <w:r w:rsidRPr="005328B9" w:rsidR="00F60616">
        <w:rPr>
          <w:rFonts w:cs="Times New Roman"/>
        </w:rPr>
        <w:t xml:space="preserve">-methode, wordt opgezet op een </w:t>
      </w:r>
      <w:r w:rsidRPr="005328B9" w:rsidR="00476DEC">
        <w:rPr>
          <w:rFonts w:cs="Times New Roman"/>
        </w:rPr>
        <w:t xml:space="preserve">ander </w:t>
      </w:r>
      <w:r w:rsidRPr="005328B9" w:rsidR="00F60616">
        <w:rPr>
          <w:rFonts w:cs="Times New Roman"/>
        </w:rPr>
        <w:t xml:space="preserve">sociaal mediaplatform dat veel wordt gebruikt in Nederland. Het tweede spoor richt zich op een project op een online </w:t>
      </w:r>
      <w:proofErr w:type="spellStart"/>
      <w:r w:rsidRPr="005328B9" w:rsidR="00F60616">
        <w:rPr>
          <w:rFonts w:cs="Times New Roman"/>
        </w:rPr>
        <w:t>gamingplatform</w:t>
      </w:r>
      <w:proofErr w:type="spellEnd"/>
      <w:r w:rsidRPr="005328B9" w:rsidR="00F60616">
        <w:rPr>
          <w:rFonts w:cs="Times New Roman"/>
        </w:rPr>
        <w:t xml:space="preserve">. In een volgende Kamerbrief in het najaar </w:t>
      </w:r>
      <w:r w:rsidRPr="005328B9" w:rsidR="00B43475">
        <w:rPr>
          <w:rFonts w:cs="Times New Roman"/>
        </w:rPr>
        <w:t xml:space="preserve">zal </w:t>
      </w:r>
      <w:r w:rsidRPr="005328B9" w:rsidR="00F60616">
        <w:rPr>
          <w:rFonts w:cs="Times New Roman"/>
        </w:rPr>
        <w:t>ik u informeren over de voortgang van deze sporen.</w:t>
      </w:r>
    </w:p>
    <w:p w:rsidRPr="005328B9" w:rsidR="00F60616" w:rsidP="00EF7FA9" w:rsidRDefault="00F60616" w14:paraId="27B7A2BC" w14:textId="77777777">
      <w:pPr>
        <w:spacing w:line="240" w:lineRule="auto"/>
        <w:rPr>
          <w:rFonts w:cs="Times New Roman"/>
        </w:rPr>
      </w:pPr>
    </w:p>
    <w:p w:rsidRPr="005328B9" w:rsidR="00F60616" w:rsidP="00EF7FA9" w:rsidRDefault="00F60616" w14:paraId="5C18ABFF" w14:textId="62F0A7BF">
      <w:pPr>
        <w:spacing w:line="240" w:lineRule="auto"/>
        <w:rPr>
          <w:rFonts w:cs="Times New Roman"/>
        </w:rPr>
      </w:pPr>
      <w:r w:rsidRPr="005328B9">
        <w:rPr>
          <w:rFonts w:cs="Times New Roman"/>
        </w:rPr>
        <w:t>Ook op Europees en internationaal niveau zet Nederland voortdurend</w:t>
      </w:r>
      <w:r w:rsidR="00136901">
        <w:rPr>
          <w:rFonts w:cs="Times New Roman"/>
        </w:rPr>
        <w:t xml:space="preserve"> actief</w:t>
      </w:r>
      <w:r w:rsidRPr="005328B9">
        <w:rPr>
          <w:rFonts w:cs="Times New Roman"/>
        </w:rPr>
        <w:t xml:space="preserve"> in </w:t>
      </w:r>
      <w:r w:rsidRPr="005328B9" w:rsidR="0029624C">
        <w:rPr>
          <w:rFonts w:cs="Times New Roman"/>
        </w:rPr>
        <w:t>op</w:t>
      </w:r>
      <w:r w:rsidRPr="005328B9">
        <w:rPr>
          <w:rFonts w:cs="Times New Roman"/>
        </w:rPr>
        <w:t xml:space="preserve"> het stimuleren van samenwerking op het gebied van preventie.</w:t>
      </w:r>
      <w:r w:rsidR="003033A0">
        <w:rPr>
          <w:rStyle w:val="Voetnootmarkering"/>
          <w:rFonts w:cs="Times New Roman"/>
        </w:rPr>
        <w:footnoteReference w:id="11"/>
      </w:r>
      <w:r w:rsidRPr="005328B9">
        <w:rPr>
          <w:rFonts w:cs="Times New Roman"/>
        </w:rPr>
        <w:t xml:space="preserve"> Eind 2026 levert de Europese Commissie een </w:t>
      </w:r>
      <w:r w:rsidRPr="005328B9" w:rsidR="007D50CA">
        <w:rPr>
          <w:rFonts w:cs="Times New Roman"/>
        </w:rPr>
        <w:t xml:space="preserve">stappenplan </w:t>
      </w:r>
      <w:r w:rsidRPr="005328B9" w:rsidR="009F0469">
        <w:rPr>
          <w:rFonts w:cs="Times New Roman"/>
        </w:rPr>
        <w:t xml:space="preserve">op </w:t>
      </w:r>
      <w:r w:rsidRPr="005328B9" w:rsidR="004934A4">
        <w:rPr>
          <w:rFonts w:cs="Times New Roman"/>
        </w:rPr>
        <w:t>d</w:t>
      </w:r>
      <w:r w:rsidRPr="005328B9" w:rsidR="009F0469">
        <w:rPr>
          <w:rFonts w:cs="Times New Roman"/>
        </w:rPr>
        <w:t>at</w:t>
      </w:r>
      <w:r w:rsidRPr="005328B9">
        <w:rPr>
          <w:rFonts w:cs="Times New Roman"/>
        </w:rPr>
        <w:t xml:space="preserve"> lidstaten </w:t>
      </w:r>
      <w:r w:rsidRPr="005328B9" w:rsidR="006E160F">
        <w:rPr>
          <w:rFonts w:cs="Times New Roman"/>
        </w:rPr>
        <w:t>kan</w:t>
      </w:r>
      <w:r w:rsidRPr="005328B9">
        <w:rPr>
          <w:rFonts w:cs="Times New Roman"/>
        </w:rPr>
        <w:t xml:space="preserve"> helpen in het opzetten van een effectieve strategie tegen online </w:t>
      </w:r>
      <w:r w:rsidRPr="005328B9" w:rsidR="009F0469">
        <w:rPr>
          <w:rFonts w:cs="Times New Roman"/>
        </w:rPr>
        <w:t xml:space="preserve">extremisme </w:t>
      </w:r>
      <w:r w:rsidRPr="005328B9">
        <w:rPr>
          <w:rFonts w:cs="Times New Roman"/>
        </w:rPr>
        <w:t xml:space="preserve">en </w:t>
      </w:r>
      <w:r w:rsidRPr="005328B9" w:rsidR="009F0469">
        <w:rPr>
          <w:rFonts w:cs="Times New Roman"/>
        </w:rPr>
        <w:t>terrorisme</w:t>
      </w:r>
      <w:r w:rsidRPr="005328B9">
        <w:rPr>
          <w:rFonts w:cs="Times New Roman"/>
        </w:rPr>
        <w:t xml:space="preserve">. </w:t>
      </w:r>
    </w:p>
    <w:p w:rsidRPr="005328B9" w:rsidR="00F60616" w:rsidP="00EF7FA9" w:rsidRDefault="00F60616" w14:paraId="2A3BEEB9" w14:textId="77777777">
      <w:pPr>
        <w:spacing w:line="240" w:lineRule="auto"/>
        <w:rPr>
          <w:rFonts w:cs="Times New Roman"/>
        </w:rPr>
      </w:pPr>
    </w:p>
    <w:p w:rsidRPr="005328B9" w:rsidR="00F60616" w:rsidP="00EF7FA9" w:rsidRDefault="00B26263" w14:paraId="398B2FC7" w14:textId="4140A6A8">
      <w:pPr>
        <w:autoSpaceDN/>
        <w:spacing w:line="240" w:lineRule="auto"/>
        <w:textAlignment w:val="auto"/>
        <w:rPr>
          <w:rFonts w:cs="Times New Roman"/>
          <w:b/>
          <w:bCs/>
        </w:rPr>
      </w:pPr>
      <w:r>
        <w:rPr>
          <w:rFonts w:cs="Times New Roman"/>
          <w:b/>
          <w:bCs/>
        </w:rPr>
        <w:t xml:space="preserve">2. </w:t>
      </w:r>
      <w:r w:rsidRPr="005328B9" w:rsidR="00F60616">
        <w:rPr>
          <w:rFonts w:cs="Times New Roman"/>
          <w:b/>
          <w:bCs/>
        </w:rPr>
        <w:t xml:space="preserve">Normeren en signaleren </w:t>
      </w:r>
    </w:p>
    <w:p w:rsidRPr="005328B9" w:rsidR="001B0B15" w:rsidP="00EF7FA9" w:rsidRDefault="00F60616" w14:paraId="2CE7FEEE" w14:textId="6DC144BB">
      <w:pPr>
        <w:spacing w:line="240" w:lineRule="auto"/>
        <w:rPr>
          <w:rFonts w:cs="Times New Roman"/>
        </w:rPr>
      </w:pPr>
      <w:r w:rsidRPr="005328B9">
        <w:rPr>
          <w:rFonts w:cs="Times New Roman"/>
        </w:rPr>
        <w:t xml:space="preserve">De normerende en signalerende </w:t>
      </w:r>
      <w:r w:rsidR="003B0ADB">
        <w:rPr>
          <w:rFonts w:cs="Times New Roman"/>
        </w:rPr>
        <w:t>actielijn</w:t>
      </w:r>
      <w:r w:rsidRPr="005328B9" w:rsidR="003B0ADB">
        <w:rPr>
          <w:rFonts w:cs="Times New Roman"/>
        </w:rPr>
        <w:t xml:space="preserve"> </w:t>
      </w:r>
      <w:r w:rsidRPr="005328B9" w:rsidR="0029624C">
        <w:rPr>
          <w:rFonts w:cs="Times New Roman"/>
        </w:rPr>
        <w:t>komt tot uitdrukking in onder andere</w:t>
      </w:r>
      <w:r w:rsidRPr="005328B9">
        <w:rPr>
          <w:rFonts w:cs="Times New Roman"/>
        </w:rPr>
        <w:t xml:space="preserve"> de dialoog met de platformen</w:t>
      </w:r>
      <w:r w:rsidRPr="005328B9" w:rsidR="00994359">
        <w:rPr>
          <w:rFonts w:cs="Times New Roman"/>
        </w:rPr>
        <w:t xml:space="preserve">. </w:t>
      </w:r>
      <w:r w:rsidRPr="005328B9">
        <w:rPr>
          <w:rFonts w:cs="Times New Roman"/>
        </w:rPr>
        <w:t xml:space="preserve">Ik blijf in gesprek met online platformen om </w:t>
      </w:r>
      <w:r w:rsidRPr="005328B9" w:rsidR="00994359">
        <w:rPr>
          <w:rFonts w:cs="Times New Roman"/>
        </w:rPr>
        <w:t xml:space="preserve">de online dreiging onder de aandacht te brengen, </w:t>
      </w:r>
      <w:r w:rsidRPr="005328B9">
        <w:rPr>
          <w:rFonts w:cs="Times New Roman"/>
        </w:rPr>
        <w:t xml:space="preserve">mijn zorgen over online radicalisering, extremisme en terrorisme te </w:t>
      </w:r>
      <w:r w:rsidRPr="005328B9" w:rsidR="00C46BCE">
        <w:rPr>
          <w:rFonts w:cs="Times New Roman"/>
        </w:rPr>
        <w:t>uiten</w:t>
      </w:r>
      <w:r w:rsidRPr="005328B9">
        <w:rPr>
          <w:rFonts w:cs="Times New Roman"/>
        </w:rPr>
        <w:t xml:space="preserve"> en de platformen normerend aan </w:t>
      </w:r>
      <w:r w:rsidRPr="005328B9" w:rsidR="00994359">
        <w:rPr>
          <w:rFonts w:cs="Times New Roman"/>
        </w:rPr>
        <w:t xml:space="preserve">te spreken </w:t>
      </w:r>
      <w:r w:rsidRPr="005328B9">
        <w:rPr>
          <w:rFonts w:cs="Times New Roman"/>
        </w:rPr>
        <w:t>op hun verantwoordelijkheid voor het creëren van een veilige online omgeving.</w:t>
      </w:r>
      <w:r w:rsidRPr="005328B9" w:rsidR="00994359">
        <w:rPr>
          <w:rStyle w:val="Voetnootmarkering"/>
          <w:rFonts w:cs="Times New Roman"/>
        </w:rPr>
        <w:footnoteReference w:id="12"/>
      </w:r>
      <w:r w:rsidRPr="005328B9">
        <w:rPr>
          <w:rFonts w:cs="Times New Roman"/>
        </w:rPr>
        <w:t xml:space="preserve"> </w:t>
      </w:r>
      <w:r w:rsidRPr="005328B9" w:rsidR="00994359">
        <w:rPr>
          <w:rFonts w:cs="Times New Roman"/>
        </w:rPr>
        <w:t>In lijn met</w:t>
      </w:r>
      <w:r w:rsidRPr="005328B9">
        <w:rPr>
          <w:rFonts w:cs="Times New Roman"/>
        </w:rPr>
        <w:t xml:space="preserve"> de uitspraak van mijn ambtsvoorganger tijdens de begrotingsbehandeling van J</w:t>
      </w:r>
      <w:r w:rsidR="00B84381">
        <w:rPr>
          <w:rFonts w:cs="Times New Roman"/>
        </w:rPr>
        <w:t>enV</w:t>
      </w:r>
      <w:r w:rsidRPr="005328B9">
        <w:rPr>
          <w:rFonts w:cs="Times New Roman"/>
        </w:rPr>
        <w:t xml:space="preserve"> </w:t>
      </w:r>
      <w:r w:rsidRPr="005328B9" w:rsidR="005226AD">
        <w:rPr>
          <w:rFonts w:cs="Times New Roman"/>
        </w:rPr>
        <w:t>(29 januari jl.)</w:t>
      </w:r>
      <w:r w:rsidR="002635B2">
        <w:rPr>
          <w:rStyle w:val="Voetnootmarkering"/>
          <w:rFonts w:cs="Times New Roman"/>
        </w:rPr>
        <w:footnoteReference w:id="13"/>
      </w:r>
      <w:r w:rsidRPr="005328B9" w:rsidR="005226AD">
        <w:rPr>
          <w:rFonts w:cs="Times New Roman"/>
        </w:rPr>
        <w:t xml:space="preserve"> </w:t>
      </w:r>
      <w:r w:rsidRPr="005328B9">
        <w:rPr>
          <w:rFonts w:cs="Times New Roman"/>
        </w:rPr>
        <w:t>heb ik ook het ministeriële EU Internet Forum op 4 maart jl.</w:t>
      </w:r>
      <w:r w:rsidRPr="005328B9" w:rsidR="00994359">
        <w:rPr>
          <w:rFonts w:cs="Times New Roman"/>
        </w:rPr>
        <w:t>,</w:t>
      </w:r>
      <w:r w:rsidRPr="005328B9">
        <w:rPr>
          <w:rFonts w:cs="Times New Roman"/>
        </w:rPr>
        <w:t xml:space="preserve"> aangegrepen om de </w:t>
      </w:r>
      <w:r w:rsidRPr="005328B9" w:rsidR="00476DEC">
        <w:rPr>
          <w:rFonts w:cs="Times New Roman"/>
        </w:rPr>
        <w:t>verantwoordelijkheid</w:t>
      </w:r>
      <w:r w:rsidRPr="005328B9">
        <w:rPr>
          <w:rFonts w:cs="Times New Roman"/>
        </w:rPr>
        <w:t xml:space="preserve"> van</w:t>
      </w:r>
      <w:r w:rsidRPr="005328B9" w:rsidR="00994359">
        <w:rPr>
          <w:rFonts w:cs="Times New Roman"/>
        </w:rPr>
        <w:t xml:space="preserve"> deze </w:t>
      </w:r>
      <w:r w:rsidRPr="005328B9">
        <w:rPr>
          <w:rFonts w:cs="Times New Roman"/>
        </w:rPr>
        <w:t>platformen</w:t>
      </w:r>
      <w:r w:rsidR="005532C3">
        <w:rPr>
          <w:rFonts w:cs="Times New Roman"/>
        </w:rPr>
        <w:t xml:space="preserve"> te benadrukken en de grote zorgen</w:t>
      </w:r>
      <w:r w:rsidRPr="005328B9">
        <w:rPr>
          <w:rFonts w:cs="Times New Roman"/>
        </w:rPr>
        <w:t xml:space="preserve"> te </w:t>
      </w:r>
      <w:r w:rsidR="005532C3">
        <w:rPr>
          <w:rFonts w:cs="Times New Roman"/>
        </w:rPr>
        <w:t>uiten</w:t>
      </w:r>
      <w:r w:rsidRPr="005328B9">
        <w:rPr>
          <w:rFonts w:cs="Times New Roman"/>
        </w:rPr>
        <w:t>.</w:t>
      </w:r>
      <w:r w:rsidRPr="005328B9">
        <w:rPr>
          <w:rStyle w:val="Voetnootmarkering"/>
          <w:rFonts w:cs="Times New Roman"/>
        </w:rPr>
        <w:footnoteReference w:id="14"/>
      </w:r>
      <w:r w:rsidRPr="005328B9">
        <w:rPr>
          <w:rFonts w:cs="Times New Roman"/>
        </w:rPr>
        <w:t xml:space="preserve"> </w:t>
      </w:r>
    </w:p>
    <w:p w:rsidRPr="005328B9" w:rsidR="001B0B15" w:rsidP="00EF7FA9" w:rsidRDefault="001B0B15" w14:paraId="3902A8E6" w14:textId="77777777">
      <w:pPr>
        <w:spacing w:line="240" w:lineRule="auto"/>
        <w:rPr>
          <w:rFonts w:cs="Times New Roman"/>
        </w:rPr>
      </w:pPr>
    </w:p>
    <w:p w:rsidRPr="005328B9" w:rsidR="00F60616" w:rsidP="00EF7FA9" w:rsidRDefault="00F60616" w14:paraId="304B37D8" w14:textId="4B4BDA3F">
      <w:pPr>
        <w:spacing w:line="240" w:lineRule="auto"/>
        <w:rPr>
          <w:rFonts w:cs="Times New Roman"/>
        </w:rPr>
      </w:pPr>
      <w:r w:rsidRPr="005328B9">
        <w:rPr>
          <w:rFonts w:cs="Times New Roman"/>
        </w:rPr>
        <w:t xml:space="preserve">Dit jaar is tevens gestart met de doorontwikkeling </w:t>
      </w:r>
      <w:r w:rsidRPr="005328B9" w:rsidR="005A145B">
        <w:rPr>
          <w:rFonts w:cs="Times New Roman"/>
        </w:rPr>
        <w:t xml:space="preserve">van de dialoog </w:t>
      </w:r>
      <w:r w:rsidR="00417262">
        <w:rPr>
          <w:rFonts w:cs="Times New Roman"/>
        </w:rPr>
        <w:t xml:space="preserve">met platformen </w:t>
      </w:r>
      <w:r w:rsidRPr="005328B9">
        <w:rPr>
          <w:rFonts w:cs="Times New Roman"/>
        </w:rPr>
        <w:t>op nationaal niveau. Ik ben van plan mijn gesprekken met zowel de sociale media</w:t>
      </w:r>
      <w:r w:rsidR="006A14AC">
        <w:rPr>
          <w:rFonts w:cs="Times New Roman"/>
        </w:rPr>
        <w:t>-</w:t>
      </w:r>
      <w:r w:rsidRPr="005328B9">
        <w:rPr>
          <w:rFonts w:cs="Times New Roman"/>
        </w:rPr>
        <w:t xml:space="preserve"> als </w:t>
      </w:r>
      <w:proofErr w:type="spellStart"/>
      <w:r w:rsidRPr="005328B9">
        <w:rPr>
          <w:rFonts w:cs="Times New Roman"/>
        </w:rPr>
        <w:t>gamingplatformen</w:t>
      </w:r>
      <w:proofErr w:type="spellEnd"/>
      <w:r w:rsidRPr="005328B9">
        <w:rPr>
          <w:rFonts w:cs="Times New Roman"/>
        </w:rPr>
        <w:t xml:space="preserve"> </w:t>
      </w:r>
      <w:r w:rsidRPr="005328B9" w:rsidR="007412FA">
        <w:rPr>
          <w:rFonts w:cs="Times New Roman"/>
        </w:rPr>
        <w:t>voort te zetten</w:t>
      </w:r>
      <w:r w:rsidRPr="005328B9">
        <w:rPr>
          <w:rFonts w:cs="Times New Roman"/>
        </w:rPr>
        <w:t xml:space="preserve">, </w:t>
      </w:r>
      <w:r w:rsidRPr="005328B9" w:rsidR="00EE638A">
        <w:rPr>
          <w:rFonts w:cs="Times New Roman"/>
        </w:rPr>
        <w:t xml:space="preserve">alsook </w:t>
      </w:r>
      <w:r w:rsidRPr="005328B9">
        <w:rPr>
          <w:rFonts w:cs="Times New Roman"/>
        </w:rPr>
        <w:t xml:space="preserve">uit te breiden naar de AI-sector. Ook ben ik voornemens in het najaar een </w:t>
      </w:r>
      <w:r w:rsidRPr="005328B9" w:rsidR="00EE638A">
        <w:rPr>
          <w:rFonts w:cs="Times New Roman"/>
        </w:rPr>
        <w:t xml:space="preserve">bijeenkomst te organiseren </w:t>
      </w:r>
      <w:r w:rsidRPr="005328B9">
        <w:rPr>
          <w:rFonts w:cs="Times New Roman"/>
        </w:rPr>
        <w:t xml:space="preserve">met </w:t>
      </w:r>
      <w:r w:rsidRPr="005328B9" w:rsidR="00EE638A">
        <w:rPr>
          <w:rFonts w:cs="Times New Roman"/>
        </w:rPr>
        <w:t xml:space="preserve">de door </w:t>
      </w:r>
      <w:r w:rsidR="00417262">
        <w:rPr>
          <w:rFonts w:cs="Times New Roman"/>
        </w:rPr>
        <w:t xml:space="preserve">Nederlandse </w:t>
      </w:r>
      <w:r w:rsidRPr="005328B9" w:rsidR="00EE638A">
        <w:rPr>
          <w:rFonts w:cs="Times New Roman"/>
        </w:rPr>
        <w:t xml:space="preserve">jongeren meest gebruikte sociale media- en </w:t>
      </w:r>
      <w:proofErr w:type="spellStart"/>
      <w:r w:rsidRPr="005328B9" w:rsidR="000350E6">
        <w:rPr>
          <w:rFonts w:cs="Times New Roman"/>
        </w:rPr>
        <w:t>gamingplatformen</w:t>
      </w:r>
      <w:proofErr w:type="spellEnd"/>
      <w:r w:rsidRPr="005328B9" w:rsidR="007412FA">
        <w:rPr>
          <w:rFonts w:cs="Times New Roman"/>
        </w:rPr>
        <w:t xml:space="preserve"> </w:t>
      </w:r>
      <w:r w:rsidRPr="005328B9">
        <w:rPr>
          <w:rFonts w:cs="Times New Roman"/>
        </w:rPr>
        <w:t xml:space="preserve">om mijn zorgen te delen en </w:t>
      </w:r>
      <w:r w:rsidRPr="005328B9" w:rsidR="007412FA">
        <w:rPr>
          <w:rFonts w:cs="Times New Roman"/>
        </w:rPr>
        <w:t>mogelijkheden voor betere samenwerking te verkennen.</w:t>
      </w:r>
      <w:r w:rsidRPr="005328B9">
        <w:rPr>
          <w:rFonts w:cs="Times New Roman"/>
        </w:rPr>
        <w:t xml:space="preserve"> </w:t>
      </w:r>
    </w:p>
    <w:p w:rsidRPr="005328B9" w:rsidR="00F60616" w:rsidP="00EF7FA9" w:rsidRDefault="00F60616" w14:paraId="3DE8009F" w14:textId="77777777">
      <w:pPr>
        <w:spacing w:line="240" w:lineRule="auto"/>
        <w:rPr>
          <w:rFonts w:cs="Times New Roman"/>
        </w:rPr>
      </w:pPr>
    </w:p>
    <w:p w:rsidRPr="005328B9" w:rsidR="00F60616" w:rsidP="00EF7FA9" w:rsidRDefault="00F60616" w14:paraId="37802758" w14:textId="77777777">
      <w:pPr>
        <w:spacing w:line="240" w:lineRule="auto"/>
        <w:rPr>
          <w:rFonts w:cs="Times New Roman"/>
        </w:rPr>
      </w:pPr>
      <w:r w:rsidRPr="005328B9">
        <w:rPr>
          <w:rFonts w:cs="Times New Roman"/>
          <w:i/>
          <w:iCs/>
        </w:rPr>
        <w:t>Minimumleeftijd sociale media met leeftijdsverificatie</w:t>
      </w:r>
      <w:r w:rsidRPr="005328B9">
        <w:rPr>
          <w:rFonts w:cs="Times New Roman"/>
        </w:rPr>
        <w:t xml:space="preserve"> </w:t>
      </w:r>
    </w:p>
    <w:p w:rsidRPr="005328B9" w:rsidR="00286B01" w:rsidP="00EF7FA9" w:rsidRDefault="00A6628D" w14:paraId="76749DF0" w14:textId="4758B0D3">
      <w:pPr>
        <w:spacing w:line="240" w:lineRule="auto"/>
      </w:pPr>
      <w:r w:rsidRPr="005328B9">
        <w:rPr>
          <w:rFonts w:cs="Times New Roman"/>
        </w:rPr>
        <w:t xml:space="preserve">Het kabinet kijkt in bredere zin of digitale diensten voldoende veilig zijn voor kinderen en jongeren. </w:t>
      </w:r>
      <w:r w:rsidR="00E45199">
        <w:rPr>
          <w:rFonts w:cs="Times New Roman"/>
        </w:rPr>
        <w:t xml:space="preserve">In het kader van de strategie ‘Kinderrechten in de digitale wereld’ </w:t>
      </w:r>
      <w:r w:rsidRPr="005328B9" w:rsidR="00E45199">
        <w:rPr>
          <w:rFonts w:cs="Times New Roman"/>
        </w:rPr>
        <w:t xml:space="preserve">brengt het kabinet </w:t>
      </w:r>
      <w:r w:rsidR="00E45199">
        <w:rPr>
          <w:rFonts w:cs="Times New Roman"/>
        </w:rPr>
        <w:t>o</w:t>
      </w:r>
      <w:r w:rsidRPr="005328B9" w:rsidR="00E45199">
        <w:rPr>
          <w:rFonts w:cs="Times New Roman"/>
        </w:rPr>
        <w:t xml:space="preserve">nder </w:t>
      </w:r>
      <w:r w:rsidR="00202D26">
        <w:rPr>
          <w:rFonts w:cs="Times New Roman"/>
        </w:rPr>
        <w:t xml:space="preserve">meer </w:t>
      </w:r>
      <w:r w:rsidRPr="005328B9" w:rsidR="00E45199">
        <w:rPr>
          <w:rFonts w:cs="Times New Roman"/>
        </w:rPr>
        <w:t>middels Kinderrechten Impact Assessments (</w:t>
      </w:r>
      <w:proofErr w:type="spellStart"/>
      <w:r w:rsidRPr="005328B9" w:rsidR="00E45199">
        <w:rPr>
          <w:rFonts w:cs="Times New Roman"/>
        </w:rPr>
        <w:t>KIAs</w:t>
      </w:r>
      <w:proofErr w:type="spellEnd"/>
      <w:r w:rsidRPr="005328B9" w:rsidR="00E45199">
        <w:rPr>
          <w:rFonts w:cs="Times New Roman"/>
        </w:rPr>
        <w:t>)</w:t>
      </w:r>
      <w:r w:rsidR="00E45199">
        <w:rPr>
          <w:rFonts w:cs="Times New Roman"/>
        </w:rPr>
        <w:t xml:space="preserve"> </w:t>
      </w:r>
      <w:r w:rsidRPr="005328B9" w:rsidR="00E45199">
        <w:rPr>
          <w:rFonts w:cs="Times New Roman"/>
        </w:rPr>
        <w:t xml:space="preserve">een breed spectrum aan risico’s van digitale diensten voor kinderen en jongeren </w:t>
      </w:r>
      <w:r w:rsidRPr="005328B9">
        <w:rPr>
          <w:rFonts w:cs="Times New Roman"/>
        </w:rPr>
        <w:t xml:space="preserve">in kaart. </w:t>
      </w:r>
      <w:r w:rsidRPr="005328B9" w:rsidR="00F60616">
        <w:t xml:space="preserve">In het coalitieakkoord is de ambitie opgenomen te komen tot een handhaafbare Europese minimumleeftijd </w:t>
      </w:r>
      <w:r w:rsidRPr="005328B9" w:rsidR="00D32402">
        <w:t>van</w:t>
      </w:r>
      <w:r w:rsidRPr="005328B9" w:rsidR="00F60616">
        <w:t xml:space="preserve"> </w:t>
      </w:r>
      <w:r w:rsidRPr="005328B9" w:rsidR="00D32402">
        <w:t xml:space="preserve">15 jaar voor </w:t>
      </w:r>
      <w:r w:rsidRPr="005328B9" w:rsidR="00F60616">
        <w:t xml:space="preserve">sociale media zolang deze </w:t>
      </w:r>
      <w:r w:rsidRPr="005328B9" w:rsidR="00D32402">
        <w:t>onvoldoende veilig</w:t>
      </w:r>
      <w:r w:rsidRPr="005328B9" w:rsidR="00F60616">
        <w:t xml:space="preserve"> zijn. </w:t>
      </w:r>
      <w:r w:rsidRPr="005328B9" w:rsidR="00EE638A">
        <w:t>Verschillende (EU-)landen onderzoeken een minimumleeftijd voor sociale media of bereiden hiervoor nationale wetgeving voor.</w:t>
      </w:r>
    </w:p>
    <w:p w:rsidRPr="005328B9" w:rsidR="00F60616" w:rsidP="00EF7FA9" w:rsidRDefault="00F60616" w14:paraId="51C701EC" w14:textId="25250972">
      <w:pPr>
        <w:spacing w:line="240" w:lineRule="auto"/>
      </w:pPr>
    </w:p>
    <w:p w:rsidRPr="005328B9" w:rsidR="00A6628D" w:rsidP="00EF7FA9" w:rsidRDefault="00A6628D" w14:paraId="4874A4EB" w14:textId="32236F5D">
      <w:pPr>
        <w:spacing w:line="240" w:lineRule="auto"/>
      </w:pPr>
      <w:r w:rsidRPr="005328B9">
        <w:t xml:space="preserve">De </w:t>
      </w:r>
      <w:r w:rsidRPr="005328B9" w:rsidR="00C46BCE">
        <w:t>s</w:t>
      </w:r>
      <w:r w:rsidRPr="005328B9">
        <w:t>taatssecretaris Digitale Economie en Soevereiniteit</w:t>
      </w:r>
      <w:r w:rsidRPr="005328B9" w:rsidR="00994359">
        <w:t xml:space="preserve"> zal, zoals is toegezegd tijdens het Wetgevingsoverleg Digitale Zaken van 2 maart jl., uw Kamer informeren over de stand van zaken van de Europese aanpak voor een Europese minimumleeftijd voor sociale media. De staatssecretaris </w:t>
      </w:r>
      <w:r w:rsidRPr="005328B9">
        <w:t xml:space="preserve">heeft </w:t>
      </w:r>
      <w:r w:rsidRPr="005328B9" w:rsidR="00D32402">
        <w:t xml:space="preserve">daarnaast </w:t>
      </w:r>
      <w:r w:rsidRPr="005328B9">
        <w:t xml:space="preserve">de Universiteit van Amsterdam opdracht gegeven in beeld te brengen wat de meest passende juridische </w:t>
      </w:r>
      <w:r w:rsidRPr="005328B9" w:rsidR="00D32402">
        <w:t>inrichting</w:t>
      </w:r>
      <w:r w:rsidRPr="005328B9">
        <w:t xml:space="preserve"> van een</w:t>
      </w:r>
      <w:r w:rsidRPr="005328B9" w:rsidR="00D32402">
        <w:t xml:space="preserve"> Europese</w:t>
      </w:r>
      <w:r w:rsidRPr="005328B9">
        <w:t xml:space="preserve"> </w:t>
      </w:r>
      <w:r w:rsidRPr="005328B9" w:rsidR="00841C61">
        <w:t>minimumleeftijd</w:t>
      </w:r>
      <w:r w:rsidRPr="005328B9">
        <w:t xml:space="preserve"> voor sociale media is</w:t>
      </w:r>
      <w:r w:rsidRPr="005328B9" w:rsidR="00994359">
        <w:t xml:space="preserve">. </w:t>
      </w:r>
      <w:r w:rsidRPr="005328B9" w:rsidR="00D32402">
        <w:t>De resultaten worden uiterlijk voor de zomer gepubliceerd</w:t>
      </w:r>
      <w:r w:rsidRPr="005328B9">
        <w:t xml:space="preserve">. Tegelijkertijd wordt zicht gehouden op ontwikkelingen in andere (EU lid-)staten op dit vlak en uitgekeken naar de aanbevelingen </w:t>
      </w:r>
      <w:r w:rsidRPr="005328B9" w:rsidR="00C46BCE">
        <w:t xml:space="preserve">van het onafhankelijk expertpanel onder leiding van de voorzitter van de Europese Commissie </w:t>
      </w:r>
      <w:r w:rsidRPr="005328B9">
        <w:t xml:space="preserve">over een Europese minimumleeftijd en bescherming van kinderen online. </w:t>
      </w:r>
      <w:r w:rsidRPr="005328B9" w:rsidR="001F5ABD">
        <w:t>Parallel verkent d</w:t>
      </w:r>
      <w:r w:rsidRPr="005328B9">
        <w:t xml:space="preserve">e </w:t>
      </w:r>
      <w:r w:rsidRPr="005328B9" w:rsidR="001F5ABD">
        <w:t>s</w:t>
      </w:r>
      <w:r w:rsidRPr="005328B9">
        <w:t>taatssecretaris of en hoe leeftijdsverificatie het beste kan worden vormgegeven</w:t>
      </w:r>
      <w:r w:rsidR="00BA0212">
        <w:t>,</w:t>
      </w:r>
      <w:r w:rsidRPr="00BA0212" w:rsidR="00BA0212">
        <w:t xml:space="preserve"> </w:t>
      </w:r>
      <w:r w:rsidRPr="005328B9" w:rsidR="00BA0212">
        <w:t>in Nederland</w:t>
      </w:r>
      <w:r w:rsidRPr="005328B9" w:rsidR="00494278">
        <w:t>. Hierbij is</w:t>
      </w:r>
      <w:r w:rsidRPr="005328B9">
        <w:t xml:space="preserve"> uiteraard oog voor </w:t>
      </w:r>
      <w:r w:rsidRPr="005328B9" w:rsidR="00494278">
        <w:t xml:space="preserve">zowel </w:t>
      </w:r>
      <w:r w:rsidRPr="005328B9">
        <w:t xml:space="preserve">de effectiviteit van de maatregel </w:t>
      </w:r>
      <w:r w:rsidRPr="005328B9" w:rsidR="00C46BCE">
        <w:t>als</w:t>
      </w:r>
      <w:r w:rsidRPr="005328B9" w:rsidR="00494278">
        <w:t xml:space="preserve"> de </w:t>
      </w:r>
      <w:r w:rsidRPr="005328B9" w:rsidR="00C46BCE">
        <w:t xml:space="preserve">mogelijke gevolgen voor de </w:t>
      </w:r>
      <w:r w:rsidRPr="005328B9" w:rsidR="00494278">
        <w:t xml:space="preserve">privacy </w:t>
      </w:r>
      <w:r w:rsidRPr="005328B9" w:rsidR="00C46BCE">
        <w:t xml:space="preserve">en andere grondrechten </w:t>
      </w:r>
      <w:r w:rsidRPr="005328B9" w:rsidR="00494278">
        <w:t>van gebruikers</w:t>
      </w:r>
      <w:r w:rsidRPr="005328B9">
        <w:t xml:space="preserve"> van sociale media</w:t>
      </w:r>
      <w:r w:rsidRPr="005328B9" w:rsidR="00494278">
        <w:t>,</w:t>
      </w:r>
      <w:r w:rsidRPr="005328B9" w:rsidR="00C46BCE">
        <w:t xml:space="preserve"> </w:t>
      </w:r>
      <w:r w:rsidRPr="005328B9" w:rsidR="00494278">
        <w:t>met name kinderen en jongeren.</w:t>
      </w:r>
      <w:r w:rsidRPr="005328B9">
        <w:t xml:space="preserve"> Bij deze verkenning wordt rekening gehouden met de Europese kaders en publieke waarden als toegankelijkheid, proportionaliteit, transparantie en handhaafbaarheid. </w:t>
      </w:r>
      <w:r w:rsidRPr="005328B9" w:rsidR="00994359">
        <w:t>D</w:t>
      </w:r>
      <w:r w:rsidRPr="005328B9">
        <w:t>eze verkenning</w:t>
      </w:r>
      <w:r w:rsidRPr="005328B9" w:rsidR="00994359">
        <w:t xml:space="preserve"> zal naar verwachting</w:t>
      </w:r>
      <w:r w:rsidRPr="005328B9">
        <w:t xml:space="preserve"> voor de zomer </w:t>
      </w:r>
      <w:r w:rsidRPr="005328B9" w:rsidR="00994359">
        <w:t xml:space="preserve">zijn </w:t>
      </w:r>
      <w:r w:rsidRPr="005328B9">
        <w:t>afgerond</w:t>
      </w:r>
      <w:r w:rsidRPr="005328B9" w:rsidR="00994359">
        <w:t xml:space="preserve">, waarna </w:t>
      </w:r>
      <w:r w:rsidR="00E56DB3">
        <w:t>Uw Kamer</w:t>
      </w:r>
      <w:r w:rsidRPr="005328B9">
        <w:t xml:space="preserve"> hierover </w:t>
      </w:r>
      <w:r w:rsidR="00163063">
        <w:t xml:space="preserve">wordt </w:t>
      </w:r>
      <w:r w:rsidRPr="005328B9" w:rsidR="00994359">
        <w:t>geïnformeerd</w:t>
      </w:r>
      <w:r w:rsidRPr="005328B9">
        <w:t xml:space="preserve">. </w:t>
      </w:r>
    </w:p>
    <w:p w:rsidRPr="005328B9" w:rsidR="00540416" w:rsidP="00EF7FA9" w:rsidRDefault="00540416" w14:paraId="45119636" w14:textId="77777777">
      <w:pPr>
        <w:spacing w:line="240" w:lineRule="auto"/>
        <w:rPr>
          <w:rFonts w:cs="Times New Roman"/>
          <w:b/>
          <w:bCs/>
        </w:rPr>
      </w:pPr>
    </w:p>
    <w:p w:rsidRPr="005328B9" w:rsidR="00C46BCE" w:rsidP="00EF7FA9" w:rsidRDefault="00B26263" w14:paraId="13E4459E" w14:textId="7BDF601C">
      <w:pPr>
        <w:spacing w:line="240" w:lineRule="auto"/>
        <w:rPr>
          <w:rFonts w:cs="Times New Roman"/>
          <w:b/>
          <w:bCs/>
        </w:rPr>
      </w:pPr>
      <w:r>
        <w:rPr>
          <w:rFonts w:cs="Times New Roman"/>
          <w:b/>
          <w:bCs/>
        </w:rPr>
        <w:t xml:space="preserve">3. </w:t>
      </w:r>
      <w:r w:rsidRPr="005328B9" w:rsidR="00F60616">
        <w:rPr>
          <w:rFonts w:cs="Times New Roman"/>
          <w:b/>
          <w:bCs/>
        </w:rPr>
        <w:t>Reguleren en handhaven</w:t>
      </w:r>
    </w:p>
    <w:p w:rsidR="00D706F0" w:rsidP="00EF7FA9" w:rsidRDefault="00F60616" w14:paraId="27C24536" w14:textId="57E5E14A">
      <w:pPr>
        <w:spacing w:after="240" w:line="240" w:lineRule="auto"/>
        <w:rPr>
          <w:rFonts w:cs="Times New Roman"/>
        </w:rPr>
      </w:pPr>
      <w:r w:rsidRPr="005328B9">
        <w:rPr>
          <w:rFonts w:cs="Times New Roman"/>
        </w:rPr>
        <w:t xml:space="preserve">De </w:t>
      </w:r>
      <w:r w:rsidR="00270CF0">
        <w:rPr>
          <w:rFonts w:cs="Times New Roman"/>
        </w:rPr>
        <w:t>ontwikkelingen op het gebied van</w:t>
      </w:r>
      <w:r w:rsidRPr="005328B9">
        <w:rPr>
          <w:rFonts w:cs="Times New Roman"/>
        </w:rPr>
        <w:t xml:space="preserve"> online radicalisering, extremisme en terrorisme onderstre</w:t>
      </w:r>
      <w:r w:rsidR="00BA0212">
        <w:rPr>
          <w:rFonts w:cs="Times New Roman"/>
        </w:rPr>
        <w:t>pen</w:t>
      </w:r>
      <w:r w:rsidRPr="005328B9">
        <w:rPr>
          <w:rFonts w:cs="Times New Roman"/>
        </w:rPr>
        <w:t xml:space="preserve"> het belang om naast </w:t>
      </w:r>
      <w:r w:rsidRPr="005328B9" w:rsidR="00A6628D">
        <w:rPr>
          <w:rFonts w:cs="Times New Roman"/>
        </w:rPr>
        <w:t xml:space="preserve">het </w:t>
      </w:r>
      <w:r w:rsidR="00EF77E5">
        <w:rPr>
          <w:rFonts w:cs="Times New Roman"/>
        </w:rPr>
        <w:t>preventie</w:t>
      </w:r>
      <w:r w:rsidRPr="005328B9" w:rsidR="00EF77E5">
        <w:rPr>
          <w:rFonts w:cs="Times New Roman"/>
        </w:rPr>
        <w:t xml:space="preserve"> </w:t>
      </w:r>
      <w:r w:rsidRPr="005328B9">
        <w:rPr>
          <w:rFonts w:cs="Times New Roman"/>
        </w:rPr>
        <w:t xml:space="preserve">en signaleren, ook het wettelijk instrumentarium (en de bijkomende handhavingsbevoegdheden) effectief in te zetten. </w:t>
      </w:r>
      <w:r w:rsidRPr="005328B9" w:rsidR="00EE638A">
        <w:rPr>
          <w:rFonts w:cs="Times New Roman"/>
        </w:rPr>
        <w:t xml:space="preserve">Met de </w:t>
      </w:r>
      <w:r w:rsidRPr="005328B9" w:rsidR="00E31A2B">
        <w:rPr>
          <w:rFonts w:cs="Times New Roman"/>
        </w:rPr>
        <w:t>V</w:t>
      </w:r>
      <w:r w:rsidRPr="005328B9" w:rsidR="00EE638A">
        <w:rPr>
          <w:rFonts w:cs="Times New Roman"/>
        </w:rPr>
        <w:t xml:space="preserve">erordening </w:t>
      </w:r>
      <w:r w:rsidRPr="005328B9" w:rsidR="00CB36BC">
        <w:rPr>
          <w:rFonts w:cs="Times New Roman"/>
        </w:rPr>
        <w:t>T</w:t>
      </w:r>
      <w:r w:rsidRPr="005328B9" w:rsidR="00EE638A">
        <w:rPr>
          <w:rFonts w:cs="Times New Roman"/>
        </w:rPr>
        <w:t xml:space="preserve">erroristische </w:t>
      </w:r>
      <w:r w:rsidRPr="005328B9" w:rsidR="00CB36BC">
        <w:rPr>
          <w:rFonts w:cs="Times New Roman"/>
        </w:rPr>
        <w:t>O</w:t>
      </w:r>
      <w:r w:rsidRPr="005328B9" w:rsidR="00EE638A">
        <w:rPr>
          <w:rFonts w:cs="Times New Roman"/>
        </w:rPr>
        <w:t>nline-</w:t>
      </w:r>
      <w:r w:rsidRPr="005328B9" w:rsidR="00CB36BC">
        <w:rPr>
          <w:rFonts w:cs="Times New Roman"/>
        </w:rPr>
        <w:t>I</w:t>
      </w:r>
      <w:r w:rsidRPr="005328B9" w:rsidR="00EE638A">
        <w:rPr>
          <w:rFonts w:cs="Times New Roman"/>
        </w:rPr>
        <w:t>nhoud (TOI-verordening) en de Digital Services Act (DSA) beschikt de EU over concrete instrumenten om</w:t>
      </w:r>
      <w:r w:rsidRPr="005328B9" w:rsidR="00540416">
        <w:rPr>
          <w:rFonts w:cs="Times New Roman"/>
        </w:rPr>
        <w:t xml:space="preserve"> bepaalde</w:t>
      </w:r>
      <w:r w:rsidRPr="005328B9" w:rsidR="00EE638A">
        <w:rPr>
          <w:rFonts w:cs="Times New Roman"/>
        </w:rPr>
        <w:t xml:space="preserve"> illegale online inhoud aan te pakken. De handhaving van de TOI-verordening is in Nederland belegd bij de ATKM</w:t>
      </w:r>
      <w:r w:rsidRPr="005328B9" w:rsidR="00CB36BC">
        <w:rPr>
          <w:rFonts w:cs="Times New Roman"/>
        </w:rPr>
        <w:t>, en h</w:t>
      </w:r>
      <w:r w:rsidRPr="005328B9" w:rsidR="00EE638A">
        <w:rPr>
          <w:rFonts w:cs="Times New Roman"/>
        </w:rPr>
        <w:t>et toezicht o</w:t>
      </w:r>
      <w:r w:rsidRPr="005328B9" w:rsidR="006B5864">
        <w:rPr>
          <w:rFonts w:cs="Times New Roman"/>
        </w:rPr>
        <w:t xml:space="preserve">p </w:t>
      </w:r>
      <w:r w:rsidRPr="005328B9" w:rsidR="00E31A2B">
        <w:rPr>
          <w:rFonts w:cs="Times New Roman"/>
        </w:rPr>
        <w:t xml:space="preserve">in </w:t>
      </w:r>
      <w:r w:rsidRPr="005328B9" w:rsidR="006B5864">
        <w:rPr>
          <w:rFonts w:cs="Times New Roman"/>
        </w:rPr>
        <w:t xml:space="preserve">Nederland gevestigde platformen </w:t>
      </w:r>
      <w:r w:rsidRPr="005328B9" w:rsidR="00CB36BC">
        <w:rPr>
          <w:rFonts w:cs="Times New Roman"/>
        </w:rPr>
        <w:t xml:space="preserve">binnen de reikwijdte van </w:t>
      </w:r>
      <w:r w:rsidRPr="005328B9" w:rsidR="006B5864">
        <w:rPr>
          <w:rFonts w:cs="Times New Roman"/>
        </w:rPr>
        <w:t xml:space="preserve">de </w:t>
      </w:r>
      <w:r w:rsidRPr="005328B9" w:rsidR="00EE638A">
        <w:rPr>
          <w:rFonts w:cs="Times New Roman"/>
        </w:rPr>
        <w:t>DSA bij de A</w:t>
      </w:r>
      <w:r w:rsidRPr="005328B9" w:rsidR="00494278">
        <w:rPr>
          <w:rFonts w:cs="Times New Roman"/>
        </w:rPr>
        <w:t>utoriteit Consument &amp; Markt</w:t>
      </w:r>
      <w:r w:rsidR="001B29E1">
        <w:rPr>
          <w:rFonts w:cs="Times New Roman"/>
        </w:rPr>
        <w:t>.</w:t>
      </w:r>
      <w:r w:rsidRPr="005328B9" w:rsidR="00EE638A">
        <w:rPr>
          <w:rFonts w:cs="Times New Roman"/>
        </w:rPr>
        <w:t xml:space="preserve"> </w:t>
      </w:r>
      <w:r w:rsidRPr="005328B9" w:rsidR="006B5864">
        <w:rPr>
          <w:rFonts w:cs="Times New Roman"/>
        </w:rPr>
        <w:t xml:space="preserve">Het toezicht op de zeer grote online platforms </w:t>
      </w:r>
      <w:r w:rsidRPr="005328B9" w:rsidR="006B5864">
        <w:t>(</w:t>
      </w:r>
      <w:proofErr w:type="spellStart"/>
      <w:r w:rsidRPr="00B64427" w:rsidR="006B5864">
        <w:t>very</w:t>
      </w:r>
      <w:proofErr w:type="spellEnd"/>
      <w:r w:rsidRPr="00B64427" w:rsidR="006B5864">
        <w:t xml:space="preserve"> large online platforms</w:t>
      </w:r>
      <w:r w:rsidRPr="005328B9" w:rsidR="006B5864">
        <w:t>,</w:t>
      </w:r>
      <w:r w:rsidR="001B29E1">
        <w:t xml:space="preserve"> </w:t>
      </w:r>
      <w:proofErr w:type="spellStart"/>
      <w:r w:rsidRPr="005328B9" w:rsidR="006B5864">
        <w:t>VLOPs</w:t>
      </w:r>
      <w:proofErr w:type="spellEnd"/>
      <w:r w:rsidRPr="005328B9" w:rsidR="006B5864">
        <w:t xml:space="preserve">) </w:t>
      </w:r>
      <w:r w:rsidRPr="005328B9" w:rsidR="006B5864">
        <w:rPr>
          <w:rFonts w:cs="Times New Roman"/>
        </w:rPr>
        <w:t>onder de DSA ligt primair bij de Europese Commissie.</w:t>
      </w:r>
      <w:r w:rsidR="001F58AD">
        <w:rPr>
          <w:rFonts w:cs="Times New Roman"/>
        </w:rPr>
        <w:t xml:space="preserve"> </w:t>
      </w:r>
      <w:bookmarkStart w:name="_Hlk228963027" w:id="4"/>
    </w:p>
    <w:bookmarkEnd w:id="4"/>
    <w:p w:rsidRPr="005328B9" w:rsidR="00192A8F" w:rsidP="00EF7FA9" w:rsidRDefault="00192A8F" w14:paraId="6E20E3D1" w14:textId="184ADEB8">
      <w:pPr>
        <w:spacing w:line="240" w:lineRule="auto"/>
        <w:rPr>
          <w:rFonts w:cs="Times New Roman"/>
          <w:i/>
          <w:iCs/>
        </w:rPr>
      </w:pPr>
      <w:r w:rsidRPr="005328B9">
        <w:rPr>
          <w:rFonts w:cs="Times New Roman"/>
          <w:i/>
          <w:iCs/>
        </w:rPr>
        <w:t xml:space="preserve">De </w:t>
      </w:r>
      <w:r w:rsidRPr="005328B9" w:rsidR="00393CFD">
        <w:rPr>
          <w:rFonts w:cs="Times New Roman"/>
          <w:i/>
          <w:iCs/>
        </w:rPr>
        <w:t xml:space="preserve">DSA </w:t>
      </w:r>
      <w:r w:rsidRPr="005328B9">
        <w:rPr>
          <w:rFonts w:cs="Times New Roman"/>
          <w:i/>
          <w:iCs/>
        </w:rPr>
        <w:t xml:space="preserve"> </w:t>
      </w:r>
    </w:p>
    <w:p w:rsidRPr="005328B9" w:rsidR="00EE638A" w:rsidP="00EF7FA9" w:rsidRDefault="00EE638A" w14:paraId="53675384" w14:textId="06B9C83A">
      <w:pPr>
        <w:spacing w:line="240" w:lineRule="auto"/>
      </w:pPr>
      <w:r w:rsidRPr="005328B9">
        <w:t>De DSA beoogt bij te dragen aan een veilige,</w:t>
      </w:r>
      <w:r w:rsidRPr="005328B9" w:rsidR="00494278">
        <w:t xml:space="preserve"> </w:t>
      </w:r>
      <w:r w:rsidRPr="005328B9">
        <w:t>voorspelbare en betrouwbare onlineomgeving, waarin de verspreiding van illegale inhoud wordt aangepakt. De DSA legt online platform</w:t>
      </w:r>
      <w:r w:rsidRPr="005328B9" w:rsidR="006B5864">
        <w:t>en</w:t>
      </w:r>
      <w:r w:rsidRPr="005328B9">
        <w:t xml:space="preserve"> diverse verplichtingen o</w:t>
      </w:r>
      <w:r w:rsidRPr="005328B9" w:rsidR="00994359">
        <w:t>p om gebruikers</w:t>
      </w:r>
      <w:r w:rsidRPr="005328B9" w:rsidR="005226AD">
        <w:t xml:space="preserve"> en hun grondrechten</w:t>
      </w:r>
      <w:r w:rsidRPr="005328B9" w:rsidR="00994359">
        <w:t xml:space="preserve"> te beschermen</w:t>
      </w:r>
      <w:r w:rsidRPr="005328B9">
        <w:t>.</w:t>
      </w:r>
      <w:r w:rsidRPr="005328B9" w:rsidR="00B76C50">
        <w:t xml:space="preserve"> </w:t>
      </w:r>
      <w:r w:rsidR="00B76C50">
        <w:t>D</w:t>
      </w:r>
      <w:r w:rsidRPr="005328B9">
        <w:t xml:space="preserve">e aangewezen </w:t>
      </w:r>
      <w:proofErr w:type="spellStart"/>
      <w:r w:rsidRPr="005328B9" w:rsidR="006B5864">
        <w:t>VLOPs</w:t>
      </w:r>
      <w:proofErr w:type="spellEnd"/>
      <w:r w:rsidRPr="005328B9">
        <w:t xml:space="preserve"> zijn </w:t>
      </w:r>
      <w:r w:rsidRPr="005328B9" w:rsidR="005226AD">
        <w:t xml:space="preserve">bovendien </w:t>
      </w:r>
      <w:r w:rsidRPr="005328B9">
        <w:t>verplicht om de zogen</w:t>
      </w:r>
      <w:r w:rsidR="00270CF0">
        <w:t>oemde</w:t>
      </w:r>
      <w:r w:rsidRPr="005328B9">
        <w:t xml:space="preserve"> systeemrisico’s van hun dienst te identificeren en te mitigeren. De verspreiding van </w:t>
      </w:r>
      <w:r w:rsidRPr="005328B9" w:rsidR="006B5864">
        <w:t>terroristische en extremistische content</w:t>
      </w:r>
      <w:r w:rsidRPr="005328B9">
        <w:t xml:space="preserve"> kan zo’n risico vormen</w:t>
      </w:r>
      <w:r w:rsidRPr="005328B9" w:rsidR="006B5864">
        <w:t>.</w:t>
      </w:r>
      <w:r w:rsidRPr="005328B9">
        <w:t xml:space="preserve"> </w:t>
      </w:r>
    </w:p>
    <w:p w:rsidRPr="005328B9" w:rsidR="00EE638A" w:rsidP="00EF7FA9" w:rsidRDefault="00EE638A" w14:paraId="3DFBC412" w14:textId="77777777">
      <w:pPr>
        <w:spacing w:line="240" w:lineRule="auto"/>
      </w:pPr>
    </w:p>
    <w:p w:rsidRPr="005328B9" w:rsidR="00EE638A" w:rsidP="00EF7FA9" w:rsidRDefault="00EE638A" w14:paraId="7E9DCD90" w14:textId="3D0165FC">
      <w:pPr>
        <w:spacing w:line="240" w:lineRule="auto"/>
      </w:pPr>
      <w:bookmarkStart w:name="_Hlk228275547" w:id="5"/>
      <w:r w:rsidRPr="005328B9">
        <w:t>In oktober 2025 publiceerde de Europese Commissie de definitieve richtsnoeren</w:t>
      </w:r>
      <w:r w:rsidRPr="005328B9" w:rsidR="002A5B40">
        <w:t xml:space="preserve"> </w:t>
      </w:r>
      <w:r w:rsidRPr="00B76C50" w:rsidR="002A5B40">
        <w:t>ter bescherming van</w:t>
      </w:r>
      <w:r w:rsidRPr="00B76C50">
        <w:t xml:space="preserve"> minderjarigen online, overeenkomstig artikel 28 </w:t>
      </w:r>
      <w:r w:rsidRPr="00B76C50" w:rsidR="005564A3">
        <w:t xml:space="preserve">van de </w:t>
      </w:r>
      <w:r w:rsidRPr="00B76C50">
        <w:t>DSA.</w:t>
      </w:r>
      <w:r w:rsidRPr="00B76C50">
        <w:rPr>
          <w:vertAlign w:val="superscript"/>
        </w:rPr>
        <w:footnoteReference w:id="15"/>
      </w:r>
      <w:r w:rsidRPr="00B76C50">
        <w:t xml:space="preserve"> Eind 2025 is een</w:t>
      </w:r>
      <w:r w:rsidRPr="00B76C50" w:rsidR="00270CF0">
        <w:t xml:space="preserve"> fiche opgesteld door de werkgroep Beoordeling Nieuwe Commissie voorstellen (BNC),</w:t>
      </w:r>
      <w:r w:rsidRPr="00B76C50">
        <w:t xml:space="preserve"> waarover de toenmalige minister van Buitenlandse Zaken </w:t>
      </w:r>
      <w:r w:rsidRPr="00B76C50" w:rsidR="00994359">
        <w:t>uw Kamer</w:t>
      </w:r>
      <w:r w:rsidRPr="00B76C50">
        <w:t xml:space="preserve"> heeft geïnformeerd op 14 november</w:t>
      </w:r>
      <w:r w:rsidRPr="005328B9">
        <w:t xml:space="preserve"> 2025.</w:t>
      </w:r>
      <w:r w:rsidRPr="005328B9">
        <w:rPr>
          <w:vertAlign w:val="superscript"/>
        </w:rPr>
        <w:footnoteReference w:id="16"/>
      </w:r>
      <w:r w:rsidRPr="005328B9">
        <w:t xml:space="preserve"> </w:t>
      </w:r>
      <w:r w:rsidR="006A14AC">
        <w:t>Op korte termijn zal</w:t>
      </w:r>
      <w:r w:rsidRPr="005328B9">
        <w:t xml:space="preserve"> de staats</w:t>
      </w:r>
      <w:r w:rsidRPr="005328B9" w:rsidR="00E37594">
        <w:t>s</w:t>
      </w:r>
      <w:r w:rsidRPr="005328B9">
        <w:t xml:space="preserve">ecretaris van </w:t>
      </w:r>
      <w:r w:rsidRPr="005328B9" w:rsidR="00D32731">
        <w:t>D</w:t>
      </w:r>
      <w:r w:rsidRPr="005328B9">
        <w:t xml:space="preserve">igitale </w:t>
      </w:r>
      <w:r w:rsidRPr="005328B9" w:rsidR="00D32731">
        <w:t>E</w:t>
      </w:r>
      <w:r w:rsidRPr="005328B9">
        <w:t xml:space="preserve">conomie en </w:t>
      </w:r>
      <w:r w:rsidRPr="005328B9" w:rsidR="00D32731">
        <w:t>S</w:t>
      </w:r>
      <w:r w:rsidRPr="005328B9">
        <w:t xml:space="preserve">oevereiniteit de beantwoording van de door uw </w:t>
      </w:r>
      <w:r w:rsidRPr="005328B9" w:rsidR="00393CFD">
        <w:t>K</w:t>
      </w:r>
      <w:r w:rsidRPr="005328B9">
        <w:t xml:space="preserve">amer gestelde vragen </w:t>
      </w:r>
      <w:r w:rsidRPr="005328B9" w:rsidR="00994359">
        <w:t>hierover</w:t>
      </w:r>
      <w:r w:rsidRPr="005328B9">
        <w:t xml:space="preserve"> aan u </w:t>
      </w:r>
      <w:r w:rsidR="006A14AC">
        <w:t>toezenden</w:t>
      </w:r>
      <w:r w:rsidRPr="005328B9">
        <w:t>.</w:t>
      </w:r>
    </w:p>
    <w:bookmarkEnd w:id="5"/>
    <w:p w:rsidRPr="005328B9" w:rsidR="00EE638A" w:rsidP="00EF7FA9" w:rsidRDefault="00EE638A" w14:paraId="06E40427" w14:textId="77777777">
      <w:pPr>
        <w:spacing w:line="240" w:lineRule="auto"/>
      </w:pPr>
    </w:p>
    <w:p w:rsidRPr="00907C42" w:rsidR="00FD7418" w:rsidP="00EF7FA9" w:rsidRDefault="00EE638A" w14:paraId="647308B2" w14:textId="19928BC7">
      <w:pPr>
        <w:spacing w:line="240" w:lineRule="auto"/>
        <w:rPr>
          <w:rStyle w:val="Verwijzingopmerking"/>
          <w:sz w:val="18"/>
          <w:szCs w:val="18"/>
        </w:rPr>
      </w:pPr>
      <w:r w:rsidRPr="005328B9">
        <w:t xml:space="preserve">In 2027 is de evaluatie van de DSA door de Europese Commissie voorzien. In dat jaar zal ook de Nederlandse Uitvoeringswet </w:t>
      </w:r>
      <w:proofErr w:type="spellStart"/>
      <w:r w:rsidRPr="005328B9">
        <w:t>digitaledienstenverordening</w:t>
      </w:r>
      <w:proofErr w:type="spellEnd"/>
      <w:r w:rsidRPr="005328B9">
        <w:t xml:space="preserve"> worden geëvalueerd. De staatssecretaris Digitale Economie en Soevereiniteit coördineert </w:t>
      </w:r>
      <w:r w:rsidR="00BC51C5">
        <w:t xml:space="preserve">dit </w:t>
      </w:r>
      <w:r w:rsidRPr="005328B9">
        <w:t xml:space="preserve">namens Nederland en zal bij de ministeries, toezichthouders en maatschappelijke organisaties inventariseren wat hun ervaringen zijn en welke wijzigingen van de DSA zij eventueel nodig en wenselijk achten. Dit zal worden meegenomen bij het bepalen van de Nederlandse inzet </w:t>
      </w:r>
      <w:r w:rsidRPr="005328B9" w:rsidR="008E65C6">
        <w:t>op EU</w:t>
      </w:r>
      <w:r w:rsidR="009B2B26">
        <w:t>-</w:t>
      </w:r>
      <w:r w:rsidRPr="005328B9" w:rsidR="008E65C6">
        <w:t>niveau</w:t>
      </w:r>
      <w:r w:rsidRPr="005328B9" w:rsidR="00FD7418">
        <w:t>.</w:t>
      </w:r>
      <w:r w:rsidRPr="005328B9">
        <w:t xml:space="preserve"> </w:t>
      </w:r>
      <w:r w:rsidR="006E1E68">
        <w:t xml:space="preserve">Ook ik </w:t>
      </w:r>
      <w:r w:rsidRPr="005328B9">
        <w:t xml:space="preserve">zal hieraan bijdragen en, waar nodig, pleiten voor aanscherpingen van de DSA, daarbij rekening houdend met het feit dat het nog relatief jonge wetgeving betreft. </w:t>
      </w:r>
      <w:r w:rsidR="00BD028D">
        <w:t>Zo worden</w:t>
      </w:r>
      <w:r w:rsidRPr="005328B9" w:rsidR="00CB36BC">
        <w:t xml:space="preserve"> de mogelijkheden</w:t>
      </w:r>
      <w:r w:rsidRPr="005328B9" w:rsidR="00494278">
        <w:t xml:space="preserve"> om</w:t>
      </w:r>
      <w:r w:rsidRPr="005328B9">
        <w:t xml:space="preserve"> </w:t>
      </w:r>
      <w:r w:rsidRPr="005328B9" w:rsidR="00192A8F">
        <w:t xml:space="preserve">de invoering van een </w:t>
      </w:r>
      <w:r w:rsidRPr="005328B9">
        <w:t>zorgplicht</w:t>
      </w:r>
      <w:r w:rsidRPr="005328B9" w:rsidR="006B5864">
        <w:t xml:space="preserve"> wederom te agenderen</w:t>
      </w:r>
      <w:r w:rsidR="00BD028D">
        <w:t xml:space="preserve"> onderzocht</w:t>
      </w:r>
      <w:r w:rsidR="00BA6322">
        <w:t>,</w:t>
      </w:r>
      <w:r w:rsidRPr="005328B9">
        <w:rPr>
          <w:vertAlign w:val="superscript"/>
        </w:rPr>
        <w:footnoteReference w:id="17"/>
      </w:r>
      <w:r w:rsidRPr="005328B9">
        <w:t xml:space="preserve"> teneinde </w:t>
      </w:r>
      <w:r w:rsidR="00BD028D">
        <w:t xml:space="preserve">online </w:t>
      </w:r>
      <w:r w:rsidRPr="005328B9">
        <w:t xml:space="preserve">platformen beter </w:t>
      </w:r>
      <w:r w:rsidRPr="005328B9" w:rsidR="00E37594">
        <w:t>aan te</w:t>
      </w:r>
      <w:r w:rsidRPr="005328B9">
        <w:t xml:space="preserve"> kunnen </w:t>
      </w:r>
      <w:r w:rsidRPr="005328B9" w:rsidR="00E37594">
        <w:t>s</w:t>
      </w:r>
      <w:r w:rsidRPr="005328B9">
        <w:t xml:space="preserve">preken op hun verantwoordelijkheid in het tegengaan van online radicalisering. </w:t>
      </w:r>
      <w:r w:rsidRPr="005328B9" w:rsidR="00994359">
        <w:rPr>
          <w:rFonts w:cs="Times New Roman"/>
        </w:rPr>
        <w:t xml:space="preserve">Naast (de evaluatie van) de DSA, komt momenteel de </w:t>
      </w:r>
      <w:r w:rsidRPr="005328B9" w:rsidR="00994359">
        <w:t xml:space="preserve">Digital </w:t>
      </w:r>
      <w:proofErr w:type="spellStart"/>
      <w:r w:rsidRPr="005328B9" w:rsidR="00994359">
        <w:t>Fairness</w:t>
      </w:r>
      <w:proofErr w:type="spellEnd"/>
      <w:r w:rsidRPr="005328B9" w:rsidR="00994359">
        <w:t xml:space="preserve"> Act (DFA) tot stand en wordt de Audiovisuele Media Services Directive (AVSMD) herzien.</w:t>
      </w:r>
      <w:r w:rsidRPr="005328B9" w:rsidR="008E65C6">
        <w:t xml:space="preserve"> Beide wettelijke instrumenten dragen bij aan een veiligere online omgeving. </w:t>
      </w:r>
    </w:p>
    <w:p w:rsidR="00EF7FA9" w:rsidP="00EF7FA9" w:rsidRDefault="00EF7FA9" w14:paraId="193D8803" w14:textId="77777777">
      <w:pPr>
        <w:spacing w:line="240" w:lineRule="auto"/>
        <w:rPr>
          <w:rStyle w:val="Verwijzingopmerking"/>
          <w:rFonts w:eastAsiaTheme="minorHAnsi" w:cstheme="minorBidi"/>
          <w:i/>
          <w:iCs/>
          <w:color w:val="auto"/>
          <w:kern w:val="2"/>
          <w:sz w:val="18"/>
          <w:szCs w:val="18"/>
          <w:lang w:eastAsia="en-US"/>
          <w14:ligatures w14:val="standardContextual"/>
        </w:rPr>
      </w:pPr>
    </w:p>
    <w:p w:rsidRPr="005328B9" w:rsidR="00192A8F" w:rsidP="00EF7FA9" w:rsidRDefault="0095058F" w14:paraId="0743D683" w14:textId="14298E1C">
      <w:pPr>
        <w:spacing w:line="240" w:lineRule="auto"/>
        <w:rPr>
          <w:rStyle w:val="Verwijzingopmerking"/>
          <w:rFonts w:eastAsiaTheme="minorHAnsi" w:cstheme="minorBidi"/>
          <w:i/>
          <w:iCs/>
          <w:color w:val="auto"/>
          <w:kern w:val="2"/>
          <w:sz w:val="18"/>
          <w:szCs w:val="18"/>
          <w:lang w:eastAsia="en-US"/>
          <w14:ligatures w14:val="standardContextual"/>
        </w:rPr>
      </w:pPr>
      <w:r w:rsidRPr="005328B9">
        <w:rPr>
          <w:rStyle w:val="Verwijzingopmerking"/>
          <w:rFonts w:eastAsiaTheme="minorHAnsi" w:cstheme="minorBidi"/>
          <w:i/>
          <w:iCs/>
          <w:color w:val="auto"/>
          <w:kern w:val="2"/>
          <w:sz w:val="18"/>
          <w:szCs w:val="18"/>
          <w:lang w:eastAsia="en-US"/>
          <w14:ligatures w14:val="standardContextual"/>
        </w:rPr>
        <w:t>N</w:t>
      </w:r>
      <w:r w:rsidRPr="005328B9" w:rsidR="00192A8F">
        <w:rPr>
          <w:rStyle w:val="Verwijzingopmerking"/>
          <w:rFonts w:eastAsiaTheme="minorHAnsi" w:cstheme="minorBidi"/>
          <w:i/>
          <w:iCs/>
          <w:color w:val="auto"/>
          <w:kern w:val="2"/>
          <w:sz w:val="18"/>
          <w:szCs w:val="18"/>
          <w:lang w:eastAsia="en-US"/>
          <w14:ligatures w14:val="standardContextual"/>
        </w:rPr>
        <w:t>on-paper</w:t>
      </w:r>
    </w:p>
    <w:p w:rsidR="00AD00DE" w:rsidP="00EF7FA9" w:rsidRDefault="00FA185E" w14:paraId="60388AE4" w14:textId="15FD232A">
      <w:pPr>
        <w:spacing w:line="240" w:lineRule="auto"/>
        <w:rPr>
          <w:rFonts w:cs="Times New Roman"/>
        </w:rPr>
      </w:pPr>
      <w:r>
        <w:rPr>
          <w:rFonts w:cs="Times New Roman"/>
        </w:rPr>
        <w:t>In het kader van de ontwikkeling van een nieuwe EU CT-Agenda riep de Europese Commissie lidstaten op om aanvullende voorstellen te doen v</w:t>
      </w:r>
      <w:r w:rsidR="008D4748">
        <w:rPr>
          <w:rFonts w:cs="Times New Roman"/>
        </w:rPr>
        <w:t>oor het bestrijden van de online dreiging</w:t>
      </w:r>
      <w:r w:rsidR="003F39AF">
        <w:rPr>
          <w:rFonts w:cs="Times New Roman"/>
        </w:rPr>
        <w:t xml:space="preserve">. Samen met Duitsland en Frankrijk heeft Nederland het </w:t>
      </w:r>
      <w:r w:rsidRPr="005328B9" w:rsidR="00F60616">
        <w:rPr>
          <w:rFonts w:cs="Times New Roman"/>
        </w:rPr>
        <w:t>non-paper “</w:t>
      </w:r>
      <w:proofErr w:type="spellStart"/>
      <w:r w:rsidRPr="005328B9" w:rsidR="00F60616">
        <w:rPr>
          <w:rFonts w:cs="Times New Roman"/>
        </w:rPr>
        <w:t>Countering</w:t>
      </w:r>
      <w:proofErr w:type="spellEnd"/>
      <w:r w:rsidRPr="005328B9" w:rsidR="00F60616">
        <w:rPr>
          <w:rFonts w:cs="Times New Roman"/>
        </w:rPr>
        <w:t xml:space="preserve"> </w:t>
      </w:r>
      <w:proofErr w:type="spellStart"/>
      <w:r w:rsidRPr="005328B9" w:rsidR="00F60616">
        <w:rPr>
          <w:rFonts w:cs="Times New Roman"/>
        </w:rPr>
        <w:t>together</w:t>
      </w:r>
      <w:proofErr w:type="spellEnd"/>
      <w:r w:rsidRPr="005328B9" w:rsidR="00F60616">
        <w:rPr>
          <w:rFonts w:cs="Times New Roman"/>
        </w:rPr>
        <w:t xml:space="preserve">: </w:t>
      </w:r>
      <w:proofErr w:type="spellStart"/>
      <w:r w:rsidRPr="005328B9" w:rsidR="00F60616">
        <w:rPr>
          <w:rFonts w:cs="Times New Roman"/>
        </w:rPr>
        <w:t>Fighting</w:t>
      </w:r>
      <w:proofErr w:type="spellEnd"/>
      <w:r w:rsidRPr="005328B9" w:rsidR="00F60616">
        <w:rPr>
          <w:rFonts w:cs="Times New Roman"/>
        </w:rPr>
        <w:t xml:space="preserve"> Online </w:t>
      </w:r>
      <w:proofErr w:type="spellStart"/>
      <w:r w:rsidRPr="005328B9" w:rsidR="00F60616">
        <w:rPr>
          <w:rFonts w:cs="Times New Roman"/>
        </w:rPr>
        <w:t>Radicalisation</w:t>
      </w:r>
      <w:proofErr w:type="spellEnd"/>
      <w:r w:rsidRPr="005328B9" w:rsidR="00F60616">
        <w:rPr>
          <w:rFonts w:cs="Times New Roman"/>
        </w:rPr>
        <w:t xml:space="preserve">, Violent </w:t>
      </w:r>
      <w:proofErr w:type="spellStart"/>
      <w:r w:rsidRPr="005328B9" w:rsidR="00F60616">
        <w:rPr>
          <w:rFonts w:cs="Times New Roman"/>
        </w:rPr>
        <w:t>Extremism</w:t>
      </w:r>
      <w:proofErr w:type="spellEnd"/>
      <w:r w:rsidRPr="005328B9" w:rsidR="00F60616">
        <w:rPr>
          <w:rFonts w:cs="Times New Roman"/>
        </w:rPr>
        <w:t xml:space="preserve"> </w:t>
      </w:r>
      <w:proofErr w:type="spellStart"/>
      <w:r w:rsidRPr="005328B9" w:rsidR="00F60616">
        <w:rPr>
          <w:rFonts w:cs="Times New Roman"/>
        </w:rPr>
        <w:t>and</w:t>
      </w:r>
      <w:proofErr w:type="spellEnd"/>
      <w:r w:rsidRPr="005328B9" w:rsidR="00F60616">
        <w:rPr>
          <w:rFonts w:cs="Times New Roman"/>
        </w:rPr>
        <w:t xml:space="preserve"> Terrorism”</w:t>
      </w:r>
      <w:r w:rsidR="00191FB2">
        <w:rPr>
          <w:rFonts w:cs="Times New Roman"/>
        </w:rPr>
        <w:t xml:space="preserve"> opgesteld</w:t>
      </w:r>
      <w:r w:rsidRPr="005328B9" w:rsidR="00192A8F">
        <w:rPr>
          <w:rFonts w:cs="Times New Roman"/>
        </w:rPr>
        <w:t>.</w:t>
      </w:r>
      <w:r w:rsidRPr="005328B9" w:rsidR="00786A19">
        <w:rPr>
          <w:rStyle w:val="Voetnootmarkering"/>
          <w:rFonts w:cs="Times New Roman"/>
        </w:rPr>
        <w:footnoteReference w:id="18"/>
      </w:r>
      <w:r w:rsidRPr="005328B9" w:rsidR="00192A8F">
        <w:rPr>
          <w:rFonts w:cs="Times New Roman"/>
        </w:rPr>
        <w:t xml:space="preserve"> </w:t>
      </w:r>
      <w:r w:rsidRPr="005328B9" w:rsidR="00F60616">
        <w:rPr>
          <w:rFonts w:cs="Times New Roman"/>
        </w:rPr>
        <w:t xml:space="preserve">Naar aanleiding van het non-paper is in de nieuwe EU CT-Agenda expliciet verwezen naar de mogelijkheid om een dergelijke gedragscode te ontwikkelen. </w:t>
      </w:r>
      <w:r w:rsidRPr="005328B9" w:rsidR="006E1B60">
        <w:rPr>
          <w:rFonts w:cs="Times New Roman"/>
        </w:rPr>
        <w:t>D</w:t>
      </w:r>
      <w:r w:rsidRPr="005328B9" w:rsidR="00F60616">
        <w:rPr>
          <w:rFonts w:cs="Times New Roman"/>
        </w:rPr>
        <w:t xml:space="preserve">e komende periode </w:t>
      </w:r>
      <w:r w:rsidRPr="005328B9" w:rsidR="006E1B60">
        <w:rPr>
          <w:rFonts w:cs="Times New Roman"/>
        </w:rPr>
        <w:t xml:space="preserve">blijf ik mij </w:t>
      </w:r>
      <w:r w:rsidRPr="005328B9" w:rsidR="00F60616">
        <w:rPr>
          <w:rFonts w:cs="Times New Roman"/>
        </w:rPr>
        <w:t xml:space="preserve">inzetten om de Europese Commissie </w:t>
      </w:r>
      <w:r w:rsidRPr="005328B9" w:rsidR="006E1B60">
        <w:rPr>
          <w:rFonts w:cs="Times New Roman"/>
        </w:rPr>
        <w:t>aan te sporen de voorstellen uit het non-paper om te zetten in concrete stappen</w:t>
      </w:r>
      <w:r w:rsidRPr="005328B9" w:rsidR="0017766B">
        <w:rPr>
          <w:rFonts w:cs="Times New Roman"/>
        </w:rPr>
        <w:t>,</w:t>
      </w:r>
      <w:r w:rsidRPr="005328B9" w:rsidR="00F60616">
        <w:rPr>
          <w:rFonts w:cs="Times New Roman"/>
        </w:rPr>
        <w:t xml:space="preserve"> zoals </w:t>
      </w:r>
      <w:r w:rsidRPr="005328B9" w:rsidR="0017766B">
        <w:rPr>
          <w:rFonts w:cs="Times New Roman"/>
        </w:rPr>
        <w:t>bepleit</w:t>
      </w:r>
      <w:r w:rsidRPr="005328B9" w:rsidR="006B5864">
        <w:rPr>
          <w:rFonts w:cs="Times New Roman"/>
        </w:rPr>
        <w:t xml:space="preserve"> </w:t>
      </w:r>
      <w:r w:rsidRPr="005328B9" w:rsidR="00F60616">
        <w:rPr>
          <w:rFonts w:cs="Times New Roman"/>
        </w:rPr>
        <w:t>tijdens de JBZ-Raad van 5 maart</w:t>
      </w:r>
      <w:r w:rsidRPr="005328B9" w:rsidR="006B5864">
        <w:rPr>
          <w:rFonts w:cs="Times New Roman"/>
        </w:rPr>
        <w:t xml:space="preserve"> jl.</w:t>
      </w:r>
      <w:r w:rsidRPr="005328B9" w:rsidR="00F60616">
        <w:rPr>
          <w:rFonts w:cs="Times New Roman"/>
        </w:rPr>
        <w:t xml:space="preserve">, waar Frankrijk, Duitsland, Spanje, Finland, Zweden en België hun steun </w:t>
      </w:r>
      <w:r w:rsidRPr="005328B9" w:rsidR="006E1B60">
        <w:rPr>
          <w:rFonts w:cs="Times New Roman"/>
        </w:rPr>
        <w:t xml:space="preserve">voor </w:t>
      </w:r>
      <w:r w:rsidRPr="005328B9" w:rsidR="0017766B">
        <w:rPr>
          <w:rFonts w:cs="Times New Roman"/>
        </w:rPr>
        <w:t>het non-paper</w:t>
      </w:r>
      <w:r w:rsidR="002C061A">
        <w:rPr>
          <w:rFonts w:cs="Times New Roman"/>
        </w:rPr>
        <w:t xml:space="preserve"> uitspraken</w:t>
      </w:r>
      <w:r w:rsidRPr="005328B9" w:rsidR="00F60616">
        <w:rPr>
          <w:rFonts w:cs="Times New Roman"/>
        </w:rPr>
        <w:t>.</w:t>
      </w:r>
      <w:r w:rsidRPr="005328B9" w:rsidR="005226AD">
        <w:rPr>
          <w:rFonts w:cs="Times New Roman"/>
        </w:rPr>
        <w:t xml:space="preserve"> </w:t>
      </w:r>
    </w:p>
    <w:p w:rsidR="00AD00DE" w:rsidP="00EF7FA9" w:rsidRDefault="00AD00DE" w14:paraId="273367DE" w14:textId="77777777">
      <w:pPr>
        <w:spacing w:line="240" w:lineRule="auto"/>
      </w:pPr>
    </w:p>
    <w:p w:rsidRPr="00D706F0" w:rsidR="00F60616" w:rsidP="00D706F0" w:rsidRDefault="00BA6322" w14:paraId="0474B33A" w14:textId="6FA02B95">
      <w:pPr>
        <w:spacing w:after="240" w:line="240" w:lineRule="auto"/>
        <w:rPr>
          <w:rFonts w:cs="Times New Roman"/>
          <w:b/>
          <w:bCs/>
        </w:rPr>
      </w:pPr>
      <w:r>
        <w:t xml:space="preserve">Het gezamenlijk optrekken om de negatieve invloed van </w:t>
      </w:r>
      <w:r w:rsidR="00191FB2">
        <w:t>online platformen</w:t>
      </w:r>
      <w:r>
        <w:t xml:space="preserve"> tegen te gaan</w:t>
      </w:r>
      <w:r w:rsidRPr="005328B9" w:rsidR="00F60616">
        <w:t xml:space="preserve"> sluit </w:t>
      </w:r>
      <w:r w:rsidRPr="005328B9" w:rsidR="00994359">
        <w:t xml:space="preserve">ook </w:t>
      </w:r>
      <w:r w:rsidRPr="005328B9" w:rsidR="00F60616">
        <w:t>aan bij de doelstelling uit het coalitieakkoord om verslavende</w:t>
      </w:r>
      <w:r w:rsidRPr="005328B9" w:rsidR="006E1B60">
        <w:t>, polariserende, en democratie-ondermijnende</w:t>
      </w:r>
      <w:r w:rsidRPr="005328B9" w:rsidR="00F60616">
        <w:t xml:space="preserve"> algoritmen aan</w:t>
      </w:r>
      <w:r w:rsidRPr="005328B9" w:rsidR="00F318D7">
        <w:t xml:space="preserve"> te </w:t>
      </w:r>
      <w:r w:rsidRPr="005328B9" w:rsidR="00F60616">
        <w:t xml:space="preserve">pakken. </w:t>
      </w:r>
      <w:r w:rsidRPr="005328B9" w:rsidR="006E1B60">
        <w:t>Hoe</w:t>
      </w:r>
      <w:r w:rsidRPr="005328B9" w:rsidR="00F60616">
        <w:t xml:space="preserve"> aan </w:t>
      </w:r>
      <w:r w:rsidRPr="005328B9" w:rsidR="00EE638A">
        <w:t>deze doe</w:t>
      </w:r>
      <w:r w:rsidRPr="005328B9" w:rsidR="00E37594">
        <w:t>l</w:t>
      </w:r>
      <w:r w:rsidRPr="005328B9" w:rsidR="00EE638A">
        <w:t>stelling</w:t>
      </w:r>
      <w:r w:rsidRPr="005328B9" w:rsidR="00F60616">
        <w:t xml:space="preserve"> invulling </w:t>
      </w:r>
      <w:r w:rsidRPr="005328B9" w:rsidR="006E1B60">
        <w:t>kan worden gegeven, wordt</w:t>
      </w:r>
      <w:r w:rsidRPr="005328B9" w:rsidR="00F60616">
        <w:t xml:space="preserve"> </w:t>
      </w:r>
      <w:r w:rsidRPr="005328B9" w:rsidR="006E1B60">
        <w:t>momenteel</w:t>
      </w:r>
      <w:r w:rsidRPr="005328B9" w:rsidR="00F60616">
        <w:t xml:space="preserve"> onderzocht door de</w:t>
      </w:r>
      <w:r w:rsidRPr="005328B9" w:rsidR="00A6628D">
        <w:t xml:space="preserve"> minister van B</w:t>
      </w:r>
      <w:r w:rsidR="00C92DF0">
        <w:t>innenlandse Zaken</w:t>
      </w:r>
      <w:r w:rsidRPr="005328B9" w:rsidR="00A6628D">
        <w:t xml:space="preserve"> en</w:t>
      </w:r>
      <w:r w:rsidRPr="005328B9" w:rsidR="00F60616">
        <w:t xml:space="preserve"> </w:t>
      </w:r>
      <w:r w:rsidR="00C92DF0">
        <w:t xml:space="preserve">de </w:t>
      </w:r>
      <w:r w:rsidRPr="005328B9" w:rsidR="00EE638A">
        <w:t>staatssecretaris van Digitale Economie en Soevereiniteit</w:t>
      </w:r>
      <w:r w:rsidRPr="005328B9" w:rsidR="00F60616">
        <w:t xml:space="preserve"> </w:t>
      </w:r>
    </w:p>
    <w:p w:rsidRPr="005328B9" w:rsidR="00192A8F" w:rsidP="00EF7FA9" w:rsidRDefault="00192A8F" w14:paraId="62110065" w14:textId="669293A1">
      <w:pPr>
        <w:spacing w:line="240" w:lineRule="auto"/>
        <w:rPr>
          <w:rFonts w:cstheme="minorBidi"/>
        </w:rPr>
      </w:pPr>
      <w:r w:rsidRPr="005328B9">
        <w:rPr>
          <w:rFonts w:cstheme="minorBidi"/>
          <w:i/>
          <w:iCs/>
        </w:rPr>
        <w:t xml:space="preserve">De Autoriteit online Terroristische en Kinderpornografisch Materiaal </w:t>
      </w:r>
    </w:p>
    <w:p w:rsidR="00C37C16" w:rsidP="00EF7FA9" w:rsidRDefault="00C37C16" w14:paraId="35275C80" w14:textId="01606908">
      <w:pPr>
        <w:spacing w:line="240" w:lineRule="auto"/>
        <w:rPr>
          <w:rFonts w:cs="Times New Roman"/>
        </w:rPr>
      </w:pPr>
      <w:r w:rsidRPr="005328B9">
        <w:rPr>
          <w:rFonts w:cs="Times New Roman"/>
        </w:rPr>
        <w:t xml:space="preserve">De ATKM </w:t>
      </w:r>
      <w:r w:rsidRPr="005328B9" w:rsidR="00994359">
        <w:rPr>
          <w:rFonts w:cs="Times New Roman"/>
        </w:rPr>
        <w:t xml:space="preserve">is in Nederland bevoegd tot het uitvaardigen van verwijderbevelen op terroristische content en </w:t>
      </w:r>
      <w:r w:rsidRPr="005328B9" w:rsidR="00CB36BC">
        <w:rPr>
          <w:rFonts w:cs="Times New Roman"/>
        </w:rPr>
        <w:t>draagt actief bij aan een</w:t>
      </w:r>
      <w:r w:rsidRPr="005328B9">
        <w:rPr>
          <w:rFonts w:cs="Times New Roman"/>
        </w:rPr>
        <w:t xml:space="preserve"> uniforme toepassing van de TOI</w:t>
      </w:r>
      <w:r w:rsidRPr="005328B9" w:rsidR="00192A8F">
        <w:rPr>
          <w:rFonts w:cs="Times New Roman"/>
        </w:rPr>
        <w:t>-</w:t>
      </w:r>
      <w:r w:rsidRPr="005328B9">
        <w:rPr>
          <w:rFonts w:cs="Times New Roman"/>
        </w:rPr>
        <w:t xml:space="preserve">verordening </w:t>
      </w:r>
      <w:r w:rsidRPr="005328B9" w:rsidR="00CB36BC">
        <w:rPr>
          <w:rFonts w:cs="Times New Roman"/>
        </w:rPr>
        <w:t>in samenwerking met nationale, Europese en internationale</w:t>
      </w:r>
      <w:r w:rsidRPr="005328B9">
        <w:rPr>
          <w:rFonts w:cs="Times New Roman"/>
        </w:rPr>
        <w:t xml:space="preserve"> partners.</w:t>
      </w:r>
      <w:r w:rsidR="005A6F14">
        <w:rPr>
          <w:rStyle w:val="Voetnootmarkering"/>
          <w:rFonts w:cs="Times New Roman"/>
        </w:rPr>
        <w:footnoteReference w:id="19"/>
      </w:r>
      <w:r w:rsidRPr="005328B9">
        <w:rPr>
          <w:rFonts w:cs="Times New Roman"/>
        </w:rPr>
        <w:t xml:space="preserve"> </w:t>
      </w:r>
      <w:bookmarkStart w:name="_Hlk228962976" w:id="6"/>
      <w:r w:rsidRPr="000C5351" w:rsidR="000C5351">
        <w:rPr>
          <w:rFonts w:cs="Times New Roman"/>
        </w:rPr>
        <w:t xml:space="preserve">De ATKM hanteert een </w:t>
      </w:r>
      <w:proofErr w:type="spellStart"/>
      <w:r w:rsidRPr="000C5351" w:rsidR="000C5351">
        <w:rPr>
          <w:rFonts w:cs="Times New Roman"/>
        </w:rPr>
        <w:t>multistakeholdersaanpak</w:t>
      </w:r>
      <w:proofErr w:type="spellEnd"/>
      <w:r w:rsidRPr="000C5351" w:rsidR="000C5351">
        <w:rPr>
          <w:rFonts w:cs="Times New Roman"/>
        </w:rPr>
        <w:t>. Er zijn 1 op 1 gesprekken met verschillende partners</w:t>
      </w:r>
      <w:r w:rsidR="000C5351">
        <w:rPr>
          <w:rFonts w:cs="Times New Roman"/>
        </w:rPr>
        <w:t xml:space="preserve"> en e</w:t>
      </w:r>
      <w:r w:rsidRPr="000C5351" w:rsidR="000C5351">
        <w:rPr>
          <w:rFonts w:cs="Times New Roman"/>
        </w:rPr>
        <w:t xml:space="preserve">r </w:t>
      </w:r>
      <w:r w:rsidR="00DA13B8">
        <w:rPr>
          <w:rFonts w:cs="Times New Roman"/>
        </w:rPr>
        <w:t xml:space="preserve">is tevens aandacht voor het gezamenlijk reflecteren </w:t>
      </w:r>
      <w:r w:rsidRPr="000C5351" w:rsidR="000C5351">
        <w:rPr>
          <w:rFonts w:cs="Times New Roman"/>
        </w:rPr>
        <w:t xml:space="preserve">met meerdere </w:t>
      </w:r>
      <w:r w:rsidR="00DA13B8">
        <w:rPr>
          <w:rFonts w:cs="Times New Roman"/>
        </w:rPr>
        <w:t xml:space="preserve">betrokken </w:t>
      </w:r>
      <w:r w:rsidRPr="000C5351" w:rsidR="000C5351">
        <w:rPr>
          <w:rFonts w:cs="Times New Roman"/>
        </w:rPr>
        <w:t>partners</w:t>
      </w:r>
      <w:r w:rsidR="00DA13B8">
        <w:rPr>
          <w:rFonts w:cs="Times New Roman"/>
        </w:rPr>
        <w:t xml:space="preserve"> en deskundigen</w:t>
      </w:r>
      <w:r w:rsidRPr="000C5351" w:rsidR="000C5351">
        <w:rPr>
          <w:rFonts w:cs="Times New Roman"/>
        </w:rPr>
        <w:t>.</w:t>
      </w:r>
      <w:r w:rsidR="000C5351">
        <w:rPr>
          <w:rFonts w:cs="Times New Roman"/>
        </w:rPr>
        <w:t xml:space="preserve"> </w:t>
      </w:r>
      <w:bookmarkEnd w:id="6"/>
      <w:r w:rsidR="005A6F14">
        <w:rPr>
          <w:rFonts w:cs="Times New Roman"/>
        </w:rPr>
        <w:t xml:space="preserve">De </w:t>
      </w:r>
      <w:r w:rsidRPr="005328B9" w:rsidR="00192A8F">
        <w:rPr>
          <w:rFonts w:cs="Times New Roman"/>
        </w:rPr>
        <w:t xml:space="preserve">ATKM </w:t>
      </w:r>
      <w:r w:rsidR="00EC7910">
        <w:rPr>
          <w:rFonts w:cs="Times New Roman"/>
        </w:rPr>
        <w:t xml:space="preserve">blijft </w:t>
      </w:r>
      <w:r w:rsidRPr="005328B9" w:rsidR="00192A8F">
        <w:rPr>
          <w:rFonts w:cs="Times New Roman"/>
        </w:rPr>
        <w:t xml:space="preserve">leidend binnen </w:t>
      </w:r>
      <w:r w:rsidRPr="005328B9">
        <w:rPr>
          <w:rFonts w:cs="Times New Roman"/>
        </w:rPr>
        <w:t xml:space="preserve">het </w:t>
      </w:r>
      <w:r w:rsidR="00C84F07">
        <w:rPr>
          <w:rFonts w:cs="Times New Roman"/>
        </w:rPr>
        <w:t xml:space="preserve">zogeheten </w:t>
      </w:r>
      <w:r w:rsidRPr="005328B9" w:rsidR="005226AD">
        <w:rPr>
          <w:rFonts w:cs="Times New Roman"/>
        </w:rPr>
        <w:t>‘</w:t>
      </w:r>
      <w:proofErr w:type="spellStart"/>
      <w:r w:rsidRPr="005328B9">
        <w:rPr>
          <w:rFonts w:cs="Times New Roman"/>
        </w:rPr>
        <w:t>taxonomy</w:t>
      </w:r>
      <w:proofErr w:type="spellEnd"/>
      <w:r w:rsidRPr="005328B9">
        <w:rPr>
          <w:rFonts w:cs="Times New Roman"/>
        </w:rPr>
        <w:t xml:space="preserve"> project</w:t>
      </w:r>
      <w:r w:rsidRPr="005328B9" w:rsidR="005226AD">
        <w:rPr>
          <w:rFonts w:cs="Times New Roman"/>
        </w:rPr>
        <w:t>’</w:t>
      </w:r>
      <w:r w:rsidRPr="005328B9">
        <w:rPr>
          <w:rFonts w:cs="Times New Roman"/>
        </w:rPr>
        <w:t xml:space="preserve">, waar </w:t>
      </w:r>
      <w:r w:rsidR="006A566D">
        <w:rPr>
          <w:rFonts w:cs="Times New Roman"/>
        </w:rPr>
        <w:t>in samen</w:t>
      </w:r>
      <w:r w:rsidR="00A11949">
        <w:rPr>
          <w:rFonts w:cs="Times New Roman"/>
        </w:rPr>
        <w:t>spraak</w:t>
      </w:r>
      <w:r w:rsidR="006A566D">
        <w:rPr>
          <w:rFonts w:cs="Times New Roman"/>
        </w:rPr>
        <w:t xml:space="preserve"> </w:t>
      </w:r>
      <w:r w:rsidRPr="005328B9">
        <w:rPr>
          <w:rFonts w:cs="Times New Roman"/>
        </w:rPr>
        <w:t xml:space="preserve">met bevoegde </w:t>
      </w:r>
      <w:r w:rsidRPr="005328B9" w:rsidR="00CB36BC">
        <w:rPr>
          <w:rFonts w:cs="Times New Roman"/>
        </w:rPr>
        <w:t xml:space="preserve">Europese </w:t>
      </w:r>
      <w:r w:rsidRPr="005328B9">
        <w:rPr>
          <w:rFonts w:cs="Times New Roman"/>
        </w:rPr>
        <w:t>autoriteiten indicatoren zijn geïdentificeerd voor evident terroristisch</w:t>
      </w:r>
      <w:r w:rsidRPr="005328B9" w:rsidR="0017766B">
        <w:rPr>
          <w:rFonts w:cs="Times New Roman"/>
        </w:rPr>
        <w:t>e</w:t>
      </w:r>
      <w:r w:rsidRPr="005328B9">
        <w:rPr>
          <w:rFonts w:cs="Times New Roman"/>
        </w:rPr>
        <w:t xml:space="preserve"> online inhoud</w:t>
      </w:r>
      <w:r w:rsidRPr="005328B9" w:rsidR="00192A8F">
        <w:rPr>
          <w:rFonts w:cs="Times New Roman"/>
        </w:rPr>
        <w:t>.</w:t>
      </w:r>
      <w:r w:rsidR="00EC7910">
        <w:rPr>
          <w:rStyle w:val="Voetnootmarkering"/>
          <w:rFonts w:cs="Times New Roman"/>
        </w:rPr>
        <w:footnoteReference w:id="20"/>
      </w:r>
      <w:r w:rsidRPr="005328B9" w:rsidR="00CB36BC">
        <w:rPr>
          <w:rFonts w:cs="Times New Roman"/>
        </w:rPr>
        <w:t xml:space="preserve"> De ATKM </w:t>
      </w:r>
      <w:r w:rsidR="00EC7910">
        <w:rPr>
          <w:rFonts w:cs="Times New Roman"/>
        </w:rPr>
        <w:t xml:space="preserve">neemt in 2026 zitting in het </w:t>
      </w:r>
      <w:r w:rsidR="006A566D">
        <w:rPr>
          <w:rFonts w:cs="Times New Roman"/>
        </w:rPr>
        <w:t xml:space="preserve">(wisselende) </w:t>
      </w:r>
      <w:r w:rsidR="00EC7910">
        <w:rPr>
          <w:rFonts w:cs="Times New Roman"/>
        </w:rPr>
        <w:t xml:space="preserve">bestuur </w:t>
      </w:r>
      <w:r w:rsidRPr="005328B9" w:rsidR="00CB36BC">
        <w:rPr>
          <w:rFonts w:cs="Times New Roman"/>
        </w:rPr>
        <w:t>van het Global Online Safety Regulators Network (GOSRN), een internationaal netwerk dat wereldwijde normen voor internettoezicht bevordert en de onderlinge samenhang tussen toezichthouders versterkt</w:t>
      </w:r>
      <w:r w:rsidRPr="005328B9">
        <w:rPr>
          <w:rFonts w:cs="Times New Roman"/>
        </w:rPr>
        <w:t xml:space="preserve">. </w:t>
      </w:r>
    </w:p>
    <w:p w:rsidRPr="005328B9" w:rsidR="00192A8F" w:rsidP="00EF7FA9" w:rsidRDefault="00192A8F" w14:paraId="5971369E" w14:textId="77777777">
      <w:pPr>
        <w:spacing w:line="240" w:lineRule="auto"/>
        <w:rPr>
          <w:rFonts w:cs="Times New Roman"/>
        </w:rPr>
      </w:pPr>
    </w:p>
    <w:p w:rsidRPr="005328B9" w:rsidR="00F60616" w:rsidP="00EF7FA9" w:rsidRDefault="00192A8F" w14:paraId="5241DA25" w14:textId="0AF09311">
      <w:pPr>
        <w:spacing w:line="240" w:lineRule="auto"/>
        <w:rPr>
          <w:rFonts w:cs="Times New Roman"/>
        </w:rPr>
      </w:pPr>
      <w:r w:rsidRPr="005328B9">
        <w:rPr>
          <w:rFonts w:cs="Times New Roman"/>
          <w:i/>
          <w:iCs/>
        </w:rPr>
        <w:t>(Uitvoeringswet)</w:t>
      </w:r>
      <w:r w:rsidRPr="005328B9" w:rsidR="00B84F14">
        <w:rPr>
          <w:rFonts w:cs="Times New Roman"/>
          <w:i/>
          <w:iCs/>
        </w:rPr>
        <w:t xml:space="preserve"> Verordening</w:t>
      </w:r>
      <w:r w:rsidRPr="005328B9">
        <w:rPr>
          <w:rFonts w:cs="Times New Roman"/>
          <w:i/>
          <w:iCs/>
        </w:rPr>
        <w:t xml:space="preserve"> Terroristische Online Inhoud </w:t>
      </w:r>
    </w:p>
    <w:p w:rsidRPr="005328B9" w:rsidR="00F60616" w:rsidP="00EF7FA9" w:rsidRDefault="00CB36BC" w14:paraId="1EBD5A52" w14:textId="1AD76BF7">
      <w:pPr>
        <w:spacing w:line="240" w:lineRule="auto"/>
        <w:rPr>
          <w:rFonts w:cs="Times New Roman"/>
        </w:rPr>
      </w:pPr>
      <w:r w:rsidRPr="005328B9">
        <w:rPr>
          <w:rFonts w:cs="Times New Roman"/>
        </w:rPr>
        <w:t>M</w:t>
      </w:r>
      <w:r w:rsidRPr="005328B9" w:rsidR="00B84F14">
        <w:rPr>
          <w:rFonts w:cs="Times New Roman"/>
        </w:rPr>
        <w:t>omenteel</w:t>
      </w:r>
      <w:r w:rsidRPr="005328B9" w:rsidR="00F60616">
        <w:rPr>
          <w:rFonts w:cs="Times New Roman"/>
        </w:rPr>
        <w:t xml:space="preserve"> </w:t>
      </w:r>
      <w:r w:rsidRPr="005328B9" w:rsidR="00994359">
        <w:rPr>
          <w:rFonts w:cs="Times New Roman"/>
        </w:rPr>
        <w:t xml:space="preserve">wordt </w:t>
      </w:r>
      <w:r w:rsidRPr="005328B9" w:rsidR="00F60616">
        <w:rPr>
          <w:rFonts w:cs="Times New Roman"/>
        </w:rPr>
        <w:t xml:space="preserve">de Uitvoeringswet </w:t>
      </w:r>
      <w:r w:rsidRPr="005328B9" w:rsidR="00B84F14">
        <w:rPr>
          <w:rFonts w:cs="Times New Roman"/>
        </w:rPr>
        <w:t>geëvalueerd</w:t>
      </w:r>
      <w:r w:rsidRPr="005328B9" w:rsidR="00994359">
        <w:rPr>
          <w:rFonts w:cs="Times New Roman"/>
        </w:rPr>
        <w:t xml:space="preserve"> </w:t>
      </w:r>
      <w:r w:rsidRPr="005328B9" w:rsidR="00F60616">
        <w:rPr>
          <w:rFonts w:cs="Times New Roman"/>
        </w:rPr>
        <w:t>conform de wettelijke verplichting om binnen drie jaar na inwerkingtreding een evaluatie aan uw Kamer te presenteren.</w:t>
      </w:r>
      <w:r w:rsidRPr="005328B9" w:rsidR="00F60616">
        <w:rPr>
          <w:rStyle w:val="Voetnootmarkering"/>
          <w:rFonts w:cs="Times New Roman"/>
        </w:rPr>
        <w:footnoteReference w:id="21"/>
      </w:r>
      <w:r w:rsidRPr="005328B9" w:rsidR="00F60616">
        <w:rPr>
          <w:rFonts w:cs="Times New Roman"/>
        </w:rPr>
        <w:t xml:space="preserve"> De evaluatie omvat onder meer de juridische reikwijdte van verwijderbevelen en de mogelijkheden voor </w:t>
      </w:r>
      <w:r w:rsidRPr="005328B9" w:rsidR="00382A66">
        <w:rPr>
          <w:rFonts w:cs="Times New Roman"/>
        </w:rPr>
        <w:t xml:space="preserve">de inzet van </w:t>
      </w:r>
      <w:r w:rsidRPr="005328B9" w:rsidR="00F60616">
        <w:rPr>
          <w:rFonts w:cs="Times New Roman"/>
        </w:rPr>
        <w:t xml:space="preserve">verwijderverzoeken. Het eindrapport zal in </w:t>
      </w:r>
      <w:r w:rsidRPr="005328B9" w:rsidR="00994359">
        <w:rPr>
          <w:rFonts w:cs="Times New Roman"/>
        </w:rPr>
        <w:t xml:space="preserve">het </w:t>
      </w:r>
      <w:r w:rsidRPr="005328B9" w:rsidR="00F60616">
        <w:rPr>
          <w:rFonts w:cs="Times New Roman"/>
        </w:rPr>
        <w:t>najaar van 2026 aan uw Kamer worden aangeboden.</w:t>
      </w:r>
    </w:p>
    <w:p w:rsidRPr="005328B9" w:rsidR="00F60616" w:rsidP="00EF7FA9" w:rsidRDefault="00F60616" w14:paraId="06254E6D" w14:textId="77777777">
      <w:pPr>
        <w:spacing w:line="240" w:lineRule="auto"/>
        <w:rPr>
          <w:rFonts w:cs="Times New Roman"/>
        </w:rPr>
      </w:pPr>
    </w:p>
    <w:p w:rsidR="00F60616" w:rsidP="00EF7FA9" w:rsidRDefault="00F60616" w14:paraId="3C39DF95" w14:textId="1C064C0C">
      <w:pPr>
        <w:spacing w:line="240" w:lineRule="auto"/>
      </w:pPr>
      <w:r w:rsidRPr="005328B9">
        <w:t>In aanvulling op de aandacht voor de mogelijke inzet van verwijderverzoeken in de</w:t>
      </w:r>
      <w:r w:rsidRPr="005328B9" w:rsidR="00B84F14">
        <w:t>ze</w:t>
      </w:r>
      <w:r w:rsidRPr="005328B9">
        <w:t xml:space="preserve"> evaluatie, loopt er een beleidsverkenning naar </w:t>
      </w:r>
      <w:r w:rsidR="003519DA">
        <w:t xml:space="preserve">verwijderverzoeken </w:t>
      </w:r>
      <w:r w:rsidRPr="005328B9">
        <w:t xml:space="preserve">als </w:t>
      </w:r>
      <w:r w:rsidR="00436390">
        <w:t xml:space="preserve">toevoeging </w:t>
      </w:r>
      <w:r w:rsidRPr="005328B9">
        <w:t>op verwijderbevelen vanuit de ATKM</w:t>
      </w:r>
      <w:r w:rsidRPr="005328B9" w:rsidR="005226AD">
        <w:t>. Hierbij zijn</w:t>
      </w:r>
      <w:r w:rsidRPr="005328B9" w:rsidR="00B84F14">
        <w:t xml:space="preserve"> de ATKM, de Nationale Politie, en Europol</w:t>
      </w:r>
      <w:r w:rsidRPr="005328B9" w:rsidR="005226AD">
        <w:t xml:space="preserve"> betrokken</w:t>
      </w:r>
      <w:r w:rsidRPr="005328B9">
        <w:t xml:space="preserve">. Er is </w:t>
      </w:r>
      <w:r w:rsidRPr="005328B9" w:rsidR="0017766B">
        <w:t xml:space="preserve">sprake van </w:t>
      </w:r>
      <w:r w:rsidRPr="005328B9">
        <w:t>een toename van</w:t>
      </w:r>
      <w:r w:rsidRPr="005328B9" w:rsidR="00CB36BC">
        <w:t xml:space="preserve"> (gewelddadig) extremistisch</w:t>
      </w:r>
      <w:r w:rsidR="002B3EB6">
        <w:t>e</w:t>
      </w:r>
      <w:r w:rsidRPr="005328B9" w:rsidR="00CB36BC">
        <w:t xml:space="preserve"> content</w:t>
      </w:r>
      <w:r w:rsidRPr="005328B9">
        <w:t xml:space="preserve"> waarbij </w:t>
      </w:r>
      <w:r w:rsidRPr="005328B9" w:rsidR="00B84F14">
        <w:t>duiding van het</w:t>
      </w:r>
      <w:r w:rsidRPr="005328B9">
        <w:t xml:space="preserve"> terroristisch karakter </w:t>
      </w:r>
      <w:r w:rsidRPr="005328B9" w:rsidR="00B84F14">
        <w:t xml:space="preserve">moeizaam is </w:t>
      </w:r>
      <w:r w:rsidRPr="005328B9">
        <w:t>en daarom</w:t>
      </w:r>
      <w:r w:rsidRPr="005328B9" w:rsidR="00B84F14">
        <w:t xml:space="preserve"> niet altijd binnen</w:t>
      </w:r>
      <w:r w:rsidRPr="005328B9">
        <w:t xml:space="preserve"> de reikwijdte van de ATKM valt. Uw </w:t>
      </w:r>
      <w:r w:rsidRPr="005328B9" w:rsidR="00816CCC">
        <w:t>K</w:t>
      </w:r>
      <w:r w:rsidRPr="005328B9">
        <w:t xml:space="preserve">amer en </w:t>
      </w:r>
      <w:r w:rsidR="00DE5042">
        <w:t xml:space="preserve">diverse </w:t>
      </w:r>
      <w:r w:rsidRPr="005328B9">
        <w:t xml:space="preserve">partners hebben aangegeven dat er behoefte is aan aanvullende mogelijkheden om dergelijke content te laten verwijderen. Op dit moment </w:t>
      </w:r>
      <w:r w:rsidRPr="005328B9" w:rsidR="005226AD">
        <w:t xml:space="preserve">worden </w:t>
      </w:r>
      <w:r w:rsidRPr="005328B9" w:rsidR="00B84F14">
        <w:t>de juridische en operationele</w:t>
      </w:r>
      <w:r w:rsidRPr="005328B9" w:rsidR="00D32731">
        <w:t xml:space="preserve"> mogelijkheden en</w:t>
      </w:r>
      <w:r w:rsidRPr="005328B9" w:rsidR="00B84F14">
        <w:t xml:space="preserve"> </w:t>
      </w:r>
      <w:r w:rsidRPr="005328B9" w:rsidR="00D32731">
        <w:t>implicaties</w:t>
      </w:r>
      <w:r w:rsidRPr="005328B9" w:rsidR="00B84F14">
        <w:t xml:space="preserve"> </w:t>
      </w:r>
      <w:r w:rsidRPr="005328B9" w:rsidR="00D32731">
        <w:t xml:space="preserve">hiervan </w:t>
      </w:r>
      <w:r w:rsidRPr="005328B9" w:rsidR="00B84F14">
        <w:t xml:space="preserve">in kaart </w:t>
      </w:r>
      <w:r w:rsidRPr="005328B9" w:rsidR="00D32731">
        <w:t>gebracht</w:t>
      </w:r>
      <w:r w:rsidRPr="005328B9" w:rsidR="00CB36BC">
        <w:t xml:space="preserve">. </w:t>
      </w:r>
      <w:r w:rsidR="00DE5042">
        <w:t xml:space="preserve">Hierover zal ik uw Kamer </w:t>
      </w:r>
      <w:r w:rsidRPr="005328B9" w:rsidR="00CB36BC">
        <w:t xml:space="preserve">in de volgende voortgangsbrief informeren. </w:t>
      </w:r>
    </w:p>
    <w:p w:rsidR="00BB2B38" w:rsidP="00EF7FA9" w:rsidRDefault="00BB2B38" w14:paraId="242788FC" w14:textId="77777777">
      <w:pPr>
        <w:spacing w:line="240" w:lineRule="auto"/>
      </w:pPr>
    </w:p>
    <w:p w:rsidRPr="00C5244E" w:rsidR="00BB2B38" w:rsidP="00EF7FA9" w:rsidRDefault="00B7081F" w14:paraId="057BAF7A" w14:textId="39491A39">
      <w:pPr>
        <w:spacing w:line="240" w:lineRule="auto"/>
      </w:pPr>
      <w:r>
        <w:t xml:space="preserve">Tot slot </w:t>
      </w:r>
      <w:r w:rsidRPr="00C5244E" w:rsidR="00BB2B38">
        <w:t>zou de ambitie uit het coalitieakkoord om onderzoek te doen naar het verbieden en verwijderen van content die misdrijven toont</w:t>
      </w:r>
      <w:r>
        <w:t>,</w:t>
      </w:r>
      <w:r w:rsidRPr="00C5244E" w:rsidR="00BB2B38">
        <w:t xml:space="preserve"> mogelijkheden</w:t>
      </w:r>
      <w:r w:rsidR="008537DC">
        <w:t xml:space="preserve"> kunnen bieden</w:t>
      </w:r>
      <w:r w:rsidRPr="00C5244E" w:rsidR="00BB2B38">
        <w:t xml:space="preserve"> in de aanpak van gewelddadige extremistische content. De komende periode </w:t>
      </w:r>
      <w:r w:rsidR="008537DC">
        <w:t>wordt</w:t>
      </w:r>
      <w:r w:rsidRPr="00C5244E" w:rsidR="00BB2B38">
        <w:t xml:space="preserve"> bekeken op welke wijze deze ambitie kan worden uitgewerkt. </w:t>
      </w:r>
    </w:p>
    <w:p w:rsidRPr="005328B9" w:rsidR="00F60616" w:rsidP="00EF7FA9" w:rsidRDefault="00F60616" w14:paraId="1008B651" w14:textId="77777777">
      <w:pPr>
        <w:spacing w:line="240" w:lineRule="auto"/>
      </w:pPr>
    </w:p>
    <w:p w:rsidRPr="005328B9" w:rsidR="00B84F14" w:rsidP="00EF7FA9" w:rsidRDefault="00BB2B38" w14:paraId="6510D8BE" w14:textId="68581FA6">
      <w:pPr>
        <w:spacing w:line="240" w:lineRule="auto"/>
        <w:rPr>
          <w:i/>
          <w:iCs/>
        </w:rPr>
      </w:pPr>
      <w:r>
        <w:rPr>
          <w:i/>
          <w:iCs/>
        </w:rPr>
        <w:t>Werkbare definitie (g</w:t>
      </w:r>
      <w:r w:rsidRPr="005328B9" w:rsidR="00994359">
        <w:rPr>
          <w:i/>
          <w:iCs/>
        </w:rPr>
        <w:t>ewelddadig</w:t>
      </w:r>
      <w:r>
        <w:rPr>
          <w:i/>
          <w:iCs/>
        </w:rPr>
        <w:t>)</w:t>
      </w:r>
      <w:r w:rsidRPr="005328B9" w:rsidR="00994359">
        <w:rPr>
          <w:i/>
          <w:iCs/>
        </w:rPr>
        <w:t xml:space="preserve"> </w:t>
      </w:r>
      <w:r w:rsidRPr="005328B9" w:rsidR="00B84F14">
        <w:rPr>
          <w:i/>
          <w:iCs/>
        </w:rPr>
        <w:t>extremistische content</w:t>
      </w:r>
      <w:r w:rsidR="00D706F0">
        <w:rPr>
          <w:i/>
          <w:iCs/>
        </w:rPr>
        <w:t xml:space="preserve"> </w:t>
      </w:r>
    </w:p>
    <w:p w:rsidRPr="005328B9" w:rsidR="006A6F10" w:rsidP="00EF7FA9" w:rsidRDefault="00994359" w14:paraId="7CBC0A51" w14:textId="3FFFD085">
      <w:pPr>
        <w:spacing w:line="240" w:lineRule="auto"/>
      </w:pPr>
      <w:r w:rsidRPr="005328B9">
        <w:t>Ter uitvoering van</w:t>
      </w:r>
      <w:r w:rsidRPr="005328B9" w:rsidR="00F60616">
        <w:t xml:space="preserve"> de motie </w:t>
      </w:r>
      <w:r w:rsidRPr="005328B9" w:rsidR="008D53D9">
        <w:t xml:space="preserve">van het lid </w:t>
      </w:r>
      <w:r w:rsidRPr="005328B9" w:rsidR="00F60616">
        <w:t>Michon-</w:t>
      </w:r>
      <w:proofErr w:type="spellStart"/>
      <w:r w:rsidRPr="005328B9" w:rsidR="00F60616">
        <w:t>Derkzen</w:t>
      </w:r>
      <w:proofErr w:type="spellEnd"/>
      <w:r w:rsidRPr="005328B9" w:rsidR="00F60616">
        <w:t xml:space="preserve"> om te komen tot een werkbare definitie van extremistische content</w:t>
      </w:r>
      <w:r w:rsidRPr="005328B9">
        <w:t xml:space="preserve">, hebben er gesprekken plaatsgevonden </w:t>
      </w:r>
      <w:r w:rsidRPr="005328B9" w:rsidR="00F60616">
        <w:t>met relevante ketenpartners</w:t>
      </w:r>
      <w:r w:rsidRPr="005328B9">
        <w:t>.</w:t>
      </w:r>
      <w:r w:rsidRPr="005328B9">
        <w:rPr>
          <w:rStyle w:val="Voetnootmarkering"/>
        </w:rPr>
        <w:footnoteReference w:id="22"/>
      </w:r>
      <w:r w:rsidRPr="005328B9" w:rsidR="00F60616">
        <w:t xml:space="preserve"> </w:t>
      </w:r>
      <w:r w:rsidRPr="005328B9">
        <w:t xml:space="preserve">Zij </w:t>
      </w:r>
      <w:r w:rsidRPr="005328B9" w:rsidR="00F60616">
        <w:t xml:space="preserve">hebben het beeld bevestigd dat er een brede behoefte is aan verduidelijking ten aanzien van de afbakening van ‘extremistische content’, maar dat er ook aanzienlijke uitdagingen zijn om tot een eenduidige, werkbare definitie te kunnen komen, op nationaal en EU-niveau. </w:t>
      </w:r>
      <w:r w:rsidRPr="005328B9" w:rsidR="00F91D8C">
        <w:t xml:space="preserve">Dit komt mede door de verschillende taken en bevoegdheden die de betrokken organisaties of instanties hebben. </w:t>
      </w:r>
      <w:r w:rsidRPr="005328B9" w:rsidR="00F60616">
        <w:t>Tot op heden is het uitgangspunt dat het de voorkeur geniet om aansluiting te zoeken bij de definitie van extremisme die in de Nationale Extremisme Strategie gehanteerd wordt.</w:t>
      </w:r>
      <w:r w:rsidRPr="005328B9" w:rsidR="00F60616">
        <w:rPr>
          <w:rStyle w:val="Voetnootmarkering"/>
        </w:rPr>
        <w:footnoteReference w:id="23"/>
      </w:r>
      <w:r w:rsidRPr="005328B9" w:rsidR="00F60616">
        <w:t xml:space="preserve"> Aanvullend wordt onderzocht hoe de definitie verder kan worden afgebakend in lijn met de behoeften van onze partners, en of een eventuele inkadering tot ‘gewelddadig extremistische content’ wenselijk dan wel noodzakelijk is. Het gesprek met ketenpartners krijgt verder vervolg. Ook op Europees niveau span ik mij in om een werkbare definitie van extremistische content als onderwerp op de agenda te plaatsen. Eind 2026 zal ik u</w:t>
      </w:r>
      <w:r w:rsidR="00B013CC">
        <w:t>w Kamer</w:t>
      </w:r>
      <w:r w:rsidRPr="005328B9" w:rsidR="00F60616">
        <w:t xml:space="preserve"> </w:t>
      </w:r>
      <w:r w:rsidR="008537DC">
        <w:t xml:space="preserve">nader </w:t>
      </w:r>
      <w:r w:rsidRPr="005328B9" w:rsidR="00F60616">
        <w:t>informeren over de</w:t>
      </w:r>
      <w:r w:rsidRPr="005328B9" w:rsidR="00B84224">
        <w:t>ze inspanningen op nationaal en Europees niveau.</w:t>
      </w:r>
      <w:r w:rsidR="006A6F10">
        <w:t xml:space="preserve"> </w:t>
      </w:r>
    </w:p>
    <w:p w:rsidRPr="005328B9" w:rsidR="00F60616" w:rsidP="00EF7FA9" w:rsidRDefault="00F60616" w14:paraId="5F095147" w14:textId="77777777">
      <w:pPr>
        <w:spacing w:line="240" w:lineRule="auto"/>
        <w:rPr>
          <w:rFonts w:cs="Times New Roman"/>
        </w:rPr>
      </w:pPr>
    </w:p>
    <w:p w:rsidRPr="005328B9" w:rsidR="00F60616" w:rsidP="00EF7FA9" w:rsidRDefault="00F60616" w14:paraId="4379364C" w14:textId="77777777">
      <w:pPr>
        <w:spacing w:line="240" w:lineRule="auto"/>
        <w:rPr>
          <w:rFonts w:cs="Times New Roman"/>
          <w:i/>
          <w:iCs/>
        </w:rPr>
      </w:pPr>
      <w:r w:rsidRPr="005328B9">
        <w:rPr>
          <w:rFonts w:cs="Times New Roman"/>
          <w:i/>
          <w:iCs/>
        </w:rPr>
        <w:t xml:space="preserve">Controle digitale gegevensdragers </w:t>
      </w:r>
    </w:p>
    <w:p w:rsidRPr="005328B9" w:rsidR="00D32731" w:rsidP="00EF7FA9" w:rsidRDefault="00540416" w14:paraId="33C53757" w14:textId="6CDD0E71">
      <w:pPr>
        <w:spacing w:line="240" w:lineRule="auto"/>
      </w:pPr>
      <w:r w:rsidRPr="005328B9">
        <w:t>De rechter heeft de mogelijkheid om aan verdachten en veroordeelden een bijzondere voorwaarde op te leggen die een gedraging van de verdachte of veroordeelde betreft. Deze bijzondere voorwaarde kan ingevuld worden met bijv</w:t>
      </w:r>
      <w:r w:rsidR="00714EF7">
        <w:t>.</w:t>
      </w:r>
      <w:r w:rsidRPr="005328B9">
        <w:t xml:space="preserve"> een (sociale) mediaverbod en meewerken aan een controle van digitale gegevensdragers. In de praktijk zien we </w:t>
      </w:r>
      <w:r w:rsidR="008B6EB8">
        <w:t xml:space="preserve">dat </w:t>
      </w:r>
      <w:r w:rsidRPr="005328B9">
        <w:t xml:space="preserve">de rechter </w:t>
      </w:r>
      <w:r w:rsidR="008B6EB8">
        <w:t xml:space="preserve">(ook) </w:t>
      </w:r>
      <w:r w:rsidRPr="005328B9">
        <w:t xml:space="preserve">overgaat tot oplegging van een dergelijke </w:t>
      </w:r>
      <w:proofErr w:type="spellStart"/>
      <w:r w:rsidRPr="005328B9">
        <w:t>gedragsbeïnvloedende</w:t>
      </w:r>
      <w:proofErr w:type="spellEnd"/>
      <w:r w:rsidRPr="005328B9">
        <w:t xml:space="preserve"> voorwaarde aan terrorismeverdachten en </w:t>
      </w:r>
      <w:r w:rsidR="00A1610E">
        <w:t>-</w:t>
      </w:r>
      <w:r w:rsidRPr="005328B9">
        <w:t>veroordeelden, bijv</w:t>
      </w:r>
      <w:r w:rsidR="00714EF7">
        <w:t>.</w:t>
      </w:r>
      <w:r w:rsidRPr="005328B9">
        <w:t xml:space="preserve"> in het kader van de schorsing van de voorlopige hechtenis.</w:t>
      </w:r>
      <w:r w:rsidR="008B6EB8">
        <w:rPr>
          <w:rStyle w:val="Voetnootmarkering"/>
        </w:rPr>
        <w:footnoteReference w:id="24"/>
      </w:r>
      <w:r w:rsidRPr="005328B9">
        <w:t xml:space="preserve"> Van een (sociale) mediaverbod gaat een signalerende werking uit. Om risicogedrag en recidive te voorkomen en gedragsverandering te stimuleren, is </w:t>
      </w:r>
      <w:r w:rsidR="008B6EB8">
        <w:t xml:space="preserve">effectieve </w:t>
      </w:r>
      <w:r w:rsidRPr="005328B9">
        <w:t>handhaving ook van belang. Een inventarisatie in dit verband heeft opgeleverd dat de reclassering een tool en werkwijze heeft ontwikkeld om te controleren of een justitiabele zich houdt aan de bijzondere voorwaarde “vermijden digitale omgevingen seksueel kindermisbruik”</w:t>
      </w:r>
      <w:r w:rsidR="00A52C90">
        <w:t>.</w:t>
      </w:r>
      <w:r w:rsidR="00A52C90">
        <w:rPr>
          <w:rStyle w:val="Voetnootmarkering"/>
        </w:rPr>
        <w:footnoteReference w:id="25"/>
      </w:r>
      <w:r w:rsidRPr="005328B9">
        <w:t xml:space="preserve"> </w:t>
      </w:r>
      <w:r w:rsidRPr="00E75CE0" w:rsidR="00637129">
        <w:t>Ik ga met de reclassering in gesprek over</w:t>
      </w:r>
      <w:r w:rsidR="00C6508A">
        <w:t xml:space="preserve"> </w:t>
      </w:r>
      <w:r w:rsidR="00A52C90">
        <w:t>mogelijkheden</w:t>
      </w:r>
      <w:r w:rsidRPr="005328B9">
        <w:t xml:space="preserve"> </w:t>
      </w:r>
      <w:r w:rsidR="00B63F7F">
        <w:t xml:space="preserve">om </w:t>
      </w:r>
      <w:r w:rsidRPr="005328B9">
        <w:t xml:space="preserve">een vergelijkbare methodiek voor controle te ontwikkelen inzake online </w:t>
      </w:r>
      <w:r w:rsidRPr="005328B9" w:rsidR="0058010E">
        <w:t xml:space="preserve">terrorisme en (gewelddadig) extremisme </w:t>
      </w:r>
      <w:r w:rsidRPr="005328B9">
        <w:t>delicten. Ik streef ernaar om u</w:t>
      </w:r>
      <w:r w:rsidR="008537DC">
        <w:t>w Kamer</w:t>
      </w:r>
      <w:r w:rsidRPr="005328B9">
        <w:t xml:space="preserve"> </w:t>
      </w:r>
      <w:r w:rsidR="0058010E">
        <w:t>hie</w:t>
      </w:r>
      <w:r w:rsidRPr="005328B9">
        <w:t xml:space="preserve">rover </w:t>
      </w:r>
      <w:r w:rsidR="001E498D">
        <w:t xml:space="preserve">eind </w:t>
      </w:r>
      <w:r w:rsidRPr="005328B9">
        <w:t xml:space="preserve">dit jaar </w:t>
      </w:r>
      <w:r w:rsidR="0058010E">
        <w:t xml:space="preserve">nader </w:t>
      </w:r>
      <w:r w:rsidRPr="005328B9">
        <w:t>te informeren.</w:t>
      </w:r>
    </w:p>
    <w:p w:rsidRPr="005328B9" w:rsidR="00F60616" w:rsidP="00EF7FA9" w:rsidRDefault="00F60616" w14:paraId="5D6A59BF" w14:textId="77777777">
      <w:pPr>
        <w:spacing w:line="240" w:lineRule="auto"/>
      </w:pPr>
    </w:p>
    <w:p w:rsidRPr="008F2E9F" w:rsidR="00F60616" w:rsidP="00EF7FA9" w:rsidRDefault="0008135E" w14:paraId="4B37B124" w14:textId="5CF019A0">
      <w:pPr>
        <w:spacing w:line="240" w:lineRule="auto"/>
        <w:rPr>
          <w:rFonts w:cs="Times New Roman"/>
          <w:b/>
          <w:bCs/>
        </w:rPr>
      </w:pPr>
      <w:r>
        <w:rPr>
          <w:rFonts w:cs="Times New Roman"/>
          <w:b/>
          <w:bCs/>
        </w:rPr>
        <w:t>4</w:t>
      </w:r>
      <w:r w:rsidR="00B26263">
        <w:rPr>
          <w:rFonts w:cs="Times New Roman"/>
          <w:b/>
          <w:bCs/>
        </w:rPr>
        <w:t xml:space="preserve">. </w:t>
      </w:r>
      <w:r w:rsidRPr="008F2E9F" w:rsidR="00F60616">
        <w:rPr>
          <w:rFonts w:cs="Times New Roman"/>
          <w:b/>
          <w:bCs/>
        </w:rPr>
        <w:t xml:space="preserve">Kennis en onderzoek </w:t>
      </w:r>
    </w:p>
    <w:p w:rsidR="004F1473" w:rsidP="004F1473" w:rsidRDefault="00F60616" w14:paraId="5389FBD7" w14:textId="32456793">
      <w:pPr>
        <w:spacing w:line="240" w:lineRule="auto"/>
        <w:rPr>
          <w:rFonts w:cs="Times New Roman"/>
        </w:rPr>
      </w:pPr>
      <w:r w:rsidRPr="005328B9">
        <w:rPr>
          <w:rFonts w:cs="Times New Roman"/>
        </w:rPr>
        <w:t xml:space="preserve">De ontwikkelingen rondom extremisme en terrorisme, de online wereld en nieuwe technologieën vragen om het vergroten van kennis. Zoals in eerdere Kamerbrieven </w:t>
      </w:r>
      <w:r w:rsidRPr="005328B9" w:rsidR="00B84224">
        <w:rPr>
          <w:rFonts w:cs="Times New Roman"/>
        </w:rPr>
        <w:t xml:space="preserve">vermeld, </w:t>
      </w:r>
      <w:r w:rsidRPr="005328B9">
        <w:rPr>
          <w:rFonts w:cs="Times New Roman"/>
        </w:rPr>
        <w:t xml:space="preserve">verwacht </w:t>
      </w:r>
      <w:r w:rsidRPr="005328B9" w:rsidR="00BD72CF">
        <w:rPr>
          <w:rFonts w:cs="Times New Roman"/>
        </w:rPr>
        <w:t>ik</w:t>
      </w:r>
      <w:r w:rsidRPr="005328B9">
        <w:rPr>
          <w:rFonts w:cs="Times New Roman"/>
        </w:rPr>
        <w:t xml:space="preserve"> medio dit jaar de resultaten uit het WODC-onderzoek naar extremisme op </w:t>
      </w:r>
      <w:proofErr w:type="spellStart"/>
      <w:r w:rsidRPr="005328B9">
        <w:rPr>
          <w:rFonts w:cs="Times New Roman"/>
        </w:rPr>
        <w:t>gamingplatformen</w:t>
      </w:r>
      <w:proofErr w:type="spellEnd"/>
      <w:r w:rsidRPr="005328B9">
        <w:rPr>
          <w:rFonts w:cs="Times New Roman"/>
        </w:rPr>
        <w:t xml:space="preserve"> met uw Kamer te delen</w:t>
      </w:r>
      <w:r w:rsidR="001E498D">
        <w:rPr>
          <w:rFonts w:cs="Times New Roman"/>
        </w:rPr>
        <w:t xml:space="preserve"> middels een beleidsreactie</w:t>
      </w:r>
      <w:r w:rsidRPr="005328B9">
        <w:rPr>
          <w:rFonts w:cs="Times New Roman"/>
        </w:rPr>
        <w:t>.</w:t>
      </w:r>
      <w:r w:rsidRPr="001E498D" w:rsidR="001E498D">
        <w:rPr>
          <w:rFonts w:cs="Times New Roman"/>
        </w:rPr>
        <w:t xml:space="preserve"> </w:t>
      </w:r>
      <w:r w:rsidR="001E498D">
        <w:rPr>
          <w:rFonts w:cs="Times New Roman"/>
        </w:rPr>
        <w:t>Verder</w:t>
      </w:r>
      <w:r w:rsidRPr="005328B9" w:rsidR="001E498D">
        <w:rPr>
          <w:rFonts w:cs="Times New Roman"/>
        </w:rPr>
        <w:t xml:space="preserve"> publiceerde het Den Haag Centrum voor Strategische Studies (HCSS) onlangs (10 maart jl.) een </w:t>
      </w:r>
      <w:r w:rsidR="001E498D">
        <w:rPr>
          <w:rFonts w:cs="Times New Roman"/>
        </w:rPr>
        <w:t>rapport</w:t>
      </w:r>
      <w:r w:rsidRPr="005328B9" w:rsidR="001E498D">
        <w:rPr>
          <w:rFonts w:cs="Times New Roman"/>
        </w:rPr>
        <w:t xml:space="preserve"> over het COM-netwerk.</w:t>
      </w:r>
      <w:r w:rsidRPr="005328B9" w:rsidR="001E498D">
        <w:rPr>
          <w:rStyle w:val="Voetnootmarkering"/>
          <w:rFonts w:cs="Times New Roman"/>
        </w:rPr>
        <w:footnoteReference w:id="26"/>
      </w:r>
      <w:r w:rsidRPr="005328B9" w:rsidR="001E498D">
        <w:rPr>
          <w:rFonts w:cs="Times New Roman"/>
        </w:rPr>
        <w:t xml:space="preserve"> </w:t>
      </w:r>
      <w:r w:rsidR="001E498D">
        <w:rPr>
          <w:rFonts w:cs="Times New Roman"/>
        </w:rPr>
        <w:t xml:space="preserve">Middels een kabinetsreactie </w:t>
      </w:r>
      <w:r w:rsidRPr="006A14AC" w:rsidR="001E498D">
        <w:rPr>
          <w:rFonts w:cs="Times New Roman"/>
        </w:rPr>
        <w:t xml:space="preserve">die ik op </w:t>
      </w:r>
      <w:r w:rsidRPr="006A14AC" w:rsidR="006A14AC">
        <w:rPr>
          <w:rFonts w:cs="Times New Roman"/>
        </w:rPr>
        <w:t>22</w:t>
      </w:r>
      <w:r w:rsidRPr="006A14AC" w:rsidR="001E498D">
        <w:rPr>
          <w:rFonts w:cs="Times New Roman"/>
        </w:rPr>
        <w:t xml:space="preserve"> mei jl. met uw Kamer heb gedeeld, bent u nader geïnformeerd hierover.</w:t>
      </w:r>
      <w:r w:rsidR="001E498D">
        <w:rPr>
          <w:rFonts w:cs="Times New Roman"/>
        </w:rPr>
        <w:t xml:space="preserve"> </w:t>
      </w:r>
      <w:r w:rsidRPr="005328B9">
        <w:rPr>
          <w:rFonts w:cs="Times New Roman"/>
        </w:rPr>
        <w:t xml:space="preserve"> </w:t>
      </w:r>
    </w:p>
    <w:p w:rsidR="00A45257" w:rsidP="004F1473" w:rsidRDefault="00A45257" w14:paraId="7F1D964B" w14:textId="77777777">
      <w:pPr>
        <w:spacing w:line="240" w:lineRule="auto"/>
        <w:rPr>
          <w:rFonts w:cs="Times New Roman"/>
        </w:rPr>
      </w:pPr>
    </w:p>
    <w:p w:rsidRPr="005328B9" w:rsidR="00F60616" w:rsidP="004F1473" w:rsidRDefault="00F60616" w14:paraId="626E3C67" w14:textId="047D3C96">
      <w:pPr>
        <w:spacing w:line="240" w:lineRule="auto"/>
        <w:rPr>
          <w:rFonts w:cs="Times New Roman"/>
          <w:b/>
          <w:bCs/>
        </w:rPr>
      </w:pPr>
      <w:r w:rsidRPr="005328B9">
        <w:rPr>
          <w:rFonts w:cs="Times New Roman"/>
          <w:b/>
          <w:bCs/>
        </w:rPr>
        <w:t xml:space="preserve">Afsluiting </w:t>
      </w:r>
    </w:p>
    <w:p w:rsidRPr="00035995" w:rsidR="00A45257" w:rsidP="00EF7FA9" w:rsidRDefault="00F60616" w14:paraId="18A022CF" w14:textId="715E7F51">
      <w:pPr>
        <w:spacing w:line="240" w:lineRule="auto"/>
        <w:rPr>
          <w:rFonts w:cs="Times New Roman"/>
        </w:rPr>
      </w:pPr>
      <w:r w:rsidRPr="005328B9">
        <w:rPr>
          <w:rFonts w:cs="Times New Roman"/>
        </w:rPr>
        <w:t xml:space="preserve">De afgelopen jaren is een sterk fundament gelegd om </w:t>
      </w:r>
      <w:r w:rsidR="00347BC1">
        <w:rPr>
          <w:rFonts w:cs="Times New Roman"/>
        </w:rPr>
        <w:t xml:space="preserve">– online – </w:t>
      </w:r>
      <w:r w:rsidRPr="005328B9" w:rsidR="00347BC1">
        <w:rPr>
          <w:rFonts w:cs="Times New Roman"/>
        </w:rPr>
        <w:t>radicalisering</w:t>
      </w:r>
      <w:r w:rsidR="00347BC1">
        <w:rPr>
          <w:rFonts w:cs="Times New Roman"/>
        </w:rPr>
        <w:t xml:space="preserve">, extremisme en </w:t>
      </w:r>
      <w:r w:rsidRPr="005328B9">
        <w:rPr>
          <w:rFonts w:cs="Times New Roman"/>
        </w:rPr>
        <w:t>terrorisme tegen te gaan. De online wereld verandert echter snel en vereist continu nieuwe antwoorden voor</w:t>
      </w:r>
      <w:r w:rsidRPr="005328B9" w:rsidR="008D53D9">
        <w:rPr>
          <w:rFonts w:cs="Times New Roman"/>
        </w:rPr>
        <w:t xml:space="preserve"> deze</w:t>
      </w:r>
      <w:r w:rsidRPr="005328B9">
        <w:rPr>
          <w:rFonts w:cs="Times New Roman"/>
        </w:rPr>
        <w:t xml:space="preserve"> problematiek. Door in te zetten op preventie, </w:t>
      </w:r>
      <w:r w:rsidR="00C92DF0">
        <w:rPr>
          <w:rFonts w:cs="Times New Roman"/>
        </w:rPr>
        <w:t xml:space="preserve">signalering </w:t>
      </w:r>
      <w:r w:rsidRPr="005328B9">
        <w:rPr>
          <w:rFonts w:cs="Times New Roman"/>
        </w:rPr>
        <w:t xml:space="preserve">normering, regulering </w:t>
      </w:r>
      <w:r w:rsidR="00C92DF0">
        <w:rPr>
          <w:rFonts w:cs="Times New Roman"/>
        </w:rPr>
        <w:t xml:space="preserve">en handhaving, </w:t>
      </w:r>
      <w:r w:rsidRPr="005328B9">
        <w:rPr>
          <w:rFonts w:cs="Times New Roman"/>
        </w:rPr>
        <w:t>en het vergroten van onze kennis</w:t>
      </w:r>
      <w:r w:rsidR="00C92DF0">
        <w:rPr>
          <w:rFonts w:cs="Times New Roman"/>
        </w:rPr>
        <w:t>,</w:t>
      </w:r>
      <w:r w:rsidRPr="005328B9">
        <w:rPr>
          <w:rFonts w:cs="Times New Roman"/>
        </w:rPr>
        <w:t xml:space="preserve"> </w:t>
      </w:r>
      <w:r w:rsidRPr="005328B9" w:rsidR="002A5B40">
        <w:rPr>
          <w:rFonts w:cs="Times New Roman"/>
        </w:rPr>
        <w:t>bestendig ik</w:t>
      </w:r>
      <w:r w:rsidRPr="005328B9">
        <w:rPr>
          <w:rFonts w:cs="Times New Roman"/>
        </w:rPr>
        <w:t xml:space="preserve"> onze aanpak om online terrorisme en extremisme</w:t>
      </w:r>
      <w:r w:rsidR="00A40B78">
        <w:rPr>
          <w:rFonts w:cs="Times New Roman"/>
        </w:rPr>
        <w:t xml:space="preserve"> te bestrijden</w:t>
      </w:r>
      <w:r w:rsidRPr="005328B9">
        <w:rPr>
          <w:rFonts w:cs="Times New Roman"/>
        </w:rPr>
        <w:t>, online radicalisering te voorkomen en online veiligheid te verg</w:t>
      </w:r>
      <w:r w:rsidRPr="005328B9" w:rsidR="008D53D9">
        <w:rPr>
          <w:rFonts w:cs="Times New Roman"/>
        </w:rPr>
        <w:t>r</w:t>
      </w:r>
      <w:r w:rsidRPr="005328B9">
        <w:rPr>
          <w:rFonts w:cs="Times New Roman"/>
        </w:rPr>
        <w:t xml:space="preserve">oten, met specifieke aandacht voor kinderen en jongeren. </w:t>
      </w:r>
      <w:r w:rsidRPr="005328B9" w:rsidR="00BD72CF">
        <w:rPr>
          <w:rFonts w:cs="Times New Roman"/>
        </w:rPr>
        <w:t>De bescherming van</w:t>
      </w:r>
      <w:r w:rsidRPr="005328B9">
        <w:rPr>
          <w:rFonts w:cs="Times New Roman"/>
        </w:rPr>
        <w:t xml:space="preserve"> fundamentele </w:t>
      </w:r>
      <w:r w:rsidRPr="005328B9" w:rsidR="008D53D9">
        <w:rPr>
          <w:rFonts w:cs="Times New Roman"/>
        </w:rPr>
        <w:t>grondrechten</w:t>
      </w:r>
      <w:r w:rsidRPr="005328B9" w:rsidR="00BD72CF">
        <w:rPr>
          <w:rFonts w:cs="Times New Roman"/>
        </w:rPr>
        <w:t>,</w:t>
      </w:r>
      <w:r w:rsidRPr="005328B9" w:rsidR="008D53D9">
        <w:rPr>
          <w:rFonts w:cs="Times New Roman"/>
        </w:rPr>
        <w:t xml:space="preserve"> </w:t>
      </w:r>
      <w:r w:rsidRPr="005328B9">
        <w:rPr>
          <w:rFonts w:cs="Times New Roman"/>
        </w:rPr>
        <w:t xml:space="preserve">zoals het recht op vrijheid van meningsuiting en informatie, </w:t>
      </w:r>
      <w:r w:rsidRPr="005328B9" w:rsidR="00BD72CF">
        <w:rPr>
          <w:rFonts w:cs="Times New Roman"/>
        </w:rPr>
        <w:t xml:space="preserve">blijft </w:t>
      </w:r>
      <w:r w:rsidR="00E427A7">
        <w:rPr>
          <w:rFonts w:cs="Times New Roman"/>
        </w:rPr>
        <w:t>van belang</w:t>
      </w:r>
      <w:r w:rsidRPr="005328B9">
        <w:rPr>
          <w:rFonts w:cs="Times New Roman"/>
        </w:rPr>
        <w:t>. In het najaar van 2026 zal ik</w:t>
      </w:r>
      <w:r w:rsidR="00E427A7">
        <w:rPr>
          <w:rFonts w:cs="Times New Roman"/>
        </w:rPr>
        <w:t xml:space="preserve"> uw Kamer informeren over </w:t>
      </w:r>
      <w:r w:rsidRPr="005328B9">
        <w:rPr>
          <w:rFonts w:cs="Times New Roman"/>
        </w:rPr>
        <w:t xml:space="preserve">de verdere ontwikkelingen in de aanpak van online radicalisering, extremisme en terrorisme. </w:t>
      </w:r>
    </w:p>
    <w:p w:rsidRPr="005328B9" w:rsidR="00A45257" w:rsidP="00EF7FA9" w:rsidRDefault="00A45257" w14:paraId="63FC6AB7" w14:textId="77777777">
      <w:pPr>
        <w:spacing w:line="240" w:lineRule="auto"/>
      </w:pPr>
    </w:p>
    <w:p w:rsidR="00E427A7" w:rsidP="00EF7FA9" w:rsidRDefault="00E427A7" w14:paraId="153AB568" w14:textId="77777777">
      <w:pPr>
        <w:spacing w:line="240" w:lineRule="auto"/>
      </w:pPr>
    </w:p>
    <w:p w:rsidR="00E427A7" w:rsidP="00EF7FA9" w:rsidRDefault="005440B5" w14:paraId="1D7811AB" w14:textId="72673908">
      <w:pPr>
        <w:spacing w:line="240" w:lineRule="auto"/>
      </w:pPr>
      <w:r>
        <w:t xml:space="preserve">De </w:t>
      </w:r>
      <w:r w:rsidRPr="005328B9" w:rsidR="00112810">
        <w:t>Minister van Justitie en Veiligheid</w:t>
      </w:r>
      <w:r w:rsidR="00E427A7">
        <w:t>,</w:t>
      </w:r>
    </w:p>
    <w:p w:rsidR="00E427A7" w:rsidP="00EF7FA9" w:rsidRDefault="00E427A7" w14:paraId="48F8AB7A" w14:textId="77777777">
      <w:pPr>
        <w:spacing w:line="240" w:lineRule="auto"/>
      </w:pPr>
    </w:p>
    <w:p w:rsidR="00E427A7" w:rsidP="00EF7FA9" w:rsidRDefault="00E427A7" w14:paraId="792FCD71" w14:textId="77777777">
      <w:pPr>
        <w:spacing w:line="240" w:lineRule="auto"/>
      </w:pPr>
    </w:p>
    <w:p w:rsidR="00E427A7" w:rsidP="00EF7FA9" w:rsidRDefault="00E427A7" w14:paraId="5D1F0E85" w14:textId="77777777">
      <w:pPr>
        <w:spacing w:line="240" w:lineRule="auto"/>
      </w:pPr>
    </w:p>
    <w:p w:rsidR="00E427A7" w:rsidP="00EF7FA9" w:rsidRDefault="00E427A7" w14:paraId="68DE607F" w14:textId="77777777">
      <w:pPr>
        <w:spacing w:line="240" w:lineRule="auto"/>
      </w:pPr>
    </w:p>
    <w:p w:rsidRPr="005328B9" w:rsidR="00605E22" w:rsidP="00EF7FA9" w:rsidRDefault="00E427A7" w14:paraId="7F6793CF" w14:textId="4D6B3E8C">
      <w:pPr>
        <w:spacing w:line="240" w:lineRule="auto"/>
      </w:pPr>
      <w:r>
        <w:t>D.M. van Weel</w:t>
      </w:r>
    </w:p>
    <w:p w:rsidRPr="005328B9" w:rsidR="00605E22" w:rsidP="00EF7FA9" w:rsidRDefault="00605E22" w14:paraId="439E5CF7" w14:textId="77777777">
      <w:pPr>
        <w:spacing w:line="240" w:lineRule="auto"/>
      </w:pPr>
    </w:p>
    <w:p w:rsidRPr="005328B9" w:rsidR="00605E22" w:rsidP="00EF7FA9" w:rsidRDefault="00605E22" w14:paraId="60B8B1BB" w14:textId="7A204900">
      <w:pPr>
        <w:spacing w:line="240" w:lineRule="auto"/>
      </w:pPr>
    </w:p>
    <w:sectPr w:rsidRPr="005328B9" w:rsidR="00605E22">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FB83" w14:textId="77777777" w:rsidR="00D77044" w:rsidRDefault="00D77044">
      <w:pPr>
        <w:spacing w:line="240" w:lineRule="auto"/>
      </w:pPr>
      <w:r>
        <w:separator/>
      </w:r>
    </w:p>
  </w:endnote>
  <w:endnote w:type="continuationSeparator" w:id="0">
    <w:p w14:paraId="5742405F" w14:textId="77777777" w:rsidR="00D77044" w:rsidRDefault="00D770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5A5C" w14:textId="77777777" w:rsidR="00D77044" w:rsidRDefault="00D77044">
      <w:pPr>
        <w:spacing w:line="240" w:lineRule="auto"/>
      </w:pPr>
      <w:r>
        <w:separator/>
      </w:r>
    </w:p>
  </w:footnote>
  <w:footnote w:type="continuationSeparator" w:id="0">
    <w:p w14:paraId="07356A22" w14:textId="77777777" w:rsidR="00D77044" w:rsidRDefault="00D77044">
      <w:pPr>
        <w:spacing w:line="240" w:lineRule="auto"/>
      </w:pPr>
      <w:r>
        <w:continuationSeparator/>
      </w:r>
    </w:p>
  </w:footnote>
  <w:footnote w:id="1">
    <w:p w14:paraId="1780CDC4" w14:textId="1600DE04" w:rsidR="00F60616" w:rsidRPr="001E0818" w:rsidRDefault="00F60616" w:rsidP="00393CFD">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w:t>
      </w:r>
      <w:r w:rsidR="006A17A9" w:rsidRPr="001E0818">
        <w:rPr>
          <w:rFonts w:ascii="Verdana" w:hAnsi="Verdana"/>
          <w:sz w:val="14"/>
          <w:szCs w:val="14"/>
        </w:rPr>
        <w:t xml:space="preserve">NCTV, </w:t>
      </w:r>
      <w:r w:rsidRPr="001E0818">
        <w:rPr>
          <w:rFonts w:ascii="Verdana" w:hAnsi="Verdana"/>
          <w:sz w:val="14"/>
          <w:szCs w:val="14"/>
        </w:rPr>
        <w:t>Dreigingsbeeld Terrorisme Nederland, december 2025.</w:t>
      </w:r>
    </w:p>
  </w:footnote>
  <w:footnote w:id="2">
    <w:p w14:paraId="73BE314E" w14:textId="2013B974" w:rsidR="00E44053" w:rsidRPr="001E0818" w:rsidRDefault="00E44053" w:rsidP="00393CFD">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NCTV, Voortgangsbrief Versterkte Aanpak Online inzake extremistische en terroristische content, 17 december 2025. </w:t>
      </w:r>
    </w:p>
  </w:footnote>
  <w:footnote w:id="3">
    <w:p w14:paraId="6BD3AE94" w14:textId="58D1A335" w:rsidR="003B360E" w:rsidRPr="001E0818" w:rsidRDefault="003B360E">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Deze zijn toegelicht in de contourenbrief Versterkte Aanpak Online (december 2023), de kamerbrief nadere uitwerking Versterkte Aanpak Online (december 2024) en de voortgangsbrieven Versterkte Aanpak Online (mei 2025, december 2025).</w:t>
      </w:r>
    </w:p>
  </w:footnote>
  <w:footnote w:id="4">
    <w:p w14:paraId="24BCAAAC" w14:textId="40597C45" w:rsidR="00794AFE" w:rsidRPr="001E0818" w:rsidRDefault="00794AFE" w:rsidP="00393CFD">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w:t>
      </w:r>
      <w:r w:rsidR="001E0818" w:rsidRPr="001E0818">
        <w:rPr>
          <w:rFonts w:ascii="Verdana" w:hAnsi="Verdana" w:cs="Calibri"/>
          <w:bCs/>
          <w:sz w:val="14"/>
          <w:szCs w:val="14"/>
        </w:rPr>
        <w:t xml:space="preserve">Werkgroep Beoordeling Nieuwe Commissie voorstellen (BNC), Fiche - Terrorismebestrijdingsagenda EU, 10 april 2026. </w:t>
      </w:r>
    </w:p>
  </w:footnote>
  <w:footnote w:id="5">
    <w:p w14:paraId="04E8A29D" w14:textId="7731B537" w:rsidR="00CC44C8" w:rsidRPr="001E0818" w:rsidRDefault="00CC44C8" w:rsidP="00393CFD">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w:t>
      </w:r>
      <w:r w:rsidR="00F80D52" w:rsidRPr="001E0818">
        <w:rPr>
          <w:rFonts w:ascii="Verdana" w:hAnsi="Verdana"/>
          <w:sz w:val="14"/>
          <w:szCs w:val="14"/>
        </w:rPr>
        <w:t>https://www.atkm.nl/meldpunt-atkm.</w:t>
      </w:r>
    </w:p>
  </w:footnote>
  <w:footnote w:id="6">
    <w:p w14:paraId="3ACF67F6" w14:textId="14F55105" w:rsidR="000D260B" w:rsidRPr="001E0818" w:rsidRDefault="000D260B" w:rsidP="000D260B">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w:t>
      </w:r>
      <w:hyperlink r:id="rId1" w:history="1">
        <w:r w:rsidRPr="001E0818">
          <w:rPr>
            <w:rStyle w:val="Hyperlink"/>
            <w:rFonts w:ascii="Verdana" w:hAnsi="Verdana"/>
            <w:sz w:val="14"/>
            <w:szCs w:val="14"/>
          </w:rPr>
          <w:t>Verdiepingsdossier 'online' | Nationaal Coördinator Terrorismebestrijding en Veiligheid</w:t>
        </w:r>
      </w:hyperlink>
      <w:r w:rsidR="006A14AC">
        <w:t xml:space="preserve">. </w:t>
      </w:r>
    </w:p>
  </w:footnote>
  <w:footnote w:id="7">
    <w:p w14:paraId="477839F6" w14:textId="74BF1EDC" w:rsidR="00CC44C8" w:rsidRPr="001E0818" w:rsidRDefault="00CC44C8" w:rsidP="00393CFD">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w:t>
      </w:r>
      <w:r w:rsidR="00B63F7F" w:rsidRPr="001E0818">
        <w:rPr>
          <w:rFonts w:ascii="Verdana" w:hAnsi="Verdana"/>
          <w:sz w:val="14"/>
          <w:szCs w:val="14"/>
        </w:rPr>
        <w:t>Kamerstukken II, 2024/25, 32 824 nr. 456.</w:t>
      </w:r>
      <w:r w:rsidR="00B63F7F">
        <w:rPr>
          <w:rFonts w:ascii="Verdana" w:hAnsi="Verdana"/>
          <w:sz w:val="14"/>
          <w:szCs w:val="14"/>
        </w:rPr>
        <w:t xml:space="preserve"> </w:t>
      </w:r>
    </w:p>
  </w:footnote>
  <w:footnote w:id="8">
    <w:p w14:paraId="0E84DFC1" w14:textId="0337F4A3" w:rsidR="00B63F7F" w:rsidRPr="001E0818" w:rsidRDefault="00B63F7F" w:rsidP="00B63F7F">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Kamerstukken II, 2025/26, 32 824 nr. 479</w:t>
      </w:r>
      <w:r>
        <w:rPr>
          <w:rFonts w:ascii="Verdana" w:hAnsi="Verdana"/>
          <w:sz w:val="14"/>
          <w:szCs w:val="14"/>
        </w:rPr>
        <w:t xml:space="preserve">. </w:t>
      </w:r>
    </w:p>
  </w:footnote>
  <w:footnote w:id="9">
    <w:p w14:paraId="70D085CD" w14:textId="71A69613" w:rsidR="006E160F" w:rsidRPr="001E0818" w:rsidRDefault="006E160F">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Kamerstukken II 2025/26, 29754, nr. 774.</w:t>
      </w:r>
    </w:p>
  </w:footnote>
  <w:footnote w:id="10">
    <w:p w14:paraId="2F42C643" w14:textId="7092424A" w:rsidR="00FD7418" w:rsidRPr="001E0818" w:rsidRDefault="00FD7418" w:rsidP="00393CFD">
      <w:pPr>
        <w:pStyle w:val="Voetnoottekst"/>
        <w:rPr>
          <w:rFonts w:ascii="Verdana" w:hAnsi="Verdana"/>
          <w:sz w:val="14"/>
          <w:szCs w:val="14"/>
        </w:rPr>
      </w:pPr>
      <w:r w:rsidRPr="001E0818">
        <w:rPr>
          <w:rStyle w:val="Voetnootmarkering"/>
          <w:rFonts w:ascii="Verdana" w:hAnsi="Verdana"/>
          <w:sz w:val="14"/>
          <w:szCs w:val="14"/>
        </w:rPr>
        <w:footnoteRef/>
      </w:r>
      <w:r w:rsidR="0095058F" w:rsidRPr="001E0818">
        <w:rPr>
          <w:rFonts w:ascii="Verdana" w:hAnsi="Verdana"/>
          <w:sz w:val="14"/>
          <w:szCs w:val="14"/>
        </w:rPr>
        <w:t xml:space="preserve"> </w:t>
      </w:r>
      <w:r w:rsidR="005A145B" w:rsidRPr="001E0818">
        <w:rPr>
          <w:rFonts w:ascii="Verdana" w:hAnsi="Verdana"/>
          <w:sz w:val="14"/>
          <w:szCs w:val="14"/>
        </w:rPr>
        <w:t>Vanuit het LSE is reeds bekend dat de gekoppelde LSE-landingspagina functioneert en gebruikers worden doorgeleid.</w:t>
      </w:r>
      <w:r w:rsidRPr="001E0818">
        <w:rPr>
          <w:rFonts w:ascii="Verdana" w:hAnsi="Verdana"/>
          <w:sz w:val="14"/>
          <w:szCs w:val="14"/>
        </w:rPr>
        <w:t xml:space="preserve"> Dit betreft een speciaal ontworpen webpagina waar informatievoorziening aan de online bezoeker geboden wordt.</w:t>
      </w:r>
    </w:p>
  </w:footnote>
  <w:footnote w:id="11">
    <w:p w14:paraId="31BAC270" w14:textId="2206F962" w:rsidR="003033A0" w:rsidRPr="001E0818" w:rsidRDefault="003033A0">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w:t>
      </w:r>
      <w:r w:rsidRPr="001E0818">
        <w:rPr>
          <w:rFonts w:ascii="Verdana" w:hAnsi="Verdana" w:cs="Times New Roman"/>
          <w:sz w:val="14"/>
          <w:szCs w:val="14"/>
        </w:rPr>
        <w:t xml:space="preserve">In het kader van de EU Knowledge Hub on Prevention of </w:t>
      </w:r>
      <w:proofErr w:type="spellStart"/>
      <w:r w:rsidRPr="001E0818">
        <w:rPr>
          <w:rFonts w:ascii="Verdana" w:hAnsi="Verdana" w:cs="Times New Roman"/>
          <w:sz w:val="14"/>
          <w:szCs w:val="14"/>
        </w:rPr>
        <w:t>Radicalisation</w:t>
      </w:r>
      <w:proofErr w:type="spellEnd"/>
      <w:r w:rsidRPr="001E0818">
        <w:rPr>
          <w:rFonts w:ascii="Verdana" w:hAnsi="Verdana" w:cs="Times New Roman"/>
          <w:sz w:val="14"/>
          <w:szCs w:val="14"/>
        </w:rPr>
        <w:t xml:space="preserve"> leidt Nederland, samen met Frankrijk en de Europese Commissie, een Europese werkgroep over online radicalisering van jongeren. In 2026 vinden drie bijeenkomsten plaats, waarin beleidsmakers en operationele experts uit verschillende lidstaten samenkomen.</w:t>
      </w:r>
    </w:p>
  </w:footnote>
  <w:footnote w:id="12">
    <w:p w14:paraId="20CB4BEF" w14:textId="3F1BBDD3" w:rsidR="00994359" w:rsidRPr="001E0818" w:rsidRDefault="00994359">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w:t>
      </w:r>
      <w:r w:rsidRPr="001E0818">
        <w:rPr>
          <w:rFonts w:ascii="Verdana" w:hAnsi="Verdana" w:cs="Times New Roman"/>
          <w:sz w:val="14"/>
          <w:szCs w:val="14"/>
        </w:rPr>
        <w:t>Onder andere het benadrukken van het belang van menselijke contentmoderatie bij platformen is een structureel onderdeel van de dialoog.</w:t>
      </w:r>
    </w:p>
  </w:footnote>
  <w:footnote w:id="13">
    <w:p w14:paraId="355DF419" w14:textId="24DA6D57" w:rsidR="002635B2" w:rsidRPr="001E0818" w:rsidRDefault="002635B2">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cs="Times New Roman"/>
          <w:sz w:val="14"/>
          <w:szCs w:val="14"/>
        </w:rPr>
        <w:t xml:space="preserve"> Begroting </w:t>
      </w:r>
      <w:r w:rsidR="00910B2F" w:rsidRPr="001E0818">
        <w:rPr>
          <w:rFonts w:ascii="Verdana" w:hAnsi="Verdana" w:cs="Times New Roman"/>
          <w:sz w:val="14"/>
          <w:szCs w:val="14"/>
        </w:rPr>
        <w:t>Justitie</w:t>
      </w:r>
      <w:r w:rsidRPr="001E0818">
        <w:rPr>
          <w:rFonts w:ascii="Verdana" w:hAnsi="Verdana" w:cs="Times New Roman"/>
          <w:sz w:val="14"/>
          <w:szCs w:val="14"/>
        </w:rPr>
        <w:t xml:space="preserve"> en Veiligheid 2026, p. 37-5-7. </w:t>
      </w:r>
    </w:p>
  </w:footnote>
  <w:footnote w:id="14">
    <w:p w14:paraId="384D3019" w14:textId="0BC3938B" w:rsidR="00F60616" w:rsidRPr="001E0818" w:rsidRDefault="00F60616" w:rsidP="00393CFD">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w:t>
      </w:r>
      <w:r w:rsidRPr="001E0818">
        <w:rPr>
          <w:rFonts w:ascii="Verdana" w:hAnsi="Verdana" w:cs="Times New Roman"/>
          <w:sz w:val="14"/>
          <w:szCs w:val="14"/>
        </w:rPr>
        <w:t xml:space="preserve">Tijdens het EU Internet Forum op 4 maart 2026 </w:t>
      </w:r>
      <w:r w:rsidR="009F0469" w:rsidRPr="001E0818">
        <w:rPr>
          <w:rFonts w:ascii="Verdana" w:hAnsi="Verdana" w:cs="Times New Roman"/>
          <w:sz w:val="14"/>
          <w:szCs w:val="14"/>
        </w:rPr>
        <w:t xml:space="preserve">heeft </w:t>
      </w:r>
      <w:r w:rsidRPr="001E0818">
        <w:rPr>
          <w:rFonts w:ascii="Verdana" w:hAnsi="Verdana" w:cs="Times New Roman"/>
          <w:sz w:val="14"/>
          <w:szCs w:val="14"/>
        </w:rPr>
        <w:t>Nederland</w:t>
      </w:r>
      <w:r w:rsidR="006B5864" w:rsidRPr="001E0818">
        <w:rPr>
          <w:rFonts w:ascii="Verdana" w:hAnsi="Verdana" w:cs="Times New Roman"/>
          <w:sz w:val="14"/>
          <w:szCs w:val="14"/>
        </w:rPr>
        <w:t xml:space="preserve"> ook</w:t>
      </w:r>
      <w:r w:rsidRPr="001E0818">
        <w:rPr>
          <w:rFonts w:ascii="Verdana" w:hAnsi="Verdana" w:cs="Times New Roman"/>
          <w:sz w:val="14"/>
          <w:szCs w:val="14"/>
        </w:rPr>
        <w:t xml:space="preserve"> volledige steun uitgesproken voor het werk van de Europese Commissie in het algemeen en het EU Internet Forum in het bijzonder, in het licht van de ongegronde beschuldigingen in het rapport van de Justitiecommissie van het Amerikaanse Huis van Afgevaardigden van 3 februari 2026</w:t>
      </w:r>
      <w:r w:rsidR="00F80D52" w:rsidRPr="001E0818">
        <w:rPr>
          <w:rFonts w:ascii="Verdana" w:hAnsi="Verdana" w:cs="Times New Roman"/>
          <w:sz w:val="14"/>
          <w:szCs w:val="14"/>
        </w:rPr>
        <w:t>.</w:t>
      </w:r>
    </w:p>
  </w:footnote>
  <w:footnote w:id="15">
    <w:p w14:paraId="7C041F4A" w14:textId="77777777" w:rsidR="00EE638A" w:rsidRPr="001E0818" w:rsidRDefault="00EE638A" w:rsidP="00393CFD">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Richtsnoeren inzake maatregelen om een hoog niveau van privacy, veiligheid en beveiliging voor minderjarigen online te waarborgen, overeenkomstig artikel 28, lid 4, van Verordening (EU) 2022/2065, C(2025) 6826 </w:t>
      </w:r>
      <w:proofErr w:type="spellStart"/>
      <w:r w:rsidRPr="001E0818">
        <w:rPr>
          <w:rFonts w:ascii="Verdana" w:hAnsi="Verdana"/>
          <w:sz w:val="14"/>
          <w:szCs w:val="14"/>
        </w:rPr>
        <w:t>final</w:t>
      </w:r>
      <w:proofErr w:type="spellEnd"/>
      <w:r w:rsidRPr="001E0818">
        <w:rPr>
          <w:rFonts w:ascii="Verdana" w:hAnsi="Verdana"/>
          <w:sz w:val="14"/>
          <w:szCs w:val="14"/>
        </w:rPr>
        <w:t>.</w:t>
      </w:r>
    </w:p>
  </w:footnote>
  <w:footnote w:id="16">
    <w:p w14:paraId="453156F0" w14:textId="38D42D53" w:rsidR="00EE638A" w:rsidRPr="001E0818" w:rsidRDefault="00EE638A" w:rsidP="00393CFD">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Kamerstukken II, 2025/26</w:t>
      </w:r>
      <w:r w:rsidRPr="001E0818">
        <w:rPr>
          <w:rFonts w:ascii="Verdana" w:hAnsi="Verdana"/>
          <w:i/>
          <w:iCs/>
          <w:sz w:val="14"/>
          <w:szCs w:val="14"/>
        </w:rPr>
        <w:t xml:space="preserve">, </w:t>
      </w:r>
      <w:r w:rsidRPr="001E0818">
        <w:rPr>
          <w:rFonts w:ascii="Verdana" w:hAnsi="Verdana"/>
          <w:sz w:val="14"/>
          <w:szCs w:val="14"/>
        </w:rPr>
        <w:t>22 112, nr. 4207</w:t>
      </w:r>
      <w:r w:rsidR="00F80D52" w:rsidRPr="001E0818">
        <w:rPr>
          <w:rFonts w:ascii="Verdana" w:hAnsi="Verdana"/>
          <w:sz w:val="14"/>
          <w:szCs w:val="14"/>
        </w:rPr>
        <w:t>.</w:t>
      </w:r>
    </w:p>
  </w:footnote>
  <w:footnote w:id="17">
    <w:p w14:paraId="10E1152D" w14:textId="59E9D18E" w:rsidR="00EE638A" w:rsidRPr="001E0818" w:rsidRDefault="00EE638A" w:rsidP="00393CFD">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Tijdens de onderhandelingen voor de totstandkoming van </w:t>
      </w:r>
      <w:r w:rsidR="00D32731" w:rsidRPr="001E0818">
        <w:rPr>
          <w:rFonts w:ascii="Verdana" w:hAnsi="Verdana"/>
          <w:sz w:val="14"/>
          <w:szCs w:val="14"/>
        </w:rPr>
        <w:t>DSA</w:t>
      </w:r>
      <w:r w:rsidRPr="001E0818">
        <w:rPr>
          <w:rFonts w:ascii="Verdana" w:hAnsi="Verdana"/>
          <w:sz w:val="14"/>
          <w:szCs w:val="14"/>
        </w:rPr>
        <w:t xml:space="preserve"> heeft Nederland gepleit voor zorgplicht voor online platformen. Zoals in de Contourenbrief Versterkte Aanpak Online (december 2023) is toegelicht, kon dit voorstel destijds niet rekenen op voldoende steun in de Europese raad.</w:t>
      </w:r>
    </w:p>
  </w:footnote>
  <w:footnote w:id="18">
    <w:p w14:paraId="13109451" w14:textId="77777777" w:rsidR="00786A19" w:rsidRPr="001E0818" w:rsidRDefault="00786A19" w:rsidP="00786A19">
      <w:pPr>
        <w:pStyle w:val="Voetnoottekst"/>
        <w:rPr>
          <w:rFonts w:ascii="Verdana" w:hAnsi="Verdana"/>
          <w:sz w:val="14"/>
          <w:szCs w:val="14"/>
          <w:lang w:val="en-US"/>
        </w:rPr>
      </w:pPr>
      <w:r w:rsidRPr="001E0818">
        <w:rPr>
          <w:rStyle w:val="Voetnootmarkering"/>
          <w:rFonts w:ascii="Verdana" w:hAnsi="Verdana"/>
          <w:sz w:val="14"/>
          <w:szCs w:val="14"/>
        </w:rPr>
        <w:footnoteRef/>
      </w:r>
      <w:r w:rsidRPr="001E0818">
        <w:rPr>
          <w:rFonts w:ascii="Verdana" w:hAnsi="Verdana"/>
          <w:sz w:val="14"/>
          <w:szCs w:val="14"/>
          <w:lang w:val="en-US"/>
        </w:rPr>
        <w:t xml:space="preserve"> </w:t>
      </w:r>
      <w:proofErr w:type="spellStart"/>
      <w:r w:rsidRPr="001E0818">
        <w:rPr>
          <w:rFonts w:ascii="Verdana" w:hAnsi="Verdana" w:cs="Times New Roman"/>
          <w:sz w:val="14"/>
          <w:szCs w:val="14"/>
          <w:lang w:val="en-US"/>
        </w:rPr>
        <w:t>Nederlands</w:t>
      </w:r>
      <w:proofErr w:type="spellEnd"/>
      <w:r w:rsidRPr="001E0818">
        <w:rPr>
          <w:rFonts w:ascii="Verdana" w:hAnsi="Verdana" w:cs="Times New Roman"/>
          <w:sz w:val="14"/>
          <w:szCs w:val="14"/>
          <w:lang w:val="en-US"/>
        </w:rPr>
        <w:t xml:space="preserve">-Duits-Franse non-paper “Countering together: Fighting Online </w:t>
      </w:r>
      <w:proofErr w:type="spellStart"/>
      <w:r w:rsidRPr="001E0818">
        <w:rPr>
          <w:rFonts w:ascii="Verdana" w:hAnsi="Verdana" w:cs="Times New Roman"/>
          <w:sz w:val="14"/>
          <w:szCs w:val="14"/>
          <w:lang w:val="en-US"/>
        </w:rPr>
        <w:t>Radicalisation</w:t>
      </w:r>
      <w:proofErr w:type="spellEnd"/>
      <w:r w:rsidRPr="001E0818">
        <w:rPr>
          <w:rFonts w:ascii="Verdana" w:hAnsi="Verdana" w:cs="Times New Roman"/>
          <w:sz w:val="14"/>
          <w:szCs w:val="14"/>
          <w:lang w:val="en-US"/>
        </w:rPr>
        <w:t xml:space="preserve">, Violent Extremism and Terrorism”, December 2025. </w:t>
      </w:r>
    </w:p>
  </w:footnote>
  <w:footnote w:id="19">
    <w:p w14:paraId="586FF1C3" w14:textId="1824D941" w:rsidR="005A6F14" w:rsidRPr="001E0818" w:rsidRDefault="005A6F14">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w:t>
      </w:r>
      <w:r w:rsidRPr="001E0818">
        <w:rPr>
          <w:rFonts w:ascii="Verdana" w:hAnsi="Verdana" w:cs="Times New Roman"/>
          <w:sz w:val="14"/>
          <w:szCs w:val="14"/>
        </w:rPr>
        <w:t xml:space="preserve">Zo neemt de ATKM onder andere deel aan werkgroepen met de Europese Commissie en bevoegde autoriteiten uit EU-lidstaten. De ATKM leidt – samen met de Zweedse autoriteiten – de werkgroep over hosting service providers (aanbieders van hostingdiensten) zonder wettelijke vertegenwoordiging in de EU, en neemt deel aan twee andere werkgroepen. </w:t>
      </w:r>
    </w:p>
  </w:footnote>
  <w:footnote w:id="20">
    <w:p w14:paraId="3DE814D8" w14:textId="673219B0" w:rsidR="00EC7910" w:rsidRPr="001E0818" w:rsidRDefault="00EC7910">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w:t>
      </w:r>
      <w:r w:rsidRPr="001E0818">
        <w:rPr>
          <w:rFonts w:ascii="Verdana" w:hAnsi="Verdana" w:cs="Times New Roman"/>
          <w:sz w:val="14"/>
          <w:szCs w:val="14"/>
        </w:rPr>
        <w:t>Doel is een richtlijn worden op te stellen die bevoegde autoriteiten ondersteunt bij een eenduidige classificatie van dergelijk</w:t>
      </w:r>
      <w:r w:rsidR="000B0C29" w:rsidRPr="001E0818">
        <w:rPr>
          <w:rFonts w:ascii="Verdana" w:hAnsi="Verdana" w:cs="Times New Roman"/>
          <w:sz w:val="14"/>
          <w:szCs w:val="14"/>
        </w:rPr>
        <w:t xml:space="preserve"> materiaal</w:t>
      </w:r>
      <w:r w:rsidRPr="001E0818">
        <w:rPr>
          <w:rFonts w:ascii="Verdana" w:hAnsi="Verdana" w:cs="Times New Roman"/>
          <w:sz w:val="14"/>
          <w:szCs w:val="14"/>
        </w:rPr>
        <w:t>.</w:t>
      </w:r>
    </w:p>
  </w:footnote>
  <w:footnote w:id="21">
    <w:p w14:paraId="5B7EADEA" w14:textId="77777777" w:rsidR="00F60616" w:rsidRPr="001E0818" w:rsidRDefault="00F60616" w:rsidP="00393CFD">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Toezegging gedaan aan het lid van der Werf (D66) tijdens het plenair debat inzake de Uitvoeringswet verordening terroristische online-inhoud op 21 december 2022.</w:t>
      </w:r>
    </w:p>
  </w:footnote>
  <w:footnote w:id="22">
    <w:p w14:paraId="5BFD2A91" w14:textId="77777777" w:rsidR="00994359" w:rsidRPr="001E0818" w:rsidRDefault="00994359" w:rsidP="00994359">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Motie van het lid Michon-</w:t>
      </w:r>
      <w:proofErr w:type="spellStart"/>
      <w:r w:rsidRPr="001E0818">
        <w:rPr>
          <w:rFonts w:ascii="Verdana" w:hAnsi="Verdana"/>
          <w:sz w:val="14"/>
          <w:szCs w:val="14"/>
        </w:rPr>
        <w:t>Derkzen</w:t>
      </w:r>
      <w:proofErr w:type="spellEnd"/>
      <w:r w:rsidRPr="001E0818">
        <w:rPr>
          <w:rFonts w:ascii="Verdana" w:hAnsi="Verdana"/>
          <w:sz w:val="14"/>
          <w:szCs w:val="14"/>
        </w:rPr>
        <w:t xml:space="preserve"> over een werkbare definitie van “extremistische content”. Ingediend op 2 oktober 2025. </w:t>
      </w:r>
    </w:p>
  </w:footnote>
  <w:footnote w:id="23">
    <w:p w14:paraId="25E2CF6D" w14:textId="77777777" w:rsidR="00F60616" w:rsidRPr="001E0818" w:rsidRDefault="00F60616" w:rsidP="00393CFD">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Nationale Extremismestrategie 2024-2029. </w:t>
      </w:r>
    </w:p>
  </w:footnote>
  <w:footnote w:id="24">
    <w:p w14:paraId="35B92198" w14:textId="03E48067" w:rsidR="008B6EB8" w:rsidRPr="001E0818" w:rsidRDefault="008B6EB8">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Het betreft personen (veelal van relatief jonge leeftijd) die worden verdacht van of zijn veroordeeld voor </w:t>
      </w:r>
      <w:r w:rsidR="00F94EB1" w:rsidRPr="001E0818">
        <w:rPr>
          <w:rFonts w:ascii="Verdana" w:hAnsi="Verdana"/>
          <w:sz w:val="14"/>
          <w:szCs w:val="14"/>
        </w:rPr>
        <w:t xml:space="preserve">o.a. </w:t>
      </w:r>
      <w:r w:rsidRPr="001E0818">
        <w:rPr>
          <w:rFonts w:ascii="Verdana" w:hAnsi="Verdana"/>
          <w:sz w:val="14"/>
          <w:szCs w:val="14"/>
        </w:rPr>
        <w:t>opruiing tot terrorisme op sociale media of online in aanraking komen met - grote hoeveelheden - terroristische en/of extremistische content en deze extreme content bijvoorbeeld hebben verspreid.</w:t>
      </w:r>
    </w:p>
  </w:footnote>
  <w:footnote w:id="25">
    <w:p w14:paraId="5D492877" w14:textId="554ECC33" w:rsidR="00A52C90" w:rsidRPr="001E0818" w:rsidRDefault="00A52C90">
      <w:pPr>
        <w:pStyle w:val="Voetnoottekst"/>
        <w:rPr>
          <w:rFonts w:ascii="Verdana" w:hAnsi="Verdana"/>
          <w:sz w:val="14"/>
          <w:szCs w:val="14"/>
        </w:rPr>
      </w:pPr>
      <w:r w:rsidRPr="001E0818">
        <w:rPr>
          <w:rStyle w:val="Voetnootmarkering"/>
          <w:rFonts w:ascii="Verdana" w:hAnsi="Verdana"/>
          <w:sz w:val="14"/>
          <w:szCs w:val="14"/>
        </w:rPr>
        <w:footnoteRef/>
      </w:r>
      <w:r w:rsidRPr="001E0818">
        <w:rPr>
          <w:rFonts w:ascii="Verdana" w:hAnsi="Verdana"/>
          <w:sz w:val="14"/>
          <w:szCs w:val="14"/>
        </w:rPr>
        <w:t xml:space="preserve"> De tool en werkwijze maakt het mogelijk voor de reclassering om digitale gegevensdragers geautomatiseerd te controleren op risicovolle gedragingen met betrekking tot online seksueel kindermisbruik.</w:t>
      </w:r>
    </w:p>
  </w:footnote>
  <w:footnote w:id="26">
    <w:p w14:paraId="224E0C92" w14:textId="77777777" w:rsidR="001E498D" w:rsidRPr="005226AD" w:rsidRDefault="001E498D" w:rsidP="001E498D">
      <w:pPr>
        <w:pStyle w:val="Voetnoottekst"/>
        <w:rPr>
          <w:rFonts w:ascii="Verdana" w:hAnsi="Verdana"/>
          <w:sz w:val="14"/>
          <w:szCs w:val="14"/>
        </w:rPr>
      </w:pPr>
      <w:r w:rsidRPr="005226AD">
        <w:rPr>
          <w:rStyle w:val="Voetnootmarkering"/>
          <w:rFonts w:ascii="Verdana" w:hAnsi="Verdana"/>
          <w:sz w:val="14"/>
          <w:szCs w:val="14"/>
        </w:rPr>
        <w:footnoteRef/>
      </w:r>
      <w:r w:rsidRPr="005226AD">
        <w:rPr>
          <w:rFonts w:ascii="Verdana" w:hAnsi="Verdana"/>
          <w:sz w:val="14"/>
          <w:szCs w:val="14"/>
        </w:rPr>
        <w:t xml:space="preserve"> </w:t>
      </w:r>
      <w:hyperlink r:id="rId2" w:history="1">
        <w:r w:rsidRPr="005226AD">
          <w:rPr>
            <w:rStyle w:val="Hyperlink"/>
            <w:rFonts w:ascii="Verdana" w:hAnsi="Verdana"/>
            <w:sz w:val="14"/>
            <w:szCs w:val="14"/>
          </w:rPr>
          <w:t>https://hcss.nl/report/hcss-focus-het-com-netwerk/</w:t>
        </w:r>
      </w:hyperlink>
      <w:r w:rsidRPr="005226AD">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1C2C" w14:textId="77777777" w:rsidR="00605E22" w:rsidRDefault="00112810">
    <w:r>
      <w:rPr>
        <w:noProof/>
      </w:rPr>
      <mc:AlternateContent>
        <mc:Choice Requires="wps">
          <w:drawing>
            <wp:anchor distT="0" distB="0" distL="0" distR="0" simplePos="0" relativeHeight="251652096" behindDoc="0" locked="1" layoutInCell="1" allowOverlap="1" wp14:anchorId="78B358AA" wp14:editId="135D75D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806B473" w14:textId="77777777" w:rsidR="00D17D31" w:rsidRDefault="00D17D31"/>
                      </w:txbxContent>
                    </wps:txbx>
                    <wps:bodyPr vert="horz" wrap="square" lIns="0" tIns="0" rIns="0" bIns="0" anchor="t" anchorCtr="0"/>
                  </wps:wsp>
                </a:graphicData>
              </a:graphic>
            </wp:anchor>
          </w:drawing>
        </mc:Choice>
        <mc:Fallback>
          <w:pict>
            <v:shapetype w14:anchorId="78B358A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806B473" w14:textId="77777777" w:rsidR="00D17D31" w:rsidRDefault="00D17D3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37F3565" wp14:editId="0A9D6B6D">
              <wp:simplePos x="0" y="0"/>
              <wp:positionH relativeFrom="page">
                <wp:posOffset>5953125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4E266A" w14:textId="77777777" w:rsidR="00605E22" w:rsidRDefault="00112810">
                          <w:pPr>
                            <w:pStyle w:val="Referentiegegevensbold"/>
                          </w:pPr>
                          <w:r>
                            <w:t>Nationaal Coördinator Terrorismebestrijding en Veiligheid</w:t>
                          </w:r>
                        </w:p>
                        <w:p w14:paraId="0D24B356" w14:textId="77777777" w:rsidR="00605E22" w:rsidRDefault="00112810">
                          <w:pPr>
                            <w:pStyle w:val="Referentiegegevens"/>
                          </w:pPr>
                          <w:r>
                            <w:t>Contraterrorisme en Beveiliging Burgerluchtvaart</w:t>
                          </w:r>
                        </w:p>
                        <w:p w14:paraId="5400A369" w14:textId="77777777" w:rsidR="00605E22" w:rsidRDefault="00112810">
                          <w:pPr>
                            <w:pStyle w:val="Referentiegegevens"/>
                          </w:pPr>
                          <w:r>
                            <w:t>Contraterrorisme 2</w:t>
                          </w:r>
                        </w:p>
                        <w:p w14:paraId="3789E3B0" w14:textId="77777777" w:rsidR="00605E22" w:rsidRDefault="00605E22">
                          <w:pPr>
                            <w:pStyle w:val="WitregelW2"/>
                          </w:pPr>
                        </w:p>
                        <w:p w14:paraId="3FF0AA09" w14:textId="77777777" w:rsidR="00605E22" w:rsidRDefault="00112810">
                          <w:pPr>
                            <w:pStyle w:val="Referentiegegevensbold"/>
                          </w:pPr>
                          <w:r>
                            <w:t>Datum</w:t>
                          </w:r>
                        </w:p>
                        <w:p w14:paraId="0EB7DF9C" w14:textId="5716C655" w:rsidR="00605E22" w:rsidRDefault="00D77044">
                          <w:pPr>
                            <w:pStyle w:val="Referentiegegevens"/>
                          </w:pPr>
                          <w:sdt>
                            <w:sdtPr>
                              <w:id w:val="1552261866"/>
                              <w:date w:fullDate="2026-05-22T00:00:00Z">
                                <w:dateFormat w:val="d MMMM yyyy"/>
                                <w:lid w:val="nl"/>
                                <w:storeMappedDataAs w:val="dateTime"/>
                                <w:calendar w:val="gregorian"/>
                              </w:date>
                            </w:sdtPr>
                            <w:sdtEndPr/>
                            <w:sdtContent>
                              <w:r w:rsidR="002F4BA5">
                                <w:rPr>
                                  <w:lang w:val="nl"/>
                                </w:rPr>
                                <w:t>22 mei 2026</w:t>
                              </w:r>
                            </w:sdtContent>
                          </w:sdt>
                        </w:p>
                        <w:p w14:paraId="3F0A09F6" w14:textId="77777777" w:rsidR="00605E22" w:rsidRDefault="00605E22">
                          <w:pPr>
                            <w:pStyle w:val="WitregelW1"/>
                          </w:pPr>
                        </w:p>
                        <w:p w14:paraId="7F2CF53C" w14:textId="77777777" w:rsidR="00605E22" w:rsidRDefault="00112810">
                          <w:pPr>
                            <w:pStyle w:val="Referentiegegevensbold"/>
                          </w:pPr>
                          <w:r>
                            <w:t>Onze referentie</w:t>
                          </w:r>
                        </w:p>
                        <w:p w14:paraId="7AC8FAF3" w14:textId="77777777" w:rsidR="00605E22" w:rsidRDefault="00112810">
                          <w:pPr>
                            <w:pStyle w:val="Referentiegegevens"/>
                          </w:pPr>
                          <w:r>
                            <w:t>7552728</w:t>
                          </w:r>
                        </w:p>
                      </w:txbxContent>
                    </wps:txbx>
                    <wps:bodyPr vert="horz" wrap="square" lIns="0" tIns="0" rIns="0" bIns="0" anchor="t" anchorCtr="0"/>
                  </wps:wsp>
                </a:graphicData>
              </a:graphic>
            </wp:anchor>
          </w:drawing>
        </mc:Choice>
        <mc:Fallback>
          <w:pict>
            <v:shape w14:anchorId="037F3565" id="46fef022-aa3c-11ea-a756-beb5f67e67be" o:spid="_x0000_s1027" type="#_x0000_t202" style="position:absolute;margin-left:468.7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" filled="f" stroked="f">
              <v:textbox inset="0,0,0,0">
                <w:txbxContent>
                  <w:p w14:paraId="6C4E266A" w14:textId="77777777" w:rsidR="00605E22" w:rsidRDefault="00112810">
                    <w:pPr>
                      <w:pStyle w:val="Referentiegegevensbold"/>
                    </w:pPr>
                    <w:r>
                      <w:t>Nationaal Coördinator Terrorismebestrijding en Veiligheid</w:t>
                    </w:r>
                  </w:p>
                  <w:p w14:paraId="0D24B356" w14:textId="77777777" w:rsidR="00605E22" w:rsidRDefault="00112810">
                    <w:pPr>
                      <w:pStyle w:val="Referentiegegevens"/>
                    </w:pPr>
                    <w:r>
                      <w:t>Contraterrorisme en Beveiliging Burgerluchtvaart</w:t>
                    </w:r>
                  </w:p>
                  <w:p w14:paraId="5400A369" w14:textId="77777777" w:rsidR="00605E22" w:rsidRDefault="00112810">
                    <w:pPr>
                      <w:pStyle w:val="Referentiegegevens"/>
                    </w:pPr>
                    <w:r>
                      <w:t>Contraterrorisme 2</w:t>
                    </w:r>
                  </w:p>
                  <w:p w14:paraId="3789E3B0" w14:textId="77777777" w:rsidR="00605E22" w:rsidRDefault="00605E22">
                    <w:pPr>
                      <w:pStyle w:val="WitregelW2"/>
                    </w:pPr>
                  </w:p>
                  <w:p w14:paraId="3FF0AA09" w14:textId="77777777" w:rsidR="00605E22" w:rsidRDefault="00112810">
                    <w:pPr>
                      <w:pStyle w:val="Referentiegegevensbold"/>
                    </w:pPr>
                    <w:r>
                      <w:t>Datum</w:t>
                    </w:r>
                  </w:p>
                  <w:p w14:paraId="0EB7DF9C" w14:textId="5716C655" w:rsidR="00605E22" w:rsidRDefault="00D77044">
                    <w:pPr>
                      <w:pStyle w:val="Referentiegegevens"/>
                    </w:pPr>
                    <w:sdt>
                      <w:sdtPr>
                        <w:id w:val="1552261866"/>
                        <w:date w:fullDate="2026-05-22T00:00:00Z">
                          <w:dateFormat w:val="d MMMM yyyy"/>
                          <w:lid w:val="nl"/>
                          <w:storeMappedDataAs w:val="dateTime"/>
                          <w:calendar w:val="gregorian"/>
                        </w:date>
                      </w:sdtPr>
                      <w:sdtEndPr/>
                      <w:sdtContent>
                        <w:r w:rsidR="002F4BA5">
                          <w:rPr>
                            <w:lang w:val="nl"/>
                          </w:rPr>
                          <w:t>22 mei 2026</w:t>
                        </w:r>
                      </w:sdtContent>
                    </w:sdt>
                  </w:p>
                  <w:p w14:paraId="3F0A09F6" w14:textId="77777777" w:rsidR="00605E22" w:rsidRDefault="00605E22">
                    <w:pPr>
                      <w:pStyle w:val="WitregelW1"/>
                    </w:pPr>
                  </w:p>
                  <w:p w14:paraId="7F2CF53C" w14:textId="77777777" w:rsidR="00605E22" w:rsidRDefault="00112810">
                    <w:pPr>
                      <w:pStyle w:val="Referentiegegevensbold"/>
                    </w:pPr>
                    <w:r>
                      <w:t>Onze referentie</w:t>
                    </w:r>
                  </w:p>
                  <w:p w14:paraId="7AC8FAF3" w14:textId="77777777" w:rsidR="00605E22" w:rsidRDefault="00112810">
                    <w:pPr>
                      <w:pStyle w:val="Referentiegegevens"/>
                    </w:pPr>
                    <w:r>
                      <w:t>7552728</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479159D7" wp14:editId="2E3061E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104DBA" w14:textId="77777777" w:rsidR="00D17D31" w:rsidRDefault="00D17D31"/>
                      </w:txbxContent>
                    </wps:txbx>
                    <wps:bodyPr vert="horz" wrap="square" lIns="0" tIns="0" rIns="0" bIns="0" anchor="t" anchorCtr="0"/>
                  </wps:wsp>
                </a:graphicData>
              </a:graphic>
            </wp:anchor>
          </w:drawing>
        </mc:Choice>
        <mc:Fallback>
          <w:pict>
            <v:shape w14:anchorId="479159D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0104DBA" w14:textId="77777777" w:rsidR="00D17D31" w:rsidRDefault="00D17D3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1298C41" wp14:editId="01F6543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AAC9DE" w14:textId="1EA772E6" w:rsidR="00605E22" w:rsidRDefault="00112810">
                          <w:pPr>
                            <w:pStyle w:val="Referentiegegevens"/>
                          </w:pPr>
                          <w:r>
                            <w:t xml:space="preserve">Pagina </w:t>
                          </w:r>
                          <w:r>
                            <w:fldChar w:fldCharType="begin"/>
                          </w:r>
                          <w:r>
                            <w:instrText>PAGE</w:instrText>
                          </w:r>
                          <w:r>
                            <w:fldChar w:fldCharType="separate"/>
                          </w:r>
                          <w:r w:rsidR="00F60616">
                            <w:rPr>
                              <w:noProof/>
                            </w:rPr>
                            <w:t>2</w:t>
                          </w:r>
                          <w:r>
                            <w:fldChar w:fldCharType="end"/>
                          </w:r>
                          <w:r>
                            <w:t xml:space="preserve"> van </w:t>
                          </w:r>
                          <w:r>
                            <w:fldChar w:fldCharType="begin"/>
                          </w:r>
                          <w:r>
                            <w:instrText>NUMPAGES</w:instrText>
                          </w:r>
                          <w:r>
                            <w:fldChar w:fldCharType="separate"/>
                          </w:r>
                          <w:r w:rsidR="00F60616">
                            <w:rPr>
                              <w:noProof/>
                            </w:rPr>
                            <w:t>1</w:t>
                          </w:r>
                          <w:r>
                            <w:fldChar w:fldCharType="end"/>
                          </w:r>
                        </w:p>
                      </w:txbxContent>
                    </wps:txbx>
                    <wps:bodyPr vert="horz" wrap="square" lIns="0" tIns="0" rIns="0" bIns="0" anchor="t" anchorCtr="0"/>
                  </wps:wsp>
                </a:graphicData>
              </a:graphic>
            </wp:anchor>
          </w:drawing>
        </mc:Choice>
        <mc:Fallback>
          <w:pict>
            <v:shape w14:anchorId="11298C4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8AAC9DE" w14:textId="1EA772E6" w:rsidR="00605E22" w:rsidRDefault="00112810">
                    <w:pPr>
                      <w:pStyle w:val="Referentiegegevens"/>
                    </w:pPr>
                    <w:r>
                      <w:t xml:space="preserve">Pagina </w:t>
                    </w:r>
                    <w:r>
                      <w:fldChar w:fldCharType="begin"/>
                    </w:r>
                    <w:r>
                      <w:instrText>PAGE</w:instrText>
                    </w:r>
                    <w:r>
                      <w:fldChar w:fldCharType="separate"/>
                    </w:r>
                    <w:r w:rsidR="00F60616">
                      <w:rPr>
                        <w:noProof/>
                      </w:rPr>
                      <w:t>2</w:t>
                    </w:r>
                    <w:r>
                      <w:fldChar w:fldCharType="end"/>
                    </w:r>
                    <w:r>
                      <w:t xml:space="preserve"> van </w:t>
                    </w:r>
                    <w:r>
                      <w:fldChar w:fldCharType="begin"/>
                    </w:r>
                    <w:r>
                      <w:instrText>NUMPAGES</w:instrText>
                    </w:r>
                    <w:r>
                      <w:fldChar w:fldCharType="separate"/>
                    </w:r>
                    <w:r w:rsidR="00F6061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2DFF" w14:textId="77777777" w:rsidR="00605E22" w:rsidRDefault="00112810">
    <w:pPr>
      <w:spacing w:after="6377" w:line="14" w:lineRule="exact"/>
    </w:pPr>
    <w:r>
      <w:rPr>
        <w:noProof/>
      </w:rPr>
      <mc:AlternateContent>
        <mc:Choice Requires="wps">
          <w:drawing>
            <wp:anchor distT="0" distB="0" distL="0" distR="0" simplePos="0" relativeHeight="251656192" behindDoc="0" locked="1" layoutInCell="1" allowOverlap="1" wp14:anchorId="620950BD" wp14:editId="1A6B5A8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4A812E" w14:textId="77777777" w:rsidR="00605E22" w:rsidRDefault="00112810">
                          <w:pPr>
                            <w:spacing w:line="240" w:lineRule="auto"/>
                          </w:pPr>
                          <w:r>
                            <w:rPr>
                              <w:noProof/>
                            </w:rPr>
                            <w:drawing>
                              <wp:inline distT="0" distB="0" distL="0" distR="0" wp14:anchorId="4E79AA96" wp14:editId="2C9216C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0950B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C4A812E" w14:textId="77777777" w:rsidR="00605E22" w:rsidRDefault="00112810">
                    <w:pPr>
                      <w:spacing w:line="240" w:lineRule="auto"/>
                    </w:pPr>
                    <w:r>
                      <w:rPr>
                        <w:noProof/>
                      </w:rPr>
                      <w:drawing>
                        <wp:inline distT="0" distB="0" distL="0" distR="0" wp14:anchorId="4E79AA96" wp14:editId="2C9216C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37D8F51" wp14:editId="22EFE3D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27176C" w14:textId="77777777" w:rsidR="00605E22" w:rsidRDefault="00112810">
                          <w:pPr>
                            <w:spacing w:line="240" w:lineRule="auto"/>
                          </w:pPr>
                          <w:r>
                            <w:rPr>
                              <w:noProof/>
                            </w:rPr>
                            <w:drawing>
                              <wp:inline distT="0" distB="0" distL="0" distR="0" wp14:anchorId="7B80CBC5" wp14:editId="171651F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7D8F5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727176C" w14:textId="77777777" w:rsidR="00605E22" w:rsidRDefault="00112810">
                    <w:pPr>
                      <w:spacing w:line="240" w:lineRule="auto"/>
                    </w:pPr>
                    <w:r>
                      <w:rPr>
                        <w:noProof/>
                      </w:rPr>
                      <w:drawing>
                        <wp:inline distT="0" distB="0" distL="0" distR="0" wp14:anchorId="7B80CBC5" wp14:editId="171651F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80407D7" wp14:editId="7DADBC6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84CDC7" w14:textId="77777777" w:rsidR="00605E22" w:rsidRDefault="00112810">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680407D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284CDC7" w14:textId="77777777" w:rsidR="00605E22" w:rsidRDefault="00112810">
                    <w:pPr>
                      <w:pStyle w:val="Referentiegegevens"/>
                    </w:pPr>
                    <w:r>
                      <w:t>&gt; Retouradres Postbus 16950 2500 BZ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220B46" wp14:editId="6E172B1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8221E2" w14:textId="77777777" w:rsidR="00035995" w:rsidRDefault="00A54983">
                          <w:r w:rsidRPr="00CC42F7">
                            <w:t xml:space="preserve">Aan de </w:t>
                          </w:r>
                          <w:r w:rsidR="00112810" w:rsidRPr="00A54983">
                            <w:t xml:space="preserve">Voorzitter </w:t>
                          </w:r>
                          <w:r w:rsidRPr="00A54983">
                            <w:t xml:space="preserve">van de </w:t>
                          </w:r>
                          <w:r w:rsidR="00112810" w:rsidRPr="00A54983">
                            <w:t>Tweede Kamer</w:t>
                          </w:r>
                          <w:r w:rsidRPr="00A54983">
                            <w:t xml:space="preserve"> </w:t>
                          </w:r>
                        </w:p>
                        <w:p w14:paraId="28DAC4F7" w14:textId="34E620B9" w:rsidR="00605E22" w:rsidRPr="00A54983" w:rsidRDefault="00A54983">
                          <w:r w:rsidRPr="00A54983">
                            <w:t>der Staten-Generaal</w:t>
                          </w:r>
                        </w:p>
                        <w:p w14:paraId="6BC30DD2" w14:textId="77777777" w:rsidR="00605E22" w:rsidRPr="00A54983" w:rsidRDefault="00112810">
                          <w:pPr>
                            <w:rPr>
                              <w:lang w:val="de-DE"/>
                            </w:rPr>
                          </w:pPr>
                          <w:r w:rsidRPr="00A54983">
                            <w:rPr>
                              <w:lang w:val="de-DE"/>
                            </w:rPr>
                            <w:t xml:space="preserve">Postbus 20018   </w:t>
                          </w:r>
                        </w:p>
                        <w:p w14:paraId="34F6262E" w14:textId="4A5AE2A6" w:rsidR="00605E22" w:rsidRPr="00A54983" w:rsidRDefault="00112810">
                          <w:pPr>
                            <w:rPr>
                              <w:lang w:val="de-DE"/>
                            </w:rPr>
                          </w:pPr>
                          <w:r w:rsidRPr="00A54983">
                            <w:rPr>
                              <w:lang w:val="de-DE"/>
                            </w:rPr>
                            <w:t xml:space="preserve">2500 EA </w:t>
                          </w:r>
                          <w:r w:rsidR="00035995">
                            <w:rPr>
                              <w:lang w:val="de-DE"/>
                            </w:rPr>
                            <w:t xml:space="preserve"> </w:t>
                          </w:r>
                          <w:r w:rsidRPr="00A54983">
                            <w:rPr>
                              <w:lang w:val="de-DE"/>
                            </w:rPr>
                            <w:t>DEN HAA</w:t>
                          </w:r>
                          <w:r w:rsidR="00BE73AC" w:rsidRPr="00A54983">
                            <w:rPr>
                              <w:lang w:val="de-DE"/>
                            </w:rPr>
                            <w:t>G</w:t>
                          </w:r>
                          <w:r w:rsidRPr="00A54983">
                            <w:rPr>
                              <w:lang w:val="de-DE"/>
                            </w:rPr>
                            <w:t xml:space="preserve"> </w:t>
                          </w:r>
                        </w:p>
                        <w:p w14:paraId="622373F9" w14:textId="2A3B9216" w:rsidR="00605E22" w:rsidRPr="00794AFE" w:rsidRDefault="00605E22">
                          <w:pPr>
                            <w:rPr>
                              <w:sz w:val="16"/>
                              <w:szCs w:val="16"/>
                            </w:rPr>
                          </w:pPr>
                        </w:p>
                      </w:txbxContent>
                    </wps:txbx>
                    <wps:bodyPr vert="horz" wrap="square" lIns="0" tIns="0" rIns="0" bIns="0" anchor="t" anchorCtr="0"/>
                  </wps:wsp>
                </a:graphicData>
              </a:graphic>
            </wp:anchor>
          </w:drawing>
        </mc:Choice>
        <mc:Fallback>
          <w:pict>
            <v:shape w14:anchorId="0D220B4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B8221E2" w14:textId="77777777" w:rsidR="00035995" w:rsidRDefault="00A54983">
                    <w:r w:rsidRPr="00CC42F7">
                      <w:t xml:space="preserve">Aan de </w:t>
                    </w:r>
                    <w:r w:rsidR="00112810" w:rsidRPr="00A54983">
                      <w:t xml:space="preserve">Voorzitter </w:t>
                    </w:r>
                    <w:r w:rsidRPr="00A54983">
                      <w:t xml:space="preserve">van de </w:t>
                    </w:r>
                    <w:r w:rsidR="00112810" w:rsidRPr="00A54983">
                      <w:t>Tweede Kamer</w:t>
                    </w:r>
                    <w:r w:rsidRPr="00A54983">
                      <w:t xml:space="preserve"> </w:t>
                    </w:r>
                  </w:p>
                  <w:p w14:paraId="28DAC4F7" w14:textId="34E620B9" w:rsidR="00605E22" w:rsidRPr="00A54983" w:rsidRDefault="00A54983">
                    <w:r w:rsidRPr="00A54983">
                      <w:t>der Staten-Generaal</w:t>
                    </w:r>
                  </w:p>
                  <w:p w14:paraId="6BC30DD2" w14:textId="77777777" w:rsidR="00605E22" w:rsidRPr="00A54983" w:rsidRDefault="00112810">
                    <w:pPr>
                      <w:rPr>
                        <w:lang w:val="de-DE"/>
                      </w:rPr>
                    </w:pPr>
                    <w:r w:rsidRPr="00A54983">
                      <w:rPr>
                        <w:lang w:val="de-DE"/>
                      </w:rPr>
                      <w:t xml:space="preserve">Postbus 20018   </w:t>
                    </w:r>
                  </w:p>
                  <w:p w14:paraId="34F6262E" w14:textId="4A5AE2A6" w:rsidR="00605E22" w:rsidRPr="00A54983" w:rsidRDefault="00112810">
                    <w:pPr>
                      <w:rPr>
                        <w:lang w:val="de-DE"/>
                      </w:rPr>
                    </w:pPr>
                    <w:r w:rsidRPr="00A54983">
                      <w:rPr>
                        <w:lang w:val="de-DE"/>
                      </w:rPr>
                      <w:t xml:space="preserve">2500 EA </w:t>
                    </w:r>
                    <w:r w:rsidR="00035995">
                      <w:rPr>
                        <w:lang w:val="de-DE"/>
                      </w:rPr>
                      <w:t xml:space="preserve"> </w:t>
                    </w:r>
                    <w:r w:rsidRPr="00A54983">
                      <w:rPr>
                        <w:lang w:val="de-DE"/>
                      </w:rPr>
                      <w:t>DEN HAA</w:t>
                    </w:r>
                    <w:r w:rsidR="00BE73AC" w:rsidRPr="00A54983">
                      <w:rPr>
                        <w:lang w:val="de-DE"/>
                      </w:rPr>
                      <w:t>G</w:t>
                    </w:r>
                    <w:r w:rsidRPr="00A54983">
                      <w:rPr>
                        <w:lang w:val="de-DE"/>
                      </w:rPr>
                      <w:t xml:space="preserve"> </w:t>
                    </w:r>
                  </w:p>
                  <w:p w14:paraId="622373F9" w14:textId="2A3B9216" w:rsidR="00605E22" w:rsidRPr="00794AFE" w:rsidRDefault="00605E22">
                    <w:pPr>
                      <w:rPr>
                        <w:sz w:val="16"/>
                        <w:szCs w:val="16"/>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9DDB13C" wp14:editId="18E4F92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05E22" w:rsidRPr="00794AFE" w14:paraId="1EF2D7C8" w14:textId="77777777">
                            <w:trPr>
                              <w:trHeight w:val="240"/>
                            </w:trPr>
                            <w:tc>
                              <w:tcPr>
                                <w:tcW w:w="1140" w:type="dxa"/>
                              </w:tcPr>
                              <w:p w14:paraId="767D5471" w14:textId="77777777" w:rsidR="00605E22" w:rsidRPr="00794AFE" w:rsidRDefault="00112810">
                                <w:pPr>
                                  <w:rPr>
                                    <w:sz w:val="16"/>
                                    <w:szCs w:val="16"/>
                                  </w:rPr>
                                </w:pPr>
                                <w:r w:rsidRPr="00794AFE">
                                  <w:rPr>
                                    <w:sz w:val="16"/>
                                    <w:szCs w:val="16"/>
                                  </w:rPr>
                                  <w:t>Datum</w:t>
                                </w:r>
                              </w:p>
                            </w:tc>
                            <w:tc>
                              <w:tcPr>
                                <w:tcW w:w="5918" w:type="dxa"/>
                              </w:tcPr>
                              <w:p w14:paraId="411D5FD9" w14:textId="58D555EF" w:rsidR="00605E22" w:rsidRPr="006D68A7" w:rsidRDefault="00D77044">
                                <w:sdt>
                                  <w:sdtPr>
                                    <w:id w:val="-875310080"/>
                                    <w:date w:fullDate="2026-05-22T00:00:00Z">
                                      <w:dateFormat w:val="d MMMM yyyy"/>
                                      <w:lid w:val="nl"/>
                                      <w:storeMappedDataAs w:val="dateTime"/>
                                      <w:calendar w:val="gregorian"/>
                                    </w:date>
                                  </w:sdtPr>
                                  <w:sdtEndPr/>
                                  <w:sdtContent>
                                    <w:r w:rsidR="00A267F6">
                                      <w:rPr>
                                        <w:lang w:val="nl"/>
                                      </w:rPr>
                                      <w:t>22 mei 2026</w:t>
                                    </w:r>
                                  </w:sdtContent>
                                </w:sdt>
                              </w:p>
                            </w:tc>
                          </w:tr>
                          <w:tr w:rsidR="00605E22" w:rsidRPr="00794AFE" w14:paraId="0EA4A933" w14:textId="77777777">
                            <w:trPr>
                              <w:trHeight w:val="240"/>
                            </w:trPr>
                            <w:tc>
                              <w:tcPr>
                                <w:tcW w:w="1140" w:type="dxa"/>
                              </w:tcPr>
                              <w:p w14:paraId="654CE63A" w14:textId="77777777" w:rsidR="00605E22" w:rsidRPr="00794AFE" w:rsidRDefault="00112810">
                                <w:pPr>
                                  <w:rPr>
                                    <w:sz w:val="16"/>
                                    <w:szCs w:val="16"/>
                                  </w:rPr>
                                </w:pPr>
                                <w:r w:rsidRPr="00794AFE">
                                  <w:rPr>
                                    <w:sz w:val="16"/>
                                    <w:szCs w:val="16"/>
                                  </w:rPr>
                                  <w:t>Betreft</w:t>
                                </w:r>
                              </w:p>
                            </w:tc>
                            <w:tc>
                              <w:tcPr>
                                <w:tcW w:w="5918" w:type="dxa"/>
                              </w:tcPr>
                              <w:p w14:paraId="52291F5A" w14:textId="20E9BB83" w:rsidR="00605E22" w:rsidRPr="006D68A7" w:rsidRDefault="00112810">
                                <w:r w:rsidRPr="006D68A7">
                                  <w:t>Voortgangsbrief Versterkte Aanpak Online inzake extremistische en terroristische content</w:t>
                                </w:r>
                              </w:p>
                            </w:tc>
                          </w:tr>
                        </w:tbl>
                        <w:p w14:paraId="5DFBB369" w14:textId="77777777" w:rsidR="00D17D31" w:rsidRDefault="00D17D31"/>
                      </w:txbxContent>
                    </wps:txbx>
                    <wps:bodyPr vert="horz" wrap="square" lIns="0" tIns="0" rIns="0" bIns="0" anchor="t" anchorCtr="0"/>
                  </wps:wsp>
                </a:graphicData>
              </a:graphic>
            </wp:anchor>
          </w:drawing>
        </mc:Choice>
        <mc:Fallback>
          <w:pict>
            <v:shape w14:anchorId="09DDB13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05E22" w:rsidRPr="00794AFE" w14:paraId="1EF2D7C8" w14:textId="77777777">
                      <w:trPr>
                        <w:trHeight w:val="240"/>
                      </w:trPr>
                      <w:tc>
                        <w:tcPr>
                          <w:tcW w:w="1140" w:type="dxa"/>
                        </w:tcPr>
                        <w:p w14:paraId="767D5471" w14:textId="77777777" w:rsidR="00605E22" w:rsidRPr="00794AFE" w:rsidRDefault="00112810">
                          <w:pPr>
                            <w:rPr>
                              <w:sz w:val="16"/>
                              <w:szCs w:val="16"/>
                            </w:rPr>
                          </w:pPr>
                          <w:r w:rsidRPr="00794AFE">
                            <w:rPr>
                              <w:sz w:val="16"/>
                              <w:szCs w:val="16"/>
                            </w:rPr>
                            <w:t>Datum</w:t>
                          </w:r>
                        </w:p>
                      </w:tc>
                      <w:tc>
                        <w:tcPr>
                          <w:tcW w:w="5918" w:type="dxa"/>
                        </w:tcPr>
                        <w:p w14:paraId="411D5FD9" w14:textId="58D555EF" w:rsidR="00605E22" w:rsidRPr="006D68A7" w:rsidRDefault="00D77044">
                          <w:sdt>
                            <w:sdtPr>
                              <w:id w:val="-875310080"/>
                              <w:date w:fullDate="2026-05-22T00:00:00Z">
                                <w:dateFormat w:val="d MMMM yyyy"/>
                                <w:lid w:val="nl"/>
                                <w:storeMappedDataAs w:val="dateTime"/>
                                <w:calendar w:val="gregorian"/>
                              </w:date>
                            </w:sdtPr>
                            <w:sdtEndPr/>
                            <w:sdtContent>
                              <w:r w:rsidR="00A267F6">
                                <w:rPr>
                                  <w:lang w:val="nl"/>
                                </w:rPr>
                                <w:t>22 mei 2026</w:t>
                              </w:r>
                            </w:sdtContent>
                          </w:sdt>
                        </w:p>
                      </w:tc>
                    </w:tr>
                    <w:tr w:rsidR="00605E22" w:rsidRPr="00794AFE" w14:paraId="0EA4A933" w14:textId="77777777">
                      <w:trPr>
                        <w:trHeight w:val="240"/>
                      </w:trPr>
                      <w:tc>
                        <w:tcPr>
                          <w:tcW w:w="1140" w:type="dxa"/>
                        </w:tcPr>
                        <w:p w14:paraId="654CE63A" w14:textId="77777777" w:rsidR="00605E22" w:rsidRPr="00794AFE" w:rsidRDefault="00112810">
                          <w:pPr>
                            <w:rPr>
                              <w:sz w:val="16"/>
                              <w:szCs w:val="16"/>
                            </w:rPr>
                          </w:pPr>
                          <w:r w:rsidRPr="00794AFE">
                            <w:rPr>
                              <w:sz w:val="16"/>
                              <w:szCs w:val="16"/>
                            </w:rPr>
                            <w:t>Betreft</w:t>
                          </w:r>
                        </w:p>
                      </w:tc>
                      <w:tc>
                        <w:tcPr>
                          <w:tcW w:w="5918" w:type="dxa"/>
                        </w:tcPr>
                        <w:p w14:paraId="52291F5A" w14:textId="20E9BB83" w:rsidR="00605E22" w:rsidRPr="006D68A7" w:rsidRDefault="00112810">
                          <w:r w:rsidRPr="006D68A7">
                            <w:t>Voortgangsbrief Versterkte Aanpak Online inzake extremistische en terroristische content</w:t>
                          </w:r>
                        </w:p>
                      </w:tc>
                    </w:tr>
                  </w:tbl>
                  <w:p w14:paraId="5DFBB369" w14:textId="77777777" w:rsidR="00D17D31" w:rsidRDefault="00D17D3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3381DE6" wp14:editId="3ADFBF4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8FBDA7" w14:textId="77777777" w:rsidR="00605E22" w:rsidRDefault="00112810">
                          <w:pPr>
                            <w:pStyle w:val="Referentiegegevensbold"/>
                          </w:pPr>
                          <w:r>
                            <w:t>Nationaal Coördinator Terrorismebestrijding en Veiligheid</w:t>
                          </w:r>
                        </w:p>
                        <w:p w14:paraId="056B9AAB" w14:textId="77777777" w:rsidR="00605E22" w:rsidRDefault="00112810">
                          <w:pPr>
                            <w:pStyle w:val="Referentiegegevens"/>
                          </w:pPr>
                          <w:r>
                            <w:t>Contraterrorisme en Beveiliging Burgerluchtvaart</w:t>
                          </w:r>
                        </w:p>
                        <w:p w14:paraId="0C195449" w14:textId="77777777" w:rsidR="00605E22" w:rsidRPr="00F60616" w:rsidRDefault="00112810">
                          <w:pPr>
                            <w:pStyle w:val="Referentiegegevens"/>
                            <w:rPr>
                              <w:lang w:val="de-DE"/>
                            </w:rPr>
                          </w:pPr>
                          <w:proofErr w:type="spellStart"/>
                          <w:r w:rsidRPr="00F60616">
                            <w:rPr>
                              <w:lang w:val="de-DE"/>
                            </w:rPr>
                            <w:t>Contraterrorisme</w:t>
                          </w:r>
                          <w:proofErr w:type="spellEnd"/>
                          <w:r w:rsidRPr="00F60616">
                            <w:rPr>
                              <w:lang w:val="de-DE"/>
                            </w:rPr>
                            <w:t xml:space="preserve"> 2</w:t>
                          </w:r>
                        </w:p>
                        <w:p w14:paraId="42C336E8" w14:textId="77777777" w:rsidR="00605E22" w:rsidRPr="00F60616" w:rsidRDefault="00605E22">
                          <w:pPr>
                            <w:pStyle w:val="WitregelW1"/>
                            <w:rPr>
                              <w:lang w:val="de-DE"/>
                            </w:rPr>
                          </w:pPr>
                        </w:p>
                        <w:p w14:paraId="561E3992" w14:textId="77777777" w:rsidR="00605E22" w:rsidRPr="00F60616" w:rsidRDefault="00112810">
                          <w:pPr>
                            <w:pStyle w:val="Referentiegegevens"/>
                            <w:rPr>
                              <w:lang w:val="de-DE"/>
                            </w:rPr>
                          </w:pPr>
                          <w:proofErr w:type="spellStart"/>
                          <w:r w:rsidRPr="00F60616">
                            <w:rPr>
                              <w:lang w:val="de-DE"/>
                            </w:rPr>
                            <w:t>Turfmarkt</w:t>
                          </w:r>
                          <w:proofErr w:type="spellEnd"/>
                          <w:r w:rsidRPr="00F60616">
                            <w:rPr>
                              <w:lang w:val="de-DE"/>
                            </w:rPr>
                            <w:t xml:space="preserve"> 147</w:t>
                          </w:r>
                        </w:p>
                        <w:p w14:paraId="60938754" w14:textId="77777777" w:rsidR="00605E22" w:rsidRPr="00F60616" w:rsidRDefault="00112810">
                          <w:pPr>
                            <w:pStyle w:val="Referentiegegevens"/>
                            <w:rPr>
                              <w:lang w:val="de-DE"/>
                            </w:rPr>
                          </w:pPr>
                          <w:r w:rsidRPr="00F60616">
                            <w:rPr>
                              <w:lang w:val="de-DE"/>
                            </w:rPr>
                            <w:t>2511 DP  Den Haag</w:t>
                          </w:r>
                        </w:p>
                        <w:p w14:paraId="16BB93EF" w14:textId="77777777" w:rsidR="00605E22" w:rsidRPr="00F60616" w:rsidRDefault="00112810">
                          <w:pPr>
                            <w:pStyle w:val="Referentiegegevens"/>
                            <w:rPr>
                              <w:lang w:val="de-DE"/>
                            </w:rPr>
                          </w:pPr>
                          <w:r w:rsidRPr="00F60616">
                            <w:rPr>
                              <w:lang w:val="de-DE"/>
                            </w:rPr>
                            <w:t>Postbus 16950</w:t>
                          </w:r>
                        </w:p>
                        <w:p w14:paraId="3526F950" w14:textId="77777777" w:rsidR="00605E22" w:rsidRPr="00F60616" w:rsidRDefault="00112810">
                          <w:pPr>
                            <w:pStyle w:val="Referentiegegevens"/>
                            <w:rPr>
                              <w:lang w:val="de-DE"/>
                            </w:rPr>
                          </w:pPr>
                          <w:r w:rsidRPr="00F60616">
                            <w:rPr>
                              <w:lang w:val="de-DE"/>
                            </w:rPr>
                            <w:t>2500 BZ  Den Haag</w:t>
                          </w:r>
                        </w:p>
                        <w:p w14:paraId="33374276" w14:textId="77777777" w:rsidR="00605E22" w:rsidRPr="00F60616" w:rsidRDefault="00112810">
                          <w:pPr>
                            <w:pStyle w:val="Referentiegegevens"/>
                            <w:rPr>
                              <w:lang w:val="de-DE"/>
                            </w:rPr>
                          </w:pPr>
                          <w:r w:rsidRPr="00F60616">
                            <w:rPr>
                              <w:lang w:val="de-DE"/>
                            </w:rPr>
                            <w:t>www.rijksoverheid.nl/jenv</w:t>
                          </w:r>
                        </w:p>
                        <w:p w14:paraId="69FD7EE2" w14:textId="77777777" w:rsidR="00605E22" w:rsidRPr="00F60616" w:rsidRDefault="00605E22">
                          <w:pPr>
                            <w:pStyle w:val="WitregelW1"/>
                            <w:rPr>
                              <w:lang w:val="de-DE"/>
                            </w:rPr>
                          </w:pPr>
                        </w:p>
                        <w:p w14:paraId="1EAE941F" w14:textId="77777777" w:rsidR="00605E22" w:rsidRPr="00F60616" w:rsidRDefault="00605E22">
                          <w:pPr>
                            <w:pStyle w:val="WitregelW2"/>
                            <w:rPr>
                              <w:lang w:val="de-DE"/>
                            </w:rPr>
                          </w:pPr>
                        </w:p>
                        <w:p w14:paraId="2A752E0C" w14:textId="77777777" w:rsidR="00605E22" w:rsidRDefault="00112810">
                          <w:pPr>
                            <w:pStyle w:val="Referentiegegevensbold"/>
                          </w:pPr>
                          <w:r>
                            <w:t>Onze referentie</w:t>
                          </w:r>
                        </w:p>
                        <w:p w14:paraId="6C745275" w14:textId="77777777" w:rsidR="00605E22" w:rsidRDefault="00112810">
                          <w:pPr>
                            <w:pStyle w:val="Referentiegegevens"/>
                          </w:pPr>
                          <w:r>
                            <w:t>7552728</w:t>
                          </w:r>
                        </w:p>
                      </w:txbxContent>
                    </wps:txbx>
                    <wps:bodyPr vert="horz" wrap="square" lIns="0" tIns="0" rIns="0" bIns="0" anchor="t" anchorCtr="0"/>
                  </wps:wsp>
                </a:graphicData>
              </a:graphic>
            </wp:anchor>
          </w:drawing>
        </mc:Choice>
        <mc:Fallback>
          <w:pict>
            <v:shape w14:anchorId="23381DE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08FBDA7" w14:textId="77777777" w:rsidR="00605E22" w:rsidRDefault="00112810">
                    <w:pPr>
                      <w:pStyle w:val="Referentiegegevensbold"/>
                    </w:pPr>
                    <w:r>
                      <w:t>Nationaal Coördinator Terrorismebestrijding en Veiligheid</w:t>
                    </w:r>
                  </w:p>
                  <w:p w14:paraId="056B9AAB" w14:textId="77777777" w:rsidR="00605E22" w:rsidRDefault="00112810">
                    <w:pPr>
                      <w:pStyle w:val="Referentiegegevens"/>
                    </w:pPr>
                    <w:r>
                      <w:t>Contraterrorisme en Beveiliging Burgerluchtvaart</w:t>
                    </w:r>
                  </w:p>
                  <w:p w14:paraId="0C195449" w14:textId="77777777" w:rsidR="00605E22" w:rsidRPr="00F60616" w:rsidRDefault="00112810">
                    <w:pPr>
                      <w:pStyle w:val="Referentiegegevens"/>
                      <w:rPr>
                        <w:lang w:val="de-DE"/>
                      </w:rPr>
                    </w:pPr>
                    <w:proofErr w:type="spellStart"/>
                    <w:r w:rsidRPr="00F60616">
                      <w:rPr>
                        <w:lang w:val="de-DE"/>
                      </w:rPr>
                      <w:t>Contraterrorisme</w:t>
                    </w:r>
                    <w:proofErr w:type="spellEnd"/>
                    <w:r w:rsidRPr="00F60616">
                      <w:rPr>
                        <w:lang w:val="de-DE"/>
                      </w:rPr>
                      <w:t xml:space="preserve"> 2</w:t>
                    </w:r>
                  </w:p>
                  <w:p w14:paraId="42C336E8" w14:textId="77777777" w:rsidR="00605E22" w:rsidRPr="00F60616" w:rsidRDefault="00605E22">
                    <w:pPr>
                      <w:pStyle w:val="WitregelW1"/>
                      <w:rPr>
                        <w:lang w:val="de-DE"/>
                      </w:rPr>
                    </w:pPr>
                  </w:p>
                  <w:p w14:paraId="561E3992" w14:textId="77777777" w:rsidR="00605E22" w:rsidRPr="00F60616" w:rsidRDefault="00112810">
                    <w:pPr>
                      <w:pStyle w:val="Referentiegegevens"/>
                      <w:rPr>
                        <w:lang w:val="de-DE"/>
                      </w:rPr>
                    </w:pPr>
                    <w:proofErr w:type="spellStart"/>
                    <w:r w:rsidRPr="00F60616">
                      <w:rPr>
                        <w:lang w:val="de-DE"/>
                      </w:rPr>
                      <w:t>Turfmarkt</w:t>
                    </w:r>
                    <w:proofErr w:type="spellEnd"/>
                    <w:r w:rsidRPr="00F60616">
                      <w:rPr>
                        <w:lang w:val="de-DE"/>
                      </w:rPr>
                      <w:t xml:space="preserve"> 147</w:t>
                    </w:r>
                  </w:p>
                  <w:p w14:paraId="60938754" w14:textId="77777777" w:rsidR="00605E22" w:rsidRPr="00F60616" w:rsidRDefault="00112810">
                    <w:pPr>
                      <w:pStyle w:val="Referentiegegevens"/>
                      <w:rPr>
                        <w:lang w:val="de-DE"/>
                      </w:rPr>
                    </w:pPr>
                    <w:r w:rsidRPr="00F60616">
                      <w:rPr>
                        <w:lang w:val="de-DE"/>
                      </w:rPr>
                      <w:t>2511 DP  Den Haag</w:t>
                    </w:r>
                  </w:p>
                  <w:p w14:paraId="16BB93EF" w14:textId="77777777" w:rsidR="00605E22" w:rsidRPr="00F60616" w:rsidRDefault="00112810">
                    <w:pPr>
                      <w:pStyle w:val="Referentiegegevens"/>
                      <w:rPr>
                        <w:lang w:val="de-DE"/>
                      </w:rPr>
                    </w:pPr>
                    <w:r w:rsidRPr="00F60616">
                      <w:rPr>
                        <w:lang w:val="de-DE"/>
                      </w:rPr>
                      <w:t>Postbus 16950</w:t>
                    </w:r>
                  </w:p>
                  <w:p w14:paraId="3526F950" w14:textId="77777777" w:rsidR="00605E22" w:rsidRPr="00F60616" w:rsidRDefault="00112810">
                    <w:pPr>
                      <w:pStyle w:val="Referentiegegevens"/>
                      <w:rPr>
                        <w:lang w:val="de-DE"/>
                      </w:rPr>
                    </w:pPr>
                    <w:r w:rsidRPr="00F60616">
                      <w:rPr>
                        <w:lang w:val="de-DE"/>
                      </w:rPr>
                      <w:t>2500 BZ  Den Haag</w:t>
                    </w:r>
                  </w:p>
                  <w:p w14:paraId="33374276" w14:textId="77777777" w:rsidR="00605E22" w:rsidRPr="00F60616" w:rsidRDefault="00112810">
                    <w:pPr>
                      <w:pStyle w:val="Referentiegegevens"/>
                      <w:rPr>
                        <w:lang w:val="de-DE"/>
                      </w:rPr>
                    </w:pPr>
                    <w:r w:rsidRPr="00F60616">
                      <w:rPr>
                        <w:lang w:val="de-DE"/>
                      </w:rPr>
                      <w:t>www.rijksoverheid.nl/jenv</w:t>
                    </w:r>
                  </w:p>
                  <w:p w14:paraId="69FD7EE2" w14:textId="77777777" w:rsidR="00605E22" w:rsidRPr="00F60616" w:rsidRDefault="00605E22">
                    <w:pPr>
                      <w:pStyle w:val="WitregelW1"/>
                      <w:rPr>
                        <w:lang w:val="de-DE"/>
                      </w:rPr>
                    </w:pPr>
                  </w:p>
                  <w:p w14:paraId="1EAE941F" w14:textId="77777777" w:rsidR="00605E22" w:rsidRPr="00F60616" w:rsidRDefault="00605E22">
                    <w:pPr>
                      <w:pStyle w:val="WitregelW2"/>
                      <w:rPr>
                        <w:lang w:val="de-DE"/>
                      </w:rPr>
                    </w:pPr>
                  </w:p>
                  <w:p w14:paraId="2A752E0C" w14:textId="77777777" w:rsidR="00605E22" w:rsidRDefault="00112810">
                    <w:pPr>
                      <w:pStyle w:val="Referentiegegevensbold"/>
                    </w:pPr>
                    <w:r>
                      <w:t>Onze referentie</w:t>
                    </w:r>
                  </w:p>
                  <w:p w14:paraId="6C745275" w14:textId="77777777" w:rsidR="00605E22" w:rsidRDefault="00112810">
                    <w:pPr>
                      <w:pStyle w:val="Referentiegegevens"/>
                    </w:pPr>
                    <w:r>
                      <w:t>7552728</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4B9952E" wp14:editId="4E9CDAC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8DD222" w14:textId="77777777" w:rsidR="00605E22" w:rsidRDefault="00112810">
                          <w:pPr>
                            <w:pStyle w:val="Referentiegegevens"/>
                          </w:pPr>
                          <w:r>
                            <w:t xml:space="preserve">Pagina </w:t>
                          </w:r>
                          <w:r>
                            <w:fldChar w:fldCharType="begin"/>
                          </w:r>
                          <w:r>
                            <w:instrText>PAGE</w:instrText>
                          </w:r>
                          <w:r>
                            <w:fldChar w:fldCharType="separate"/>
                          </w:r>
                          <w:r w:rsidR="00F60616">
                            <w:rPr>
                              <w:noProof/>
                            </w:rPr>
                            <w:t>1</w:t>
                          </w:r>
                          <w:r>
                            <w:fldChar w:fldCharType="end"/>
                          </w:r>
                          <w:r>
                            <w:t xml:space="preserve"> van </w:t>
                          </w:r>
                          <w:r>
                            <w:fldChar w:fldCharType="begin"/>
                          </w:r>
                          <w:r>
                            <w:instrText>NUMPAGES</w:instrText>
                          </w:r>
                          <w:r>
                            <w:fldChar w:fldCharType="separate"/>
                          </w:r>
                          <w:r w:rsidR="00F60616">
                            <w:rPr>
                              <w:noProof/>
                            </w:rPr>
                            <w:t>1</w:t>
                          </w:r>
                          <w:r>
                            <w:fldChar w:fldCharType="end"/>
                          </w:r>
                        </w:p>
                      </w:txbxContent>
                    </wps:txbx>
                    <wps:bodyPr vert="horz" wrap="square" lIns="0" tIns="0" rIns="0" bIns="0" anchor="t" anchorCtr="0"/>
                  </wps:wsp>
                </a:graphicData>
              </a:graphic>
            </wp:anchor>
          </w:drawing>
        </mc:Choice>
        <mc:Fallback>
          <w:pict>
            <v:shape w14:anchorId="34B9952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E8DD222" w14:textId="77777777" w:rsidR="00605E22" w:rsidRDefault="00112810">
                    <w:pPr>
                      <w:pStyle w:val="Referentiegegevens"/>
                    </w:pPr>
                    <w:r>
                      <w:t xml:space="preserve">Pagina </w:t>
                    </w:r>
                    <w:r>
                      <w:fldChar w:fldCharType="begin"/>
                    </w:r>
                    <w:r>
                      <w:instrText>PAGE</w:instrText>
                    </w:r>
                    <w:r>
                      <w:fldChar w:fldCharType="separate"/>
                    </w:r>
                    <w:r w:rsidR="00F60616">
                      <w:rPr>
                        <w:noProof/>
                      </w:rPr>
                      <w:t>1</w:t>
                    </w:r>
                    <w:r>
                      <w:fldChar w:fldCharType="end"/>
                    </w:r>
                    <w:r>
                      <w:t xml:space="preserve"> van </w:t>
                    </w:r>
                    <w:r>
                      <w:fldChar w:fldCharType="begin"/>
                    </w:r>
                    <w:r>
                      <w:instrText>NUMPAGES</w:instrText>
                    </w:r>
                    <w:r>
                      <w:fldChar w:fldCharType="separate"/>
                    </w:r>
                    <w:r w:rsidR="00F6061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280FE2B" wp14:editId="59A3B29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9EBB5E" w14:textId="77777777" w:rsidR="00D17D31" w:rsidRDefault="00D17D31"/>
                      </w:txbxContent>
                    </wps:txbx>
                    <wps:bodyPr vert="horz" wrap="square" lIns="0" tIns="0" rIns="0" bIns="0" anchor="t" anchorCtr="0"/>
                  </wps:wsp>
                </a:graphicData>
              </a:graphic>
            </wp:anchor>
          </w:drawing>
        </mc:Choice>
        <mc:Fallback>
          <w:pict>
            <v:shape w14:anchorId="7280FE2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69EBB5E" w14:textId="77777777" w:rsidR="00D17D31" w:rsidRDefault="00D17D3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E9C49"/>
    <w:multiLevelType w:val="multilevel"/>
    <w:tmpl w:val="23EB502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3C2B72F6"/>
    <w:multiLevelType w:val="hybridMultilevel"/>
    <w:tmpl w:val="98F0A6E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CC81573"/>
    <w:multiLevelType w:val="multilevel"/>
    <w:tmpl w:val="A049BA2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1F18781"/>
    <w:multiLevelType w:val="multilevel"/>
    <w:tmpl w:val="B5065F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3197369"/>
    <w:multiLevelType w:val="multilevel"/>
    <w:tmpl w:val="EE44EE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B2D6D07"/>
    <w:multiLevelType w:val="hybridMultilevel"/>
    <w:tmpl w:val="5D061E02"/>
    <w:lvl w:ilvl="0" w:tplc="D33C635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285C28"/>
    <w:multiLevelType w:val="hybridMultilevel"/>
    <w:tmpl w:val="66D0A6B6"/>
    <w:lvl w:ilvl="0" w:tplc="0CA20958">
      <w:start w:val="1"/>
      <w:numFmt w:val="decimal"/>
      <w:lvlText w:val="%1."/>
      <w:lvlJc w:val="left"/>
      <w:pPr>
        <w:ind w:left="720" w:hanging="360"/>
      </w:pPr>
      <w:rPr>
        <w:b/>
        <w:bCs/>
        <w:i w:val="0"/>
        <w:iCs w:val="0"/>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D3A6BE4"/>
    <w:multiLevelType w:val="multilevel"/>
    <w:tmpl w:val="632F5C6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F40BAF5"/>
    <w:multiLevelType w:val="multilevel"/>
    <w:tmpl w:val="0C0F14B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33118262">
    <w:abstractNumId w:val="2"/>
  </w:num>
  <w:num w:numId="2" w16cid:durableId="1477067092">
    <w:abstractNumId w:val="7"/>
  </w:num>
  <w:num w:numId="3" w16cid:durableId="1389843461">
    <w:abstractNumId w:val="3"/>
  </w:num>
  <w:num w:numId="4" w16cid:durableId="827477343">
    <w:abstractNumId w:val="4"/>
  </w:num>
  <w:num w:numId="5" w16cid:durableId="2009287167">
    <w:abstractNumId w:val="8"/>
  </w:num>
  <w:num w:numId="6" w16cid:durableId="998774119">
    <w:abstractNumId w:val="0"/>
  </w:num>
  <w:num w:numId="7" w16cid:durableId="1846477658">
    <w:abstractNumId w:val="6"/>
    <w:lvlOverride w:ilvl="0">
      <w:startOverride w:val="1"/>
    </w:lvlOverride>
    <w:lvlOverride w:ilvl="1"/>
    <w:lvlOverride w:ilvl="2"/>
    <w:lvlOverride w:ilvl="3"/>
    <w:lvlOverride w:ilvl="4"/>
    <w:lvlOverride w:ilvl="5"/>
    <w:lvlOverride w:ilvl="6"/>
    <w:lvlOverride w:ilvl="7"/>
    <w:lvlOverride w:ilvl="8"/>
  </w:num>
  <w:num w:numId="8" w16cid:durableId="765534792">
    <w:abstractNumId w:val="5"/>
  </w:num>
  <w:num w:numId="9" w16cid:durableId="243881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16"/>
    <w:rsid w:val="0000370F"/>
    <w:rsid w:val="0000392D"/>
    <w:rsid w:val="0000418C"/>
    <w:rsid w:val="00023EFF"/>
    <w:rsid w:val="0003091B"/>
    <w:rsid w:val="00033E19"/>
    <w:rsid w:val="000350E6"/>
    <w:rsid w:val="00035995"/>
    <w:rsid w:val="000365AB"/>
    <w:rsid w:val="00037ADB"/>
    <w:rsid w:val="0006529B"/>
    <w:rsid w:val="0007147C"/>
    <w:rsid w:val="0008135E"/>
    <w:rsid w:val="00085C77"/>
    <w:rsid w:val="00087EEB"/>
    <w:rsid w:val="0009460A"/>
    <w:rsid w:val="000B0C29"/>
    <w:rsid w:val="000B6FEC"/>
    <w:rsid w:val="000B76C4"/>
    <w:rsid w:val="000C1AD9"/>
    <w:rsid w:val="000C50F2"/>
    <w:rsid w:val="000C5351"/>
    <w:rsid w:val="000C5969"/>
    <w:rsid w:val="000D260B"/>
    <w:rsid w:val="000D50D9"/>
    <w:rsid w:val="000F1654"/>
    <w:rsid w:val="000F7228"/>
    <w:rsid w:val="000F7703"/>
    <w:rsid w:val="000F7FB4"/>
    <w:rsid w:val="00107271"/>
    <w:rsid w:val="00110440"/>
    <w:rsid w:val="00111026"/>
    <w:rsid w:val="00112810"/>
    <w:rsid w:val="00117403"/>
    <w:rsid w:val="00122984"/>
    <w:rsid w:val="00125DEC"/>
    <w:rsid w:val="001332A7"/>
    <w:rsid w:val="00134147"/>
    <w:rsid w:val="00134263"/>
    <w:rsid w:val="00136901"/>
    <w:rsid w:val="00160FAC"/>
    <w:rsid w:val="00163063"/>
    <w:rsid w:val="00163901"/>
    <w:rsid w:val="00173FA3"/>
    <w:rsid w:val="00174AC2"/>
    <w:rsid w:val="001770EC"/>
    <w:rsid w:val="0017766B"/>
    <w:rsid w:val="00191FB2"/>
    <w:rsid w:val="00192A8F"/>
    <w:rsid w:val="00193DA0"/>
    <w:rsid w:val="00193DF5"/>
    <w:rsid w:val="00195C54"/>
    <w:rsid w:val="001A230D"/>
    <w:rsid w:val="001B0B15"/>
    <w:rsid w:val="001B1D66"/>
    <w:rsid w:val="001B29E1"/>
    <w:rsid w:val="001B5C9E"/>
    <w:rsid w:val="001B790D"/>
    <w:rsid w:val="001D0B5B"/>
    <w:rsid w:val="001D1BE8"/>
    <w:rsid w:val="001D4204"/>
    <w:rsid w:val="001D5091"/>
    <w:rsid w:val="001D583F"/>
    <w:rsid w:val="001D7C77"/>
    <w:rsid w:val="001E0818"/>
    <w:rsid w:val="001E498D"/>
    <w:rsid w:val="001E7EDD"/>
    <w:rsid w:val="001F1EC6"/>
    <w:rsid w:val="001F3699"/>
    <w:rsid w:val="001F58AD"/>
    <w:rsid w:val="001F5ABD"/>
    <w:rsid w:val="00202D26"/>
    <w:rsid w:val="00203065"/>
    <w:rsid w:val="00207670"/>
    <w:rsid w:val="0020782D"/>
    <w:rsid w:val="00210C42"/>
    <w:rsid w:val="002139EE"/>
    <w:rsid w:val="00217486"/>
    <w:rsid w:val="00220550"/>
    <w:rsid w:val="0022635A"/>
    <w:rsid w:val="002300C3"/>
    <w:rsid w:val="00240231"/>
    <w:rsid w:val="00244BD1"/>
    <w:rsid w:val="00251D56"/>
    <w:rsid w:val="00251EE7"/>
    <w:rsid w:val="0025627D"/>
    <w:rsid w:val="002574F0"/>
    <w:rsid w:val="002635B2"/>
    <w:rsid w:val="002637E9"/>
    <w:rsid w:val="0026386E"/>
    <w:rsid w:val="00265570"/>
    <w:rsid w:val="00267875"/>
    <w:rsid w:val="00270CF0"/>
    <w:rsid w:val="00281C3B"/>
    <w:rsid w:val="002830A4"/>
    <w:rsid w:val="00286B01"/>
    <w:rsid w:val="00287411"/>
    <w:rsid w:val="00295EE4"/>
    <w:rsid w:val="0029624C"/>
    <w:rsid w:val="002A0444"/>
    <w:rsid w:val="002A573F"/>
    <w:rsid w:val="002A5B40"/>
    <w:rsid w:val="002B3EB6"/>
    <w:rsid w:val="002C061A"/>
    <w:rsid w:val="002C7831"/>
    <w:rsid w:val="002E1E51"/>
    <w:rsid w:val="002E437D"/>
    <w:rsid w:val="002E7099"/>
    <w:rsid w:val="002F2CD8"/>
    <w:rsid w:val="002F4BA5"/>
    <w:rsid w:val="0030023B"/>
    <w:rsid w:val="0030270B"/>
    <w:rsid w:val="00302742"/>
    <w:rsid w:val="003033A0"/>
    <w:rsid w:val="00305272"/>
    <w:rsid w:val="00305BDB"/>
    <w:rsid w:val="00307A7C"/>
    <w:rsid w:val="00320F5B"/>
    <w:rsid w:val="003325E4"/>
    <w:rsid w:val="00334B5B"/>
    <w:rsid w:val="003460DE"/>
    <w:rsid w:val="003468A9"/>
    <w:rsid w:val="00347BC1"/>
    <w:rsid w:val="00350CBB"/>
    <w:rsid w:val="003519DA"/>
    <w:rsid w:val="00360D3D"/>
    <w:rsid w:val="0037082F"/>
    <w:rsid w:val="00371865"/>
    <w:rsid w:val="00377671"/>
    <w:rsid w:val="00382A66"/>
    <w:rsid w:val="00392E35"/>
    <w:rsid w:val="00393C69"/>
    <w:rsid w:val="00393CFD"/>
    <w:rsid w:val="00395224"/>
    <w:rsid w:val="003976E1"/>
    <w:rsid w:val="003977CE"/>
    <w:rsid w:val="003A24FA"/>
    <w:rsid w:val="003A4EAD"/>
    <w:rsid w:val="003B0ADB"/>
    <w:rsid w:val="003B360E"/>
    <w:rsid w:val="003C00DE"/>
    <w:rsid w:val="003C1966"/>
    <w:rsid w:val="003C3C94"/>
    <w:rsid w:val="003D2AE8"/>
    <w:rsid w:val="003E689D"/>
    <w:rsid w:val="003F39AF"/>
    <w:rsid w:val="003F7A3D"/>
    <w:rsid w:val="0040493A"/>
    <w:rsid w:val="00404BD9"/>
    <w:rsid w:val="004112EE"/>
    <w:rsid w:val="00414AE9"/>
    <w:rsid w:val="00417262"/>
    <w:rsid w:val="0042065A"/>
    <w:rsid w:val="0042713A"/>
    <w:rsid w:val="00430554"/>
    <w:rsid w:val="00434657"/>
    <w:rsid w:val="004358B3"/>
    <w:rsid w:val="00436390"/>
    <w:rsid w:val="0044006A"/>
    <w:rsid w:val="00446EFB"/>
    <w:rsid w:val="00451E5A"/>
    <w:rsid w:val="00454596"/>
    <w:rsid w:val="00456C04"/>
    <w:rsid w:val="00457B21"/>
    <w:rsid w:val="00476DEC"/>
    <w:rsid w:val="00481A7E"/>
    <w:rsid w:val="00487D2F"/>
    <w:rsid w:val="00487DBF"/>
    <w:rsid w:val="004934A4"/>
    <w:rsid w:val="00494278"/>
    <w:rsid w:val="00495BCE"/>
    <w:rsid w:val="004A5D6E"/>
    <w:rsid w:val="004A61E5"/>
    <w:rsid w:val="004B257F"/>
    <w:rsid w:val="004B2DB1"/>
    <w:rsid w:val="004B3C74"/>
    <w:rsid w:val="004B3CB1"/>
    <w:rsid w:val="004B739F"/>
    <w:rsid w:val="004E22C8"/>
    <w:rsid w:val="004F1473"/>
    <w:rsid w:val="004F24D0"/>
    <w:rsid w:val="0050027B"/>
    <w:rsid w:val="00512381"/>
    <w:rsid w:val="00515355"/>
    <w:rsid w:val="005177FB"/>
    <w:rsid w:val="005226AD"/>
    <w:rsid w:val="00524CC3"/>
    <w:rsid w:val="0053060E"/>
    <w:rsid w:val="0053181C"/>
    <w:rsid w:val="005328B9"/>
    <w:rsid w:val="00540416"/>
    <w:rsid w:val="005440B5"/>
    <w:rsid w:val="005518F9"/>
    <w:rsid w:val="005532C3"/>
    <w:rsid w:val="00554E8D"/>
    <w:rsid w:val="005564A3"/>
    <w:rsid w:val="005604CA"/>
    <w:rsid w:val="005616C5"/>
    <w:rsid w:val="00573191"/>
    <w:rsid w:val="0058010E"/>
    <w:rsid w:val="00584B5E"/>
    <w:rsid w:val="00585BBD"/>
    <w:rsid w:val="00591427"/>
    <w:rsid w:val="005933D4"/>
    <w:rsid w:val="00593DB1"/>
    <w:rsid w:val="005956EA"/>
    <w:rsid w:val="00597481"/>
    <w:rsid w:val="005A0CAB"/>
    <w:rsid w:val="005A145B"/>
    <w:rsid w:val="005A2BA5"/>
    <w:rsid w:val="005A6B48"/>
    <w:rsid w:val="005A6F14"/>
    <w:rsid w:val="005A7732"/>
    <w:rsid w:val="005B0308"/>
    <w:rsid w:val="005B1B95"/>
    <w:rsid w:val="005B3596"/>
    <w:rsid w:val="005D1514"/>
    <w:rsid w:val="005D5752"/>
    <w:rsid w:val="005E5E96"/>
    <w:rsid w:val="005E7B7A"/>
    <w:rsid w:val="005F4528"/>
    <w:rsid w:val="0060153C"/>
    <w:rsid w:val="00605E22"/>
    <w:rsid w:val="006171EE"/>
    <w:rsid w:val="0062251E"/>
    <w:rsid w:val="006344BC"/>
    <w:rsid w:val="00634A36"/>
    <w:rsid w:val="00636B41"/>
    <w:rsid w:val="0063705C"/>
    <w:rsid w:val="00637129"/>
    <w:rsid w:val="00651BBB"/>
    <w:rsid w:val="006560B6"/>
    <w:rsid w:val="00661B56"/>
    <w:rsid w:val="00661D93"/>
    <w:rsid w:val="0067327F"/>
    <w:rsid w:val="00673ED1"/>
    <w:rsid w:val="0067595E"/>
    <w:rsid w:val="0067686B"/>
    <w:rsid w:val="00680048"/>
    <w:rsid w:val="006801F3"/>
    <w:rsid w:val="006870AA"/>
    <w:rsid w:val="00687B3B"/>
    <w:rsid w:val="00690563"/>
    <w:rsid w:val="00693C42"/>
    <w:rsid w:val="00697D4A"/>
    <w:rsid w:val="006A1001"/>
    <w:rsid w:val="006A14AC"/>
    <w:rsid w:val="006A17A9"/>
    <w:rsid w:val="006A5064"/>
    <w:rsid w:val="006A566D"/>
    <w:rsid w:val="006A5BCC"/>
    <w:rsid w:val="006A6F10"/>
    <w:rsid w:val="006B088B"/>
    <w:rsid w:val="006B5864"/>
    <w:rsid w:val="006C11FF"/>
    <w:rsid w:val="006C4A2C"/>
    <w:rsid w:val="006D2F1B"/>
    <w:rsid w:val="006D3A20"/>
    <w:rsid w:val="006D6208"/>
    <w:rsid w:val="006D68A7"/>
    <w:rsid w:val="006E0E30"/>
    <w:rsid w:val="006E160F"/>
    <w:rsid w:val="006E1B60"/>
    <w:rsid w:val="006E1E68"/>
    <w:rsid w:val="006E4742"/>
    <w:rsid w:val="006F20DA"/>
    <w:rsid w:val="006F37AD"/>
    <w:rsid w:val="007000F8"/>
    <w:rsid w:val="007017BB"/>
    <w:rsid w:val="00702AA2"/>
    <w:rsid w:val="00707A91"/>
    <w:rsid w:val="00712350"/>
    <w:rsid w:val="00714EF7"/>
    <w:rsid w:val="007163EB"/>
    <w:rsid w:val="00721029"/>
    <w:rsid w:val="00721EF3"/>
    <w:rsid w:val="0072577D"/>
    <w:rsid w:val="007338A7"/>
    <w:rsid w:val="007412FA"/>
    <w:rsid w:val="00742EC7"/>
    <w:rsid w:val="007448C8"/>
    <w:rsid w:val="00746BCF"/>
    <w:rsid w:val="00747EB5"/>
    <w:rsid w:val="00755825"/>
    <w:rsid w:val="00761F6E"/>
    <w:rsid w:val="00782FF0"/>
    <w:rsid w:val="0078346C"/>
    <w:rsid w:val="00785C88"/>
    <w:rsid w:val="00786796"/>
    <w:rsid w:val="00786A19"/>
    <w:rsid w:val="00794AFE"/>
    <w:rsid w:val="007A4664"/>
    <w:rsid w:val="007A46BE"/>
    <w:rsid w:val="007A4AF1"/>
    <w:rsid w:val="007A7BDB"/>
    <w:rsid w:val="007B14E5"/>
    <w:rsid w:val="007B3A72"/>
    <w:rsid w:val="007B43F0"/>
    <w:rsid w:val="007B6854"/>
    <w:rsid w:val="007C2A73"/>
    <w:rsid w:val="007C2B46"/>
    <w:rsid w:val="007C76A9"/>
    <w:rsid w:val="007D15AF"/>
    <w:rsid w:val="007D42E0"/>
    <w:rsid w:val="007D50CA"/>
    <w:rsid w:val="007D553E"/>
    <w:rsid w:val="007E1289"/>
    <w:rsid w:val="007E63D4"/>
    <w:rsid w:val="007E6C4D"/>
    <w:rsid w:val="007F52FC"/>
    <w:rsid w:val="007F5A3C"/>
    <w:rsid w:val="008036EB"/>
    <w:rsid w:val="008069A9"/>
    <w:rsid w:val="00810F76"/>
    <w:rsid w:val="00814EBF"/>
    <w:rsid w:val="00816CCC"/>
    <w:rsid w:val="00821DCD"/>
    <w:rsid w:val="00841C61"/>
    <w:rsid w:val="008467FD"/>
    <w:rsid w:val="008500F7"/>
    <w:rsid w:val="008533C8"/>
    <w:rsid w:val="008537DC"/>
    <w:rsid w:val="008567BC"/>
    <w:rsid w:val="00857D5E"/>
    <w:rsid w:val="008601E0"/>
    <w:rsid w:val="00863859"/>
    <w:rsid w:val="0086794E"/>
    <w:rsid w:val="00870F81"/>
    <w:rsid w:val="00871642"/>
    <w:rsid w:val="00881A6E"/>
    <w:rsid w:val="0088329B"/>
    <w:rsid w:val="00890462"/>
    <w:rsid w:val="0089190F"/>
    <w:rsid w:val="00896725"/>
    <w:rsid w:val="00897B96"/>
    <w:rsid w:val="008A7161"/>
    <w:rsid w:val="008B0188"/>
    <w:rsid w:val="008B3114"/>
    <w:rsid w:val="008B65F7"/>
    <w:rsid w:val="008B6EB8"/>
    <w:rsid w:val="008C0196"/>
    <w:rsid w:val="008C47F7"/>
    <w:rsid w:val="008C7865"/>
    <w:rsid w:val="008D4748"/>
    <w:rsid w:val="008D53D9"/>
    <w:rsid w:val="008D6880"/>
    <w:rsid w:val="008E21FE"/>
    <w:rsid w:val="008E358F"/>
    <w:rsid w:val="008E62DE"/>
    <w:rsid w:val="008E65C6"/>
    <w:rsid w:val="008E7D36"/>
    <w:rsid w:val="008F2E9F"/>
    <w:rsid w:val="009028C4"/>
    <w:rsid w:val="009058EA"/>
    <w:rsid w:val="00907C42"/>
    <w:rsid w:val="00910B2F"/>
    <w:rsid w:val="00912C56"/>
    <w:rsid w:val="009171D1"/>
    <w:rsid w:val="009171D4"/>
    <w:rsid w:val="00921E30"/>
    <w:rsid w:val="009243B6"/>
    <w:rsid w:val="0092532C"/>
    <w:rsid w:val="00926909"/>
    <w:rsid w:val="00934AE2"/>
    <w:rsid w:val="00937C68"/>
    <w:rsid w:val="00941B46"/>
    <w:rsid w:val="0095058F"/>
    <w:rsid w:val="009566F1"/>
    <w:rsid w:val="00960D44"/>
    <w:rsid w:val="00967A2D"/>
    <w:rsid w:val="00972688"/>
    <w:rsid w:val="009761EC"/>
    <w:rsid w:val="00980FD7"/>
    <w:rsid w:val="00983BE3"/>
    <w:rsid w:val="00986568"/>
    <w:rsid w:val="009876A1"/>
    <w:rsid w:val="00994359"/>
    <w:rsid w:val="00995CBD"/>
    <w:rsid w:val="009A1485"/>
    <w:rsid w:val="009A35C1"/>
    <w:rsid w:val="009B036D"/>
    <w:rsid w:val="009B2B26"/>
    <w:rsid w:val="009B5A3F"/>
    <w:rsid w:val="009B6023"/>
    <w:rsid w:val="009B6DD3"/>
    <w:rsid w:val="009C7A3B"/>
    <w:rsid w:val="009E0050"/>
    <w:rsid w:val="009E1F1B"/>
    <w:rsid w:val="009E5F40"/>
    <w:rsid w:val="009E5FD4"/>
    <w:rsid w:val="009F0469"/>
    <w:rsid w:val="009F0652"/>
    <w:rsid w:val="009F6176"/>
    <w:rsid w:val="00A00A0E"/>
    <w:rsid w:val="00A02D7A"/>
    <w:rsid w:val="00A07DA1"/>
    <w:rsid w:val="00A11949"/>
    <w:rsid w:val="00A14171"/>
    <w:rsid w:val="00A1610E"/>
    <w:rsid w:val="00A17A6E"/>
    <w:rsid w:val="00A23FB7"/>
    <w:rsid w:val="00A267F6"/>
    <w:rsid w:val="00A328A6"/>
    <w:rsid w:val="00A334E3"/>
    <w:rsid w:val="00A358A0"/>
    <w:rsid w:val="00A3676F"/>
    <w:rsid w:val="00A36E24"/>
    <w:rsid w:val="00A40B78"/>
    <w:rsid w:val="00A43DB0"/>
    <w:rsid w:val="00A45257"/>
    <w:rsid w:val="00A453B2"/>
    <w:rsid w:val="00A50CCA"/>
    <w:rsid w:val="00A52C90"/>
    <w:rsid w:val="00A530BE"/>
    <w:rsid w:val="00A54983"/>
    <w:rsid w:val="00A573C1"/>
    <w:rsid w:val="00A609FA"/>
    <w:rsid w:val="00A6628D"/>
    <w:rsid w:val="00A76CA0"/>
    <w:rsid w:val="00A83570"/>
    <w:rsid w:val="00A90EDC"/>
    <w:rsid w:val="00AA4026"/>
    <w:rsid w:val="00AA5F89"/>
    <w:rsid w:val="00AB430C"/>
    <w:rsid w:val="00AC3719"/>
    <w:rsid w:val="00AC410D"/>
    <w:rsid w:val="00AC4A99"/>
    <w:rsid w:val="00AC52DA"/>
    <w:rsid w:val="00AD00DE"/>
    <w:rsid w:val="00AD287E"/>
    <w:rsid w:val="00AE2B46"/>
    <w:rsid w:val="00AE5DAD"/>
    <w:rsid w:val="00AF2ED5"/>
    <w:rsid w:val="00AF3322"/>
    <w:rsid w:val="00AF5B28"/>
    <w:rsid w:val="00B013CC"/>
    <w:rsid w:val="00B0172C"/>
    <w:rsid w:val="00B12145"/>
    <w:rsid w:val="00B1316A"/>
    <w:rsid w:val="00B228AB"/>
    <w:rsid w:val="00B26263"/>
    <w:rsid w:val="00B26B46"/>
    <w:rsid w:val="00B33A0F"/>
    <w:rsid w:val="00B43475"/>
    <w:rsid w:val="00B51D21"/>
    <w:rsid w:val="00B53B97"/>
    <w:rsid w:val="00B63F7F"/>
    <w:rsid w:val="00B643E3"/>
    <w:rsid w:val="00B64427"/>
    <w:rsid w:val="00B67CEE"/>
    <w:rsid w:val="00B7081F"/>
    <w:rsid w:val="00B73377"/>
    <w:rsid w:val="00B76C50"/>
    <w:rsid w:val="00B76EC9"/>
    <w:rsid w:val="00B8242C"/>
    <w:rsid w:val="00B84224"/>
    <w:rsid w:val="00B84381"/>
    <w:rsid w:val="00B84F14"/>
    <w:rsid w:val="00B94EBC"/>
    <w:rsid w:val="00B975BA"/>
    <w:rsid w:val="00B97C8C"/>
    <w:rsid w:val="00BA0212"/>
    <w:rsid w:val="00BA6322"/>
    <w:rsid w:val="00BA6BCF"/>
    <w:rsid w:val="00BB19E0"/>
    <w:rsid w:val="00BB1DBC"/>
    <w:rsid w:val="00BB2B38"/>
    <w:rsid w:val="00BB35B4"/>
    <w:rsid w:val="00BB50CE"/>
    <w:rsid w:val="00BB688B"/>
    <w:rsid w:val="00BC04ED"/>
    <w:rsid w:val="00BC1340"/>
    <w:rsid w:val="00BC4EB9"/>
    <w:rsid w:val="00BC51C5"/>
    <w:rsid w:val="00BC51CF"/>
    <w:rsid w:val="00BC573F"/>
    <w:rsid w:val="00BD028D"/>
    <w:rsid w:val="00BD72CF"/>
    <w:rsid w:val="00BE152F"/>
    <w:rsid w:val="00BE17E0"/>
    <w:rsid w:val="00BE41DA"/>
    <w:rsid w:val="00BE6928"/>
    <w:rsid w:val="00BE73AC"/>
    <w:rsid w:val="00BF113D"/>
    <w:rsid w:val="00BF2F5B"/>
    <w:rsid w:val="00C04BF6"/>
    <w:rsid w:val="00C057D7"/>
    <w:rsid w:val="00C06588"/>
    <w:rsid w:val="00C10817"/>
    <w:rsid w:val="00C13956"/>
    <w:rsid w:val="00C13D6A"/>
    <w:rsid w:val="00C14C76"/>
    <w:rsid w:val="00C169D5"/>
    <w:rsid w:val="00C27A42"/>
    <w:rsid w:val="00C31034"/>
    <w:rsid w:val="00C31FE1"/>
    <w:rsid w:val="00C32645"/>
    <w:rsid w:val="00C37C16"/>
    <w:rsid w:val="00C40A5F"/>
    <w:rsid w:val="00C45388"/>
    <w:rsid w:val="00C46BCE"/>
    <w:rsid w:val="00C5149F"/>
    <w:rsid w:val="00C5244E"/>
    <w:rsid w:val="00C54D1F"/>
    <w:rsid w:val="00C6298F"/>
    <w:rsid w:val="00C62EAC"/>
    <w:rsid w:val="00C63FD9"/>
    <w:rsid w:val="00C6508A"/>
    <w:rsid w:val="00C66E4C"/>
    <w:rsid w:val="00C71D0A"/>
    <w:rsid w:val="00C7265C"/>
    <w:rsid w:val="00C7374E"/>
    <w:rsid w:val="00C7400C"/>
    <w:rsid w:val="00C74DE8"/>
    <w:rsid w:val="00C76B8F"/>
    <w:rsid w:val="00C84F07"/>
    <w:rsid w:val="00C907D8"/>
    <w:rsid w:val="00C92DF0"/>
    <w:rsid w:val="00C93821"/>
    <w:rsid w:val="00C97FEF"/>
    <w:rsid w:val="00CA1858"/>
    <w:rsid w:val="00CA6AC4"/>
    <w:rsid w:val="00CB29E9"/>
    <w:rsid w:val="00CB36BC"/>
    <w:rsid w:val="00CB615B"/>
    <w:rsid w:val="00CC3A1C"/>
    <w:rsid w:val="00CC42F7"/>
    <w:rsid w:val="00CC44C8"/>
    <w:rsid w:val="00CC774E"/>
    <w:rsid w:val="00CD71EC"/>
    <w:rsid w:val="00CD7AC4"/>
    <w:rsid w:val="00CE05F7"/>
    <w:rsid w:val="00CE3FDE"/>
    <w:rsid w:val="00CF28AD"/>
    <w:rsid w:val="00CF5C9D"/>
    <w:rsid w:val="00D17D31"/>
    <w:rsid w:val="00D21528"/>
    <w:rsid w:val="00D32402"/>
    <w:rsid w:val="00D32731"/>
    <w:rsid w:val="00D34035"/>
    <w:rsid w:val="00D4500B"/>
    <w:rsid w:val="00D456D0"/>
    <w:rsid w:val="00D45CB0"/>
    <w:rsid w:val="00D45EF5"/>
    <w:rsid w:val="00D52C5E"/>
    <w:rsid w:val="00D61EE2"/>
    <w:rsid w:val="00D6381A"/>
    <w:rsid w:val="00D706F0"/>
    <w:rsid w:val="00D77044"/>
    <w:rsid w:val="00D81146"/>
    <w:rsid w:val="00D9320C"/>
    <w:rsid w:val="00D95748"/>
    <w:rsid w:val="00DA0543"/>
    <w:rsid w:val="00DA13B8"/>
    <w:rsid w:val="00DA4558"/>
    <w:rsid w:val="00DB6847"/>
    <w:rsid w:val="00DB6C67"/>
    <w:rsid w:val="00DB743E"/>
    <w:rsid w:val="00DC073B"/>
    <w:rsid w:val="00DC6425"/>
    <w:rsid w:val="00DD13B2"/>
    <w:rsid w:val="00DD1FAD"/>
    <w:rsid w:val="00DD2149"/>
    <w:rsid w:val="00DD396B"/>
    <w:rsid w:val="00DD3B8A"/>
    <w:rsid w:val="00DD6DA4"/>
    <w:rsid w:val="00DD7D04"/>
    <w:rsid w:val="00DE5042"/>
    <w:rsid w:val="00DF23E6"/>
    <w:rsid w:val="00DF3033"/>
    <w:rsid w:val="00DF3771"/>
    <w:rsid w:val="00DF7412"/>
    <w:rsid w:val="00E00EF3"/>
    <w:rsid w:val="00E01321"/>
    <w:rsid w:val="00E01DC3"/>
    <w:rsid w:val="00E0277E"/>
    <w:rsid w:val="00E115C5"/>
    <w:rsid w:val="00E15B14"/>
    <w:rsid w:val="00E16FE1"/>
    <w:rsid w:val="00E210DE"/>
    <w:rsid w:val="00E2138F"/>
    <w:rsid w:val="00E23C19"/>
    <w:rsid w:val="00E25295"/>
    <w:rsid w:val="00E25E59"/>
    <w:rsid w:val="00E30856"/>
    <w:rsid w:val="00E31A2B"/>
    <w:rsid w:val="00E34FAC"/>
    <w:rsid w:val="00E37594"/>
    <w:rsid w:val="00E41EAC"/>
    <w:rsid w:val="00E42471"/>
    <w:rsid w:val="00E427A7"/>
    <w:rsid w:val="00E44053"/>
    <w:rsid w:val="00E45199"/>
    <w:rsid w:val="00E515EF"/>
    <w:rsid w:val="00E56DB3"/>
    <w:rsid w:val="00E6225F"/>
    <w:rsid w:val="00E64EFB"/>
    <w:rsid w:val="00E66666"/>
    <w:rsid w:val="00E66BE7"/>
    <w:rsid w:val="00E71E2A"/>
    <w:rsid w:val="00E74BAB"/>
    <w:rsid w:val="00E7545A"/>
    <w:rsid w:val="00E75CE0"/>
    <w:rsid w:val="00E84CA7"/>
    <w:rsid w:val="00E92162"/>
    <w:rsid w:val="00E955FA"/>
    <w:rsid w:val="00E97422"/>
    <w:rsid w:val="00EC2A19"/>
    <w:rsid w:val="00EC6BF2"/>
    <w:rsid w:val="00EC7910"/>
    <w:rsid w:val="00ED2332"/>
    <w:rsid w:val="00ED37BA"/>
    <w:rsid w:val="00ED6308"/>
    <w:rsid w:val="00EE638A"/>
    <w:rsid w:val="00EE7CA5"/>
    <w:rsid w:val="00EF37D5"/>
    <w:rsid w:val="00EF77E5"/>
    <w:rsid w:val="00EF7FA9"/>
    <w:rsid w:val="00F0676D"/>
    <w:rsid w:val="00F202E5"/>
    <w:rsid w:val="00F318D7"/>
    <w:rsid w:val="00F3664D"/>
    <w:rsid w:val="00F3698D"/>
    <w:rsid w:val="00F41824"/>
    <w:rsid w:val="00F42B0B"/>
    <w:rsid w:val="00F44F20"/>
    <w:rsid w:val="00F451D7"/>
    <w:rsid w:val="00F45D58"/>
    <w:rsid w:val="00F45E47"/>
    <w:rsid w:val="00F45F5C"/>
    <w:rsid w:val="00F50097"/>
    <w:rsid w:val="00F55306"/>
    <w:rsid w:val="00F6046E"/>
    <w:rsid w:val="00F60616"/>
    <w:rsid w:val="00F60B54"/>
    <w:rsid w:val="00F73C68"/>
    <w:rsid w:val="00F7442B"/>
    <w:rsid w:val="00F7750F"/>
    <w:rsid w:val="00F80D52"/>
    <w:rsid w:val="00F80D65"/>
    <w:rsid w:val="00F81638"/>
    <w:rsid w:val="00F91D8C"/>
    <w:rsid w:val="00F94EB1"/>
    <w:rsid w:val="00F9741E"/>
    <w:rsid w:val="00FA04E1"/>
    <w:rsid w:val="00FA185E"/>
    <w:rsid w:val="00FA4F2E"/>
    <w:rsid w:val="00FA5BC8"/>
    <w:rsid w:val="00FA6AB4"/>
    <w:rsid w:val="00FA7DFD"/>
    <w:rsid w:val="00FB5BBE"/>
    <w:rsid w:val="00FB6BE8"/>
    <w:rsid w:val="00FC06FB"/>
    <w:rsid w:val="00FC15C2"/>
    <w:rsid w:val="00FD1AB2"/>
    <w:rsid w:val="00FD7418"/>
    <w:rsid w:val="00FE3F6A"/>
    <w:rsid w:val="00FE4EA2"/>
    <w:rsid w:val="00FE552D"/>
    <w:rsid w:val="00FF49C2"/>
  </w:rsids>
  <m:mathPr>
    <m:mathFont m:val="Cambria Math"/>
    <m:brkBin m:val="before"/>
    <m:brkBinSub m:val="--"/>
    <m:smallFrac m:val="0"/>
    <m:dispDef/>
    <m:lMargin m:val="0"/>
    <m:rMargin m:val="0"/>
    <m:defJc m:val="centerGroup"/>
    <m:wrapIndent m:val="1440"/>
    <m:intLim m:val="subSup"/>
    <m:naryLim m:val="undOvr"/>
  </m:mathPr>
  <w:themeFontLang w:val="nl-NL"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C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lo-L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606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0616"/>
    <w:rPr>
      <w:rFonts w:ascii="Verdana" w:hAnsi="Verdana"/>
      <w:color w:val="000000"/>
      <w:sz w:val="18"/>
      <w:szCs w:val="18"/>
    </w:rPr>
  </w:style>
  <w:style w:type="paragraph" w:styleId="Lijstalinea">
    <w:name w:val="List Paragraph"/>
    <w:basedOn w:val="Standaard"/>
    <w:uiPriority w:val="34"/>
    <w:qFormat/>
    <w:rsid w:val="00F60616"/>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Verwijzingopmerking">
    <w:name w:val="annotation reference"/>
    <w:basedOn w:val="Standaardalinea-lettertype"/>
    <w:uiPriority w:val="99"/>
    <w:semiHidden/>
    <w:unhideWhenUsed/>
    <w:rsid w:val="00F60616"/>
    <w:rPr>
      <w:sz w:val="16"/>
      <w:szCs w:val="16"/>
    </w:rPr>
  </w:style>
  <w:style w:type="paragraph" w:styleId="Tekstopmerking">
    <w:name w:val="annotation text"/>
    <w:basedOn w:val="Standaard"/>
    <w:link w:val="TekstopmerkingChar"/>
    <w:uiPriority w:val="99"/>
    <w:unhideWhenUsed/>
    <w:rsid w:val="00F6061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F60616"/>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F6061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F6061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F60616"/>
    <w:rPr>
      <w:vertAlign w:val="superscript"/>
    </w:rPr>
  </w:style>
  <w:style w:type="paragraph" w:styleId="Revisie">
    <w:name w:val="Revision"/>
    <w:hidden/>
    <w:uiPriority w:val="99"/>
    <w:semiHidden/>
    <w:rsid w:val="00B8242C"/>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AE2B46"/>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AE2B46"/>
    <w:rPr>
      <w:rFonts w:ascii="Verdana" w:eastAsiaTheme="minorHAnsi" w:hAnsi="Verdana" w:cstheme="minorBidi"/>
      <w:b/>
      <w:bCs/>
      <w:color w:val="000000"/>
      <w:kern w:val="2"/>
      <w:lang w:eastAsia="en-US"/>
      <w14:ligatures w14:val="standardContextual"/>
    </w:rPr>
  </w:style>
  <w:style w:type="character" w:styleId="Onopgelostemelding">
    <w:name w:val="Unresolved Mention"/>
    <w:basedOn w:val="Standaardalinea-lettertype"/>
    <w:uiPriority w:val="99"/>
    <w:semiHidden/>
    <w:unhideWhenUsed/>
    <w:rsid w:val="00A66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426">
      <w:bodyDiv w:val="1"/>
      <w:marLeft w:val="0"/>
      <w:marRight w:val="0"/>
      <w:marTop w:val="0"/>
      <w:marBottom w:val="0"/>
      <w:divBdr>
        <w:top w:val="none" w:sz="0" w:space="0" w:color="auto"/>
        <w:left w:val="none" w:sz="0" w:space="0" w:color="auto"/>
        <w:bottom w:val="none" w:sz="0" w:space="0" w:color="auto"/>
        <w:right w:val="none" w:sz="0" w:space="0" w:color="auto"/>
      </w:divBdr>
    </w:div>
    <w:div w:id="411973328">
      <w:bodyDiv w:val="1"/>
      <w:marLeft w:val="0"/>
      <w:marRight w:val="0"/>
      <w:marTop w:val="0"/>
      <w:marBottom w:val="0"/>
      <w:divBdr>
        <w:top w:val="none" w:sz="0" w:space="0" w:color="auto"/>
        <w:left w:val="none" w:sz="0" w:space="0" w:color="auto"/>
        <w:bottom w:val="none" w:sz="0" w:space="0" w:color="auto"/>
        <w:right w:val="none" w:sz="0" w:space="0" w:color="auto"/>
      </w:divBdr>
    </w:div>
    <w:div w:id="417213815">
      <w:bodyDiv w:val="1"/>
      <w:marLeft w:val="0"/>
      <w:marRight w:val="0"/>
      <w:marTop w:val="0"/>
      <w:marBottom w:val="0"/>
      <w:divBdr>
        <w:top w:val="none" w:sz="0" w:space="0" w:color="auto"/>
        <w:left w:val="none" w:sz="0" w:space="0" w:color="auto"/>
        <w:bottom w:val="none" w:sz="0" w:space="0" w:color="auto"/>
        <w:right w:val="none" w:sz="0" w:space="0" w:color="auto"/>
      </w:divBdr>
    </w:div>
    <w:div w:id="657418923">
      <w:bodyDiv w:val="1"/>
      <w:marLeft w:val="0"/>
      <w:marRight w:val="0"/>
      <w:marTop w:val="0"/>
      <w:marBottom w:val="0"/>
      <w:divBdr>
        <w:top w:val="none" w:sz="0" w:space="0" w:color="auto"/>
        <w:left w:val="none" w:sz="0" w:space="0" w:color="auto"/>
        <w:bottom w:val="none" w:sz="0" w:space="0" w:color="auto"/>
        <w:right w:val="none" w:sz="0" w:space="0" w:color="auto"/>
      </w:divBdr>
    </w:div>
    <w:div w:id="917441092">
      <w:bodyDiv w:val="1"/>
      <w:marLeft w:val="0"/>
      <w:marRight w:val="0"/>
      <w:marTop w:val="0"/>
      <w:marBottom w:val="0"/>
      <w:divBdr>
        <w:top w:val="none" w:sz="0" w:space="0" w:color="auto"/>
        <w:left w:val="none" w:sz="0" w:space="0" w:color="auto"/>
        <w:bottom w:val="none" w:sz="0" w:space="0" w:color="auto"/>
        <w:right w:val="none" w:sz="0" w:space="0" w:color="auto"/>
      </w:divBdr>
    </w:div>
    <w:div w:id="942226428">
      <w:bodyDiv w:val="1"/>
      <w:marLeft w:val="0"/>
      <w:marRight w:val="0"/>
      <w:marTop w:val="0"/>
      <w:marBottom w:val="0"/>
      <w:divBdr>
        <w:top w:val="none" w:sz="0" w:space="0" w:color="auto"/>
        <w:left w:val="none" w:sz="0" w:space="0" w:color="auto"/>
        <w:bottom w:val="none" w:sz="0" w:space="0" w:color="auto"/>
        <w:right w:val="none" w:sz="0" w:space="0" w:color="auto"/>
      </w:divBdr>
    </w:div>
    <w:div w:id="1133602442">
      <w:bodyDiv w:val="1"/>
      <w:marLeft w:val="0"/>
      <w:marRight w:val="0"/>
      <w:marTop w:val="0"/>
      <w:marBottom w:val="0"/>
      <w:divBdr>
        <w:top w:val="none" w:sz="0" w:space="0" w:color="auto"/>
        <w:left w:val="none" w:sz="0" w:space="0" w:color="auto"/>
        <w:bottom w:val="none" w:sz="0" w:space="0" w:color="auto"/>
        <w:right w:val="none" w:sz="0" w:space="0" w:color="auto"/>
      </w:divBdr>
    </w:div>
    <w:div w:id="1254391345">
      <w:bodyDiv w:val="1"/>
      <w:marLeft w:val="0"/>
      <w:marRight w:val="0"/>
      <w:marTop w:val="0"/>
      <w:marBottom w:val="0"/>
      <w:divBdr>
        <w:top w:val="none" w:sz="0" w:space="0" w:color="auto"/>
        <w:left w:val="none" w:sz="0" w:space="0" w:color="auto"/>
        <w:bottom w:val="none" w:sz="0" w:space="0" w:color="auto"/>
        <w:right w:val="none" w:sz="0" w:space="0" w:color="auto"/>
      </w:divBdr>
    </w:div>
    <w:div w:id="1474060335">
      <w:bodyDiv w:val="1"/>
      <w:marLeft w:val="0"/>
      <w:marRight w:val="0"/>
      <w:marTop w:val="0"/>
      <w:marBottom w:val="0"/>
      <w:divBdr>
        <w:top w:val="none" w:sz="0" w:space="0" w:color="auto"/>
        <w:left w:val="none" w:sz="0" w:space="0" w:color="auto"/>
        <w:bottom w:val="none" w:sz="0" w:space="0" w:color="auto"/>
        <w:right w:val="none" w:sz="0" w:space="0" w:color="auto"/>
      </w:divBdr>
    </w:div>
    <w:div w:id="1516649721">
      <w:bodyDiv w:val="1"/>
      <w:marLeft w:val="0"/>
      <w:marRight w:val="0"/>
      <w:marTop w:val="0"/>
      <w:marBottom w:val="0"/>
      <w:divBdr>
        <w:top w:val="none" w:sz="0" w:space="0" w:color="auto"/>
        <w:left w:val="none" w:sz="0" w:space="0" w:color="auto"/>
        <w:bottom w:val="none" w:sz="0" w:space="0" w:color="auto"/>
        <w:right w:val="none" w:sz="0" w:space="0" w:color="auto"/>
      </w:divBdr>
    </w:div>
    <w:div w:id="1580359175">
      <w:bodyDiv w:val="1"/>
      <w:marLeft w:val="0"/>
      <w:marRight w:val="0"/>
      <w:marTop w:val="0"/>
      <w:marBottom w:val="0"/>
      <w:divBdr>
        <w:top w:val="none" w:sz="0" w:space="0" w:color="auto"/>
        <w:left w:val="none" w:sz="0" w:space="0" w:color="auto"/>
        <w:bottom w:val="none" w:sz="0" w:space="0" w:color="auto"/>
        <w:right w:val="none" w:sz="0" w:space="0" w:color="auto"/>
      </w:divBdr>
    </w:div>
    <w:div w:id="1675759656">
      <w:bodyDiv w:val="1"/>
      <w:marLeft w:val="0"/>
      <w:marRight w:val="0"/>
      <w:marTop w:val="0"/>
      <w:marBottom w:val="0"/>
      <w:divBdr>
        <w:top w:val="none" w:sz="0" w:space="0" w:color="auto"/>
        <w:left w:val="none" w:sz="0" w:space="0" w:color="auto"/>
        <w:bottom w:val="none" w:sz="0" w:space="0" w:color="auto"/>
        <w:right w:val="none" w:sz="0" w:space="0" w:color="auto"/>
      </w:divBdr>
    </w:div>
    <w:div w:id="1713846654">
      <w:bodyDiv w:val="1"/>
      <w:marLeft w:val="0"/>
      <w:marRight w:val="0"/>
      <w:marTop w:val="0"/>
      <w:marBottom w:val="0"/>
      <w:divBdr>
        <w:top w:val="none" w:sz="0" w:space="0" w:color="auto"/>
        <w:left w:val="none" w:sz="0" w:space="0" w:color="auto"/>
        <w:bottom w:val="none" w:sz="0" w:space="0" w:color="auto"/>
        <w:right w:val="none" w:sz="0" w:space="0" w:color="auto"/>
      </w:divBdr>
    </w:div>
    <w:div w:id="187422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praatmeemetdeoverheid.nl" TargetMode="External" Id="rId9" /></Relationships>
</file>

<file path=word/_rels/footnotes.xml.rels><?xml version="1.0" encoding="UTF-8" standalone="yes"?>
<Relationships xmlns="http://schemas.openxmlformats.org/package/2006/relationships"><Relationship Id="rId2" Type="http://schemas.openxmlformats.org/officeDocument/2006/relationships/hyperlink" Target="https://hcss.nl/report/hcss-focus-het-com-netwerk/" TargetMode="External"/><Relationship Id="rId1" Type="http://schemas.openxmlformats.org/officeDocument/2006/relationships/hyperlink" Target="https://www.nctv.nl/onderwerpen/l/lokale-aanpak-radicalisering-extremisme-en-terrorisme/verdiepingsdossier-onlin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3582</ap:Words>
  <ap:Characters>19706</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2026-05-22T13:08:00.0000000Z</dcterms:created>
  <dcterms:modified xsi:type="dcterms:W3CDTF">2026-05-22T13:10:00.0000000Z</dcterms:modified>
  <dc:description>------------------------</dc:description>
  <dc:subject/>
  <keywords/>
  <version/>
  <category/>
</coreProperties>
</file>