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2026Z10562</w:t>
        <w:br/>
      </w:r>
      <w:proofErr w:type="spellEnd"/>
    </w:p>
    <w:p>
      <w:pPr>
        <w:pStyle w:val="Normal"/>
        <w:rPr>
          <w:b w:val="1"/>
          <w:bCs w:val="1"/>
        </w:rPr>
      </w:pPr>
      <w:r w:rsidR="250AE766">
        <w:rPr>
          <w:b w:val="0"/>
          <w:bCs w:val="0"/>
        </w:rPr>
        <w:t>(ingezonden 21 mei 2026)</w:t>
        <w:br/>
      </w:r>
    </w:p>
    <w:p>
      <w:r>
        <w:t xml:space="preserve">Vragen van de leden Kostić en Teunissen (beiden PvdD) aan de staatssecretaris van Infrastructuur en Waterstaat en de minister van Klimaat en Groene Groei over de stapeling van overtredingen en niet voldoen aan wet- en regelgeving door Tata Steel</w:t>
      </w:r>
      <w:r>
        <w:br/>
      </w:r>
    </w:p>
    <w:p>
      <w:r>
        <w:t xml:space="preserve"> </w:t>
      </w:r>
      <w:r>
        <w:br/>
      </w:r>
    </w:p>
    <w:p>
      <w:pPr>
        <w:pStyle w:val="ListParagraph"/>
        <w:numPr>
          <w:ilvl w:val="0"/>
          <w:numId w:val="100508030"/>
        </w:numPr>
        <w:ind w:left="360"/>
      </w:pPr>
      <w:r>
        <w:t xml:space="preserve">Wanneer heeft u de brief die de Omgevingsdienst Noordzeekanaalgebied (ODNZKG) op 23 april 2026 naar Tata Steel verstuurde, die ziet op de intrekking van de vergunningen voor de Kooksgasfabrieken (KGF) 1 en 2, ontvangen?</w:t>
      </w:r>
      <w:r>
        <w:br/>
      </w:r>
      <w:r>
        <w:t xml:space="preserve"> </w:t>
      </w:r>
      <w:r>
        <w:br/>
      </w:r>
    </w:p>
    <w:p>
      <w:pPr>
        <w:pStyle w:val="ListParagraph"/>
        <w:numPr>
          <w:ilvl w:val="0"/>
          <w:numId w:val="100508030"/>
        </w:numPr>
        <w:ind w:left="360"/>
      </w:pPr>
      <w:r>
        <w:t xml:space="preserve">Wanneer wist u dat de ODNZKG voornemens was de vergunningen van de KGF 1 en 2 in te trekken? Kunt u aangeven of dit voor of na het plenaire debat van 7 april jl. was?</w:t>
      </w:r>
      <w:r>
        <w:br/>
      </w:r>
    </w:p>
    <w:p>
      <w:pPr>
        <w:pStyle w:val="ListParagraph"/>
        <w:numPr>
          <w:ilvl w:val="0"/>
          <w:numId w:val="100508030"/>
        </w:numPr>
        <w:ind w:left="360"/>
      </w:pPr>
      <w:r>
        <w:t xml:space="preserve">Indien u de brief op hetzelfde moment of rond dezelfde tijd ontving: waarom heeft u die brief dan niet meteen met de Kamer gedeeld?</w:t>
      </w:r>
      <w:r>
        <w:br/>
      </w:r>
      <w:r>
        <w:t xml:space="preserve"> </w:t>
      </w:r>
      <w:r>
        <w:br/>
      </w:r>
    </w:p>
    <w:p>
      <w:pPr>
        <w:pStyle w:val="ListParagraph"/>
        <w:numPr>
          <w:ilvl w:val="0"/>
          <w:numId w:val="100508030"/>
        </w:numPr>
        <w:ind w:left="360"/>
      </w:pPr>
      <w:r>
        <w:t xml:space="preserve">Bent u het ermee eens dat de Staat zeer zorgvuldig en terughoudend moet omgaan met het uitgeven van geld van burgers aan een commercieel, Indiaas bedrijf, al helemaal in tijden waarin het kabinet kiest voor harde bezuinigingen op o.a. de Nederlandse zorg? Zo nee, waarom niet?</w:t>
      </w:r>
      <w:r>
        <w:br/>
      </w:r>
      <w:r>
        <w:t xml:space="preserve"> </w:t>
      </w:r>
      <w:r>
        <w:br/>
      </w:r>
    </w:p>
    <w:p>
      <w:pPr>
        <w:pStyle w:val="ListParagraph"/>
        <w:numPr>
          <w:ilvl w:val="0"/>
          <w:numId w:val="100508030"/>
        </w:numPr>
        <w:ind w:left="360"/>
      </w:pPr>
      <w:r>
        <w:t xml:space="preserve">Weet u nog dat de Partij voor de Dieren in debatten en in schriftelijke vragen van de afgelopen jaren de regering er meermaals op heeft gewezen dat Tata Steel zich al jaren niet houdt aan wet- en regelgeving en dat er een grote kans bestaat dat niet alleen KGF 2, maar ook KGF 1 gedwongen dicht moet, dat dat het plan waar de Staat over aan het onderhandelen is zou veranderen en dat geld geven aan Tata Steel een extra risico vormt voor de belastingbetaler? Zo ja, bent u het ermee eens dat deze signalen te licht zijn opgevat in het verleden, en hoe gaat u ervoor zorgen dat dit soort signalen in de toekomst evenwichtig worden meegenomen?</w:t>
      </w:r>
      <w:r>
        <w:br/>
      </w:r>
      <w:r>
        <w:t xml:space="preserve"> </w:t>
      </w:r>
      <w:r>
        <w:br/>
      </w:r>
    </w:p>
    <w:p>
      <w:pPr>
        <w:pStyle w:val="ListParagraph"/>
        <w:numPr>
          <w:ilvl w:val="0"/>
          <w:numId w:val="100508030"/>
        </w:numPr>
        <w:ind w:left="360"/>
      </w:pPr>
      <w:r>
        <w:t xml:space="preserve">Bent het ermee eens - tegen de achtergrond dat de omgevingsdienst overgaat tot intrekking van de vergunningen voor beide kooksfabrieken, omdat Tata Steel de normen stelselmatig jarenlang overschrijdt en er geen reden is om te veronderstellen dat dat nog gaat veranderen - dat er in lijn met de Joint Letter of Intent (JLoI) art.15.3 (d) sprake is van een (potentiële) opzeggingsgrond? Waarom wel/niet?</w:t>
      </w:r>
      <w:r>
        <w:br/>
      </w:r>
      <w:r>
        <w:t xml:space="preserve"> </w:t>
      </w:r>
      <w:r>
        <w:br/>
      </w:r>
    </w:p>
    <w:p>
      <w:pPr>
        <w:pStyle w:val="ListParagraph"/>
        <w:numPr>
          <w:ilvl w:val="0"/>
          <w:numId w:val="100508030"/>
        </w:numPr>
        <w:ind w:left="360"/>
      </w:pPr>
      <w:r>
        <w:t xml:space="preserve">Bent u voornemens deze opzeggingsgrond aan te wenden om de inspanningsverplichting te stoppen, aangezien in de kabinetsbrief van 7 april jl. (Kamerstuk 28089, nr. 350) wordt gesteld dat bij het sluiten van een maatwerkafspraak het “van groot belang is dat het bedrijf wet- en regelgeving naleeft”? Zo nee, kunt u dat heel nauwkeurig onderbouwen?</w:t>
      </w:r>
      <w:r>
        <w:br/>
      </w:r>
    </w:p>
    <w:p>
      <w:pPr>
        <w:pStyle w:val="ListParagraph"/>
        <w:numPr>
          <w:ilvl w:val="0"/>
          <w:numId w:val="100508030"/>
        </w:numPr>
        <w:ind w:left="360"/>
      </w:pPr>
      <w:r>
        <w:t xml:space="preserve">Wat gebeurt er op het moment dat uit het lopende strafrechtelijk onderzoek[1] blijkt dat Tata Steel opzettelijk en onrechtmatig de gezondheid van mensen in gevaar heeft gebracht? Welke invloed heeft het lopende onderzoek op de gesprekken over de maatwerkafspraken?</w:t>
      </w:r>
      <w:r>
        <w:br/>
      </w:r>
    </w:p>
    <w:p>
      <w:pPr>
        <w:pStyle w:val="ListParagraph"/>
        <w:numPr>
          <w:ilvl w:val="0"/>
          <w:numId w:val="100508030"/>
        </w:numPr>
        <w:ind w:left="360"/>
      </w:pPr>
      <w:r>
        <w:t xml:space="preserve">Kunt u bevestigen dat er geen enkele invloed op de ILT en de ILT-IOD, direct of indirect, wordt uitgeoefend vanuit het ministerie in hun werk rondom Tata Steel en dat de instanties onafhankelijk van de gesprekken over de maatwerkafspraken tot hun oordeel kunnen komen?</w:t>
      </w:r>
      <w:r>
        <w:br/>
      </w:r>
      <w:r>
        <w:t xml:space="preserve"> </w:t>
      </w:r>
      <w:r>
        <w:br/>
      </w:r>
    </w:p>
    <w:p>
      <w:pPr>
        <w:pStyle w:val="ListParagraph"/>
        <w:numPr>
          <w:ilvl w:val="0"/>
          <w:numId w:val="100508030"/>
        </w:numPr>
        <w:ind w:left="360"/>
      </w:pPr>
      <w:r>
        <w:t xml:space="preserve">Bent u ermee bekend dat experts zeggen dat KGF 2 zo verouderd is dat het al in de jaren negentig gesloten had moeten worden, maar dat het nooit gebeurd is, omdat kortetermijnwinst belangrijker werd geacht dan de gezondheid voor omwonenden?</w:t>
      </w:r>
      <w:r>
        <w:br/>
      </w:r>
      <w:r>
        <w:t xml:space="preserve"> </w:t>
      </w:r>
      <w:r>
        <w:br/>
      </w:r>
    </w:p>
    <w:p>
      <w:pPr>
        <w:pStyle w:val="ListParagraph"/>
        <w:numPr>
          <w:ilvl w:val="0"/>
          <w:numId w:val="100508030"/>
        </w:numPr>
        <w:ind w:left="360"/>
      </w:pPr>
      <w:r>
        <w:t xml:space="preserve">Welke invloed op de maatwerkafspraakgesprekken heeft het stilleggen van een bedrijfsonderdeel door Tata Steel op verzoek van de toezichthouder, omdat na metingen is gebleken dat het te veel van de kankerverwekkende stof chroom-6 uitstoot? Wanneer moet Tata dit hebben opgelost volgens u, om in aanmerking te komen voor geld van de Nederlandse belastingbetaler?</w:t>
      </w:r>
      <w:r>
        <w:br/>
      </w:r>
      <w:r>
        <w:t xml:space="preserve"> </w:t>
      </w:r>
      <w:r>
        <w:br/>
      </w:r>
    </w:p>
    <w:p>
      <w:pPr>
        <w:pStyle w:val="ListParagraph"/>
        <w:numPr>
          <w:ilvl w:val="0"/>
          <w:numId w:val="100508030"/>
        </w:numPr>
        <w:ind w:left="360"/>
      </w:pPr>
      <w:r>
        <w:t xml:space="preserve">Welke invloed op de maatwerkafspraakgesprekken heeft het overschrijden van verschillende normen voor gevaarlijke stoffen bij de Sinterfabriek door Tata Steel? Wanneer moet Tata dit hebben opgelost volgens u, om in aanmerking te komen voor geld van de Nederlandse belastingbetaler?</w:t>
      </w:r>
      <w:r>
        <w:br/>
      </w:r>
      <w:r>
        <w:t xml:space="preserve"> </w:t>
      </w:r>
      <w:r>
        <w:br/>
      </w:r>
    </w:p>
    <w:p>
      <w:pPr>
        <w:pStyle w:val="ListParagraph"/>
        <w:numPr>
          <w:ilvl w:val="0"/>
          <w:numId w:val="100508030"/>
        </w:numPr>
        <w:ind w:left="360"/>
      </w:pPr>
      <w:r>
        <w:t xml:space="preserve">Welke invloed op de maatwerkafspraakgesprekken heeft het overtreden van regels bij de Oxystaalfabriek door Tata Steel? Wanneer moet Tata dit hebben opgelost volgens u, om in aanmerking te komen voor geld van de Nederlandse belastingbetaler?</w:t>
      </w:r>
      <w:r>
        <w:br/>
      </w:r>
      <w:r>
        <w:t xml:space="preserve"> </w:t>
      </w:r>
      <w:r>
        <w:br/>
      </w:r>
    </w:p>
    <w:p>
      <w:pPr>
        <w:pStyle w:val="ListParagraph"/>
        <w:numPr>
          <w:ilvl w:val="0"/>
          <w:numId w:val="100508030"/>
        </w:numPr>
        <w:ind w:left="360"/>
      </w:pPr>
      <w:r>
        <w:t xml:space="preserve">Welke invloed op de maatwerkafspraakgesprekken heeft het feit dat de toezichthouder heeft geconstateerd dat Tata Steel toezicht en controles belemmert en vertraagt? Welke consequenties zijn er vanuit het kabinet richting Tata Steel als belemmering en vertraging van de toezichthoudende taken nogmaals worden geconstateerd?</w:t>
      </w:r>
      <w:r>
        <w:br/>
      </w:r>
      <w:r>
        <w:t xml:space="preserve"> </w:t>
      </w:r>
      <w:r>
        <w:br/>
      </w:r>
    </w:p>
    <w:p>
      <w:pPr>
        <w:pStyle w:val="ListParagraph"/>
        <w:numPr>
          <w:ilvl w:val="0"/>
          <w:numId w:val="100508030"/>
        </w:numPr>
        <w:ind w:left="360"/>
      </w:pPr>
      <w:r>
        <w:t xml:space="preserve">Wat vindt u ervan dat de omgevingsdienst al in 2025 heeft geconstateerd dat Tata Steel een aanzienlijk hogere uitstoot van schadelijke stoffen rapporteert in het elektronisch milieujaarverslag (e-MJV) van 2024 ten opzichte van voorgaande jaren, en dat de omgevingsdienst nog steeds geen  goede verklaring voor deze veel hogere uitstoot heeft ontvangen van Tata Steel? Wat zegt dit over de bedrijfscultuur en betrouwbaarheid van Tata Steel?</w:t>
      </w:r>
      <w:r>
        <w:br/>
      </w:r>
    </w:p>
    <w:p>
      <w:pPr>
        <w:pStyle w:val="ListParagraph"/>
        <w:numPr>
          <w:ilvl w:val="0"/>
          <w:numId w:val="100508030"/>
        </w:numPr>
        <w:ind w:left="360"/>
      </w:pPr>
      <w:r>
        <w:t xml:space="preserve">Klopt het dat Tata Steel tot nu toe meer dan 25 miljoen euro aan boetes heeft moeten betalen voor het overtreden van regels? Zo nee, wat is het bedrag precies?</w:t>
      </w:r>
      <w:r>
        <w:br/>
      </w:r>
      <w:r>
        <w:t xml:space="preserve"> </w:t>
      </w:r>
      <w:r>
        <w:br/>
      </w:r>
    </w:p>
    <w:p>
      <w:pPr>
        <w:pStyle w:val="ListParagraph"/>
        <w:numPr>
          <w:ilvl w:val="0"/>
          <w:numId w:val="100508030"/>
        </w:numPr>
        <w:ind w:left="360"/>
      </w:pPr>
      <w:r>
        <w:t xml:space="preserve">Wat vindt u van de cultuur van het buitenlandse bedrijf, dat zich jarenlang, structureel, niet aan wet- en regelgeving houdt, handhaving en toezicht traineert en belemmert, onvolledige of misleidende cijfers en informatie deelt, door de toezichthouder “calculerend en opportunistisch” wordt genoemd, en onvoldoende en ontijdig heeft geïnvesteerd in gezonde bedrijfsvoering en onderhoud?</w:t>
      </w:r>
      <w:r>
        <w:br/>
      </w:r>
      <w:r>
        <w:t xml:space="preserve"> </w:t>
      </w:r>
      <w:r>
        <w:br/>
      </w:r>
    </w:p>
    <w:p>
      <w:pPr>
        <w:pStyle w:val="ListParagraph"/>
        <w:numPr>
          <w:ilvl w:val="0"/>
          <w:numId w:val="100508030"/>
        </w:numPr>
        <w:ind w:left="360"/>
      </w:pPr>
      <w:r>
        <w:t xml:space="preserve">Welke risico’s voor de maatwerkafspraken, de Staat en de belastingbetaler zijn er door de stapeling van alle schendingen van wet- en regelgeving (waarvan een aantal in vorige vragen genoemd), de bovengeschetste cultuur van het bedrijf en door de lopende rechtszaken? Kunt u met de Kamer delen welke adviezen u daarover heeft ontvangen?</w:t>
      </w:r>
      <w:r>
        <w:br/>
      </w:r>
      <w:r>
        <w:t xml:space="preserve"> </w:t>
      </w:r>
      <w:r>
        <w:br/>
      </w:r>
    </w:p>
    <w:p>
      <w:pPr>
        <w:pStyle w:val="ListParagraph"/>
        <w:numPr>
          <w:ilvl w:val="0"/>
          <w:numId w:val="100508030"/>
        </w:numPr>
        <w:ind w:left="360"/>
      </w:pPr>
      <w:r>
        <w:t xml:space="preserve">Kunt u uitgebreid uitleggen en onderbouwen hoe u de stapeling van alle schendingen van wet- en regelgeving en lopende onderzoeken en rechtszaken beoordeelt vanuit art.15.3 van de JLoI?</w:t>
      </w:r>
      <w:r>
        <w:br/>
      </w:r>
      <w:r>
        <w:t xml:space="preserve"> </w:t>
      </w:r>
      <w:r>
        <w:br/>
      </w:r>
    </w:p>
    <w:p>
      <w:pPr>
        <w:pStyle w:val="ListParagraph"/>
        <w:numPr>
          <w:ilvl w:val="0"/>
          <w:numId w:val="100508030"/>
        </w:numPr>
        <w:ind w:left="360"/>
      </w:pPr>
      <w:r>
        <w:t xml:space="preserve">Aangezien u eerder schreef dat bij het sluiten van een maatwerkafspraak het “van groot belang is dat het bedrijf wet- en regelgeving naleeft”, en Tata Steel zich al jaren niet aan wet- en regelgeving houdt, tot wanneer precies geeft u Tata Steel de tijd om eindelijk aan de wet- en regelgeving te voldoen?</w:t>
      </w:r>
      <w:r>
        <w:br/>
      </w:r>
      <w:r>
        <w:t xml:space="preserve"> </w:t>
      </w:r>
      <w:r>
        <w:br/>
      </w:r>
    </w:p>
    <w:p>
      <w:pPr>
        <w:pStyle w:val="ListParagraph"/>
        <w:numPr>
          <w:ilvl w:val="0"/>
          <w:numId w:val="100508030"/>
        </w:numPr>
        <w:ind w:left="360"/>
      </w:pPr>
      <w:r>
        <w:t xml:space="preserve">Kunt u uitsluiten dat u een maatwerkafspraak maakt met Tata Steel, als het bedrijf zich nog steeds niet aan wet- en regelgeving kan houden? Zo nee, wat is dan uw uitspraak over het belang van naleving van wet- en regelgeving waard?</w:t>
      </w:r>
      <w:r>
        <w:br/>
      </w:r>
      <w:r>
        <w:t xml:space="preserve"> </w:t>
      </w:r>
      <w:r>
        <w:br/>
      </w:r>
    </w:p>
    <w:p>
      <w:pPr>
        <w:pStyle w:val="ListParagraph"/>
        <w:numPr>
          <w:ilvl w:val="0"/>
          <w:numId w:val="100508030"/>
        </w:numPr>
        <w:ind w:left="360"/>
      </w:pPr>
      <w:r>
        <w:t xml:space="preserve">Aangezien Tata Steel zich jarenlang, structureel, niet aan wet- en regelgeving houdt en door toezichthouders “calculerend en opportunistisch’ wordt genoemd, welk signaal denkt u dat het afgeeft dat de Staat alsnog bereid is om zo’n bedrijf belastinggeld te geven? Waarom zou u Tata Steel belonen voor het jarenlang overtreden van regels, het traineren van handhaving en toezicht, het onvoldoende investeren in onderhoud en tijdige vervanging van fabrieken en het uitstoten van te veel kankerverwekkende stoffen waar mensen aantoonbaar ziek van worden?</w:t>
      </w:r>
      <w:r>
        <w:br/>
      </w:r>
    </w:p>
    <w:p>
      <w:pPr>
        <w:pStyle w:val="ListParagraph"/>
        <w:numPr>
          <w:ilvl w:val="0"/>
          <w:numId w:val="100508030"/>
        </w:numPr>
        <w:ind w:left="360"/>
      </w:pPr>
      <w:r>
        <w:t xml:space="preserve">Hoe beïnvloedt het vroegtijdig sluiten van KGF 2 en met name KGF 1 de levensvatbaarheid van de plannen zoals vastgelegd in de JLoI, aangezien het originele plan op basis waarvan de Staat de onderhandelingen in is gegaan, uitgaat van het nog jarenlang openhouden van KGF 1? Op welke onafhankelijke experts baseert u zich hierin?</w:t>
      </w:r>
      <w:r>
        <w:br/>
      </w:r>
      <w:r>
        <w:t xml:space="preserve"> </w:t>
      </w:r>
      <w:r>
        <w:br/>
      </w:r>
    </w:p>
    <w:p>
      <w:pPr>
        <w:pStyle w:val="ListParagraph"/>
        <w:numPr>
          <w:ilvl w:val="0"/>
          <w:numId w:val="100508030"/>
        </w:numPr>
        <w:ind w:left="360"/>
      </w:pPr>
      <w:r>
        <w:t xml:space="preserve">Hoe ziet het plan van Tata er dan nu precies uit, welke wijzigingen zijn/worden gemaakt ten opzichte van het plan op basis waarvan de Staat een JLoI is aangegaan?</w:t>
      </w:r>
      <w:r>
        <w:br/>
      </w:r>
    </w:p>
    <w:p>
      <w:pPr>
        <w:pStyle w:val="ListParagraph"/>
        <w:numPr>
          <w:ilvl w:val="0"/>
          <w:numId w:val="100508030"/>
        </w:numPr>
        <w:ind w:left="360"/>
      </w:pPr>
      <w:r>
        <w:t xml:space="preserve">Aangezien Tata Steel Nederland in 2025 een verlies van ruim 200 miljoen euro noteert, welk financieel risico neemt de Staat bij de toekenning van 2 miljard euro subsidie? Hoe is dit risico bepaald en afgewogen en kunt u de exacte onderbouwing daarvan delen met de Kamer?</w:t>
      </w:r>
      <w:r>
        <w:br/>
      </w:r>
    </w:p>
    <w:p>
      <w:pPr>
        <w:pStyle w:val="ListParagraph"/>
        <w:numPr>
          <w:ilvl w:val="0"/>
          <w:numId w:val="100508030"/>
        </w:numPr>
        <w:ind w:left="360"/>
      </w:pPr>
      <w:r>
        <w:t xml:space="preserve">Is dit risico volgens u nog verantwoord, nu de materiële en financiële situatie bij Tata Steel Nederland volledig anders is dan bij het ondertekenen van de JLoI en nu de auditor van Tata Steel spreekt van “material uncertainty to going concern”?[2] Kunt u nauwkeurig onderbouwen waarom wel/niet?</w:t>
      </w:r>
      <w:r>
        <w:br/>
      </w:r>
    </w:p>
    <w:p>
      <w:pPr>
        <w:pStyle w:val="ListParagraph"/>
        <w:numPr>
          <w:ilvl w:val="0"/>
          <w:numId w:val="100508030"/>
        </w:numPr>
        <w:ind w:left="360"/>
      </w:pPr>
      <w:r>
        <w:t xml:space="preserve">Hoe verhoudt de geambieerde staatssteun zich nog tot de financiële feiten, gezien het oordeel van de auditor van Tata Steel dat de aangekondigde intrekking van vergunningen “material uncertainty to going concern” oplevert, gezien het feit dat Tata Nederland een verlies van ruim 200 miljoen euro noteert én gezien het feit dat volgens Europese regels geen staatssteun gegeven mag worden aan een financieel noodlijdend bedrijf? Hoe onderbouwt u dit en op welke onafhankelijke experts baseert u zich?</w:t>
      </w:r>
      <w:r>
        <w:br/>
      </w:r>
    </w:p>
    <w:p>
      <w:pPr>
        <w:pStyle w:val="ListParagraph"/>
        <w:numPr>
          <w:ilvl w:val="0"/>
          <w:numId w:val="100508030"/>
        </w:numPr>
        <w:ind w:left="360"/>
      </w:pPr>
      <w:r>
        <w:t xml:space="preserve">Heeft u naar aanleiding van de ontstane situatie al contact gehad met de Europese Commissie, die de eventuele subsidie moet goedkeuren in lijn met de Europese regels? Zo ja, kunt u de inhoudelijke reactie van de Commissie met de Kamer delen?</w:t>
      </w:r>
      <w:r>
        <w:br/>
      </w:r>
    </w:p>
    <w:p>
      <w:pPr>
        <w:pStyle w:val="ListParagraph"/>
        <w:numPr>
          <w:ilvl w:val="0"/>
          <w:numId w:val="100508030"/>
        </w:numPr>
        <w:ind w:left="360"/>
      </w:pPr>
      <w:r>
        <w:t xml:space="preserve">Aangezien tijdens de aandeelhoudersvergadering op 16 mei jongstleden CEO Thachat Narendran de volgende uitspraak over de winstgevendheid van Tata Steel Nederland bij het sluiten van de beide kooksfabrieken heeft gedaan: “</w:t>
      </w:r>
      <w:r>
        <w:rPr>
          <w:i w:val="1"/>
          <w:iCs w:val="1"/>
        </w:rPr>
        <w:t xml:space="preserve">So going forward, if the coke ovens close, we expect it to continue to be EBITDA positive, maybe making less EBITDA than we had hopefully would make, but it will always be EBITDA positive. And so far, the Netherlands operation has operated without any support from India. So I think we expect that to continue”</w:t>
      </w:r>
      <w:r>
        <w:rPr>
          <w:i w:val="1"/>
          <w:iCs w:val="1"/>
          <w:b w:val="1"/>
          <w:bCs w:val="1"/>
        </w:rPr>
        <w:t xml:space="preserve">[3]</w:t>
      </w:r>
      <w:r>
        <w:rPr>
          <w:i w:val="1"/>
          <w:iCs w:val="1"/>
        </w:rPr>
        <w:t xml:space="preserve">, </w:t>
      </w:r>
      <w:r>
        <w:rPr/>
        <w:t xml:space="preserve">onderschrijft de minister dat de overgangstermijn voor het sluiten van de beide kooksgasfabrieken beperkt kan worden tot de technische haalbaarheid? Zo nee, waarom niet?</w:t>
      </w:r>
      <w:r>
        <w:br/>
      </w:r>
      <w:r>
        <w:t xml:space="preserve"> </w:t>
      </w:r>
      <w:r>
        <w:br/>
      </w:r>
    </w:p>
    <w:p>
      <w:pPr>
        <w:pStyle w:val="ListParagraph"/>
        <w:numPr>
          <w:ilvl w:val="0"/>
          <w:numId w:val="100508030"/>
        </w:numPr>
        <w:ind w:left="360"/>
      </w:pPr>
      <w:r>
        <w:t xml:space="preserve">Is de datum van de sluiting van de kooksgasfabrieken onderwerp van de onderhandelingen, of is dit een zuiver technische afweging van de omgevingsdienst?</w:t>
      </w:r>
      <w:r>
        <w:br/>
      </w:r>
      <w:r>
        <w:t xml:space="preserve"> </w:t>
      </w:r>
      <w:r>
        <w:br/>
      </w:r>
    </w:p>
    <w:p>
      <w:pPr>
        <w:pStyle w:val="ListParagraph"/>
        <w:numPr>
          <w:ilvl w:val="0"/>
          <w:numId w:val="100508030"/>
        </w:numPr>
        <w:ind w:left="360"/>
      </w:pPr>
      <w:r>
        <w:t xml:space="preserve">Wat vindt u ervan dat de omwonenden al heel lang aandringen op sluiting van de kooksgasfabrieken wegens jarenlange overtredingen van de regels, maar dat Tata Steel de provincie Noord-Holland en de Tweede Kamer steeds heeft voorgehouden dat het een vroegtijdige sluiting van alleen al KGF 2 financieel niet kan dragen?</w:t>
      </w:r>
      <w:r>
        <w:br/>
      </w:r>
      <w:r>
        <w:t xml:space="preserve"> </w:t>
      </w:r>
      <w:r>
        <w:br/>
      </w:r>
    </w:p>
    <w:p>
      <w:pPr>
        <w:pStyle w:val="ListParagraph"/>
        <w:numPr>
          <w:ilvl w:val="0"/>
          <w:numId w:val="100508030"/>
        </w:numPr>
        <w:ind w:left="360"/>
      </w:pPr>
      <w:r>
        <w:t xml:space="preserve">Beweert Tata Steel nu wel die vroegtijdige sluiting van de kooksgasfabrieken te kunnen betalen en, zo ja, hoe en wat is er dan precies veranderd in die korte tijd?</w:t>
      </w:r>
      <w:r>
        <w:br/>
      </w:r>
    </w:p>
    <w:p>
      <w:pPr>
        <w:pStyle w:val="ListParagraph"/>
        <w:numPr>
          <w:ilvl w:val="0"/>
          <w:numId w:val="100508030"/>
        </w:numPr>
        <w:ind w:left="360"/>
      </w:pPr>
      <w:r>
        <w:t xml:space="preserve">Gezien artikel 15.4 van de JLoI waarin opzeggronden voor Tata zijn bepaald voor de inspanningsverplichting rondom de maatwerkafspraken, hoe interpreteert u deze zin uit het persbericht van Tata India: “</w:t>
      </w:r>
      <w:r>
        <w:rPr>
          <w:i w:val="1"/>
          <w:iCs w:val="1"/>
        </w:rPr>
        <w:t xml:space="preserve">Tata Steel Netherlands is also engaged with the regulators on evolving standards relating to classification and disposal of steel slag, where local requirements in Netherlands now not only exceed EU standards but are threatening to become infeasible.</w:t>
      </w:r>
      <w:r>
        <w:rPr/>
        <w:t xml:space="preserve">”?</w:t>
      </w:r>
      <w:r>
        <w:br/>
      </w:r>
    </w:p>
    <w:p>
      <w:pPr>
        <w:pStyle w:val="ListParagraph"/>
        <w:numPr>
          <w:ilvl w:val="0"/>
          <w:numId w:val="100508030"/>
        </w:numPr>
        <w:ind w:left="360"/>
      </w:pPr>
      <w:r>
        <w:t xml:space="preserve">Aangezien de beslisnota van 18 mei schrijft dat het kabinet een vinger aan de pols hierover houdt en dat wordt onderzocht of en, zo ja, welke implicaties dit voor de maatwerkafspraak met het bedrijf heeft, kunt u precies uitleggen wat u bedoelt met het onderzoek en welke implicaties mogelijk zijn?</w:t>
      </w:r>
      <w:r>
        <w:br/>
      </w:r>
      <w:r>
        <w:t xml:space="preserve"> </w:t>
      </w:r>
      <w:r>
        <w:br/>
      </w:r>
    </w:p>
    <w:p>
      <w:pPr>
        <w:pStyle w:val="ListParagraph"/>
        <w:numPr>
          <w:ilvl w:val="0"/>
          <w:numId w:val="100508030"/>
        </w:numPr>
        <w:ind w:left="360"/>
      </w:pPr>
      <w:r>
        <w:t xml:space="preserve">Houdt u daarbij de uitvoering van de opdracht van de moties-Zalinyan/Kostic (Kamerstuk 28089, nr. 343) en -Teunissen c.s. (Kamerstuk 29383, nr. 428) nog scherp, en zorgt u ervoor dat onderhandelingen over de maatwerkafspraken op geen enkele manier invloed hebben op de noodzakelijke beleidsstappen die moeten worden gezet om mens, dier en milieu (uit voorzorg) te beschermen tegen staalslakken?</w:t>
      </w:r>
      <w:r>
        <w:br/>
      </w:r>
    </w:p>
    <w:p>
      <w:pPr>
        <w:pStyle w:val="ListParagraph"/>
        <w:numPr>
          <w:ilvl w:val="0"/>
          <w:numId w:val="100508030"/>
        </w:numPr>
        <w:ind w:left="360"/>
      </w:pPr>
      <w:r>
        <w:t xml:space="preserve">Hoe interpreteert u het feit dat in het laatste kwartaalverslag van Tata Steel India voor het eerst in twee jaar (en dus acht kwartaalverslagen) het “Groen” Staalplan en de maatwerkafspraken niet worden genoemd in de investeerderspresentatie?</w:t>
      </w:r>
      <w:r>
        <w:br/>
      </w:r>
    </w:p>
    <w:p>
      <w:pPr>
        <w:pStyle w:val="ListParagraph"/>
        <w:numPr>
          <w:ilvl w:val="0"/>
          <w:numId w:val="100508030"/>
        </w:numPr>
        <w:ind w:left="360"/>
      </w:pPr>
      <w:r>
        <w:t xml:space="preserve">Aangezien Tata India investeerders liet weten dat er onzekerheid is rondom de plannen in Nederland en de CFO tijdens de investors call zei; “</w:t>
      </w:r>
      <w:r>
        <w:rPr>
          <w:i w:val="1"/>
          <w:iCs w:val="1"/>
        </w:rPr>
        <w:t xml:space="preserve">there is an alternative path forward too</w:t>
      </w:r>
      <w:r>
        <w:rPr/>
        <w:t xml:space="preserve">", bent u op de hoogte van dat alternatieve pad? Zo ja, kunt u de Kamer daar zo snel mogelijk, maar in ieder geval bij de beantwoording van deze vragen, schriftelijk over informeren?</w:t>
      </w:r>
      <w:r>
        <w:br/>
      </w:r>
    </w:p>
    <w:p>
      <w:pPr>
        <w:pStyle w:val="ListParagraph"/>
        <w:numPr>
          <w:ilvl w:val="0"/>
          <w:numId w:val="100508030"/>
        </w:numPr>
        <w:ind w:left="360"/>
      </w:pPr>
      <w:r>
        <w:t xml:space="preserve">Bent u zelf ook bezig met een plan B, tegen de achtergrond van deze ontwikkelingen en de mogelijke gevolgen van die ontwikkelingen voor de inwoners van de IJmond en meer specifiek de werknemers van Tata Steel? Waarom wel/niet? Zo ja, kunt u de Kamer dan zo snel mogelijk informeren over alternatieve plannen?</w:t>
      </w:r>
      <w:r>
        <w:br/>
      </w:r>
      <w:r>
        <w:t xml:space="preserve"> </w:t>
      </w:r>
      <w:r>
        <w:br/>
      </w:r>
    </w:p>
    <w:p>
      <w:pPr>
        <w:pStyle w:val="ListParagraph"/>
        <w:numPr>
          <w:ilvl w:val="0"/>
          <w:numId w:val="100508030"/>
        </w:numPr>
        <w:ind w:left="360"/>
      </w:pPr>
      <w:r>
        <w:t xml:space="preserve">Kunt u deze vragen afzonderlijk en vóór half juni 2026 beantwoorden, gezien de urgentie?</w:t>
      </w:r>
      <w:r>
        <w:br/>
      </w:r>
    </w:p>
    <w:p>
      <w:r>
        <w:t xml:space="preserve"> </w:t>
      </w:r>
      <w:r>
        <w:br/>
      </w:r>
    </w:p>
    <w:p>
      <w:r>
        <w:t xml:space="preserve"> </w:t>
      </w:r>
      <w:r>
        <w:br/>
      </w:r>
    </w:p>
    <w:p>
      <w:r>
        <w:t xml:space="preserve">[1] Website ILT, 'Strafrechtelijk onderzoek naar Tata Steel' (https://www.ilent.nl/ilt-iod/het-werk-van-de-ilt-iod/strafrechtelijk-onderzoek-naar-tata-steel)</w:t>
      </w:r>
      <w:r>
        <w:br/>
      </w:r>
    </w:p>
    <w:p>
      <w:r>
        <w:t xml:space="preserve">[2] Website Tata Steel, 15 mei 2026, 'Tata Steel reports Consolidated EBITDA of Rs 34,848 crores and Profit after Tax of Rs 10,886 crores for the twelve months ended March 31, 2026'(https://www.tatasteel.com/newsroom/press-releases/india/2026/tata-steel-reports-consolidated-ebitda-of-rs-34-848-crores-and-profit-after-tax-of-rs-10-886-crores-for-the-twelve-months-ended-march-31-2026/)</w:t>
      </w:r>
      <w:r>
        <w:br/>
      </w:r>
    </w:p>
    <w:p>
      <w:r>
        <w:t xml:space="preserve">[3] Website Seeking Alpha, 16 mei 2026, 'Tata Steel limited (TATLY) Q4 2026 Earnings Call Transcript' (https://seekingalpha.com/article/4905638-tata-steel-limited-tatly-q4-2026-earnings-call-transcript?mailingid=45748013&amp;messageid=2800&amp;position=rta_analysis_fullsummary_main_3_textlink&amp;serial=45748013.50&amp;source=email_2800&amp;utm_campaign=rta-stock-article&amp;utm_medium=email&amp;utm_source=seeking_alpha&amp;utm_term=45748013.50)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920">
    <w:abstractNumId w:val="100507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