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2026Z10558</w:t>
        <w:br/>
      </w:r>
      <w:proofErr w:type="spellEnd"/>
    </w:p>
    <w:p>
      <w:pPr>
        <w:pStyle w:val="Normal"/>
        <w:rPr>
          <w:b w:val="1"/>
          <w:bCs w:val="1"/>
        </w:rPr>
      </w:pPr>
      <w:r w:rsidR="250AE766">
        <w:rPr>
          <w:b w:val="0"/>
          <w:bCs w:val="0"/>
        </w:rPr>
        <w:t>(ingezonden 21 mei 2026)</w:t>
        <w:br/>
      </w:r>
    </w:p>
    <w:p>
      <w:r>
        <w:t xml:space="preserve">Vragen van de leden Bühler en Lohman (beiden CDA) aan de ministers van Economische Zaken en Klimaat en van Buitenlandse Handel en Ontwikkelingssamenwerking over het artikel ‘Zelfs tijdens het Amerikaanse bezoek van de koning lagen mogelijke exportrestricties voor ASML op tafel’ </w:t>
      </w:r>
      <w:r>
        <w:br/>
      </w:r>
    </w:p>
    <w:p>
      <w:r>
        <w:t xml:space="preserve"> </w:t>
      </w:r>
      <w:r>
        <w:br/>
      </w:r>
    </w:p>
    <w:p>
      <w:pPr>
        <w:pStyle w:val="ListParagraph"/>
        <w:numPr>
          <w:ilvl w:val="0"/>
          <w:numId w:val="100507980"/>
        </w:numPr>
        <w:ind w:left="360"/>
      </w:pPr>
      <w:r>
        <w:t xml:space="preserve">Heeft u kennisgenomen van het artikel 'Zelfs tijdens het Amerikaanse bezoek van de koning lagen mogelijke exportrestricties voor ASML op tafel'? (1)</w:t>
      </w:r>
      <w:r>
        <w:br/>
      </w:r>
    </w:p>
    <w:p>
      <w:pPr>
        <w:pStyle w:val="ListParagraph"/>
        <w:numPr>
          <w:ilvl w:val="0"/>
          <w:numId w:val="100507980"/>
        </w:numPr>
        <w:ind w:left="360"/>
      </w:pPr>
      <w:r>
        <w:t xml:space="preserve">Op welke wijze trekt u in deze casus samen op met andere bondgenoten die mogelijk eveneens gevolgen ondervinden van het Amerikaanse wetsvoorstel MATCH Act (Multilateral Alignment of Technology Controls on Hardware)?</w:t>
      </w:r>
      <w:r>
        <w:br/>
      </w:r>
    </w:p>
    <w:p>
      <w:pPr>
        <w:pStyle w:val="ListParagraph"/>
        <w:numPr>
          <w:ilvl w:val="0"/>
          <w:numId w:val="100507980"/>
        </w:numPr>
        <w:ind w:left="360"/>
      </w:pPr>
      <w:r>
        <w:t xml:space="preserve">Hoe beoordeelt u inhoud en reikwijdte van de voorgestelde MATCH Act in het licht van bestaande bilaterale en multilaterale afspraken over exportcontrole en economische samenwerking met de Verenigde Staten?</w:t>
      </w:r>
      <w:r>
        <w:br/>
      </w:r>
    </w:p>
    <w:p>
      <w:pPr>
        <w:pStyle w:val="ListParagraph"/>
        <w:numPr>
          <w:ilvl w:val="0"/>
          <w:numId w:val="100507980"/>
        </w:numPr>
        <w:ind w:left="360"/>
      </w:pPr>
      <w:r>
        <w:t xml:space="preserve">Hoe duidt u de mogelijke extraterritoriale werking van deze Amerikaanse wet, waarbij van bondgenoten wordt verlangd hun exportbeleid aan te passen, en hoe verhoudt dit zich tot Nederlandse en Europese beleidsautonomie?</w:t>
      </w:r>
      <w:r>
        <w:br/>
      </w:r>
    </w:p>
    <w:p>
      <w:pPr>
        <w:pStyle w:val="ListParagraph"/>
        <w:numPr>
          <w:ilvl w:val="0"/>
          <w:numId w:val="100507980"/>
        </w:numPr>
        <w:ind w:left="360"/>
      </w:pPr>
      <w:r>
        <w:t xml:space="preserve">Welke gevolgen kunnen ontstaan indien de MATCH Act wordt aangenomen en bondgenoten niet overgaan tot aanscherping van hun eigen exportwetgeving?</w:t>
      </w:r>
      <w:r>
        <w:br/>
      </w:r>
    </w:p>
    <w:p>
      <w:pPr>
        <w:pStyle w:val="ListParagraph"/>
        <w:numPr>
          <w:ilvl w:val="0"/>
          <w:numId w:val="100507980"/>
        </w:numPr>
        <w:ind w:left="360"/>
      </w:pPr>
      <w:r>
        <w:t xml:space="preserve">In hoeverre acht u het risico reëel dat een serviceverbod kan leiden tot juridische claims wegens contractbreuk tegen ASML of Nederlandse toeleveranciers?</w:t>
      </w:r>
      <w:r>
        <w:br/>
      </w:r>
    </w:p>
    <w:p>
      <w:pPr>
        <w:pStyle w:val="ListParagraph"/>
        <w:numPr>
          <w:ilvl w:val="0"/>
          <w:numId w:val="100507980"/>
        </w:numPr>
        <w:ind w:left="360"/>
      </w:pPr>
      <w:r>
        <w:t xml:space="preserve">Kunt u aangeven of bestaande Nederlandse of Europese instrumenten bedrijven kunnen beschermen tegen eventuele extraterritoriale toepassing van Amerikaanse wetgeving?</w:t>
      </w:r>
      <w:r>
        <w:br/>
      </w:r>
    </w:p>
    <w:p>
      <w:pPr>
        <w:pStyle w:val="ListParagraph"/>
        <w:numPr>
          <w:ilvl w:val="0"/>
          <w:numId w:val="100507980"/>
        </w:numPr>
        <w:ind w:left="360"/>
      </w:pPr>
      <w:r>
        <w:t xml:space="preserve">Hoe voorkomt u dat legitieme veiligheidszorgen rond China in de praktijk leiden tot onevenredige economische nadelen voor Europese bedrijven?</w:t>
      </w:r>
      <w:r>
        <w:br/>
      </w:r>
    </w:p>
    <w:p>
      <w:pPr>
        <w:pStyle w:val="ListParagraph"/>
        <w:numPr>
          <w:ilvl w:val="0"/>
          <w:numId w:val="100507980"/>
        </w:numPr>
        <w:ind w:left="360"/>
      </w:pPr>
      <w:r>
        <w:t xml:space="preserve">Welke Chinese tegenmaatregelen acht u realistisch indien de MATCH Act in de huidige vorm wordt aangenomen, en welke gevolgen zouden dergelijke maatregelen kunnen hebben voor Nederlandse bedrijven in de halfgeleidersector?</w:t>
      </w:r>
      <w:r>
        <w:br/>
      </w:r>
    </w:p>
    <w:p>
      <w:pPr>
        <w:pStyle w:val="ListParagraph"/>
        <w:numPr>
          <w:ilvl w:val="0"/>
          <w:numId w:val="100507980"/>
        </w:numPr>
        <w:ind w:left="360"/>
      </w:pPr>
      <w:r>
        <w:t xml:space="preserve">Kunt u de Kamer informeren over de gevolgen van een mogelijke Chinese "Malicious Entity List” voor Nederlandse bedrijven? (2) </w:t>
      </w:r>
      <w:r>
        <w:br/>
      </w:r>
    </w:p>
    <w:p>
      <w:r>
        <w:t xml:space="preserve"> </w:t>
      </w:r>
      <w:r>
        <w:br/>
      </w:r>
    </w:p>
    <w:p>
      <w:r>
        <w:t xml:space="preserve"> 1) Trouw, 18 mei 2026, 'Zelfs tijdens het Amerikaanse bezoek van de koning lagen mogelijke exportrestricties voor ASML op tafel' </w:t>
      </w:r>
      <w:r>
        <w:rPr>
          <w:u w:val="single"/>
        </w:rPr>
        <w:t xml:space="preserve">Zelfs tijdens het Amerikaanse bezoek van de koning lagen mogelijke exportrestricties voor ASML op tafel | Trouw</w:t>
      </w:r>
      <w:r>
        <w:rPr/>
        <w:t xml:space="preserve"/>
      </w:r>
      <w:r>
        <w:br/>
      </w:r>
    </w:p>
    <w:p>
      <w:r>
        <w:t xml:space="preserve"> </w:t>
      </w:r>
      <w:r>
        <w:rPr>
          <w:u w:val="single"/>
        </w:rPr>
        <w:t xml:space="preserve">2)</w:t>
      </w:r>
      <w:r>
        <w:rPr/>
        <w:t xml:space="preserve">Reuters, 13 mei 2026, 'China Criticizes US Chip Equipment Bill in Run-Up to Beijing Talks' </w:t>
      </w:r>
      <w:r>
        <w:rPr>
          <w:u w:val="single"/>
        </w:rPr>
        <w:t xml:space="preserve">https://www.reuters.com/legal/government/china-criticizes-us-chip-equipment-bill-run-up-beijing-talks-2026-05-13/</w:t>
      </w:r>
      <w:r>
        <w:rPr/>
        <w:t xml:space="preserv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920">
    <w:abstractNumId w:val="100507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