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CD3" w:rsidP="00C875A8" w:rsidRDefault="00114CD3" w14:paraId="59A85713" w14:textId="4DADF443">
      <w:r>
        <w:t xml:space="preserve">Hierbij </w:t>
      </w:r>
      <w:r w:rsidR="004E78B4">
        <w:t xml:space="preserve">stuur </w:t>
      </w:r>
      <w:r>
        <w:t>ik u de zesde editie van de Fraudemonitor</w:t>
      </w:r>
      <w:r w:rsidR="00C875A8">
        <w:t>,</w:t>
      </w:r>
      <w:r>
        <w:t xml:space="preserve"> voor de jaren 2023-2024. </w:t>
      </w:r>
      <w:r w:rsidR="004E314E">
        <w:t xml:space="preserve">Het Openbaar Ministerie (OM) geeft </w:t>
      </w:r>
      <w:r w:rsidR="004E78B4">
        <w:t xml:space="preserve">in </w:t>
      </w:r>
      <w:r w:rsidR="004E314E">
        <w:t xml:space="preserve">de </w:t>
      </w:r>
      <w:r w:rsidRPr="004B2E42">
        <w:t>Fraudemonitor een beeld van de strafrechtelijke prestaties in de bestrijding van fraude</w:t>
      </w:r>
      <w:r w:rsidR="00797307">
        <w:t xml:space="preserve">, uitgedrukt in </w:t>
      </w:r>
      <w:r w:rsidRPr="004B2E42" w:rsidR="00797307">
        <w:t>cijfers</w:t>
      </w:r>
      <w:r w:rsidR="00797307">
        <w:t xml:space="preserve"> en </w:t>
      </w:r>
      <w:r w:rsidRPr="004B2E42" w:rsidR="00797307">
        <w:t>geïllustreerd met concrete voorbeelden</w:t>
      </w:r>
      <w:r w:rsidRPr="004B2E42">
        <w:t>. Het gaat om zowel verticale fraude waarbij de overheid wordt benadeeld als horizontale fraude waarbij burgers en bedrijven worden benadeeld. Daarbij wordt ook de in- en uitstroom van zaken in voornoemde jaren toegelicht, inclusief de afdoeningsvormen door het OM of de rechter.</w:t>
      </w:r>
    </w:p>
    <w:p w:rsidR="00114CD3" w:rsidP="00114CD3" w:rsidRDefault="00114CD3" w14:paraId="2A215D67" w14:textId="77777777"/>
    <w:p w:rsidR="00114CD3" w:rsidP="00114CD3" w:rsidRDefault="00114CD3" w14:paraId="5D0908AA" w14:textId="77777777">
      <w:pPr>
        <w:rPr>
          <w:b/>
          <w:bCs/>
        </w:rPr>
      </w:pPr>
      <w:r w:rsidRPr="004B2E42">
        <w:rPr>
          <w:b/>
          <w:bCs/>
        </w:rPr>
        <w:t xml:space="preserve">Verticale fraude </w:t>
      </w:r>
    </w:p>
    <w:p w:rsidR="00797307" w:rsidP="00797307" w:rsidRDefault="00797307" w14:paraId="30441EF1" w14:textId="6BC541B8">
      <w:r w:rsidRPr="00797307">
        <w:t xml:space="preserve">Het zwaartepunt van opsporing en vervolging van fraude waarbij de overheid is </w:t>
      </w:r>
      <w:r w:rsidRPr="00F31F0F">
        <w:t>benadeeld, ligt bij het Functioneel Parket (FP) en de bijzondere opsporingsdiensten (</w:t>
      </w:r>
      <w:proofErr w:type="spellStart"/>
      <w:r w:rsidRPr="00F31F0F">
        <w:t>BOD-en</w:t>
      </w:r>
      <w:proofErr w:type="spellEnd"/>
      <w:r w:rsidRPr="00F31F0F">
        <w:t xml:space="preserve">). De capaciteit bij de </w:t>
      </w:r>
      <w:r w:rsidR="00900453">
        <w:t>Fi</w:t>
      </w:r>
      <w:r w:rsidR="0092425F">
        <w:t>scale</w:t>
      </w:r>
      <w:r w:rsidR="00900453">
        <w:t xml:space="preserve"> Inlichtingen- en Opsporingsdienst (</w:t>
      </w:r>
      <w:r w:rsidRPr="00F31F0F">
        <w:t>FIOD</w:t>
      </w:r>
      <w:r w:rsidR="00900453">
        <w:t>)</w:t>
      </w:r>
      <w:r w:rsidRPr="00F31F0F">
        <w:t xml:space="preserve">, uitgedrukt in </w:t>
      </w:r>
      <w:proofErr w:type="spellStart"/>
      <w:r w:rsidRPr="00F31F0F">
        <w:t>onderzoeksuren</w:t>
      </w:r>
      <w:proofErr w:type="spellEnd"/>
      <w:r w:rsidRPr="00F31F0F">
        <w:t xml:space="preserve">, is </w:t>
      </w:r>
      <w:r w:rsidRPr="00F31F0F" w:rsidR="00F31F0F">
        <w:t xml:space="preserve">gestegen </w:t>
      </w:r>
      <w:r w:rsidRPr="00F31F0F">
        <w:t>ten opzichte</w:t>
      </w:r>
      <w:r>
        <w:t xml:space="preserve"> van de vorige </w:t>
      </w:r>
      <w:r w:rsidR="005F7FE5">
        <w:t>F</w:t>
      </w:r>
      <w:r>
        <w:t>raudemonitor.</w:t>
      </w:r>
    </w:p>
    <w:p w:rsidR="00C875A8" w:rsidP="00797307" w:rsidRDefault="00C875A8" w14:paraId="4D73EFB6" w14:textId="77777777"/>
    <w:p w:rsidR="00AD6414" w:rsidP="00574F79" w:rsidRDefault="005F7FE5" w14:paraId="49EB2C56" w14:textId="77777777">
      <w:r>
        <w:t xml:space="preserve">De </w:t>
      </w:r>
      <w:r w:rsidR="00797307">
        <w:t xml:space="preserve">Nederlandse Arbeidsinspectie </w:t>
      </w:r>
      <w:r w:rsidR="00A05679">
        <w:t xml:space="preserve">(NLA) </w:t>
      </w:r>
      <w:r>
        <w:t xml:space="preserve">heeft </w:t>
      </w:r>
      <w:r w:rsidR="00797307">
        <w:t xml:space="preserve">nadere invulling </w:t>
      </w:r>
      <w:r w:rsidR="000D2FF6">
        <w:t xml:space="preserve">gegeven </w:t>
      </w:r>
      <w:r w:rsidR="00797307">
        <w:t>aan</w:t>
      </w:r>
      <w:r w:rsidR="00574F79">
        <w:t xml:space="preserve"> </w:t>
      </w:r>
      <w:r w:rsidRPr="00574F79" w:rsidR="00574F79">
        <w:t>een eerder gestart traject waarbinnen wordt gekeken of, naast het doen van strafrechtelijke onderzoeken, andere en wellicht effectievere interventiemogelijkheden vanuit het FP en de NLA kunnen worden ingezet.</w:t>
      </w:r>
      <w:r w:rsidR="00797307">
        <w:t xml:space="preserve"> </w:t>
      </w:r>
    </w:p>
    <w:p w:rsidR="00AD6414" w:rsidP="00574F79" w:rsidRDefault="00AD6414" w14:paraId="283E775C" w14:textId="77777777"/>
    <w:p w:rsidRPr="00797307" w:rsidR="00797307" w:rsidP="00574F79" w:rsidRDefault="00797307" w14:paraId="305ABE49" w14:textId="6E1C2CAF">
      <w:r>
        <w:t>Daarnaast hebben de Nederlandse Voedsel- en Warenautoriteit (NVWA) en de Inspectie Leefomgeving en Transport (ILT) een prioritering aangebracht in de veelheid van onderw</w:t>
      </w:r>
      <w:r w:rsidRPr="004E78B4">
        <w:t>erpen waar zij toezicht</w:t>
      </w:r>
      <w:r>
        <w:t xml:space="preserve"> op houden. </w:t>
      </w:r>
    </w:p>
    <w:p w:rsidRPr="004B2E42" w:rsidR="00114CD3" w:rsidP="00114CD3" w:rsidRDefault="00114CD3" w14:paraId="3E9E5034" w14:textId="77777777">
      <w:pPr>
        <w:rPr>
          <w:b/>
          <w:bCs/>
        </w:rPr>
      </w:pPr>
    </w:p>
    <w:p w:rsidR="00114CD3" w:rsidP="00114CD3" w:rsidRDefault="00114CD3" w14:paraId="5A77AAB0" w14:textId="77777777">
      <w:pPr>
        <w:rPr>
          <w:b/>
          <w:bCs/>
        </w:rPr>
      </w:pPr>
      <w:r w:rsidRPr="004B2E42">
        <w:rPr>
          <w:b/>
          <w:bCs/>
        </w:rPr>
        <w:t>Horizontale fraude</w:t>
      </w:r>
    </w:p>
    <w:p w:rsidR="00B16078" w:rsidP="00C271DB" w:rsidRDefault="004E314E" w14:paraId="12571757" w14:textId="77777777">
      <w:r w:rsidRPr="004E314E">
        <w:t>Horizontale fraude valt uiteen in verschillende fraudevormen, zoals onder meer fraude met betaalproducten, faillissementsfraude en</w:t>
      </w:r>
      <w:r w:rsidR="005F7FE5">
        <w:t xml:space="preserve"> oplichting</w:t>
      </w:r>
      <w:r w:rsidRPr="004E314E">
        <w:t xml:space="preserve">. </w:t>
      </w:r>
      <w:r w:rsidRPr="00CA6A3E" w:rsidR="00CA6A3E">
        <w:t>De benadeling van burgers en bedrijven door middel van horizontale fraude is de afgelopen jaren met name tot uitdrukking gekomen in verschillende online vormen van fraude.</w:t>
      </w:r>
      <w:r w:rsidR="00FB02C8">
        <w:t xml:space="preserve"> </w:t>
      </w:r>
      <w:r w:rsidR="00F36A23">
        <w:t>De grootste categorieën binnen online fraude zijn fraude met betaalproducten</w:t>
      </w:r>
      <w:r w:rsidR="00FB02C8">
        <w:t xml:space="preserve">, </w:t>
      </w:r>
      <w:r w:rsidR="00CB0480">
        <w:t xml:space="preserve">zoals </w:t>
      </w:r>
      <w:r w:rsidR="00F36A23">
        <w:t>skimming</w:t>
      </w:r>
      <w:r w:rsidR="00CB0480">
        <w:t xml:space="preserve">, </w:t>
      </w:r>
      <w:proofErr w:type="spellStart"/>
      <w:r w:rsidR="00CB0480">
        <w:t>phishing</w:t>
      </w:r>
      <w:proofErr w:type="spellEnd"/>
      <w:r w:rsidR="00CB0480">
        <w:t xml:space="preserve"> en </w:t>
      </w:r>
      <w:r w:rsidR="00F36A23">
        <w:t>creditcard</w:t>
      </w:r>
      <w:r w:rsidR="00CB0480">
        <w:t>fraude</w:t>
      </w:r>
      <w:r w:rsidR="00FB02C8">
        <w:t xml:space="preserve"> (850 in 2023 en 763 in 2024)</w:t>
      </w:r>
      <w:r w:rsidR="00F36A23">
        <w:t xml:space="preserve"> en fraude met betaalproducten waarbij </w:t>
      </w:r>
      <w:r w:rsidR="00CB0480">
        <w:t xml:space="preserve">sprake is van </w:t>
      </w:r>
      <w:proofErr w:type="spellStart"/>
      <w:r w:rsidR="00CB0480">
        <w:t>geldezelschap</w:t>
      </w:r>
      <w:proofErr w:type="spellEnd"/>
      <w:r w:rsidR="00CB0480">
        <w:t xml:space="preserve"> </w:t>
      </w:r>
      <w:r w:rsidR="00FB02C8">
        <w:t>(892 in 2023 en 898 in 2024)</w:t>
      </w:r>
      <w:r w:rsidR="00F36A23">
        <w:t xml:space="preserve">. </w:t>
      </w:r>
      <w:r w:rsidR="00A105AF">
        <w:t>Een overig groot deel van de meldingen ziet op fraude met online handel (388 in 2023 en 568 in 2024)</w:t>
      </w:r>
      <w:r w:rsidRPr="00C952A6" w:rsidR="00A105AF">
        <w:t xml:space="preserve">. </w:t>
      </w:r>
    </w:p>
    <w:p w:rsidR="00C875A8" w:rsidP="00C271DB" w:rsidRDefault="00C875A8" w14:paraId="2D669F2F" w14:textId="77777777"/>
    <w:p w:rsidR="00C271DB" w:rsidP="00C271DB" w:rsidRDefault="00FF46CB" w14:paraId="513862E9" w14:textId="6BBF89D8">
      <w:r>
        <w:t>De Fraude</w:t>
      </w:r>
      <w:r w:rsidRPr="00C952A6">
        <w:t>monitor</w:t>
      </w:r>
      <w:r>
        <w:t xml:space="preserve"> bevat enkel gegevens over</w:t>
      </w:r>
      <w:r w:rsidRPr="00C952A6">
        <w:t xml:space="preserve"> geregistreerde criminaliteit</w:t>
      </w:r>
      <w:r w:rsidR="00C875A8">
        <w:t>. H</w:t>
      </w:r>
      <w:r>
        <w:t xml:space="preserve">et daadwerkelijke </w:t>
      </w:r>
      <w:r w:rsidRPr="00C952A6">
        <w:t xml:space="preserve">aantal slachtoffers </w:t>
      </w:r>
      <w:r>
        <w:t xml:space="preserve">is veel </w:t>
      </w:r>
      <w:r w:rsidRPr="00C952A6">
        <w:t>groter.</w:t>
      </w:r>
      <w:r>
        <w:t xml:space="preserve"> </w:t>
      </w:r>
      <w:r w:rsidRPr="00C952A6" w:rsidR="00C952A6">
        <w:t xml:space="preserve">Uit </w:t>
      </w:r>
      <w:r w:rsidR="00CB0480">
        <w:t>de V</w:t>
      </w:r>
      <w:r w:rsidRPr="00C952A6" w:rsidR="00C952A6">
        <w:t xml:space="preserve">eiligheidsmonitor blijkt bovendien </w:t>
      </w:r>
      <w:r w:rsidR="0092425F">
        <w:t>dat i</w:t>
      </w:r>
      <w:r w:rsidRPr="0092425F" w:rsidR="0092425F">
        <w:t xml:space="preserve">n 2025 </w:t>
      </w:r>
      <w:r w:rsidR="0092425F">
        <w:t xml:space="preserve">10 </w:t>
      </w:r>
      <w:r w:rsidRPr="0092425F" w:rsidR="0092425F">
        <w:t xml:space="preserve">procent van de bevolking van 15 jaar of ouder slachtoffer </w:t>
      </w:r>
      <w:r w:rsidR="0092425F">
        <w:t xml:space="preserve">is </w:t>
      </w:r>
      <w:r w:rsidRPr="0092425F" w:rsidR="0092425F">
        <w:t xml:space="preserve">geweest van een of meer </w:t>
      </w:r>
      <w:r w:rsidR="0092425F">
        <w:t xml:space="preserve">incidenten van </w:t>
      </w:r>
      <w:r w:rsidRPr="0092425F" w:rsidR="0092425F">
        <w:t>online oplichting en</w:t>
      </w:r>
      <w:r w:rsidR="0092425F">
        <w:t>/of</w:t>
      </w:r>
      <w:r w:rsidRPr="0092425F" w:rsidR="0092425F">
        <w:t xml:space="preserve"> fraude</w:t>
      </w:r>
      <w:r w:rsidRPr="00C952A6" w:rsidR="00C952A6">
        <w:t>.</w:t>
      </w:r>
      <w:r w:rsidR="00FB02C8">
        <w:rPr>
          <w:rStyle w:val="Voetnootmarkering"/>
        </w:rPr>
        <w:footnoteReference w:id="1"/>
      </w:r>
      <w:r w:rsidRPr="00C952A6" w:rsidR="00C952A6">
        <w:t xml:space="preserve"> </w:t>
      </w:r>
    </w:p>
    <w:p w:rsidR="00C875A8" w:rsidP="00C271DB" w:rsidRDefault="00C875A8" w14:paraId="14F667C0" w14:textId="77777777"/>
    <w:p w:rsidR="00F04D02" w:rsidP="00CB0480" w:rsidRDefault="004E314E" w14:paraId="45025449" w14:textId="5D4B11A6">
      <w:r w:rsidRPr="00AE261F">
        <w:t>Een</w:t>
      </w:r>
      <w:r w:rsidR="00A05679">
        <w:t xml:space="preserve"> ander</w:t>
      </w:r>
      <w:r w:rsidRPr="00AE261F">
        <w:t xml:space="preserve"> thema dat deze editie door het OM is uitgelicht is hypothee</w:t>
      </w:r>
      <w:r w:rsidRPr="00AE261F" w:rsidR="00AE261F">
        <w:t>k</w:t>
      </w:r>
      <w:r w:rsidRPr="00AE261F">
        <w:t xml:space="preserve">fraude. Het gaat hierbij om het vervalsen van gegevens om </w:t>
      </w:r>
      <w:r w:rsidRPr="00580C70">
        <w:t>een hypotheek te kunnen vestigen op een woning, waardoor andere vormen van criminaliteit</w:t>
      </w:r>
      <w:r w:rsidRPr="00580C70" w:rsidR="00EF6938">
        <w:t>, zoal</w:t>
      </w:r>
      <w:r w:rsidRPr="00580C70" w:rsidR="00580C70">
        <w:t>s drugshandel of arbeidsuitbuiting,</w:t>
      </w:r>
      <w:r w:rsidRPr="00580C70">
        <w:t xml:space="preserve"> doorgang kunnen vinden.</w:t>
      </w:r>
      <w:r>
        <w:t xml:space="preserve"> </w:t>
      </w:r>
    </w:p>
    <w:p w:rsidR="00F04D02" w:rsidP="005F7FE5" w:rsidRDefault="00F04D02" w14:paraId="1104E54E" w14:textId="77777777"/>
    <w:p w:rsidRPr="00114CD3" w:rsidR="00114CD3" w:rsidP="00114CD3" w:rsidRDefault="00114CD3" w14:paraId="14DCEE94" w14:textId="503D0F8E">
      <w:pPr>
        <w:rPr>
          <w:b/>
          <w:bCs/>
        </w:rPr>
      </w:pPr>
      <w:r w:rsidRPr="00114CD3">
        <w:rPr>
          <w:b/>
          <w:bCs/>
        </w:rPr>
        <w:t xml:space="preserve">Afdoeningen en straffen </w:t>
      </w:r>
    </w:p>
    <w:p w:rsidR="00114CD3" w:rsidP="00114CD3" w:rsidRDefault="00114CD3" w14:paraId="49A7E5C1" w14:textId="059F1D94">
      <w:r>
        <w:t>De instroom van horizontale fraudezaken is gemiddeld genomen zo goed als gelijk aan de uitstroom.</w:t>
      </w:r>
      <w:r w:rsidR="005F7FE5">
        <w:rPr>
          <w:rStyle w:val="Voetnootmarkering"/>
        </w:rPr>
        <w:footnoteReference w:id="2"/>
      </w:r>
      <w:r w:rsidR="00D67C87">
        <w:t xml:space="preserve"> De hoeveelheid strafbeschikkingen is gelijk gebleven aan de </w:t>
      </w:r>
      <w:r w:rsidR="004E78B4">
        <w:t>het aantal in de Fraudemonitor 2021-2022</w:t>
      </w:r>
      <w:r w:rsidR="00D67C87">
        <w:t xml:space="preserve">. </w:t>
      </w:r>
      <w:r w:rsidR="004E314E">
        <w:t xml:space="preserve">Ten opzichte van de jaren 2021-2022 zijn meer zaken behandeld en afgedaan door de strafrechter. </w:t>
      </w:r>
    </w:p>
    <w:p w:rsidR="00114CD3" w:rsidP="00114CD3" w:rsidRDefault="00114CD3" w14:paraId="0E650C3A" w14:textId="77777777"/>
    <w:p w:rsidR="00114CD3" w:rsidP="00114CD3" w:rsidRDefault="00114CD3" w14:paraId="3C59E5E6" w14:textId="518A99BE">
      <w:r w:rsidRPr="00114CD3">
        <w:t xml:space="preserve">De ervaring leert dat in geval van fraude het sepotpercentage </w:t>
      </w:r>
      <w:r w:rsidR="004E314E">
        <w:t xml:space="preserve">bij fraudedelicten </w:t>
      </w:r>
      <w:r w:rsidRPr="00114CD3">
        <w:t xml:space="preserve">gemiddeld hoger is dan bij commune delicten. </w:t>
      </w:r>
      <w:r w:rsidRPr="00B54A8B">
        <w:t xml:space="preserve">Dit heeft met name te maken met het feit dat zaken zich op het grensvlak van een civielrechtelijk geschil </w:t>
      </w:r>
      <w:r w:rsidRPr="00B54A8B" w:rsidR="00B54A8B">
        <w:t xml:space="preserve">en een </w:t>
      </w:r>
      <w:r w:rsidRPr="00B54A8B">
        <w:t>strafbaar feit bevinden</w:t>
      </w:r>
      <w:r w:rsidRPr="00B54A8B" w:rsidR="00B54A8B">
        <w:t xml:space="preserve">, waarbij het bewijs </w:t>
      </w:r>
      <w:r w:rsidR="00B54A8B">
        <w:t xml:space="preserve">voor strafrechtelijke afdoening </w:t>
      </w:r>
      <w:r w:rsidRPr="00B54A8B" w:rsidR="00B54A8B">
        <w:t>niet altijd voldoende is</w:t>
      </w:r>
      <w:r w:rsidRPr="00B54A8B">
        <w:t>.</w:t>
      </w:r>
      <w:r w:rsidR="005F7FE5">
        <w:t xml:space="preserve"> </w:t>
      </w:r>
    </w:p>
    <w:p w:rsidR="00114CD3" w:rsidP="00114CD3" w:rsidRDefault="00114CD3" w14:paraId="39109961" w14:textId="77777777"/>
    <w:p w:rsidRPr="004B2E42" w:rsidR="00114CD3" w:rsidP="00114CD3" w:rsidRDefault="00114CD3" w14:paraId="03E9155A" w14:textId="77777777">
      <w:pPr>
        <w:rPr>
          <w:b/>
          <w:bCs/>
        </w:rPr>
      </w:pPr>
      <w:r w:rsidRPr="004B2E42">
        <w:rPr>
          <w:b/>
          <w:bCs/>
        </w:rPr>
        <w:t xml:space="preserve">Afsluitend </w:t>
      </w:r>
    </w:p>
    <w:p w:rsidR="00114CD3" w:rsidP="0062546C" w:rsidRDefault="00C875A8" w14:paraId="1FE4E016" w14:textId="758D39A5">
      <w:r>
        <w:t>Met het OM onderschrijf ik</w:t>
      </w:r>
      <w:r w:rsidRPr="005F7FE5" w:rsidR="00393D67">
        <w:t xml:space="preserve"> het uitgangspunt dat f</w:t>
      </w:r>
      <w:r w:rsidRPr="005F7FE5" w:rsidR="00114CD3">
        <w:t xml:space="preserve">raude niet enkel </w:t>
      </w:r>
      <w:r w:rsidRPr="005F7FE5" w:rsidR="00393D67">
        <w:t xml:space="preserve">kan </w:t>
      </w:r>
      <w:r w:rsidRPr="005F7FE5" w:rsidR="00114CD3">
        <w:t xml:space="preserve">worden bestreden </w:t>
      </w:r>
      <w:r w:rsidRPr="005F7FE5" w:rsidR="002873DA">
        <w:t>met</w:t>
      </w:r>
      <w:r w:rsidRPr="005F7FE5" w:rsidR="00114CD3">
        <w:t xml:space="preserve"> </w:t>
      </w:r>
      <w:r w:rsidRPr="005F7FE5" w:rsidR="002873DA">
        <w:t xml:space="preserve">het </w:t>
      </w:r>
      <w:r w:rsidRPr="005F7FE5" w:rsidR="00114CD3">
        <w:t>strafrecht</w:t>
      </w:r>
      <w:r w:rsidRPr="005F7FE5" w:rsidR="00393D67">
        <w:t xml:space="preserve">. De meeste winst is te behalen met preventie, door het opwerpen van </w:t>
      </w:r>
      <w:r w:rsidRPr="005F7FE5" w:rsidR="005F7FE5">
        <w:t xml:space="preserve">(technische) </w:t>
      </w:r>
      <w:r w:rsidRPr="005F7FE5" w:rsidR="00393D67">
        <w:t>barrières</w:t>
      </w:r>
      <w:r w:rsidRPr="005F7FE5" w:rsidR="001B7BA9">
        <w:t xml:space="preserve"> </w:t>
      </w:r>
      <w:r w:rsidRPr="005F7FE5" w:rsidR="00393D67">
        <w:t>en</w:t>
      </w:r>
      <w:r w:rsidRPr="005F7FE5" w:rsidR="005F7FE5">
        <w:t xml:space="preserve"> implementeren van interventies</w:t>
      </w:r>
      <w:r w:rsidRPr="005F7FE5" w:rsidR="00393D67">
        <w:t xml:space="preserve">. </w:t>
      </w:r>
      <w:r w:rsidRPr="005F7FE5" w:rsidR="00114CD3">
        <w:t xml:space="preserve">Ingrijpen </w:t>
      </w:r>
      <w:r w:rsidRPr="005F7FE5" w:rsidR="001B7BA9">
        <w:t xml:space="preserve">met interventies </w:t>
      </w:r>
      <w:r w:rsidRPr="005F7FE5" w:rsidR="00114CD3">
        <w:t>aan de voorkant kan een groot deel van de</w:t>
      </w:r>
      <w:r w:rsidR="005F7FE5">
        <w:t xml:space="preserve"> </w:t>
      </w:r>
      <w:r w:rsidRPr="005F7FE5" w:rsidR="00114CD3">
        <w:t>financiële schade en, daarmee ook strafrechtelijk ingrijpen, voorkomen.</w:t>
      </w:r>
      <w:r w:rsidRPr="005F7FE5" w:rsidR="00393D67">
        <w:t xml:space="preserve"> Ook mijn ministerie </w:t>
      </w:r>
      <w:r w:rsidRPr="005F7FE5" w:rsidR="001B7BA9">
        <w:t>spant zich daarvoor in, onder andere</w:t>
      </w:r>
      <w:r w:rsidRPr="005F7FE5" w:rsidR="00393D67">
        <w:t xml:space="preserve"> met de </w:t>
      </w:r>
      <w:r w:rsidRPr="005F7FE5" w:rsidR="005F7FE5">
        <w:t>I</w:t>
      </w:r>
      <w:r w:rsidRPr="005F7FE5" w:rsidR="00393D67">
        <w:t xml:space="preserve">ntegrale </w:t>
      </w:r>
      <w:r w:rsidRPr="005F7FE5" w:rsidR="005F7FE5">
        <w:t>A</w:t>
      </w:r>
      <w:r w:rsidRPr="005F7FE5" w:rsidR="00393D67">
        <w:t xml:space="preserve">anpak </w:t>
      </w:r>
      <w:r w:rsidRPr="005F7FE5" w:rsidR="005F7FE5">
        <w:t>O</w:t>
      </w:r>
      <w:r w:rsidRPr="005F7FE5" w:rsidR="00393D67">
        <w:t xml:space="preserve">nline </w:t>
      </w:r>
      <w:r w:rsidRPr="005F7FE5" w:rsidR="005F7FE5">
        <w:t>F</w:t>
      </w:r>
      <w:r w:rsidRPr="005F7FE5" w:rsidR="00393D67">
        <w:t xml:space="preserve">raude waaraan </w:t>
      </w:r>
      <w:r w:rsidRPr="005F7FE5" w:rsidR="001B7BA9">
        <w:t xml:space="preserve">naast het Openbaar Ministerie, de politie, het </w:t>
      </w:r>
      <w:r w:rsidRPr="005F7FE5" w:rsidR="00393D67">
        <w:t>min</w:t>
      </w:r>
      <w:r w:rsidRPr="005F7FE5" w:rsidR="001B7BA9">
        <w:t>isterie</w:t>
      </w:r>
      <w:r w:rsidRPr="005F7FE5" w:rsidR="00393D67">
        <w:t xml:space="preserve"> van Economische Zake</w:t>
      </w:r>
      <w:r w:rsidRPr="005F7FE5" w:rsidR="001B7BA9">
        <w:t>n</w:t>
      </w:r>
      <w:r w:rsidR="0006231F">
        <w:t>,</w:t>
      </w:r>
      <w:r w:rsidR="00A105AF">
        <w:t xml:space="preserve"> </w:t>
      </w:r>
      <w:r w:rsidRPr="005F7FE5" w:rsidR="001B7BA9">
        <w:t xml:space="preserve">het ministerie van Financiën </w:t>
      </w:r>
      <w:r w:rsidR="0006231F">
        <w:t xml:space="preserve">en andere publieke partners </w:t>
      </w:r>
      <w:r w:rsidRPr="005F7FE5" w:rsidR="001B7BA9">
        <w:t xml:space="preserve">ook </w:t>
      </w:r>
      <w:r w:rsidRPr="005F7FE5" w:rsidR="00393D67">
        <w:t>private part</w:t>
      </w:r>
      <w:r w:rsidRPr="005F7FE5" w:rsidR="001B7BA9">
        <w:t>ijen deelnemen zoals banken, de telecomsector, de Consumentenbond en de Fraudehelpdesk. Het Actieprogramma online fraude ontvangt uw Kamer voor de zomer.</w:t>
      </w:r>
      <w:r w:rsidR="0062546C">
        <w:t xml:space="preserve"> </w:t>
      </w:r>
      <w:r w:rsidR="00393702">
        <w:t>Met de acties</w:t>
      </w:r>
      <w:r w:rsidR="00990B78">
        <w:t xml:space="preserve"> uit het programma</w:t>
      </w:r>
      <w:r w:rsidR="00393702">
        <w:t xml:space="preserve"> zet </w:t>
      </w:r>
      <w:r>
        <w:t xml:space="preserve">ik, samen met de partners, </w:t>
      </w:r>
      <w:r w:rsidR="00393702">
        <w:t xml:space="preserve">verder </w:t>
      </w:r>
      <w:r w:rsidR="0062546C">
        <w:t xml:space="preserve">in op het </w:t>
      </w:r>
      <w:r w:rsidRPr="0062546C" w:rsidR="0062546C">
        <w:t xml:space="preserve">vergroten </w:t>
      </w:r>
      <w:r w:rsidR="00393702">
        <w:t xml:space="preserve">van </w:t>
      </w:r>
      <w:r w:rsidRPr="0062546C" w:rsidR="0062546C">
        <w:t>de weerbaarheid van burgers en bedrijven</w:t>
      </w:r>
      <w:r w:rsidR="0062546C">
        <w:t xml:space="preserve"> en </w:t>
      </w:r>
      <w:r w:rsidRPr="0062546C" w:rsidR="0062546C">
        <w:t xml:space="preserve">zorgen </w:t>
      </w:r>
      <w:r>
        <w:t>w</w:t>
      </w:r>
      <w:r w:rsidR="00AD6414">
        <w:t xml:space="preserve">ij </w:t>
      </w:r>
      <w:r>
        <w:t xml:space="preserve">samen </w:t>
      </w:r>
      <w:r w:rsidRPr="0062546C" w:rsidR="0062546C">
        <w:t>voor</w:t>
      </w:r>
      <w:r w:rsidR="00393702">
        <w:t xml:space="preserve"> verbeterde</w:t>
      </w:r>
      <w:r w:rsidRPr="0062546C" w:rsidR="0062546C">
        <w:t xml:space="preserve"> samenwerking rondom de aanpak van daders en ondersteuning van slachtoffers. </w:t>
      </w:r>
    </w:p>
    <w:p w:rsidR="00114CD3" w:rsidP="00114CD3" w:rsidRDefault="00114CD3" w14:paraId="2A755CEC" w14:textId="77777777"/>
    <w:p w:rsidR="00114CD3" w:rsidP="00114CD3" w:rsidRDefault="00114CD3" w14:paraId="40A609CF" w14:textId="77777777"/>
    <w:p w:rsidR="00114CD3" w:rsidP="00114CD3" w:rsidRDefault="00114CD3" w14:paraId="3CD33220" w14:textId="77777777">
      <w:r>
        <w:t xml:space="preserve">De Minister van Justitie en Veiligheid, </w:t>
      </w:r>
    </w:p>
    <w:p w:rsidR="00114CD3" w:rsidP="00114CD3" w:rsidRDefault="00114CD3" w14:paraId="0D36CCFF" w14:textId="77777777"/>
    <w:p w:rsidR="00114CD3" w:rsidP="00114CD3" w:rsidRDefault="00114CD3" w14:paraId="0A62FE2C" w14:textId="77777777"/>
    <w:p w:rsidR="00114CD3" w:rsidP="00114CD3" w:rsidRDefault="00114CD3" w14:paraId="12BDA5EB" w14:textId="77777777"/>
    <w:p w:rsidR="004E314E" w:rsidP="00114CD3" w:rsidRDefault="004E314E" w14:paraId="6E38D133" w14:textId="77777777"/>
    <w:p w:rsidR="00114CD3" w:rsidP="00114CD3" w:rsidRDefault="00114CD3" w14:paraId="1092EA3C" w14:textId="77777777">
      <w:r>
        <w:t>D.M. van Weel</w:t>
      </w:r>
    </w:p>
    <w:p w:rsidR="006B0BF6" w:rsidRDefault="006B0BF6" w14:paraId="500F8650" w14:textId="693CBA38"/>
    <w:sectPr w:rsidR="006B0BF6" w:rsidSect="00C875A8">
      <w:headerReference w:type="default" r:id="rId9"/>
      <w:headerReference w:type="first" r:id="rId10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3F26" w14:textId="77777777" w:rsidR="00B54772" w:rsidRDefault="00B54772">
      <w:pPr>
        <w:spacing w:line="240" w:lineRule="auto"/>
      </w:pPr>
      <w:r>
        <w:separator/>
      </w:r>
    </w:p>
  </w:endnote>
  <w:endnote w:type="continuationSeparator" w:id="0">
    <w:p w14:paraId="05C9257B" w14:textId="77777777" w:rsidR="00B54772" w:rsidRDefault="00B54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9F17" w14:textId="77777777" w:rsidR="00B54772" w:rsidRDefault="00B54772">
      <w:pPr>
        <w:spacing w:line="240" w:lineRule="auto"/>
      </w:pPr>
      <w:r>
        <w:separator/>
      </w:r>
    </w:p>
  </w:footnote>
  <w:footnote w:type="continuationSeparator" w:id="0">
    <w:p w14:paraId="250E6571" w14:textId="77777777" w:rsidR="00B54772" w:rsidRDefault="00B54772">
      <w:pPr>
        <w:spacing w:line="240" w:lineRule="auto"/>
      </w:pPr>
      <w:r>
        <w:continuationSeparator/>
      </w:r>
    </w:p>
  </w:footnote>
  <w:footnote w:id="1">
    <w:p w14:paraId="2B378D3F" w14:textId="607CD92E" w:rsidR="00FB02C8" w:rsidRPr="00CB0480" w:rsidRDefault="00FB02C8" w:rsidP="00CB0480">
      <w:pPr>
        <w:pStyle w:val="Voetnoottekst"/>
        <w:rPr>
          <w:sz w:val="18"/>
          <w:szCs w:val="18"/>
        </w:rPr>
      </w:pPr>
      <w:r w:rsidRPr="00CB0480">
        <w:rPr>
          <w:rStyle w:val="Voetnootmarkering"/>
          <w:sz w:val="18"/>
          <w:szCs w:val="18"/>
        </w:rPr>
        <w:footnoteRef/>
      </w:r>
      <w:r w:rsidRPr="00CB0480">
        <w:rPr>
          <w:sz w:val="18"/>
          <w:szCs w:val="18"/>
        </w:rPr>
        <w:t xml:space="preserve"> </w:t>
      </w:r>
      <w:r w:rsidR="00CB0480" w:rsidRPr="00CB0480">
        <w:rPr>
          <w:sz w:val="18"/>
          <w:szCs w:val="18"/>
        </w:rPr>
        <w:t xml:space="preserve">Centraal Bureau voor de Statistiek, Veiligheidsmonitor 2025, </w:t>
      </w:r>
      <w:hyperlink r:id="rId1" w:history="1">
        <w:r w:rsidR="00CB0480" w:rsidRPr="00CB0480">
          <w:rPr>
            <w:rStyle w:val="Hyperlink"/>
            <w:sz w:val="18"/>
            <w:szCs w:val="18"/>
          </w:rPr>
          <w:t>Veiligheidsmonitor 2025 | CBS</w:t>
        </w:r>
      </w:hyperlink>
    </w:p>
  </w:footnote>
  <w:footnote w:id="2">
    <w:p w14:paraId="443E624D" w14:textId="64D60170" w:rsidR="005F7FE5" w:rsidRPr="005F7FE5" w:rsidRDefault="005F7FE5" w:rsidP="005F7FE5">
      <w:pPr>
        <w:pStyle w:val="Voetnoottekst"/>
        <w:rPr>
          <w:sz w:val="18"/>
          <w:szCs w:val="18"/>
        </w:rPr>
      </w:pPr>
      <w:r w:rsidRPr="005F7FE5">
        <w:rPr>
          <w:rStyle w:val="Voetnootmarkering"/>
          <w:sz w:val="18"/>
          <w:szCs w:val="18"/>
        </w:rPr>
        <w:footnoteRef/>
      </w:r>
      <w:r w:rsidRPr="005F7FE5">
        <w:rPr>
          <w:sz w:val="18"/>
          <w:szCs w:val="18"/>
        </w:rPr>
        <w:t xml:space="preserve"> Voor afdoeningscijfers van verticale fraude wordt verwezen naar de afzonderlijke jaarverslagen van de </w:t>
      </w:r>
      <w:proofErr w:type="spellStart"/>
      <w:r w:rsidRPr="005F7FE5">
        <w:rPr>
          <w:sz w:val="18"/>
          <w:szCs w:val="18"/>
        </w:rPr>
        <w:t>BOD-en</w:t>
      </w:r>
      <w:proofErr w:type="spellEnd"/>
      <w:r w:rsidRPr="005F7FE5">
        <w:rPr>
          <w:sz w:val="18"/>
          <w:szCs w:val="18"/>
        </w:rPr>
        <w:t xml:space="preserve"> en naar de jaarberichten van het Openbaar Ministerie.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DD77" w14:textId="77777777" w:rsidR="006B0BF6" w:rsidRDefault="00B5477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FEEC90" wp14:editId="2AC5FAF3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CEA2E" w14:textId="77777777" w:rsidR="00611ED8" w:rsidRDefault="00611E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FEEC9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5FCEA2E" w14:textId="77777777" w:rsidR="00611ED8" w:rsidRDefault="00611E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838FD52" wp14:editId="0D5AD96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D8331" w14:textId="77777777" w:rsidR="006B0BF6" w:rsidRDefault="00B54772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44EB65B" w14:textId="77777777" w:rsidR="006B0BF6" w:rsidRDefault="00B54772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6AB6ACCE" w14:textId="77777777" w:rsidR="006B0BF6" w:rsidRPr="00AD6414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D6414">
                            <w:rPr>
                              <w:lang w:val="de-DE"/>
                            </w:rPr>
                            <w:t>Fraude</w:t>
                          </w:r>
                          <w:proofErr w:type="spellEnd"/>
                          <w:r w:rsidRPr="00AD6414">
                            <w:rPr>
                              <w:lang w:val="de-DE"/>
                            </w:rPr>
                            <w:t xml:space="preserve"> en </w:t>
                          </w:r>
                          <w:proofErr w:type="spellStart"/>
                          <w:r w:rsidRPr="00AD6414">
                            <w:rPr>
                              <w:lang w:val="de-DE"/>
                            </w:rPr>
                            <w:t>bijz</w:t>
                          </w:r>
                          <w:proofErr w:type="spellEnd"/>
                          <w:r w:rsidRPr="00AD6414">
                            <w:rPr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AD6414">
                            <w:rPr>
                              <w:lang w:val="de-DE"/>
                            </w:rPr>
                            <w:t>strafrecht</w:t>
                          </w:r>
                          <w:proofErr w:type="spellEnd"/>
                        </w:p>
                        <w:p w14:paraId="7D103C50" w14:textId="77777777" w:rsidR="006B0BF6" w:rsidRPr="00AD6414" w:rsidRDefault="006B0BF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2E6D553" w14:textId="77777777" w:rsidR="006B0BF6" w:rsidRPr="00AD6414" w:rsidRDefault="00B5477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AD6414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1C92D28E" w14:textId="6DD09984" w:rsidR="006B0BF6" w:rsidRPr="00AD6414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137650081"/>
                              <w:date w:fullDate="2026-05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660A">
                                <w:rPr>
                                  <w:lang w:val="de-DE"/>
                                </w:rPr>
                                <w:t>22</w:t>
                              </w:r>
                              <w:r w:rsidR="00C875A8" w:rsidRPr="00AD6414">
                                <w:rPr>
                                  <w:lang w:val="de-DE"/>
                                </w:rPr>
                                <w:t xml:space="preserve"> </w:t>
                              </w:r>
                              <w:proofErr w:type="spellStart"/>
                              <w:r w:rsidR="00C875A8" w:rsidRPr="00AD6414">
                                <w:rPr>
                                  <w:lang w:val="de-DE"/>
                                </w:rPr>
                                <w:t>mei</w:t>
                              </w:r>
                              <w:proofErr w:type="spellEnd"/>
                              <w:r w:rsidRPr="00AD6414">
                                <w:rPr>
                                  <w:lang w:val="de-DE"/>
                                </w:rPr>
                                <w:t xml:space="preserve"> 2026</w:t>
                              </w:r>
                            </w:sdtContent>
                          </w:sdt>
                        </w:p>
                        <w:p w14:paraId="47A45FBC" w14:textId="77777777" w:rsidR="006B0BF6" w:rsidRPr="00AD6414" w:rsidRDefault="006B0B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7F99A73" w14:textId="77777777" w:rsidR="006B0BF6" w:rsidRDefault="00B5477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A6D784" w14:textId="77777777" w:rsidR="006B0BF6" w:rsidRDefault="00B54772">
                          <w:pPr>
                            <w:pStyle w:val="Referentiegegevens"/>
                          </w:pPr>
                          <w:r>
                            <w:t>7302479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8FD5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06D8331" w14:textId="77777777" w:rsidR="006B0BF6" w:rsidRDefault="00B54772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44EB65B" w14:textId="77777777" w:rsidR="006B0BF6" w:rsidRDefault="00B54772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6AB6ACCE" w14:textId="77777777" w:rsidR="006B0BF6" w:rsidRPr="00AD6414" w:rsidRDefault="00B5477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D6414">
                      <w:rPr>
                        <w:lang w:val="de-DE"/>
                      </w:rPr>
                      <w:t>Fraude</w:t>
                    </w:r>
                    <w:proofErr w:type="spellEnd"/>
                    <w:r w:rsidRPr="00AD6414">
                      <w:rPr>
                        <w:lang w:val="de-DE"/>
                      </w:rPr>
                      <w:t xml:space="preserve"> en </w:t>
                    </w:r>
                    <w:proofErr w:type="spellStart"/>
                    <w:r w:rsidRPr="00AD6414">
                      <w:rPr>
                        <w:lang w:val="de-DE"/>
                      </w:rPr>
                      <w:t>bijz</w:t>
                    </w:r>
                    <w:proofErr w:type="spellEnd"/>
                    <w:r w:rsidRPr="00AD6414">
                      <w:rPr>
                        <w:lang w:val="de-DE"/>
                      </w:rPr>
                      <w:t xml:space="preserve">. </w:t>
                    </w:r>
                    <w:proofErr w:type="spellStart"/>
                    <w:r w:rsidRPr="00AD6414">
                      <w:rPr>
                        <w:lang w:val="de-DE"/>
                      </w:rPr>
                      <w:t>strafrecht</w:t>
                    </w:r>
                    <w:proofErr w:type="spellEnd"/>
                  </w:p>
                  <w:p w14:paraId="7D103C50" w14:textId="77777777" w:rsidR="006B0BF6" w:rsidRPr="00AD6414" w:rsidRDefault="006B0BF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2E6D553" w14:textId="77777777" w:rsidR="006B0BF6" w:rsidRPr="00AD6414" w:rsidRDefault="00B54772">
                    <w:pPr>
                      <w:pStyle w:val="Referentiegegevensbold"/>
                      <w:rPr>
                        <w:lang w:val="de-DE"/>
                      </w:rPr>
                    </w:pPr>
                    <w:r w:rsidRPr="00AD6414">
                      <w:rPr>
                        <w:lang w:val="de-DE"/>
                      </w:rPr>
                      <w:t>Datum</w:t>
                    </w:r>
                  </w:p>
                  <w:p w14:paraId="1C92D28E" w14:textId="6DD09984" w:rsidR="006B0BF6" w:rsidRPr="00AD6414" w:rsidRDefault="00B54772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37650081"/>
                        <w:date w:fullDate="2026-05-2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5660A">
                          <w:rPr>
                            <w:lang w:val="de-DE"/>
                          </w:rPr>
                          <w:t>22</w:t>
                        </w:r>
                        <w:r w:rsidR="00C875A8" w:rsidRPr="00AD6414">
                          <w:rPr>
                            <w:lang w:val="de-DE"/>
                          </w:rPr>
                          <w:t xml:space="preserve"> </w:t>
                        </w:r>
                        <w:proofErr w:type="spellStart"/>
                        <w:r w:rsidR="00C875A8" w:rsidRPr="00AD6414">
                          <w:rPr>
                            <w:lang w:val="de-DE"/>
                          </w:rPr>
                          <w:t>mei</w:t>
                        </w:r>
                        <w:proofErr w:type="spellEnd"/>
                        <w:r w:rsidRPr="00AD6414">
                          <w:rPr>
                            <w:lang w:val="de-DE"/>
                          </w:rPr>
                          <w:t xml:space="preserve"> 2026</w:t>
                        </w:r>
                      </w:sdtContent>
                    </w:sdt>
                  </w:p>
                  <w:p w14:paraId="47A45FBC" w14:textId="77777777" w:rsidR="006B0BF6" w:rsidRPr="00AD6414" w:rsidRDefault="006B0B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7F99A73" w14:textId="77777777" w:rsidR="006B0BF6" w:rsidRDefault="00B5477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A6D784" w14:textId="77777777" w:rsidR="006B0BF6" w:rsidRDefault="00B54772">
                    <w:pPr>
                      <w:pStyle w:val="Referentiegegevens"/>
                    </w:pPr>
                    <w:r>
                      <w:t>7302479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152269E" wp14:editId="77A0671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5A020" w14:textId="77777777" w:rsidR="00611ED8" w:rsidRDefault="00611E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52269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6E5A020" w14:textId="77777777" w:rsidR="00611ED8" w:rsidRDefault="00611E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F9EF820" wp14:editId="70A1D4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5FDCB" w14:textId="0FA26D45" w:rsidR="006B0BF6" w:rsidRDefault="00B547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4C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4C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EF82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D25FDCB" w14:textId="0FA26D45" w:rsidR="006B0BF6" w:rsidRDefault="00B547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4C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4C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B3FE" w14:textId="77777777" w:rsidR="006B0BF6" w:rsidRDefault="00B5477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6967D1" wp14:editId="65C0646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5F5A97" w14:textId="77777777" w:rsidR="006B0BF6" w:rsidRDefault="00B5477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2D534" wp14:editId="1EE9FFBD">
                                <wp:extent cx="467995" cy="1583865"/>
                                <wp:effectExtent l="0" t="0" r="0" b="0"/>
                                <wp:docPr id="1419486214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6967D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A5F5A97" w14:textId="77777777" w:rsidR="006B0BF6" w:rsidRDefault="00B5477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F2D534" wp14:editId="1EE9FFBD">
                          <wp:extent cx="467995" cy="1583865"/>
                          <wp:effectExtent l="0" t="0" r="0" b="0"/>
                          <wp:docPr id="1419486214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D905C9" wp14:editId="40BFAA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FAE9" w14:textId="77777777" w:rsidR="006B0BF6" w:rsidRDefault="00B5477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4B2F4" wp14:editId="59520472">
                                <wp:extent cx="2339975" cy="1582834"/>
                                <wp:effectExtent l="0" t="0" r="0" b="0"/>
                                <wp:docPr id="201311747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905C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E30FAE9" w14:textId="77777777" w:rsidR="006B0BF6" w:rsidRDefault="00B5477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04B2F4" wp14:editId="59520472">
                          <wp:extent cx="2339975" cy="1582834"/>
                          <wp:effectExtent l="0" t="0" r="0" b="0"/>
                          <wp:docPr id="201311747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F2C52C" wp14:editId="6382E8B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E4C5A" w14:textId="77777777" w:rsidR="006B0BF6" w:rsidRDefault="00B54772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2C52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4EE4C5A" w14:textId="77777777" w:rsidR="006B0BF6" w:rsidRDefault="00B54772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27D755" wp14:editId="037C999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B06CD" w14:textId="6E19ECB1" w:rsidR="00B76DBD" w:rsidRDefault="00B76DBD" w:rsidP="00B76DBD">
                          <w:r>
                            <w:t xml:space="preserve">Aan de Voorzitter van de Tweede Kamer </w:t>
                          </w:r>
                        </w:p>
                        <w:p w14:paraId="0C90C76F" w14:textId="77777777" w:rsidR="00B76DBD" w:rsidRDefault="00B76DBD" w:rsidP="00B76DBD">
                          <w:r>
                            <w:t>der Staten-Generaal</w:t>
                          </w:r>
                        </w:p>
                        <w:p w14:paraId="293FA273" w14:textId="77777777" w:rsidR="00B76DBD" w:rsidRDefault="00B76DBD" w:rsidP="00B76DBD">
                          <w:r>
                            <w:t>Postbus 20018</w:t>
                          </w:r>
                        </w:p>
                        <w:p w14:paraId="0947E74E" w14:textId="77777777" w:rsidR="00B76DBD" w:rsidRDefault="00B76DBD" w:rsidP="00B76DBD">
                          <w:r>
                            <w:t>2500 EA  DEN HAAG</w:t>
                          </w:r>
                        </w:p>
                        <w:p w14:paraId="79CC900E" w14:textId="2681406D" w:rsidR="006B0BF6" w:rsidRDefault="006B0B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7D75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8B06CD" w14:textId="6E19ECB1" w:rsidR="00B76DBD" w:rsidRDefault="00B76DBD" w:rsidP="00B76DBD">
                    <w:r>
                      <w:t xml:space="preserve">Aan de Voorzitter van de Tweede Kamer </w:t>
                    </w:r>
                  </w:p>
                  <w:p w14:paraId="0C90C76F" w14:textId="77777777" w:rsidR="00B76DBD" w:rsidRDefault="00B76DBD" w:rsidP="00B76DBD">
                    <w:r>
                      <w:t>der Staten-Generaal</w:t>
                    </w:r>
                  </w:p>
                  <w:p w14:paraId="293FA273" w14:textId="77777777" w:rsidR="00B76DBD" w:rsidRDefault="00B76DBD" w:rsidP="00B76DBD">
                    <w:r>
                      <w:t>Postbus 20018</w:t>
                    </w:r>
                  </w:p>
                  <w:p w14:paraId="0947E74E" w14:textId="77777777" w:rsidR="00B76DBD" w:rsidRDefault="00B76DBD" w:rsidP="00B76DBD">
                    <w:r>
                      <w:t>2500 EA  DEN HAAG</w:t>
                    </w:r>
                  </w:p>
                  <w:p w14:paraId="79CC900E" w14:textId="2681406D" w:rsidR="006B0BF6" w:rsidRDefault="006B0B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1D1B28" wp14:editId="1DA7BD8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B0BF6" w14:paraId="099DEF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7EEA52" w14:textId="77777777" w:rsidR="006B0BF6" w:rsidRDefault="00B547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F0313E" w14:textId="2D173B93" w:rsidR="006B0BF6" w:rsidRDefault="00B54772">
                                <w:sdt>
                                  <w:sdtPr>
                                    <w:id w:val="431325165"/>
                                    <w:date w:fullDate="2026-05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5660A">
                                      <w:rPr>
                                        <w:lang w:val="nl"/>
                                      </w:rPr>
                                      <w:t>22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B0BF6" w14:paraId="538934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EB1257" w14:textId="77777777" w:rsidR="006B0BF6" w:rsidRDefault="00B547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2B4F2C" w14:textId="1A0FD22B" w:rsidR="006B0BF6" w:rsidRDefault="000D2FF6">
                                <w:r>
                                  <w:t xml:space="preserve">Aanbiedingsbrief </w:t>
                                </w:r>
                                <w:r w:rsidR="001F7AAD">
                                  <w:t xml:space="preserve">OM </w:t>
                                </w:r>
                                <w:r>
                                  <w:t>Fraudemonitor 202</w:t>
                                </w:r>
                                <w:r w:rsidR="00114CD3">
                                  <w:t>3</w:t>
                                </w:r>
                                <w:r>
                                  <w:t>/202</w:t>
                                </w:r>
                                <w:r w:rsidR="00114CD3">
                                  <w:t>4</w:t>
                                </w:r>
                              </w:p>
                            </w:tc>
                          </w:tr>
                        </w:tbl>
                        <w:p w14:paraId="51A989B4" w14:textId="77777777" w:rsidR="00611ED8" w:rsidRDefault="00611E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D1B28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B0BF6" w14:paraId="099DEF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7EEA52" w14:textId="77777777" w:rsidR="006B0BF6" w:rsidRDefault="00B5477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F0313E" w14:textId="2D173B93" w:rsidR="006B0BF6" w:rsidRDefault="00B54772">
                          <w:sdt>
                            <w:sdtPr>
                              <w:id w:val="431325165"/>
                              <w:date w:fullDate="2026-05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660A">
                                <w:rPr>
                                  <w:lang w:val="nl"/>
                                </w:rPr>
                                <w:t>22 mei 2026</w:t>
                              </w:r>
                            </w:sdtContent>
                          </w:sdt>
                        </w:p>
                      </w:tc>
                    </w:tr>
                    <w:tr w:rsidR="006B0BF6" w14:paraId="538934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EB1257" w14:textId="77777777" w:rsidR="006B0BF6" w:rsidRDefault="00B5477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2B4F2C" w14:textId="1A0FD22B" w:rsidR="006B0BF6" w:rsidRDefault="000D2FF6">
                          <w:r>
                            <w:t xml:space="preserve">Aanbiedingsbrief </w:t>
                          </w:r>
                          <w:r w:rsidR="001F7AAD">
                            <w:t xml:space="preserve">OM </w:t>
                          </w:r>
                          <w:r>
                            <w:t>Fraudemonitor 202</w:t>
                          </w:r>
                          <w:r w:rsidR="00114CD3">
                            <w:t>3</w:t>
                          </w:r>
                          <w:r>
                            <w:t>/202</w:t>
                          </w:r>
                          <w:r w:rsidR="00114CD3">
                            <w:t>4</w:t>
                          </w:r>
                        </w:p>
                      </w:tc>
                    </w:tr>
                  </w:tbl>
                  <w:p w14:paraId="51A989B4" w14:textId="77777777" w:rsidR="00611ED8" w:rsidRDefault="00611E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1F92E7" wp14:editId="2153891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A7979" w14:textId="77777777" w:rsidR="006B0BF6" w:rsidRDefault="00B54772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2FA309D3" w14:textId="77777777" w:rsidR="006B0BF6" w:rsidRDefault="00B54772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Rechtshandhaving en Criminaliteitsbestrijding</w:t>
                          </w:r>
                        </w:p>
                        <w:p w14:paraId="1CBCA897" w14:textId="77777777" w:rsidR="006B0BF6" w:rsidRPr="00114CD3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14CD3">
                            <w:rPr>
                              <w:lang w:val="de-DE"/>
                            </w:rPr>
                            <w:t>Fraude</w:t>
                          </w:r>
                          <w:proofErr w:type="spellEnd"/>
                          <w:r w:rsidRPr="00114CD3">
                            <w:rPr>
                              <w:lang w:val="de-DE"/>
                            </w:rPr>
                            <w:t xml:space="preserve"> en </w:t>
                          </w:r>
                          <w:proofErr w:type="spellStart"/>
                          <w:r w:rsidRPr="00114CD3">
                            <w:rPr>
                              <w:lang w:val="de-DE"/>
                            </w:rPr>
                            <w:t>bijz</w:t>
                          </w:r>
                          <w:proofErr w:type="spellEnd"/>
                          <w:r w:rsidRPr="00114CD3">
                            <w:rPr>
                              <w:lang w:val="de-DE"/>
                            </w:rPr>
                            <w:t xml:space="preserve">. </w:t>
                          </w:r>
                          <w:proofErr w:type="spellStart"/>
                          <w:r w:rsidRPr="00114CD3">
                            <w:rPr>
                              <w:lang w:val="de-DE"/>
                            </w:rPr>
                            <w:t>strafrecht</w:t>
                          </w:r>
                          <w:proofErr w:type="spellEnd"/>
                        </w:p>
                        <w:p w14:paraId="0C9C6088" w14:textId="77777777" w:rsidR="006B0BF6" w:rsidRPr="00114CD3" w:rsidRDefault="006B0B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62FF34E" w14:textId="77777777" w:rsidR="006B0BF6" w:rsidRPr="00114CD3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14CD3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14CD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895F67D" w14:textId="77777777" w:rsidR="006B0BF6" w:rsidRPr="00114CD3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4CD3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0C1DFC9E" w14:textId="77777777" w:rsidR="006B0BF6" w:rsidRPr="00114CD3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4CD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570FFC1" w14:textId="77777777" w:rsidR="006B0BF6" w:rsidRPr="00114CD3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4CD3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B107E76" w14:textId="77777777" w:rsidR="006B0BF6" w:rsidRPr="00114CD3" w:rsidRDefault="00B5477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4CD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2D02559" w14:textId="77777777" w:rsidR="006B0BF6" w:rsidRPr="00114CD3" w:rsidRDefault="006B0B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039FB4" w14:textId="77777777" w:rsidR="006B0BF6" w:rsidRDefault="00B5477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127BDB" w14:textId="77777777" w:rsidR="006B0BF6" w:rsidRDefault="00B54772">
                          <w:pPr>
                            <w:pStyle w:val="Referentiegegevens"/>
                          </w:pPr>
                          <w:r>
                            <w:t>7302479</w:t>
                          </w:r>
                        </w:p>
                        <w:p w14:paraId="381A3F7F" w14:textId="77777777" w:rsidR="00490A4F" w:rsidRDefault="00490A4F" w:rsidP="00490A4F"/>
                        <w:p w14:paraId="1F375D66" w14:textId="0E2F2792" w:rsidR="00490A4F" w:rsidRPr="00490A4F" w:rsidRDefault="00490A4F" w:rsidP="00490A4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90A4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8C7F468" w14:textId="39F82022" w:rsidR="00490A4F" w:rsidRPr="00490A4F" w:rsidRDefault="00490A4F" w:rsidP="00490A4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90A4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668976AF" w14:textId="25C32A56" w:rsidR="00C875A8" w:rsidRDefault="00C875A8" w:rsidP="00C875A8">
                          <w:pPr>
                            <w:pStyle w:val="Referentiegegevensbold"/>
                          </w:pPr>
                        </w:p>
                        <w:p w14:paraId="429AFB74" w14:textId="15842552" w:rsidR="006B0BF6" w:rsidRDefault="006B0BF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F92E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1CA7979" w14:textId="77777777" w:rsidR="006B0BF6" w:rsidRDefault="00B54772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2FA309D3" w14:textId="77777777" w:rsidR="006B0BF6" w:rsidRDefault="00B54772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Rechtshandhaving en Criminaliteitsbestrijding</w:t>
                    </w:r>
                  </w:p>
                  <w:p w14:paraId="1CBCA897" w14:textId="77777777" w:rsidR="006B0BF6" w:rsidRPr="00114CD3" w:rsidRDefault="00B5477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14CD3">
                      <w:rPr>
                        <w:lang w:val="de-DE"/>
                      </w:rPr>
                      <w:t>Fraude</w:t>
                    </w:r>
                    <w:proofErr w:type="spellEnd"/>
                    <w:r w:rsidRPr="00114CD3">
                      <w:rPr>
                        <w:lang w:val="de-DE"/>
                      </w:rPr>
                      <w:t xml:space="preserve"> en </w:t>
                    </w:r>
                    <w:proofErr w:type="spellStart"/>
                    <w:r w:rsidRPr="00114CD3">
                      <w:rPr>
                        <w:lang w:val="de-DE"/>
                      </w:rPr>
                      <w:t>bijz</w:t>
                    </w:r>
                    <w:proofErr w:type="spellEnd"/>
                    <w:r w:rsidRPr="00114CD3">
                      <w:rPr>
                        <w:lang w:val="de-DE"/>
                      </w:rPr>
                      <w:t xml:space="preserve">. </w:t>
                    </w:r>
                    <w:proofErr w:type="spellStart"/>
                    <w:r w:rsidRPr="00114CD3">
                      <w:rPr>
                        <w:lang w:val="de-DE"/>
                      </w:rPr>
                      <w:t>strafrecht</w:t>
                    </w:r>
                    <w:proofErr w:type="spellEnd"/>
                  </w:p>
                  <w:p w14:paraId="0C9C6088" w14:textId="77777777" w:rsidR="006B0BF6" w:rsidRPr="00114CD3" w:rsidRDefault="006B0B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62FF34E" w14:textId="77777777" w:rsidR="006B0BF6" w:rsidRPr="00114CD3" w:rsidRDefault="00B5477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14CD3">
                      <w:rPr>
                        <w:lang w:val="de-DE"/>
                      </w:rPr>
                      <w:t>Turfmarkt</w:t>
                    </w:r>
                    <w:proofErr w:type="spellEnd"/>
                    <w:r w:rsidRPr="00114CD3">
                      <w:rPr>
                        <w:lang w:val="de-DE"/>
                      </w:rPr>
                      <w:t xml:space="preserve"> 147</w:t>
                    </w:r>
                  </w:p>
                  <w:p w14:paraId="5895F67D" w14:textId="77777777" w:rsidR="006B0BF6" w:rsidRPr="00114CD3" w:rsidRDefault="00B54772">
                    <w:pPr>
                      <w:pStyle w:val="Referentiegegevens"/>
                      <w:rPr>
                        <w:lang w:val="de-DE"/>
                      </w:rPr>
                    </w:pPr>
                    <w:r w:rsidRPr="00114CD3">
                      <w:rPr>
                        <w:lang w:val="de-DE"/>
                      </w:rPr>
                      <w:t>2511 DP  Den Haag</w:t>
                    </w:r>
                  </w:p>
                  <w:p w14:paraId="0C1DFC9E" w14:textId="77777777" w:rsidR="006B0BF6" w:rsidRPr="00114CD3" w:rsidRDefault="00B54772">
                    <w:pPr>
                      <w:pStyle w:val="Referentiegegevens"/>
                      <w:rPr>
                        <w:lang w:val="de-DE"/>
                      </w:rPr>
                    </w:pPr>
                    <w:r w:rsidRPr="00114CD3">
                      <w:rPr>
                        <w:lang w:val="de-DE"/>
                      </w:rPr>
                      <w:t>Postbus 20301</w:t>
                    </w:r>
                  </w:p>
                  <w:p w14:paraId="7570FFC1" w14:textId="77777777" w:rsidR="006B0BF6" w:rsidRPr="00114CD3" w:rsidRDefault="00B54772">
                    <w:pPr>
                      <w:pStyle w:val="Referentiegegevens"/>
                      <w:rPr>
                        <w:lang w:val="de-DE"/>
                      </w:rPr>
                    </w:pPr>
                    <w:r w:rsidRPr="00114CD3">
                      <w:rPr>
                        <w:lang w:val="de-DE"/>
                      </w:rPr>
                      <w:t>2500 EH  Den Haag</w:t>
                    </w:r>
                  </w:p>
                  <w:p w14:paraId="0B107E76" w14:textId="77777777" w:rsidR="006B0BF6" w:rsidRPr="00114CD3" w:rsidRDefault="00B54772">
                    <w:pPr>
                      <w:pStyle w:val="Referentiegegevens"/>
                      <w:rPr>
                        <w:lang w:val="de-DE"/>
                      </w:rPr>
                    </w:pPr>
                    <w:r w:rsidRPr="00114CD3">
                      <w:rPr>
                        <w:lang w:val="de-DE"/>
                      </w:rPr>
                      <w:t>www.rijksoverheid.nl/jenv</w:t>
                    </w:r>
                  </w:p>
                  <w:p w14:paraId="12D02559" w14:textId="77777777" w:rsidR="006B0BF6" w:rsidRPr="00114CD3" w:rsidRDefault="006B0B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039FB4" w14:textId="77777777" w:rsidR="006B0BF6" w:rsidRDefault="00B5477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127BDB" w14:textId="77777777" w:rsidR="006B0BF6" w:rsidRDefault="00B54772">
                    <w:pPr>
                      <w:pStyle w:val="Referentiegegevens"/>
                    </w:pPr>
                    <w:r>
                      <w:t>7302479</w:t>
                    </w:r>
                  </w:p>
                  <w:p w14:paraId="381A3F7F" w14:textId="77777777" w:rsidR="00490A4F" w:rsidRDefault="00490A4F" w:rsidP="00490A4F"/>
                  <w:p w14:paraId="1F375D66" w14:textId="0E2F2792" w:rsidR="00490A4F" w:rsidRPr="00490A4F" w:rsidRDefault="00490A4F" w:rsidP="00490A4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90A4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8C7F468" w14:textId="39F82022" w:rsidR="00490A4F" w:rsidRPr="00490A4F" w:rsidRDefault="00490A4F" w:rsidP="00490A4F">
                    <w:pPr>
                      <w:rPr>
                        <w:sz w:val="13"/>
                        <w:szCs w:val="13"/>
                      </w:rPr>
                    </w:pPr>
                    <w:r w:rsidRPr="00490A4F">
                      <w:rPr>
                        <w:sz w:val="13"/>
                        <w:szCs w:val="13"/>
                      </w:rPr>
                      <w:t>1</w:t>
                    </w:r>
                  </w:p>
                  <w:p w14:paraId="668976AF" w14:textId="25C32A56" w:rsidR="00C875A8" w:rsidRDefault="00C875A8" w:rsidP="00C875A8">
                    <w:pPr>
                      <w:pStyle w:val="Referentiegegevensbold"/>
                    </w:pPr>
                  </w:p>
                  <w:p w14:paraId="429AFB74" w14:textId="15842552" w:rsidR="006B0BF6" w:rsidRDefault="006B0BF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BF747A" wp14:editId="77E4317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8C872" w14:textId="77777777" w:rsidR="006B0BF6" w:rsidRDefault="00B547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4C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4C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BF747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EA8C872" w14:textId="77777777" w:rsidR="006B0BF6" w:rsidRDefault="00B547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4C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4C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4B0844" wp14:editId="4188BE6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5C7D6" w14:textId="77777777" w:rsidR="00611ED8" w:rsidRDefault="00611E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B084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265C7D6" w14:textId="77777777" w:rsidR="00611ED8" w:rsidRDefault="00611E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1D998"/>
    <w:multiLevelType w:val="multilevel"/>
    <w:tmpl w:val="E68D73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EB8BDA4"/>
    <w:multiLevelType w:val="multilevel"/>
    <w:tmpl w:val="0B3FB34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CC3AD81"/>
    <w:multiLevelType w:val="multilevel"/>
    <w:tmpl w:val="D816AB4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D22A82B"/>
    <w:multiLevelType w:val="multilevel"/>
    <w:tmpl w:val="DC8748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863E4B6"/>
    <w:multiLevelType w:val="multilevel"/>
    <w:tmpl w:val="1928DB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269A22F"/>
    <w:multiLevelType w:val="multilevel"/>
    <w:tmpl w:val="801CA68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40311449">
    <w:abstractNumId w:val="4"/>
  </w:num>
  <w:num w:numId="2" w16cid:durableId="970211930">
    <w:abstractNumId w:val="2"/>
  </w:num>
  <w:num w:numId="3" w16cid:durableId="1966082602">
    <w:abstractNumId w:val="1"/>
  </w:num>
  <w:num w:numId="4" w16cid:durableId="1981305526">
    <w:abstractNumId w:val="3"/>
  </w:num>
  <w:num w:numId="5" w16cid:durableId="1852446126">
    <w:abstractNumId w:val="5"/>
  </w:num>
  <w:num w:numId="6" w16cid:durableId="27809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D3"/>
    <w:rsid w:val="000050E2"/>
    <w:rsid w:val="00026FFD"/>
    <w:rsid w:val="00051F02"/>
    <w:rsid w:val="0006231F"/>
    <w:rsid w:val="000661E5"/>
    <w:rsid w:val="000D2FF6"/>
    <w:rsid w:val="00114CD3"/>
    <w:rsid w:val="0015740E"/>
    <w:rsid w:val="001770E8"/>
    <w:rsid w:val="001954C1"/>
    <w:rsid w:val="001B7BA9"/>
    <w:rsid w:val="001F7AAD"/>
    <w:rsid w:val="00200254"/>
    <w:rsid w:val="00221845"/>
    <w:rsid w:val="002873DA"/>
    <w:rsid w:val="002B41DC"/>
    <w:rsid w:val="002C38FF"/>
    <w:rsid w:val="002C7414"/>
    <w:rsid w:val="002E7D9C"/>
    <w:rsid w:val="003217F2"/>
    <w:rsid w:val="00337152"/>
    <w:rsid w:val="00393702"/>
    <w:rsid w:val="00393D67"/>
    <w:rsid w:val="003D6CDA"/>
    <w:rsid w:val="004603ED"/>
    <w:rsid w:val="00490A4F"/>
    <w:rsid w:val="004E314E"/>
    <w:rsid w:val="004E78B4"/>
    <w:rsid w:val="00500585"/>
    <w:rsid w:val="00502245"/>
    <w:rsid w:val="00505C77"/>
    <w:rsid w:val="00536999"/>
    <w:rsid w:val="00541352"/>
    <w:rsid w:val="00574F79"/>
    <w:rsid w:val="00580C70"/>
    <w:rsid w:val="005A08D3"/>
    <w:rsid w:val="005F7FE5"/>
    <w:rsid w:val="00611ED8"/>
    <w:rsid w:val="0062546C"/>
    <w:rsid w:val="00633B78"/>
    <w:rsid w:val="0064314C"/>
    <w:rsid w:val="00651081"/>
    <w:rsid w:val="006B0BF6"/>
    <w:rsid w:val="006C027F"/>
    <w:rsid w:val="006C1A54"/>
    <w:rsid w:val="006F3B80"/>
    <w:rsid w:val="006F5F24"/>
    <w:rsid w:val="0076790B"/>
    <w:rsid w:val="00797307"/>
    <w:rsid w:val="007B2495"/>
    <w:rsid w:val="007D53F8"/>
    <w:rsid w:val="00853EC6"/>
    <w:rsid w:val="00860474"/>
    <w:rsid w:val="008615CD"/>
    <w:rsid w:val="008768FC"/>
    <w:rsid w:val="008C4390"/>
    <w:rsid w:val="00900453"/>
    <w:rsid w:val="0092425F"/>
    <w:rsid w:val="0092784D"/>
    <w:rsid w:val="00941BEC"/>
    <w:rsid w:val="009448E4"/>
    <w:rsid w:val="0095660A"/>
    <w:rsid w:val="00984869"/>
    <w:rsid w:val="00990B78"/>
    <w:rsid w:val="009B234A"/>
    <w:rsid w:val="009B2CEA"/>
    <w:rsid w:val="009E2240"/>
    <w:rsid w:val="00A05679"/>
    <w:rsid w:val="00A105AF"/>
    <w:rsid w:val="00A73F4B"/>
    <w:rsid w:val="00AC7A74"/>
    <w:rsid w:val="00AD2A22"/>
    <w:rsid w:val="00AD6414"/>
    <w:rsid w:val="00AE261F"/>
    <w:rsid w:val="00AF1079"/>
    <w:rsid w:val="00AF419D"/>
    <w:rsid w:val="00AF61FF"/>
    <w:rsid w:val="00B16078"/>
    <w:rsid w:val="00B54772"/>
    <w:rsid w:val="00B54A8B"/>
    <w:rsid w:val="00B558E5"/>
    <w:rsid w:val="00B65B5C"/>
    <w:rsid w:val="00B76DBD"/>
    <w:rsid w:val="00BB2B9D"/>
    <w:rsid w:val="00BF52AF"/>
    <w:rsid w:val="00C01D3B"/>
    <w:rsid w:val="00C02CEF"/>
    <w:rsid w:val="00C271DB"/>
    <w:rsid w:val="00C875A8"/>
    <w:rsid w:val="00C952A6"/>
    <w:rsid w:val="00CA6A3E"/>
    <w:rsid w:val="00CB0480"/>
    <w:rsid w:val="00D455B2"/>
    <w:rsid w:val="00D67C87"/>
    <w:rsid w:val="00DB2608"/>
    <w:rsid w:val="00DC1BD0"/>
    <w:rsid w:val="00DE7AC1"/>
    <w:rsid w:val="00E90310"/>
    <w:rsid w:val="00EA3303"/>
    <w:rsid w:val="00EE55B1"/>
    <w:rsid w:val="00EF6938"/>
    <w:rsid w:val="00F04D02"/>
    <w:rsid w:val="00F20FD1"/>
    <w:rsid w:val="00F31F0F"/>
    <w:rsid w:val="00F36A23"/>
    <w:rsid w:val="00FA35C0"/>
    <w:rsid w:val="00FB02C8"/>
    <w:rsid w:val="00FE71E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DE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4CD3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4CD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4CD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4CD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14C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4CD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D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D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D6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D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D6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0567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s.nl/nl-nl/longread/rapportages/2026/veiligheidsmonitor-202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685</ap:Words>
  <ap:Characters>3771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2026-05-22T09:35:00.0000000Z</dcterms:created>
  <dcterms:modified xsi:type="dcterms:W3CDTF">2026-05-22T09:37:00.0000000Z</dcterms:modified>
  <dc:description>------------------------</dc:description>
  <version/>
  <category/>
</coreProperties>
</file>