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EFE" w:rsidR="00222EFE" w:rsidP="00222EFE" w:rsidRDefault="00A407C9" w14:paraId="609A8A5D" w14:textId="1885F457">
      <w:pPr>
        <w:ind w:left="1410" w:hanging="1410"/>
        <w:rPr>
          <w:rFonts w:ascii="Calibri" w:hAnsi="Calibri" w:cs="Calibri"/>
          <w:sz w:val="22"/>
          <w:szCs w:val="22"/>
        </w:rPr>
      </w:pPr>
      <w:r w:rsidRPr="00222EFE">
        <w:rPr>
          <w:rFonts w:ascii="Calibri" w:hAnsi="Calibri" w:cs="Calibri"/>
          <w:sz w:val="22"/>
          <w:szCs w:val="22"/>
        </w:rPr>
        <w:t>36</w:t>
      </w:r>
      <w:r w:rsidRPr="00222EFE" w:rsidR="00222EFE">
        <w:rPr>
          <w:rFonts w:ascii="Calibri" w:hAnsi="Calibri" w:cs="Calibri"/>
          <w:sz w:val="22"/>
          <w:szCs w:val="22"/>
        </w:rPr>
        <w:t xml:space="preserve"> </w:t>
      </w:r>
      <w:r w:rsidRPr="00222EFE">
        <w:rPr>
          <w:rFonts w:ascii="Calibri" w:hAnsi="Calibri" w:cs="Calibri"/>
          <w:sz w:val="22"/>
          <w:szCs w:val="22"/>
        </w:rPr>
        <w:t>800</w:t>
      </w:r>
      <w:r w:rsidRPr="00222EFE" w:rsidR="00222EFE">
        <w:rPr>
          <w:rFonts w:ascii="Calibri" w:hAnsi="Calibri" w:cs="Calibri"/>
          <w:sz w:val="22"/>
          <w:szCs w:val="22"/>
        </w:rPr>
        <w:t xml:space="preserve"> </w:t>
      </w:r>
      <w:r w:rsidRPr="00222EFE">
        <w:rPr>
          <w:rFonts w:ascii="Calibri" w:hAnsi="Calibri" w:cs="Calibri"/>
          <w:sz w:val="22"/>
          <w:szCs w:val="22"/>
        </w:rPr>
        <w:t>V</w:t>
      </w:r>
      <w:r w:rsidRPr="00222EFE" w:rsidR="00222EFE">
        <w:rPr>
          <w:rFonts w:ascii="Calibri" w:hAnsi="Calibri" w:cs="Calibri"/>
          <w:sz w:val="22"/>
          <w:szCs w:val="22"/>
        </w:rPr>
        <w:tab/>
        <w:t>Vaststelling van de begrotingsstaat van het Ministerie van Buitenlandse Zaken (V) voor het jaar 2026</w:t>
      </w:r>
    </w:p>
    <w:p w:rsidRPr="00222EFE" w:rsidR="00222EFE" w:rsidP="00D80872" w:rsidRDefault="00222EFE" w14:paraId="7BA8CC89" w14:textId="0616F3CE">
      <w:pPr>
        <w:rPr>
          <w:rFonts w:ascii="Calibri" w:hAnsi="Calibri" w:cs="Calibri"/>
          <w:sz w:val="22"/>
          <w:szCs w:val="22"/>
        </w:rPr>
      </w:pPr>
      <w:r w:rsidRPr="00222EFE">
        <w:rPr>
          <w:rFonts w:ascii="Calibri" w:hAnsi="Calibri" w:cs="Calibri"/>
          <w:sz w:val="22"/>
          <w:szCs w:val="22"/>
        </w:rPr>
        <w:t xml:space="preserve">Nr. </w:t>
      </w:r>
      <w:r w:rsidRPr="00222EFE" w:rsidR="00A407C9">
        <w:rPr>
          <w:rFonts w:ascii="Calibri" w:hAnsi="Calibri" w:cs="Calibri"/>
          <w:sz w:val="22"/>
          <w:szCs w:val="22"/>
        </w:rPr>
        <w:t>104</w:t>
      </w:r>
      <w:r w:rsidRPr="00222EFE">
        <w:rPr>
          <w:rFonts w:ascii="Calibri" w:hAnsi="Calibri" w:cs="Calibri"/>
          <w:sz w:val="22"/>
          <w:szCs w:val="22"/>
        </w:rPr>
        <w:tab/>
      </w:r>
      <w:r>
        <w:rPr>
          <w:rFonts w:ascii="Calibri" w:hAnsi="Calibri" w:cs="Calibri"/>
          <w:sz w:val="22"/>
          <w:szCs w:val="22"/>
        </w:rPr>
        <w:tab/>
      </w:r>
      <w:r w:rsidRPr="00222EFE">
        <w:rPr>
          <w:rFonts w:ascii="Calibri" w:hAnsi="Calibri" w:cs="Calibri"/>
          <w:sz w:val="22"/>
          <w:szCs w:val="22"/>
        </w:rPr>
        <w:t>Brief van de minister van Buitenlandse Zaken</w:t>
      </w:r>
    </w:p>
    <w:p w:rsidRPr="00222EFE" w:rsidR="00222EFE" w:rsidP="00222EFE" w:rsidRDefault="00222EFE" w14:paraId="69930C3E" w14:textId="77777777">
      <w:pPr>
        <w:rPr>
          <w:rFonts w:ascii="Calibri" w:hAnsi="Calibri" w:cs="Calibri"/>
          <w:sz w:val="22"/>
          <w:szCs w:val="22"/>
        </w:rPr>
      </w:pPr>
      <w:r w:rsidRPr="00222EFE">
        <w:rPr>
          <w:rFonts w:ascii="Calibri" w:hAnsi="Calibri" w:cs="Calibri"/>
          <w:sz w:val="22"/>
          <w:szCs w:val="22"/>
        </w:rPr>
        <w:t>Aan de Voorzitter van de Tweede Kamer der Staten-Generaal</w:t>
      </w:r>
    </w:p>
    <w:p w:rsidRPr="00222EFE" w:rsidR="00A407C9" w:rsidP="00222EFE" w:rsidRDefault="00222EFE" w14:paraId="0D619383" w14:textId="0A12E88E">
      <w:pPr>
        <w:rPr>
          <w:rFonts w:ascii="Calibri" w:hAnsi="Calibri" w:cs="Calibri"/>
          <w:sz w:val="22"/>
          <w:szCs w:val="22"/>
        </w:rPr>
      </w:pPr>
      <w:r w:rsidRPr="00222EFE">
        <w:rPr>
          <w:rFonts w:ascii="Calibri" w:hAnsi="Calibri" w:cs="Calibri"/>
          <w:sz w:val="22"/>
          <w:szCs w:val="22"/>
        </w:rPr>
        <w:t>Den Haag, 22 mei 2026</w:t>
      </w:r>
      <w:r w:rsidRPr="00222EFE" w:rsidR="00A407C9">
        <w:rPr>
          <w:rFonts w:ascii="Calibri" w:hAnsi="Calibri" w:cs="Calibri"/>
          <w:sz w:val="22"/>
          <w:szCs w:val="22"/>
        </w:rPr>
        <w:br/>
      </w:r>
      <w:r w:rsidRPr="00222EFE" w:rsidR="00A407C9">
        <w:rPr>
          <w:rFonts w:ascii="Calibri" w:hAnsi="Calibri" w:cs="Calibri"/>
          <w:sz w:val="22"/>
          <w:szCs w:val="22"/>
        </w:rPr>
        <w:br/>
        <w:t>Hierbij bied ik u, mede namens de minister van Buitenlandse Handel en Ontwikkelingssamenwerking, de minister van Onderwijs, Cultuur en Wetenschap, de minister van Infrastructuur en Waterstaat, de staatssecretaris van Infrastructuur en Waterstaat, de minister van Klimaat en Groene Groei, de minister van Landbouw, Visserij, Voedselzekerheid en Natuur, en de minister van Defensie, de Nederlandse Polaire Strategie 2026-2030 aan. Het betreft het Nederlandse beleidskader voor de poolgebieden dat iedere vijf jaar wordt hernieuwd. De strategie volgt op de Nederlandse Polaire Strategie 2021-2025. Beslagen ten ijs</w:t>
      </w:r>
      <w:r w:rsidRPr="00222EFE" w:rsidR="00A407C9">
        <w:rPr>
          <w:rStyle w:val="Voetnootmarkering"/>
          <w:rFonts w:ascii="Calibri" w:hAnsi="Calibri" w:cs="Calibri"/>
          <w:sz w:val="22"/>
          <w:szCs w:val="22"/>
        </w:rPr>
        <w:footnoteReference w:id="1"/>
      </w:r>
      <w:r w:rsidRPr="00222EFE" w:rsidR="00A407C9">
        <w:rPr>
          <w:rFonts w:ascii="Calibri" w:hAnsi="Calibri" w:cs="Calibri"/>
          <w:sz w:val="22"/>
          <w:szCs w:val="22"/>
        </w:rPr>
        <w:t xml:space="preserve">.  </w:t>
      </w:r>
    </w:p>
    <w:p w:rsidRPr="00222EFE" w:rsidR="00A407C9" w:rsidP="00A407C9" w:rsidRDefault="00A407C9" w14:paraId="7364BE16" w14:textId="77777777">
      <w:pPr>
        <w:spacing w:after="0"/>
        <w:rPr>
          <w:rFonts w:ascii="Calibri" w:hAnsi="Calibri" w:cs="Calibri"/>
          <w:sz w:val="22"/>
          <w:szCs w:val="22"/>
        </w:rPr>
      </w:pPr>
    </w:p>
    <w:p w:rsidRPr="00222EFE" w:rsidR="00A407C9" w:rsidP="00A407C9" w:rsidRDefault="00A407C9" w14:paraId="7ADD465A" w14:textId="77777777">
      <w:pPr>
        <w:spacing w:after="0"/>
        <w:rPr>
          <w:rFonts w:ascii="Calibri" w:hAnsi="Calibri" w:cs="Calibri"/>
          <w:sz w:val="22"/>
          <w:szCs w:val="22"/>
        </w:rPr>
      </w:pPr>
      <w:r w:rsidRPr="00222EFE">
        <w:rPr>
          <w:rFonts w:ascii="Calibri" w:hAnsi="Calibri" w:cs="Calibri"/>
          <w:sz w:val="22"/>
          <w:szCs w:val="22"/>
        </w:rPr>
        <w:t>De situatie in de wereld verandert snel.</w:t>
      </w:r>
      <w:r w:rsidRPr="00222EFE">
        <w:rPr>
          <w:rStyle w:val="Voetnootmarkering"/>
          <w:rFonts w:ascii="Calibri" w:hAnsi="Calibri" w:cs="Calibri"/>
          <w:sz w:val="22"/>
          <w:szCs w:val="22"/>
        </w:rPr>
        <w:footnoteReference w:id="2"/>
      </w:r>
      <w:r w:rsidRPr="00222EFE">
        <w:rPr>
          <w:rFonts w:ascii="Calibri" w:hAnsi="Calibri" w:cs="Calibri"/>
          <w:sz w:val="22"/>
          <w:szCs w:val="22"/>
        </w:rPr>
        <w:t xml:space="preserve"> Dit heeft ook zijn weerslag op het noordpoolgebied en in mindere mate Antarctica. Dit vraagt in de internationale samenwerking om een grotere focus op veiligheid dan voorheen. Tegelijkertijd is er in de nieuwe strategie onverminderd aandacht voor belangrijke thema’s als klimaat, biodiversiteit en vervuiling, duurzame economische activiteiten en het belang van wetenschappelijk onderzoek. </w:t>
      </w:r>
    </w:p>
    <w:p w:rsidRPr="00222EFE" w:rsidR="00222EFE" w:rsidP="00222EFE" w:rsidRDefault="00222EFE" w14:paraId="3A324B06" w14:textId="77777777">
      <w:pPr>
        <w:pStyle w:val="Geenafstand"/>
        <w:rPr>
          <w:rFonts w:ascii="Calibri" w:hAnsi="Calibri" w:cs="Calibri"/>
          <w:sz w:val="22"/>
          <w:szCs w:val="22"/>
        </w:rPr>
      </w:pPr>
    </w:p>
    <w:p w:rsidRPr="00222EFE" w:rsidR="00222EFE" w:rsidP="00222EFE" w:rsidRDefault="00222EFE" w14:paraId="1DB8106F" w14:textId="069142E8">
      <w:pPr>
        <w:pStyle w:val="Geenafstand"/>
        <w:rPr>
          <w:rFonts w:ascii="Calibri" w:hAnsi="Calibri" w:cs="Calibri"/>
          <w:sz w:val="22"/>
          <w:szCs w:val="22"/>
        </w:rPr>
      </w:pPr>
      <w:r w:rsidRPr="00222EFE">
        <w:rPr>
          <w:rFonts w:ascii="Calibri" w:hAnsi="Calibri" w:cs="Calibri"/>
          <w:sz w:val="22"/>
          <w:szCs w:val="22"/>
        </w:rPr>
        <w:t>De minister van Buitenlandse Zaken,</w:t>
      </w:r>
    </w:p>
    <w:p w:rsidRPr="00222EFE" w:rsidR="00222EFE" w:rsidP="00222EFE" w:rsidRDefault="00222EFE" w14:paraId="3E9C74B1" w14:textId="2C1D995D">
      <w:pPr>
        <w:pStyle w:val="Geenafstand"/>
        <w:rPr>
          <w:rFonts w:ascii="Calibri" w:hAnsi="Calibri" w:cs="Calibri"/>
          <w:sz w:val="22"/>
          <w:szCs w:val="22"/>
        </w:rPr>
      </w:pPr>
      <w:r w:rsidRPr="00222EFE">
        <w:rPr>
          <w:rFonts w:ascii="Calibri" w:hAnsi="Calibri" w:cs="Calibri"/>
          <w:sz w:val="22"/>
          <w:szCs w:val="22"/>
        </w:rPr>
        <w:t>T.B.W. Berendsen</w:t>
      </w:r>
    </w:p>
    <w:p w:rsidRPr="00222EFE" w:rsidR="00A407C9" w:rsidP="00A407C9" w:rsidRDefault="00A407C9" w14:paraId="15E0EE59" w14:textId="77777777">
      <w:pPr>
        <w:spacing w:after="0"/>
        <w:rPr>
          <w:rFonts w:ascii="Calibri" w:hAnsi="Calibri" w:cs="Calibri"/>
          <w:sz w:val="22"/>
          <w:szCs w:val="22"/>
        </w:rPr>
      </w:pPr>
    </w:p>
    <w:sectPr w:rsidRPr="00222EFE" w:rsidR="00A407C9" w:rsidSect="00E60323">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CD3D" w14:textId="77777777" w:rsidR="00F9131A" w:rsidRDefault="00F9131A" w:rsidP="00A407C9">
      <w:pPr>
        <w:spacing w:after="0" w:line="240" w:lineRule="auto"/>
      </w:pPr>
      <w:r>
        <w:separator/>
      </w:r>
    </w:p>
  </w:endnote>
  <w:endnote w:type="continuationSeparator" w:id="0">
    <w:p w14:paraId="6A72F916" w14:textId="77777777" w:rsidR="00F9131A" w:rsidRDefault="00F9131A" w:rsidP="00A4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E283" w14:textId="77777777" w:rsidR="00A407C9" w:rsidRPr="00A407C9" w:rsidRDefault="00A407C9" w:rsidP="00A407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A586" w14:textId="77777777" w:rsidR="00A407C9" w:rsidRPr="00A407C9" w:rsidRDefault="00A407C9" w:rsidP="00A407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B145" w14:textId="77777777" w:rsidR="00A407C9" w:rsidRPr="00A407C9" w:rsidRDefault="00A407C9" w:rsidP="00A407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0092" w14:textId="77777777" w:rsidR="00F9131A" w:rsidRDefault="00F9131A" w:rsidP="00A407C9">
      <w:pPr>
        <w:spacing w:after="0" w:line="240" w:lineRule="auto"/>
      </w:pPr>
      <w:r>
        <w:separator/>
      </w:r>
    </w:p>
  </w:footnote>
  <w:footnote w:type="continuationSeparator" w:id="0">
    <w:p w14:paraId="2C73B1D3" w14:textId="77777777" w:rsidR="00F9131A" w:rsidRDefault="00F9131A" w:rsidP="00A407C9">
      <w:pPr>
        <w:spacing w:after="0" w:line="240" w:lineRule="auto"/>
      </w:pPr>
      <w:r>
        <w:continuationSeparator/>
      </w:r>
    </w:p>
  </w:footnote>
  <w:footnote w:id="1">
    <w:p w14:paraId="380351C8" w14:textId="7796AB75" w:rsidR="00A407C9" w:rsidRPr="00222EFE" w:rsidRDefault="00A407C9" w:rsidP="00A407C9">
      <w:pPr>
        <w:pStyle w:val="Voetnoottekst"/>
        <w:rPr>
          <w:rFonts w:ascii="Calibri" w:hAnsi="Calibri" w:cs="Calibri"/>
        </w:rPr>
      </w:pPr>
      <w:r w:rsidRPr="00222EFE">
        <w:rPr>
          <w:rStyle w:val="Voetnootmarkering"/>
          <w:rFonts w:ascii="Calibri" w:hAnsi="Calibri" w:cs="Calibri"/>
        </w:rPr>
        <w:footnoteRef/>
      </w:r>
      <w:r w:rsidRPr="00222EFE">
        <w:rPr>
          <w:rFonts w:ascii="Calibri" w:hAnsi="Calibri" w:cs="Calibri"/>
        </w:rPr>
        <w:t xml:space="preserve"> Nederlandse Polaire Strategie 2021-2025, bijlage bij Kamerstuk 35 570 V, nr. 65</w:t>
      </w:r>
    </w:p>
  </w:footnote>
  <w:footnote w:id="2">
    <w:p w14:paraId="7265341A" w14:textId="2C75115E" w:rsidR="00A407C9" w:rsidRPr="00222EFE" w:rsidRDefault="00A407C9" w:rsidP="00A407C9">
      <w:pPr>
        <w:pStyle w:val="Voetnoottekst"/>
        <w:rPr>
          <w:rFonts w:ascii="Calibri" w:hAnsi="Calibri" w:cs="Calibri"/>
        </w:rPr>
      </w:pPr>
      <w:r w:rsidRPr="00222EFE">
        <w:rPr>
          <w:rStyle w:val="Voetnootmarkering"/>
          <w:rFonts w:ascii="Calibri" w:hAnsi="Calibri" w:cs="Calibri"/>
        </w:rPr>
        <w:footnoteRef/>
      </w:r>
      <w:r w:rsidRPr="00222EFE">
        <w:rPr>
          <w:rFonts w:ascii="Calibri" w:hAnsi="Calibri" w:cs="Calibri"/>
        </w:rPr>
        <w:t xml:space="preserve"> Zie ook: Beleidsbrief Buitenlandse Zaken 2026, Kamerstuk 36 800 V, nr.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397E" w14:textId="77777777" w:rsidR="00A407C9" w:rsidRPr="00A407C9" w:rsidRDefault="00A407C9" w:rsidP="00A407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95E1" w14:textId="77777777" w:rsidR="00C51BE0" w:rsidRPr="00A407C9" w:rsidRDefault="00C51BE0" w:rsidP="00A407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A2DD" w14:textId="77777777" w:rsidR="00C51BE0" w:rsidRPr="00A407C9" w:rsidRDefault="00C51BE0" w:rsidP="00A407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C9"/>
    <w:rsid w:val="00216B6B"/>
    <w:rsid w:val="00222EFE"/>
    <w:rsid w:val="004E5D09"/>
    <w:rsid w:val="005B53BC"/>
    <w:rsid w:val="00A407C9"/>
    <w:rsid w:val="00C51BE0"/>
    <w:rsid w:val="00D259EF"/>
    <w:rsid w:val="00E60323"/>
    <w:rsid w:val="00F91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DECF"/>
  <w15:chartTrackingRefBased/>
  <w15:docId w15:val="{6D151870-2AF6-4748-80A5-9604DA3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07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07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7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7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7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7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7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0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0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0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0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0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7C9"/>
    <w:rPr>
      <w:rFonts w:eastAsiaTheme="majorEastAsia" w:cstheme="majorBidi"/>
      <w:color w:val="272727" w:themeColor="text1" w:themeTint="D8"/>
    </w:rPr>
  </w:style>
  <w:style w:type="paragraph" w:styleId="Titel">
    <w:name w:val="Title"/>
    <w:basedOn w:val="Standaard"/>
    <w:next w:val="Standaard"/>
    <w:link w:val="TitelChar"/>
    <w:uiPriority w:val="10"/>
    <w:qFormat/>
    <w:rsid w:val="00A4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7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7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7C9"/>
    <w:rPr>
      <w:i/>
      <w:iCs/>
      <w:color w:val="404040" w:themeColor="text1" w:themeTint="BF"/>
    </w:rPr>
  </w:style>
  <w:style w:type="paragraph" w:styleId="Lijstalinea">
    <w:name w:val="List Paragraph"/>
    <w:basedOn w:val="Standaard"/>
    <w:uiPriority w:val="34"/>
    <w:qFormat/>
    <w:rsid w:val="00A407C9"/>
    <w:pPr>
      <w:ind w:left="720"/>
      <w:contextualSpacing/>
    </w:pPr>
  </w:style>
  <w:style w:type="character" w:styleId="Intensievebenadrukking">
    <w:name w:val="Intense Emphasis"/>
    <w:basedOn w:val="Standaardalinea-lettertype"/>
    <w:uiPriority w:val="21"/>
    <w:qFormat/>
    <w:rsid w:val="00A407C9"/>
    <w:rPr>
      <w:i/>
      <w:iCs/>
      <w:color w:val="0F4761" w:themeColor="accent1" w:themeShade="BF"/>
    </w:rPr>
  </w:style>
  <w:style w:type="paragraph" w:styleId="Duidelijkcitaat">
    <w:name w:val="Intense Quote"/>
    <w:basedOn w:val="Standaard"/>
    <w:next w:val="Standaard"/>
    <w:link w:val="DuidelijkcitaatChar"/>
    <w:uiPriority w:val="30"/>
    <w:qFormat/>
    <w:rsid w:val="00A4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7C9"/>
    <w:rPr>
      <w:i/>
      <w:iCs/>
      <w:color w:val="0F4761" w:themeColor="accent1" w:themeShade="BF"/>
    </w:rPr>
  </w:style>
  <w:style w:type="character" w:styleId="Intensieveverwijzing">
    <w:name w:val="Intense Reference"/>
    <w:basedOn w:val="Standaardalinea-lettertype"/>
    <w:uiPriority w:val="32"/>
    <w:qFormat/>
    <w:rsid w:val="00A407C9"/>
    <w:rPr>
      <w:b/>
      <w:bCs/>
      <w:smallCaps/>
      <w:color w:val="0F4761" w:themeColor="accent1" w:themeShade="BF"/>
      <w:spacing w:val="5"/>
    </w:rPr>
  </w:style>
  <w:style w:type="paragraph" w:customStyle="1" w:styleId="Referentiegegevens">
    <w:name w:val="Referentiegegevens"/>
    <w:basedOn w:val="Standaard"/>
    <w:next w:val="Standaard"/>
    <w:uiPriority w:val="9"/>
    <w:qFormat/>
    <w:rsid w:val="00A407C9"/>
    <w:pPr>
      <w:autoSpaceDN w:val="0"/>
      <w:spacing w:after="0" w:line="180" w:lineRule="exact"/>
      <w:textAlignment w:val="baseline"/>
    </w:pPr>
    <w:rPr>
      <w:rFonts w:ascii="Verdana" w:eastAsia="DejaVu Sans" w:hAnsi="Verdana" w:cs="Lohit Hindi"/>
      <w:color w:val="000000"/>
      <w:kern w:val="0"/>
      <w:sz w:val="13"/>
      <w:szCs w:val="13"/>
      <w:lang w:eastAsia="ja-JP"/>
      <w14:ligatures w14:val="none"/>
    </w:rPr>
  </w:style>
  <w:style w:type="paragraph" w:customStyle="1" w:styleId="Referentiegegevensbold">
    <w:name w:val="Referentiegegevens bold"/>
    <w:basedOn w:val="Standaard"/>
    <w:next w:val="Standaard"/>
    <w:uiPriority w:val="10"/>
    <w:qFormat/>
    <w:rsid w:val="00A407C9"/>
    <w:pPr>
      <w:autoSpaceDN w:val="0"/>
      <w:spacing w:after="0" w:line="180" w:lineRule="exact"/>
      <w:textAlignment w:val="baseline"/>
    </w:pPr>
    <w:rPr>
      <w:rFonts w:ascii="Verdana" w:eastAsia="DejaVu Sans" w:hAnsi="Verdana" w:cs="Lohit Hindi"/>
      <w:b/>
      <w:color w:val="000000"/>
      <w:kern w:val="0"/>
      <w:sz w:val="13"/>
      <w:szCs w:val="13"/>
      <w:lang w:eastAsia="ja-JP"/>
      <w14:ligatures w14:val="none"/>
    </w:rPr>
  </w:style>
  <w:style w:type="paragraph" w:customStyle="1" w:styleId="Rubricering">
    <w:name w:val="Rubricering"/>
    <w:basedOn w:val="Standaard"/>
    <w:next w:val="Standaard"/>
    <w:uiPriority w:val="11"/>
    <w:qFormat/>
    <w:rsid w:val="00A407C9"/>
    <w:pPr>
      <w:autoSpaceDN w:val="0"/>
      <w:spacing w:after="0" w:line="180" w:lineRule="exact"/>
      <w:textAlignment w:val="baseline"/>
    </w:pPr>
    <w:rPr>
      <w:rFonts w:ascii="Verdana" w:eastAsia="DejaVu Sans" w:hAnsi="Verdana" w:cs="Lohit Hindi"/>
      <w:b/>
      <w:caps/>
      <w:color w:val="000000"/>
      <w:kern w:val="0"/>
      <w:sz w:val="13"/>
      <w:szCs w:val="13"/>
      <w:lang w:eastAsia="ja-JP"/>
      <w14:ligatures w14:val="none"/>
    </w:rPr>
  </w:style>
  <w:style w:type="table" w:customStyle="1" w:styleId="Tabelondertekening">
    <w:name w:val="Tabel ondertekening"/>
    <w:rsid w:val="00A407C9"/>
    <w:pPr>
      <w:autoSpaceDN w:val="0"/>
      <w:spacing w:after="0" w:line="240" w:lineRule="auto"/>
      <w:textAlignment w:val="baseline"/>
    </w:pPr>
    <w:rPr>
      <w:rFonts w:ascii="Verdana" w:eastAsia="DejaVu Sans" w:hAnsi="Verdana" w:cs="Lohit Hindi"/>
      <w:color w:val="000000"/>
      <w:kern w:val="0"/>
      <w:sz w:val="18"/>
      <w:szCs w:val="18"/>
      <w:lang w:eastAsia="ja-JP"/>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A407C9"/>
    <w:pPr>
      <w:autoSpaceDN w:val="0"/>
      <w:spacing w:after="0" w:line="270" w:lineRule="exact"/>
      <w:textAlignment w:val="baseline"/>
    </w:pPr>
    <w:rPr>
      <w:rFonts w:ascii="Verdana" w:eastAsia="DejaVu Sans" w:hAnsi="Verdana" w:cs="Lohit Hindi"/>
      <w:color w:val="000000"/>
      <w:kern w:val="0"/>
      <w:sz w:val="27"/>
      <w:szCs w:val="27"/>
      <w:lang w:eastAsia="ja-JP"/>
      <w14:ligatures w14:val="none"/>
    </w:rPr>
  </w:style>
  <w:style w:type="paragraph" w:styleId="Voetnoottekst">
    <w:name w:val="footnote text"/>
    <w:basedOn w:val="Standaard"/>
    <w:link w:val="VoetnoottekstChar"/>
    <w:uiPriority w:val="99"/>
    <w:semiHidden/>
    <w:unhideWhenUsed/>
    <w:rsid w:val="00A407C9"/>
    <w:pPr>
      <w:autoSpaceDN w:val="0"/>
      <w:spacing w:after="0" w:line="240" w:lineRule="auto"/>
      <w:textAlignment w:val="baseline"/>
    </w:pPr>
    <w:rPr>
      <w:rFonts w:ascii="Verdana" w:eastAsia="DejaVu Sans" w:hAnsi="Verdana" w:cs="Lohit Hindi"/>
      <w:color w:val="000000"/>
      <w:kern w:val="0"/>
      <w:sz w:val="20"/>
      <w:szCs w:val="20"/>
      <w:lang w:eastAsia="ja-JP"/>
      <w14:ligatures w14:val="none"/>
    </w:rPr>
  </w:style>
  <w:style w:type="character" w:customStyle="1" w:styleId="VoetnoottekstChar">
    <w:name w:val="Voetnoottekst Char"/>
    <w:basedOn w:val="Standaardalinea-lettertype"/>
    <w:link w:val="Voetnoottekst"/>
    <w:uiPriority w:val="99"/>
    <w:semiHidden/>
    <w:rsid w:val="00A407C9"/>
    <w:rPr>
      <w:rFonts w:ascii="Verdana" w:eastAsia="DejaVu Sans" w:hAnsi="Verdana" w:cs="Lohit Hindi"/>
      <w:color w:val="000000"/>
      <w:kern w:val="0"/>
      <w:sz w:val="20"/>
      <w:szCs w:val="20"/>
      <w:lang w:eastAsia="ja-JP"/>
      <w14:ligatures w14:val="none"/>
    </w:rPr>
  </w:style>
  <w:style w:type="character" w:styleId="Voetnootmarkering">
    <w:name w:val="footnote reference"/>
    <w:basedOn w:val="Standaardalinea-lettertype"/>
    <w:uiPriority w:val="99"/>
    <w:semiHidden/>
    <w:unhideWhenUsed/>
    <w:rsid w:val="00A407C9"/>
    <w:rPr>
      <w:vertAlign w:val="superscript"/>
    </w:rPr>
  </w:style>
  <w:style w:type="paragraph" w:styleId="Koptekst">
    <w:name w:val="header"/>
    <w:basedOn w:val="Standaard"/>
    <w:link w:val="KoptekstChar"/>
    <w:uiPriority w:val="99"/>
    <w:unhideWhenUsed/>
    <w:rsid w:val="00A407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07C9"/>
  </w:style>
  <w:style w:type="paragraph" w:styleId="Voettekst">
    <w:name w:val="footer"/>
    <w:basedOn w:val="Standaard"/>
    <w:link w:val="VoettekstChar"/>
    <w:uiPriority w:val="99"/>
    <w:unhideWhenUsed/>
    <w:rsid w:val="00A407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7C9"/>
  </w:style>
  <w:style w:type="paragraph" w:styleId="Geenafstand">
    <w:name w:val="No Spacing"/>
    <w:uiPriority w:val="1"/>
    <w:qFormat/>
    <w:rsid w:val="00222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ap:Words>
  <ap:Characters>1143</ap:Characters>
  <ap:DocSecurity>0</ap:DocSecurity>
  <ap:Lines>9</ap:Lines>
  <ap:Paragraphs>2</ap:Paragraphs>
  <ap:ScaleCrop>false</ap:ScaleCrop>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2026-05-27T11:26:00.0000000Z</dcterms:created>
  <dcterms:modified xsi:type="dcterms:W3CDTF">2026-05-27T11:26:00.0000000Z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