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11F3" w:rsidR="00EF1B65" w:rsidRDefault="005A2B30" w14:paraId="05A9B9FC" w14:textId="74C8198D">
      <w:bookmarkStart w:name="_Hlk213791238" w:id="0"/>
      <w:r w:rsidRPr="008711F3">
        <w:t>Geachte voorzitter,</w:t>
      </w:r>
    </w:p>
    <w:p w:rsidRPr="008711F3" w:rsidR="00EF1B65" w:rsidRDefault="00EF1B65" w14:paraId="05A9B9FD" w14:textId="77777777"/>
    <w:p w:rsidRPr="008711F3" w:rsidR="00EF1B65" w:rsidRDefault="00977873" w14:paraId="05A9B9FE" w14:textId="46CA5B75">
      <w:r w:rsidRPr="008711F3">
        <w:t xml:space="preserve">Op </w:t>
      </w:r>
      <w:r w:rsidRPr="008711F3" w:rsidR="00782887">
        <w:t>22</w:t>
      </w:r>
      <w:r w:rsidRPr="008711F3" w:rsidR="00E64925">
        <w:t xml:space="preserve"> </w:t>
      </w:r>
      <w:r w:rsidRPr="008711F3" w:rsidR="008E00A2">
        <w:t>mei</w:t>
      </w:r>
      <w:r w:rsidRPr="008711F3" w:rsidR="00E64925">
        <w:t xml:space="preserve"> </w:t>
      </w:r>
      <w:r w:rsidRPr="008711F3">
        <w:t xml:space="preserve">heeft de </w:t>
      </w:r>
      <w:r w:rsidRPr="008711F3" w:rsidR="00EF4013">
        <w:t>m</w:t>
      </w:r>
      <w:r w:rsidRPr="008711F3">
        <w:t xml:space="preserve">inisterraad ingestemd met het </w:t>
      </w:r>
      <w:r w:rsidRPr="008711F3" w:rsidR="00DF2CDF">
        <w:t xml:space="preserve">aanhangig </w:t>
      </w:r>
      <w:r w:rsidR="006855C1">
        <w:t xml:space="preserve">doen </w:t>
      </w:r>
      <w:r w:rsidRPr="008711F3" w:rsidR="00DF2CDF">
        <w:t>maken</w:t>
      </w:r>
      <w:r w:rsidRPr="008711F3" w:rsidR="002F6EE0">
        <w:t xml:space="preserve"> van het </w:t>
      </w:r>
      <w:r w:rsidRPr="008711F3">
        <w:rPr>
          <w:i/>
          <w:iCs/>
        </w:rPr>
        <w:t>Tijdelijk sanctiebesluit onrechtmatige nederzettingen in de door Israël bezette gebieden</w:t>
      </w:r>
      <w:r w:rsidRPr="008711F3" w:rsidR="002F6EE0">
        <w:t xml:space="preserve"> </w:t>
      </w:r>
      <w:r w:rsidRPr="008711F3" w:rsidR="00B228BF">
        <w:t xml:space="preserve">voor </w:t>
      </w:r>
      <w:r w:rsidRPr="008711F3" w:rsidR="00EE4C9C">
        <w:t>spoed</w:t>
      </w:r>
      <w:r w:rsidRPr="008711F3" w:rsidR="00B228BF">
        <w:t xml:space="preserve">advies </w:t>
      </w:r>
      <w:r w:rsidRPr="008711F3" w:rsidR="00DF2CDF">
        <w:t>bij</w:t>
      </w:r>
      <w:r w:rsidRPr="008711F3" w:rsidR="002F6EE0">
        <w:t xml:space="preserve"> de Afdeling advisering van de Raad van State (R</w:t>
      </w:r>
      <w:r w:rsidRPr="008711F3" w:rsidR="00EE4C9C">
        <w:t xml:space="preserve">aad </w:t>
      </w:r>
      <w:r w:rsidRPr="008711F3" w:rsidR="002F6EE0">
        <w:t>v</w:t>
      </w:r>
      <w:r w:rsidRPr="008711F3" w:rsidR="00EE4C9C">
        <w:t xml:space="preserve">an </w:t>
      </w:r>
      <w:r w:rsidRPr="008711F3" w:rsidR="002F6EE0">
        <w:t>S</w:t>
      </w:r>
      <w:r w:rsidRPr="008711F3" w:rsidR="00EE4C9C">
        <w:t>tate</w:t>
      </w:r>
      <w:r w:rsidRPr="008711F3" w:rsidR="002F6EE0">
        <w:t>)</w:t>
      </w:r>
      <w:r w:rsidRPr="008711F3" w:rsidR="00BF7794">
        <w:rPr>
          <w:i/>
          <w:iCs/>
        </w:rPr>
        <w:t>.</w:t>
      </w:r>
      <w:r w:rsidRPr="008711F3" w:rsidR="00E64925">
        <w:t xml:space="preserve"> </w:t>
      </w:r>
      <w:r w:rsidRPr="008711F3" w:rsidR="002F6EE0">
        <w:t>Met</w:t>
      </w:r>
      <w:r w:rsidRPr="008711F3" w:rsidR="00DB2238">
        <w:t xml:space="preserve"> </w:t>
      </w:r>
      <w:r w:rsidRPr="008711F3" w:rsidR="00B54853">
        <w:t xml:space="preserve">het </w:t>
      </w:r>
      <w:r w:rsidRPr="008711F3" w:rsidR="002F6EE0">
        <w:t>ontwerp</w:t>
      </w:r>
      <w:r w:rsidRPr="008711F3" w:rsidR="00B228BF">
        <w:t xml:space="preserve"> voor een algemene maatregel van bestuur</w:t>
      </w:r>
      <w:r w:rsidRPr="008711F3" w:rsidR="002F6EE0">
        <w:t xml:space="preserve"> </w:t>
      </w:r>
      <w:r w:rsidRPr="008711F3" w:rsidR="00DB2238">
        <w:t>(het sanctiebesluit</w:t>
      </w:r>
      <w:r w:rsidRPr="008711F3" w:rsidR="00EB1D74">
        <w:t>, of het besluit</w:t>
      </w:r>
      <w:r w:rsidRPr="008711F3" w:rsidR="00DB2238">
        <w:t xml:space="preserve">) </w:t>
      </w:r>
      <w:r w:rsidRPr="008711F3" w:rsidR="00E16C44">
        <w:t xml:space="preserve">geeft </w:t>
      </w:r>
      <w:r w:rsidRPr="008711F3" w:rsidR="00BF7794">
        <w:t xml:space="preserve">het kabinet </w:t>
      </w:r>
      <w:r w:rsidRPr="008711F3" w:rsidR="00E16C44">
        <w:t>invulling aan</w:t>
      </w:r>
      <w:r w:rsidRPr="008711F3" w:rsidR="002C096B">
        <w:t xml:space="preserve"> de</w:t>
      </w:r>
      <w:r w:rsidRPr="008711F3" w:rsidR="00E16C44">
        <w:t xml:space="preserve"> motie</w:t>
      </w:r>
      <w:r w:rsidRPr="008711F3" w:rsidR="00AB7BBC">
        <w:t>s</w:t>
      </w:r>
      <w:r w:rsidRPr="008711F3" w:rsidR="00E16C44">
        <w:t xml:space="preserve"> Paternotte c.s</w:t>
      </w:r>
      <w:r w:rsidRPr="008711F3">
        <w:t>.</w:t>
      </w:r>
      <w:r w:rsidRPr="008711F3" w:rsidR="00AB7BBC">
        <w:t>,</w:t>
      </w:r>
      <w:r w:rsidRPr="008711F3" w:rsidR="00E16C44">
        <w:rPr>
          <w:rStyle w:val="FootnoteReference"/>
        </w:rPr>
        <w:footnoteReference w:id="2"/>
      </w:r>
      <w:r w:rsidRPr="008711F3" w:rsidR="00082BEF">
        <w:t xml:space="preserve"> </w:t>
      </w:r>
      <w:r w:rsidRPr="008711F3" w:rsidR="001D0319">
        <w:t>Van Baarle</w:t>
      </w:r>
      <w:r w:rsidRPr="008711F3" w:rsidR="001D0319">
        <w:rPr>
          <w:rStyle w:val="FootnoteReference"/>
        </w:rPr>
        <w:footnoteReference w:id="3"/>
      </w:r>
      <w:r w:rsidRPr="008711F3" w:rsidR="00AB7BBC">
        <w:t xml:space="preserve"> en Piri.</w:t>
      </w:r>
      <w:r w:rsidRPr="008711F3" w:rsidR="00AB7BBC">
        <w:rPr>
          <w:rStyle w:val="FootnoteReference"/>
        </w:rPr>
        <w:footnoteReference w:id="4"/>
      </w:r>
      <w:r w:rsidRPr="008711F3" w:rsidR="001D0319">
        <w:t xml:space="preserve"> </w:t>
      </w:r>
      <w:r w:rsidRPr="008711F3">
        <w:t xml:space="preserve">Middels deze brief informeert het kabinet uw Kamer </w:t>
      </w:r>
      <w:r w:rsidRPr="008711F3" w:rsidR="00F52CC1">
        <w:t xml:space="preserve">op hoofdlijnen </w:t>
      </w:r>
      <w:r w:rsidRPr="008711F3">
        <w:t xml:space="preserve">over </w:t>
      </w:r>
      <w:r w:rsidRPr="008711F3" w:rsidR="00E64925">
        <w:t>het</w:t>
      </w:r>
      <w:r w:rsidRPr="008711F3">
        <w:t xml:space="preserve"> </w:t>
      </w:r>
      <w:r w:rsidRPr="008711F3" w:rsidR="00DB2238">
        <w:t>sanctie</w:t>
      </w:r>
      <w:r w:rsidRPr="008711F3">
        <w:t>besluit</w:t>
      </w:r>
      <w:r w:rsidRPr="008711F3" w:rsidR="00DB2238">
        <w:t xml:space="preserve">. </w:t>
      </w:r>
      <w:bookmarkStart w:name="_Hlk229064154" w:id="2"/>
      <w:r w:rsidRPr="008711F3" w:rsidR="008561F9">
        <w:t>H</w:t>
      </w:r>
      <w:r w:rsidRPr="008711F3" w:rsidR="00DB2238">
        <w:t>et sanctiebesluit is</w:t>
      </w:r>
      <w:r w:rsidRPr="008711F3">
        <w:t xml:space="preserve"> </w:t>
      </w:r>
      <w:r w:rsidRPr="008711F3" w:rsidR="00713B98">
        <w:t xml:space="preserve">onder voorbehoud van </w:t>
      </w:r>
      <w:r w:rsidRPr="008711F3">
        <w:t xml:space="preserve">mogelijke wijzigingen naar aanleiding van het advies van de </w:t>
      </w:r>
      <w:r w:rsidRPr="008711F3" w:rsidR="00EE4C9C">
        <w:t>Raad van State</w:t>
      </w:r>
      <w:r w:rsidRPr="008711F3">
        <w:t>.</w:t>
      </w:r>
      <w:r w:rsidRPr="008711F3" w:rsidR="00F52CC1">
        <w:t xml:space="preserve"> </w:t>
      </w:r>
      <w:bookmarkEnd w:id="2"/>
      <w:r w:rsidRPr="008711F3" w:rsidR="00F52CC1">
        <w:t xml:space="preserve">Voor de uitgebreide ratio achter </w:t>
      </w:r>
      <w:r w:rsidRPr="008711F3" w:rsidR="00470FDD">
        <w:t xml:space="preserve">het besluit </w:t>
      </w:r>
      <w:r w:rsidRPr="008711F3" w:rsidR="00F52CC1">
        <w:t xml:space="preserve">verwijzen wij u naar de </w:t>
      </w:r>
      <w:r w:rsidRPr="008711F3" w:rsidR="00470FDD">
        <w:t>bijbehorende</w:t>
      </w:r>
      <w:r w:rsidRPr="008711F3" w:rsidR="00F52CC1">
        <w:t xml:space="preserve"> </w:t>
      </w:r>
      <w:r w:rsidRPr="008711F3" w:rsidR="00EF4013">
        <w:t>n</w:t>
      </w:r>
      <w:r w:rsidRPr="008711F3" w:rsidR="00F52CC1">
        <w:t xml:space="preserve">ota van </w:t>
      </w:r>
      <w:r w:rsidRPr="008711F3" w:rsidR="00EF4013">
        <w:t>t</w:t>
      </w:r>
      <w:r w:rsidRPr="008711F3" w:rsidR="00F52CC1">
        <w:t>oelichting.</w:t>
      </w:r>
      <w:r w:rsidRPr="008711F3" w:rsidR="00555C0E">
        <w:rPr>
          <w:rStyle w:val="FootnoteReference"/>
        </w:rPr>
        <w:footnoteReference w:id="5"/>
      </w:r>
    </w:p>
    <w:p w:rsidRPr="008711F3" w:rsidR="00977873" w:rsidRDefault="00977873" w14:paraId="327E10F5" w14:textId="1D2B4F80"/>
    <w:p w:rsidRPr="008711F3" w:rsidR="00977873" w:rsidRDefault="00977873" w14:paraId="7CB842E4" w14:textId="49258CCC">
      <w:pPr>
        <w:rPr>
          <w:b/>
          <w:bCs/>
        </w:rPr>
      </w:pPr>
      <w:r w:rsidRPr="008711F3">
        <w:rPr>
          <w:b/>
          <w:bCs/>
        </w:rPr>
        <w:t>De huidige situatie</w:t>
      </w:r>
    </w:p>
    <w:p w:rsidRPr="008711F3" w:rsidR="0068132F" w:rsidRDefault="00EA1E8D" w14:paraId="3A189E89" w14:textId="69BFCEA2">
      <w:r w:rsidRPr="008711F3">
        <w:t xml:space="preserve">Als bekend acht het kabinet </w:t>
      </w:r>
      <w:r w:rsidRPr="008711F3" w:rsidR="00166BAC">
        <w:t>d</w:t>
      </w:r>
      <w:r w:rsidRPr="008711F3" w:rsidR="00B511E1">
        <w:t xml:space="preserve">e Israëlische bezetting van de Palestijnse Gebieden en de Syrische Golanhoogvlakte onrechtmatig. Het </w:t>
      </w:r>
      <w:r w:rsidRPr="008711F3" w:rsidR="004C12DF">
        <w:t>Internationaal Gerechtshof</w:t>
      </w:r>
      <w:r w:rsidRPr="008711F3" w:rsidR="00B511E1">
        <w:t xml:space="preserve"> </w:t>
      </w:r>
      <w:r w:rsidRPr="008711F3">
        <w:t xml:space="preserve">heeft in zijn advies opgeroepen </w:t>
      </w:r>
      <w:r w:rsidRPr="008711F3" w:rsidR="00B511E1">
        <w:t>de bezetting zo spoedig mogelijk te beëindigen, met inachtneming van de legitieme veiligheidsbelangen van Israël.</w:t>
      </w:r>
      <w:r w:rsidRPr="008711F3" w:rsidR="00B511E1">
        <w:rPr>
          <w:rStyle w:val="FootnoteReference"/>
        </w:rPr>
        <w:footnoteReference w:id="6"/>
      </w:r>
      <w:r w:rsidRPr="008711F3" w:rsidR="00B511E1">
        <w:t xml:space="preserve"> </w:t>
      </w:r>
    </w:p>
    <w:p w:rsidRPr="008711F3" w:rsidR="0068132F" w:rsidRDefault="0068132F" w14:paraId="2CA63FD6" w14:textId="77777777"/>
    <w:p w:rsidRPr="008711F3" w:rsidR="00E64DF0" w:rsidRDefault="0068132F" w14:paraId="09222DBF" w14:textId="7C749D4D">
      <w:r w:rsidRPr="008711F3">
        <w:t xml:space="preserve">Het kabinet maakt zich grote zorgen over deze situatie in de Westelijke Jordaanoever en Syrische Golanhoogvlakte, </w:t>
      </w:r>
      <w:r w:rsidRPr="008711F3" w:rsidR="00E93A80">
        <w:t xml:space="preserve">ook in de context van </w:t>
      </w:r>
      <w:r w:rsidRPr="008711F3">
        <w:t>de bredere regionale escalatie.</w:t>
      </w:r>
      <w:r w:rsidRPr="008711F3" w:rsidR="004C12DF">
        <w:t xml:space="preserve"> </w:t>
      </w:r>
      <w:r w:rsidRPr="008711F3" w:rsidR="00E93A80">
        <w:t xml:space="preserve">Het </w:t>
      </w:r>
      <w:r w:rsidRPr="008711F3" w:rsidR="00B511E1">
        <w:t xml:space="preserve">Israëlische </w:t>
      </w:r>
      <w:r w:rsidRPr="008711F3" w:rsidR="00FC102B">
        <w:t>nederzettingenbeleid</w:t>
      </w:r>
      <w:r w:rsidRPr="008711F3" w:rsidR="00060CA7">
        <w:t>, het kolonistengeweld</w:t>
      </w:r>
      <w:r w:rsidRPr="008711F3" w:rsidR="00FC102B">
        <w:t xml:space="preserve"> en recent aangekondigde maatregelen</w:t>
      </w:r>
      <w:r w:rsidRPr="008711F3" w:rsidR="00D0077E">
        <w:t xml:space="preserve">, waaronder de besluiten die de Israëlische civiele controle over de Westelijke Jordaanoever verder uitbreiden, </w:t>
      </w:r>
      <w:r w:rsidRPr="008711F3" w:rsidR="00060CA7">
        <w:t xml:space="preserve">ondermijnen een tweestatenoplossing verder, en </w:t>
      </w:r>
      <w:r w:rsidRPr="008711F3" w:rsidR="00FC102B">
        <w:t xml:space="preserve">druisen in tegen </w:t>
      </w:r>
      <w:r w:rsidRPr="008711F3" w:rsidR="002652DE">
        <w:t>het internationaal recht en aanbevelingen van organen van volkenrechtelijke organisaties</w:t>
      </w:r>
      <w:r w:rsidRPr="008711F3" w:rsidR="00330614">
        <w:t xml:space="preserve">, zoals het advies van het Internationaal Gerechtshof </w:t>
      </w:r>
      <w:r w:rsidRPr="008711F3" w:rsidR="0059749B">
        <w:t xml:space="preserve">(IGH) </w:t>
      </w:r>
      <w:r w:rsidRPr="008711F3" w:rsidR="00330614">
        <w:t>van 19 juli 2024, resoluties ES-10/24 en A-79/90 van de Algemene Vergadering van de VN, en resolutie</w:t>
      </w:r>
      <w:r w:rsidRPr="008711F3" w:rsidR="0097656F">
        <w:t>s 465 (1980) en</w:t>
      </w:r>
      <w:r w:rsidRPr="008711F3" w:rsidR="00330614">
        <w:t xml:space="preserve"> 497 (1981) van de VN-Veiligheidsraad. </w:t>
      </w:r>
    </w:p>
    <w:p w:rsidRPr="008711F3" w:rsidR="00E64DF0" w:rsidRDefault="00E64DF0" w14:paraId="16BE3FB3" w14:textId="77777777"/>
    <w:p w:rsidRPr="008711F3" w:rsidR="00977873" w:rsidRDefault="00EC11D1" w14:paraId="0895D119" w14:textId="5C6D36D8">
      <w:r w:rsidRPr="008711F3">
        <w:lastRenderedPageBreak/>
        <w:t xml:space="preserve">Het kabinet </w:t>
      </w:r>
      <w:r w:rsidRPr="008711F3" w:rsidR="00EA1E8D">
        <w:t xml:space="preserve">heeft zich steeds </w:t>
      </w:r>
      <w:r w:rsidRPr="008711F3">
        <w:t xml:space="preserve">naar vermogen en in samenwerking met partners </w:t>
      </w:r>
      <w:r w:rsidRPr="008711F3" w:rsidR="00EA1E8D">
        <w:t xml:space="preserve">ingezet </w:t>
      </w:r>
      <w:r w:rsidRPr="008711F3">
        <w:t>om de</w:t>
      </w:r>
      <w:r w:rsidRPr="008711F3" w:rsidR="00E122B7">
        <w:t xml:space="preserve"> zorgwekkende</w:t>
      </w:r>
      <w:r w:rsidRPr="008711F3">
        <w:t xml:space="preserve"> situatie in de </w:t>
      </w:r>
      <w:r w:rsidRPr="008711F3" w:rsidR="00FD7046">
        <w:t>bezette</w:t>
      </w:r>
      <w:r w:rsidRPr="008711F3">
        <w:t xml:space="preserve"> </w:t>
      </w:r>
      <w:r w:rsidRPr="008711F3" w:rsidR="00FD7046">
        <w:t>g</w:t>
      </w:r>
      <w:r w:rsidRPr="008711F3">
        <w:t>ebieden te verbeteren</w:t>
      </w:r>
      <w:r w:rsidRPr="008711F3" w:rsidR="00E122B7">
        <w:t xml:space="preserve"> en zal dat blijven doen</w:t>
      </w:r>
      <w:r w:rsidRPr="008711F3">
        <w:t>.</w:t>
      </w:r>
      <w:r w:rsidRPr="008711F3">
        <w:rPr>
          <w:rStyle w:val="FootnoteReference"/>
        </w:rPr>
        <w:footnoteReference w:id="7"/>
      </w:r>
      <w:r w:rsidRPr="008711F3">
        <w:t xml:space="preserve"> </w:t>
      </w:r>
      <w:r w:rsidRPr="008711F3" w:rsidR="005635B2">
        <w:t xml:space="preserve">Wat betreft de Israëlische bezetting acht Nederland deze onrechtmatig in het verlengde van het advies van het Internationaal Gerechtshof. Gezien het Israëlische nederzettingenbeleid heeft het kabinet, naast publieke veroordelingen, besloten over te gaan tot handelsmaatregelen. </w:t>
      </w:r>
      <w:r w:rsidRPr="008711F3" w:rsidR="00C514C5">
        <w:t>Het kabinet heeft</w:t>
      </w:r>
      <w:r w:rsidRPr="008711F3" w:rsidR="00226CA6">
        <w:t>, conform motie Van Campen/Boswijk</w:t>
      </w:r>
      <w:r w:rsidRPr="008711F3" w:rsidR="006A1882">
        <w:t>,</w:t>
      </w:r>
      <w:r w:rsidRPr="008711F3" w:rsidR="00226CA6">
        <w:rPr>
          <w:rStyle w:val="FootnoteReference"/>
        </w:rPr>
        <w:footnoteReference w:id="8"/>
      </w:r>
      <w:r w:rsidRPr="008711F3" w:rsidR="00C514C5">
        <w:t xml:space="preserve"> in Europees verband </w:t>
      </w:r>
      <w:r w:rsidRPr="008711F3" w:rsidR="00FA2F82">
        <w:t>herhaaldelijk</w:t>
      </w:r>
      <w:r w:rsidRPr="008711F3" w:rsidR="00C514C5">
        <w:t xml:space="preserve"> gepleit voor </w:t>
      </w:r>
      <w:r w:rsidRPr="008711F3" w:rsidR="00A45EEB">
        <w:t xml:space="preserve">handelspolitieke </w:t>
      </w:r>
      <w:r w:rsidRPr="008711F3" w:rsidR="00C514C5">
        <w:t xml:space="preserve">maatregelen </w:t>
      </w:r>
      <w:r w:rsidRPr="008711F3" w:rsidR="00470FDD">
        <w:t>op het niveau van de EU</w:t>
      </w:r>
      <w:r w:rsidRPr="008711F3" w:rsidR="00C514C5">
        <w:t xml:space="preserve"> tegen de onrechtmatige nederzettingen</w:t>
      </w:r>
      <w:r w:rsidRPr="008711F3" w:rsidR="00FA2F82">
        <w:t>. Voldoende steun</w:t>
      </w:r>
      <w:r w:rsidRPr="008711F3" w:rsidR="00C514C5">
        <w:t xml:space="preserve"> voor </w:t>
      </w:r>
      <w:r w:rsidRPr="008711F3" w:rsidR="00FD7046">
        <w:t xml:space="preserve">dergelijke </w:t>
      </w:r>
      <w:r w:rsidRPr="008711F3" w:rsidR="00C514C5">
        <w:t xml:space="preserve">EU-maatregelen </w:t>
      </w:r>
      <w:r w:rsidRPr="008711F3" w:rsidR="0059749B">
        <w:t xml:space="preserve">blijft </w:t>
      </w:r>
      <w:r w:rsidRPr="008711F3" w:rsidR="00B06441">
        <w:t xml:space="preserve">tot nu toe </w:t>
      </w:r>
      <w:r w:rsidRPr="008711F3" w:rsidR="0059749B">
        <w:t>echter uit</w:t>
      </w:r>
      <w:r w:rsidRPr="008711F3" w:rsidR="00C514C5">
        <w:t>. Derhalve introduce</w:t>
      </w:r>
      <w:r w:rsidRPr="008711F3" w:rsidR="0007466F">
        <w:t>ert het kabinet</w:t>
      </w:r>
      <w:r w:rsidRPr="008711F3" w:rsidR="008D6159">
        <w:t>,</w:t>
      </w:r>
      <w:r w:rsidRPr="008711F3" w:rsidR="00C514C5">
        <w:t xml:space="preserve"> </w:t>
      </w:r>
      <w:r w:rsidRPr="008711F3" w:rsidR="00DA3AA3">
        <w:t>zoals toegezegd</w:t>
      </w:r>
      <w:r w:rsidRPr="008711F3" w:rsidR="00C11DEB">
        <w:rPr>
          <w:rStyle w:val="FootnoteReference"/>
        </w:rPr>
        <w:footnoteReference w:id="9"/>
      </w:r>
      <w:r w:rsidRPr="008711F3" w:rsidR="00C514C5">
        <w:t xml:space="preserve"> </w:t>
      </w:r>
      <w:r w:rsidRPr="008711F3" w:rsidR="008D6159">
        <w:t xml:space="preserve">en in lijn met de </w:t>
      </w:r>
      <w:r w:rsidRPr="008711F3" w:rsidR="008E58B7">
        <w:t xml:space="preserve">genoemde </w:t>
      </w:r>
      <w:r w:rsidRPr="008711F3" w:rsidR="008D6159">
        <w:t>motie</w:t>
      </w:r>
      <w:r w:rsidRPr="008711F3" w:rsidR="00AB7BBC">
        <w:t>s,</w:t>
      </w:r>
      <w:r w:rsidRPr="008711F3" w:rsidR="008E58B7">
        <w:t xml:space="preserve"> </w:t>
      </w:r>
      <w:r w:rsidRPr="008711F3" w:rsidR="00C514C5">
        <w:t xml:space="preserve">nationale maatregelen die moeten voorkomen dat </w:t>
      </w:r>
      <w:r w:rsidRPr="008711F3" w:rsidR="008D6159">
        <w:t xml:space="preserve">Nederlandse </w:t>
      </w:r>
      <w:r w:rsidRPr="008711F3" w:rsidR="00C514C5">
        <w:t>economische activiteiten bijdragen aan het bestendigen van een situatie die strijdig is met het internationaal recht.</w:t>
      </w:r>
    </w:p>
    <w:p w:rsidRPr="008711F3" w:rsidR="00977873" w:rsidRDefault="00977873" w14:paraId="28016D9E" w14:textId="77777777"/>
    <w:p w:rsidRPr="008711F3" w:rsidR="00977873" w:rsidRDefault="009D626B" w14:paraId="27EF1008" w14:textId="3CDAB939">
      <w:pPr>
        <w:rPr>
          <w:b/>
          <w:bCs/>
        </w:rPr>
      </w:pPr>
      <w:r w:rsidRPr="008711F3">
        <w:rPr>
          <w:b/>
          <w:bCs/>
        </w:rPr>
        <w:t>H</w:t>
      </w:r>
      <w:r w:rsidRPr="008711F3" w:rsidR="00977873">
        <w:rPr>
          <w:b/>
          <w:bCs/>
        </w:rPr>
        <w:t xml:space="preserve">et </w:t>
      </w:r>
      <w:r w:rsidRPr="008711F3" w:rsidR="00704140">
        <w:rPr>
          <w:b/>
          <w:bCs/>
        </w:rPr>
        <w:t>sanctiebesluit</w:t>
      </w:r>
    </w:p>
    <w:p w:rsidRPr="008711F3" w:rsidR="004D5DBF" w:rsidP="002957AA" w:rsidRDefault="00E8357B" w14:paraId="7141819D" w14:textId="72CB594A">
      <w:r w:rsidRPr="008711F3">
        <w:t xml:space="preserve">Dit sanctiebesluit </w:t>
      </w:r>
      <w:r w:rsidRPr="008711F3" w:rsidR="00DF342B">
        <w:t>is</w:t>
      </w:r>
      <w:r w:rsidRPr="008711F3">
        <w:t xml:space="preserve"> opgesteld op grond van de Sanctiewet 1977 als nadere invulling van het voorgenoemde IGH-advies en </w:t>
      </w:r>
      <w:r w:rsidRPr="008711F3" w:rsidR="00C6043B">
        <w:t xml:space="preserve">de </w:t>
      </w:r>
      <w:r w:rsidRPr="008711F3">
        <w:t>VN-resoluties.</w:t>
      </w:r>
      <w:r w:rsidRPr="008711F3">
        <w:rPr>
          <w:rStyle w:val="FootnoteReference"/>
        </w:rPr>
        <w:footnoteReference w:id="10"/>
      </w:r>
      <w:r w:rsidRPr="008711F3">
        <w:t xml:space="preserve"> </w:t>
      </w:r>
      <w:r w:rsidRPr="008711F3" w:rsidR="00405310">
        <w:t>Het besluit</w:t>
      </w:r>
      <w:r w:rsidRPr="008711F3" w:rsidR="003F0656">
        <w:t xml:space="preserve"> </w:t>
      </w:r>
      <w:r w:rsidRPr="008711F3" w:rsidR="00DF342B">
        <w:t>ziet</w:t>
      </w:r>
      <w:r w:rsidRPr="008711F3" w:rsidR="00C73A90">
        <w:t xml:space="preserve"> op maatregelen </w:t>
      </w:r>
      <w:r w:rsidRPr="008711F3" w:rsidR="00405310">
        <w:t xml:space="preserve">met betrekking tot </w:t>
      </w:r>
      <w:r w:rsidRPr="008711F3" w:rsidR="00C73A90">
        <w:t>de handel in goederen afkomstig uit onrechtmatige nederzettingen in de door Israël bezette gebieden</w:t>
      </w:r>
      <w:r w:rsidRPr="008711F3" w:rsidR="008626BA">
        <w:t xml:space="preserve"> (Palestijnse Gebieden en </w:t>
      </w:r>
      <w:r w:rsidRPr="008711F3" w:rsidR="00E64DF0">
        <w:t xml:space="preserve">Syrische </w:t>
      </w:r>
      <w:r w:rsidRPr="008711F3" w:rsidR="008626BA">
        <w:t>Golanhoogvlakte)</w:t>
      </w:r>
      <w:r w:rsidRPr="008711F3" w:rsidR="00421969">
        <w:t>.</w:t>
      </w:r>
      <w:r w:rsidRPr="008711F3" w:rsidR="00C9593C">
        <w:t xml:space="preserve"> </w:t>
      </w:r>
      <w:r w:rsidRPr="008711F3" w:rsidR="008B2D33">
        <w:t xml:space="preserve">Het besluit </w:t>
      </w:r>
      <w:r w:rsidRPr="008711F3" w:rsidR="00C73A90">
        <w:t xml:space="preserve">bevat zowel een douanemaatregel (invoerverbod), diverse markttoezichtmaatregelen (aankoopverbod, verkoopverbod en het verbod op het verlenen van tussenhandeldiensten), alsook een verbod op het omzeilen van deze verboden. </w:t>
      </w:r>
      <w:r w:rsidRPr="008711F3" w:rsidR="004E0AC8">
        <w:t xml:space="preserve">De </w:t>
      </w:r>
      <w:r w:rsidRPr="008711F3" w:rsidR="00440E0F">
        <w:t>maatregelen</w:t>
      </w:r>
      <w:r w:rsidRPr="008711F3" w:rsidR="004E0AC8">
        <w:t xml:space="preserve"> zijn </w:t>
      </w:r>
      <w:r w:rsidRPr="008711F3" w:rsidR="004D5DBF">
        <w:t>van toepassing op iedere (rechts)persoon die zich</w:t>
      </w:r>
      <w:r w:rsidRPr="008711F3" w:rsidR="00297505">
        <w:t xml:space="preserve"> bevindt</w:t>
      </w:r>
      <w:r w:rsidRPr="008711F3" w:rsidR="004D5DBF">
        <w:t xml:space="preserve"> in Nederland </w:t>
      </w:r>
      <w:r w:rsidRPr="008711F3" w:rsidR="002A417E">
        <w:t xml:space="preserve">(inclusief de openbare lichamen Bonaire, Sint Eustatius en Saba) </w:t>
      </w:r>
      <w:r w:rsidRPr="008711F3" w:rsidR="004D5DBF">
        <w:t>en op alle Nederlandse (rechts)personen buiten Nederland.</w:t>
      </w:r>
    </w:p>
    <w:p w:rsidRPr="008711F3" w:rsidR="004D5DBF" w:rsidP="002957AA" w:rsidRDefault="004D5DBF" w14:paraId="67673411" w14:textId="77777777"/>
    <w:p w:rsidRPr="008711F3" w:rsidR="002957AA" w:rsidP="002957AA" w:rsidRDefault="00C514C5" w14:paraId="6DBB500F" w14:textId="62E3887B">
      <w:r w:rsidRPr="008711F3">
        <w:t>Het kabinet</w:t>
      </w:r>
      <w:r w:rsidRPr="008711F3" w:rsidR="00C73A90">
        <w:t xml:space="preserve"> kiest voor </w:t>
      </w:r>
      <w:r w:rsidRPr="008711F3" w:rsidR="004D5DBF">
        <w:t xml:space="preserve">de combinatie van een douanemaatregel, markttoezichtmaatregelen en een omzeilingsverbod </w:t>
      </w:r>
      <w:r w:rsidRPr="008711F3" w:rsidR="00C73A90">
        <w:t xml:space="preserve">om de omzeilingsrisico’s van een louter nationaal </w:t>
      </w:r>
      <w:r w:rsidRPr="008711F3" w:rsidR="00B947C4">
        <w:t xml:space="preserve">invoerverbod </w:t>
      </w:r>
      <w:r w:rsidRPr="008711F3" w:rsidR="00C73A90">
        <w:t>te verkleinen. Als onderdeel van de Europese interne markt met een gemeenschappelijke Europese douanegrens en open binnengrenzen voor het goederenverkeer, is Nederland immers beperkt in het feitelijk handhaven van nationale invoerbeperkingen. De combinatie met diverse markttoezichtmaatregelen en een omzeilingsverbod ondervangt dit zoveel mogelijk.</w:t>
      </w:r>
      <w:r w:rsidRPr="008711F3" w:rsidR="00794B97">
        <w:t xml:space="preserve"> </w:t>
      </w:r>
      <w:bookmarkStart w:name="_Hlk214028488" w:id="5"/>
      <w:bookmarkStart w:name="_Hlk214028234" w:id="6"/>
    </w:p>
    <w:bookmarkEnd w:id="5"/>
    <w:bookmarkEnd w:id="6"/>
    <w:p w:rsidRPr="008711F3" w:rsidR="00E0220B" w:rsidP="002957AA" w:rsidRDefault="00E0220B" w14:paraId="5F204D0F" w14:textId="77777777"/>
    <w:p w:rsidRPr="008711F3" w:rsidR="002957AA" w:rsidP="002957AA" w:rsidRDefault="002957AA" w14:paraId="765B73BE" w14:textId="4C67AF3A">
      <w:r w:rsidRPr="008711F3">
        <w:t>Het kabinet heeft de doelmatigheid, doeltreffendheid, proportionaliteit, uitvoerbaarheid en regeldruk van de maatregel zorgvuldig gewogen.</w:t>
      </w:r>
      <w:r w:rsidRPr="008711F3" w:rsidDel="00D532F9">
        <w:t xml:space="preserve"> </w:t>
      </w:r>
      <w:r w:rsidRPr="008711F3">
        <w:t>Desondanks is het aannemelijk dat</w:t>
      </w:r>
      <w:r w:rsidRPr="008711F3">
        <w:rPr>
          <w:rStyle w:val="CommentReference"/>
        </w:rPr>
        <w:t xml:space="preserve"> </w:t>
      </w:r>
      <w:r w:rsidRPr="008711F3">
        <w:t>de handhaving van de maatregelen tegen grenzen aan zal lopen. Dit heeft onder andere te maken met de aard van de interne markt, het feit dat de onrechtmatige nederzettingen geen afgebakend douanegebied vormen, en uitdagingen omtrent de identificatie van goederen afkomstig uit de onrechtmatige nederzettingen. Het kabinet heeft ook samenwerking gezocht met EU-lidstaten die vergelijkbare nationale maatregelen hebben aangekondigd</w:t>
      </w:r>
      <w:r w:rsidRPr="008711F3" w:rsidR="00B06441">
        <w:t>,</w:t>
      </w:r>
      <w:r w:rsidRPr="008711F3">
        <w:t xml:space="preserve"> om daarmee de effectiviteit zoveel mogelijk te waarborgen. </w:t>
      </w:r>
    </w:p>
    <w:p w:rsidRPr="008711F3" w:rsidR="008C153F" w:rsidP="004B3AF7" w:rsidRDefault="008C153F" w14:paraId="6EAB694D" w14:textId="77777777"/>
    <w:p w:rsidRPr="008711F3" w:rsidR="00DF342B" w:rsidP="00DF342B" w:rsidRDefault="004D2355" w14:paraId="5CE9D1EC" w14:textId="13F0C1A1">
      <w:bookmarkStart w:name="_Hlk229064065" w:id="7"/>
      <w:r w:rsidRPr="008711F3">
        <w:t>De verboden zien alleen toe op goederen, niet op diensten en investeringen.</w:t>
      </w:r>
      <w:r w:rsidRPr="008711F3" w:rsidR="0062200C">
        <w:t xml:space="preserve"> </w:t>
      </w:r>
      <w:r w:rsidRPr="008711F3" w:rsidR="008C153F">
        <w:t xml:space="preserve">Voor nationale maatregelen tegen goederen is een duidelijke grondslag beschikbaar in </w:t>
      </w:r>
      <w:r w:rsidRPr="008711F3" w:rsidR="008C153F">
        <w:lastRenderedPageBreak/>
        <w:t>het Unierecht, maar voor diensten en investeringen heeft het kabinet een dergelijke evidente grondslag niet gevonden</w:t>
      </w:r>
      <w:bookmarkEnd w:id="7"/>
      <w:r w:rsidRPr="008711F3" w:rsidR="008C153F">
        <w:t>.</w:t>
      </w:r>
      <w:r w:rsidRPr="008711F3">
        <w:rPr>
          <w:rStyle w:val="FootnoteReference"/>
        </w:rPr>
        <w:footnoteReference w:id="11"/>
      </w:r>
      <w:r w:rsidRPr="008711F3">
        <w:t xml:space="preserve"> </w:t>
      </w:r>
      <w:r w:rsidRPr="008711F3" w:rsidR="008C153F">
        <w:t xml:space="preserve">Een dergelijke grondslag is noodzakelijk in verband met de exclusieve bevoegdheid van de EU op het gebied van handelspolitiek. </w:t>
      </w:r>
      <w:r w:rsidRPr="008711F3" w:rsidR="00F81FD7">
        <w:t xml:space="preserve">Om recht te doen aan de urgentie van de situatie en de oproep vanuit uw Kamer om de nationale maatregel zo spoedig mogelijk tot stand te laten komen, is niet verder gewacht bij het opstellen van de nationale maatregel jegens goederen. </w:t>
      </w:r>
      <w:r w:rsidRPr="008711F3" w:rsidR="008C153F">
        <w:t>Het kabinet zal</w:t>
      </w:r>
      <w:r w:rsidRPr="008711F3" w:rsidR="00F81FD7">
        <w:t xml:space="preserve"> </w:t>
      </w:r>
      <w:r w:rsidRPr="008711F3" w:rsidR="008C153F">
        <w:t>doorgaan met het onderzoeken van de</w:t>
      </w:r>
      <w:r w:rsidRPr="008711F3" w:rsidR="00F81FD7">
        <w:t xml:space="preserve"> verdere (juridische)</w:t>
      </w:r>
      <w:r w:rsidRPr="008711F3" w:rsidR="008C153F">
        <w:t xml:space="preserve"> mogelijkheden</w:t>
      </w:r>
      <w:r w:rsidRPr="008711F3" w:rsidR="00665935">
        <w:t xml:space="preserve"> ten aanzien van diensten en investeringen</w:t>
      </w:r>
      <w:r w:rsidRPr="008711F3" w:rsidR="008C153F">
        <w:t>.</w:t>
      </w:r>
      <w:r w:rsidRPr="008711F3" w:rsidR="00DF342B">
        <w:t xml:space="preserve"> </w:t>
      </w:r>
    </w:p>
    <w:p w:rsidRPr="008711F3" w:rsidR="00DF342B" w:rsidP="00DF342B" w:rsidRDefault="00DF342B" w14:paraId="2A86F577" w14:textId="77777777"/>
    <w:p w:rsidRPr="008711F3" w:rsidR="00C73A90" w:rsidRDefault="00DF342B" w14:paraId="2D7371E0" w14:textId="745DC30E">
      <w:r w:rsidRPr="008711F3">
        <w:t xml:space="preserve">Het sanctiebesluit is tijdelijk van aard en behoudens </w:t>
      </w:r>
      <w:r w:rsidRPr="008711F3" w:rsidR="004A7C58">
        <w:t>eerdere</w:t>
      </w:r>
      <w:r w:rsidRPr="008711F3">
        <w:t xml:space="preserve"> intrekking vervalt het drie jaar na inwerkingtred</w:t>
      </w:r>
      <w:r w:rsidRPr="008711F3" w:rsidR="00665935">
        <w:t>ing</w:t>
      </w:r>
      <w:r w:rsidRPr="008711F3">
        <w:t>, tenzij bij nadere wet anders wordt bepaald.</w:t>
      </w:r>
      <w:r w:rsidRPr="008711F3">
        <w:rPr>
          <w:rStyle w:val="FootnoteReference"/>
        </w:rPr>
        <w:footnoteReference w:id="12"/>
      </w:r>
      <w:r w:rsidRPr="008711F3">
        <w:t xml:space="preserve"> </w:t>
      </w:r>
      <w:r w:rsidRPr="008711F3" w:rsidR="003F0656">
        <w:t>De maatregelen</w:t>
      </w:r>
      <w:r w:rsidRPr="008711F3" w:rsidR="00615C24">
        <w:t xml:space="preserve"> betref</w:t>
      </w:r>
      <w:r w:rsidRPr="008711F3" w:rsidR="003F0656">
        <w:t>fen</w:t>
      </w:r>
      <w:r w:rsidRPr="008711F3" w:rsidR="00615C24">
        <w:t xml:space="preserve"> complexe materie en het kabinet begrijpt dat het besluit nadere vragen bij uw Kamer zal oproepen.</w:t>
      </w:r>
      <w:r w:rsidRPr="008711F3" w:rsidR="00C514C5">
        <w:t xml:space="preserve"> </w:t>
      </w:r>
      <w:r w:rsidRPr="008711F3" w:rsidR="00615C24">
        <w:t xml:space="preserve">Het kabinet </w:t>
      </w:r>
      <w:r w:rsidRPr="008711F3" w:rsidR="00665935">
        <w:t>biedt</w:t>
      </w:r>
      <w:r w:rsidRPr="008711F3" w:rsidR="00615C24">
        <w:t xml:space="preserve"> u</w:t>
      </w:r>
      <w:r w:rsidRPr="008711F3" w:rsidR="00665935">
        <w:t>w Kamer</w:t>
      </w:r>
      <w:r w:rsidRPr="008711F3" w:rsidR="00615C24">
        <w:t xml:space="preserve"> daarom nogmaals de mogelijkheid voor een technische briefing aan.</w:t>
      </w:r>
      <w:r w:rsidRPr="008711F3" w:rsidR="00701257">
        <w:rPr>
          <w:rStyle w:val="FootnoteReference"/>
        </w:rPr>
        <w:footnoteReference w:id="13"/>
      </w:r>
    </w:p>
    <w:p w:rsidRPr="008711F3" w:rsidR="00977873" w:rsidRDefault="00977873" w14:paraId="55FADFB4" w14:textId="77777777"/>
    <w:p w:rsidRPr="008711F3" w:rsidR="00977873" w:rsidRDefault="00BF7114" w14:paraId="7B02AC89" w14:textId="1659D7AC">
      <w:pPr>
        <w:rPr>
          <w:b/>
          <w:bCs/>
        </w:rPr>
      </w:pPr>
      <w:r w:rsidRPr="008711F3">
        <w:rPr>
          <w:b/>
          <w:bCs/>
        </w:rPr>
        <w:t>Vervolg</w:t>
      </w:r>
      <w:r w:rsidRPr="008711F3" w:rsidR="00977873">
        <w:rPr>
          <w:b/>
          <w:bCs/>
        </w:rPr>
        <w:t>proces</w:t>
      </w:r>
    </w:p>
    <w:p w:rsidRPr="008711F3" w:rsidR="00EF1B65" w:rsidRDefault="004B3AF7" w14:paraId="05A9B9FF" w14:textId="4C2B09EB">
      <w:r w:rsidRPr="008711F3">
        <w:t>Het kabinet zal, conform zijn verplichting</w:t>
      </w:r>
      <w:r w:rsidRPr="008711F3" w:rsidR="004329FB">
        <w:t>en</w:t>
      </w:r>
      <w:r w:rsidRPr="008711F3">
        <w:t xml:space="preserve"> onder het Unierecht, de Europese Commissie informeren over de beoogde maatregelen.</w:t>
      </w:r>
      <w:r w:rsidRPr="008711F3">
        <w:rPr>
          <w:rStyle w:val="FootnoteReference"/>
        </w:rPr>
        <w:footnoteReference w:id="14"/>
      </w:r>
      <w:r w:rsidRPr="008711F3">
        <w:t xml:space="preserve"> </w:t>
      </w:r>
      <w:r w:rsidRPr="008711F3" w:rsidR="00222329">
        <w:t xml:space="preserve">Het sanctiebesluit </w:t>
      </w:r>
      <w:r w:rsidRPr="008711F3" w:rsidR="00BB0BA4">
        <w:t>wordt</w:t>
      </w:r>
      <w:r w:rsidRPr="008711F3" w:rsidR="00B228BF">
        <w:t xml:space="preserve"> </w:t>
      </w:r>
      <w:r w:rsidRPr="008711F3">
        <w:t xml:space="preserve">tegelijkertijd </w:t>
      </w:r>
      <w:r w:rsidRPr="008711F3" w:rsidR="00B228BF">
        <w:t>aanhangig gemaakt bij</w:t>
      </w:r>
      <w:r w:rsidRPr="008711F3" w:rsidR="00222329">
        <w:t xml:space="preserve"> de </w:t>
      </w:r>
      <w:r w:rsidRPr="008711F3" w:rsidR="00EE4C9C">
        <w:t>Raad van State</w:t>
      </w:r>
      <w:r w:rsidRPr="008711F3" w:rsidR="00222329">
        <w:t xml:space="preserve"> </w:t>
      </w:r>
      <w:r w:rsidRPr="008711F3" w:rsidR="00B228BF">
        <w:t>met het verzoek</w:t>
      </w:r>
      <w:r w:rsidRPr="008711F3" w:rsidR="00222329">
        <w:t xml:space="preserve"> om een spoedadvies</w:t>
      </w:r>
      <w:r w:rsidRPr="008711F3" w:rsidR="000B440F">
        <w:t xml:space="preserve">, omdat het </w:t>
      </w:r>
      <w:r w:rsidRPr="008711F3" w:rsidR="002C096B">
        <w:t xml:space="preserve">recente </w:t>
      </w:r>
      <w:r w:rsidRPr="008711F3" w:rsidR="000B440F">
        <w:t>Israëlische optreden urgente stappen vergt</w:t>
      </w:r>
      <w:r w:rsidRPr="008711F3" w:rsidR="00222329">
        <w:t>.</w:t>
      </w:r>
      <w:r w:rsidRPr="008711F3" w:rsidR="008626BA">
        <w:t xml:space="preserve"> </w:t>
      </w:r>
      <w:r w:rsidRPr="008711F3" w:rsidR="00D0077E">
        <w:t>Het is de intentie van het kabinet dat het besluit z</w:t>
      </w:r>
      <w:r w:rsidRPr="008711F3" w:rsidR="003864F0">
        <w:t xml:space="preserve">o spoedig mogelijk na het advies van de </w:t>
      </w:r>
      <w:r w:rsidRPr="008711F3" w:rsidR="00EE4C9C">
        <w:t>Raad van State</w:t>
      </w:r>
      <w:r w:rsidRPr="008711F3" w:rsidR="003864F0">
        <w:t xml:space="preserve"> definitief </w:t>
      </w:r>
      <w:r w:rsidRPr="008711F3" w:rsidR="00D0077E">
        <w:t xml:space="preserve">zal </w:t>
      </w:r>
      <w:r w:rsidRPr="008711F3" w:rsidR="00B228BF">
        <w:t xml:space="preserve">worden </w:t>
      </w:r>
      <w:r w:rsidRPr="008711F3" w:rsidR="003864F0">
        <w:t>vast</w:t>
      </w:r>
      <w:r w:rsidRPr="008711F3" w:rsidR="00B228BF">
        <w:t>ge</w:t>
      </w:r>
      <w:r w:rsidRPr="008711F3" w:rsidR="003864F0">
        <w:t>stel</w:t>
      </w:r>
      <w:r w:rsidRPr="008711F3" w:rsidR="00B228BF">
        <w:t>d</w:t>
      </w:r>
      <w:r w:rsidRPr="008711F3" w:rsidR="002C096B">
        <w:t xml:space="preserve"> waarna het </w:t>
      </w:r>
      <w:r w:rsidRPr="008711F3" w:rsidR="004D78A4">
        <w:t>volgens de regels van de Sanctiewet</w:t>
      </w:r>
      <w:r w:rsidRPr="008711F3" w:rsidR="002C096B">
        <w:t xml:space="preserve"> </w:t>
      </w:r>
      <w:r w:rsidRPr="008711F3" w:rsidR="00BF7114">
        <w:t>1977</w:t>
      </w:r>
      <w:r w:rsidRPr="008711F3" w:rsidR="002C096B">
        <w:t xml:space="preserve"> twee maanden</w:t>
      </w:r>
      <w:r w:rsidRPr="008711F3" w:rsidR="00323F6D">
        <w:t xml:space="preserve"> </w:t>
      </w:r>
      <w:r w:rsidRPr="008711F3" w:rsidR="00274077">
        <w:t xml:space="preserve">na </w:t>
      </w:r>
      <w:r w:rsidRPr="008711F3" w:rsidR="00B228BF">
        <w:t xml:space="preserve">publicatie </w:t>
      </w:r>
      <w:r w:rsidRPr="008711F3" w:rsidR="002C096B">
        <w:t xml:space="preserve">in </w:t>
      </w:r>
      <w:r w:rsidRPr="008711F3" w:rsidR="00E605AE">
        <w:t xml:space="preserve">het Staatsblad </w:t>
      </w:r>
      <w:r w:rsidRPr="008711F3" w:rsidR="002C096B">
        <w:t>in werking treedt</w:t>
      </w:r>
      <w:r w:rsidRPr="008711F3" w:rsidR="003864F0">
        <w:t>.</w:t>
      </w:r>
      <w:r w:rsidRPr="008711F3" w:rsidR="002C096B">
        <w:rPr>
          <w:rStyle w:val="FootnoteReference"/>
        </w:rPr>
        <w:footnoteReference w:id="15"/>
      </w:r>
      <w:r w:rsidRPr="008711F3" w:rsidR="00E16C44">
        <w:t xml:space="preserve"> </w:t>
      </w:r>
      <w:bookmarkEnd w:id="0"/>
    </w:p>
    <w:p w:rsidRPr="008711F3" w:rsidR="00222329" w:rsidRDefault="00222329" w14:paraId="68C91878" w14:textId="77777777"/>
    <w:p w:rsidRPr="008711F3" w:rsidR="00A16391" w:rsidRDefault="00A16391" w14:paraId="054C5A08"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EF1B65" w14:paraId="05A9BA02" w14:textId="77777777">
        <w:tc>
          <w:tcPr>
            <w:tcW w:w="3620" w:type="dxa"/>
          </w:tcPr>
          <w:p w:rsidRPr="008711F3" w:rsidR="0029674B" w:rsidRDefault="005A2B30" w14:paraId="3F1B0426" w14:textId="7AEF0740">
            <w:r w:rsidRPr="008711F3">
              <w:t xml:space="preserve">De </w:t>
            </w:r>
            <w:r w:rsidRPr="008711F3" w:rsidR="00A16391">
              <w:t>m</w:t>
            </w:r>
            <w:r w:rsidRPr="008711F3">
              <w:t>inister van Buitenlandse Zaken,</w:t>
            </w:r>
            <w:r w:rsidRPr="008711F3">
              <w:br/>
            </w:r>
            <w:r w:rsidRPr="008711F3">
              <w:br/>
            </w:r>
            <w:r w:rsidRPr="008711F3">
              <w:br/>
            </w:r>
            <w:r w:rsidRPr="008711F3">
              <w:br/>
            </w:r>
            <w:r w:rsidRPr="008711F3">
              <w:br/>
            </w:r>
            <w:r w:rsidRPr="008711F3">
              <w:br/>
            </w:r>
          </w:p>
          <w:p w:rsidRPr="008711F3" w:rsidR="00EF1B65" w:rsidRDefault="00230A15" w14:paraId="05A9BA00" w14:textId="67BD391D">
            <w:r w:rsidRPr="008711F3">
              <w:t>T.B.W. Berendsen</w:t>
            </w:r>
          </w:p>
        </w:tc>
        <w:tc>
          <w:tcPr>
            <w:tcW w:w="3921" w:type="dxa"/>
          </w:tcPr>
          <w:p w:rsidR="006A4AFD" w:rsidRDefault="005E424A" w14:paraId="34D8A757" w14:textId="77777777">
            <w:r w:rsidRPr="008711F3">
              <w:t xml:space="preserve">De </w:t>
            </w:r>
            <w:r w:rsidRPr="008711F3" w:rsidR="00A16391">
              <w:t>m</w:t>
            </w:r>
            <w:r w:rsidRPr="008711F3">
              <w:t xml:space="preserve">inister van Buitenlandse Handel </w:t>
            </w:r>
          </w:p>
          <w:p w:rsidRPr="008711F3" w:rsidR="00230A15" w:rsidRDefault="005E424A" w14:paraId="2848259A" w14:textId="74A33943">
            <w:r w:rsidRPr="008711F3">
              <w:t>en Ontwikkelingssamenwerking,</w:t>
            </w:r>
            <w:r w:rsidRPr="008711F3" w:rsidR="005A2B30">
              <w:br/>
            </w:r>
            <w:r w:rsidRPr="008711F3" w:rsidR="005A2B30">
              <w:br/>
            </w:r>
            <w:r w:rsidRPr="008711F3" w:rsidR="005A2B30">
              <w:br/>
            </w:r>
          </w:p>
          <w:p w:rsidRPr="008711F3" w:rsidR="00230A15" w:rsidRDefault="00230A15" w14:paraId="67B0EC33" w14:textId="77777777"/>
          <w:p w:rsidRPr="008711F3" w:rsidR="00230A15" w:rsidRDefault="00230A15" w14:paraId="47D2FD1D" w14:textId="77777777"/>
          <w:p w:rsidR="00EF1B65" w:rsidRDefault="00230A15" w14:paraId="05A9BA01" w14:textId="09F96BFC">
            <w:r w:rsidRPr="008711F3">
              <w:t>S.W. Sjoerdsma</w:t>
            </w:r>
          </w:p>
        </w:tc>
      </w:tr>
    </w:tbl>
    <w:p w:rsidRPr="00230A15" w:rsidR="00230A15" w:rsidP="00230A15" w:rsidRDefault="00230A15" w14:paraId="7ADBB0A9" w14:textId="29B03E39">
      <w:pPr>
        <w:tabs>
          <w:tab w:val="left" w:pos="6480"/>
        </w:tabs>
      </w:pPr>
    </w:p>
    <w:sectPr w:rsidRPr="00230A15" w:rsidR="00230A15" w:rsidSect="007328C7">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C985D" w14:textId="77777777" w:rsidR="006716F1" w:rsidRDefault="006716F1">
      <w:pPr>
        <w:spacing w:line="240" w:lineRule="auto"/>
      </w:pPr>
      <w:r>
        <w:separator/>
      </w:r>
    </w:p>
  </w:endnote>
  <w:endnote w:type="continuationSeparator" w:id="0">
    <w:p w14:paraId="2044554A" w14:textId="77777777" w:rsidR="006716F1" w:rsidRDefault="006716F1">
      <w:pPr>
        <w:spacing w:line="240" w:lineRule="auto"/>
      </w:pPr>
      <w:r>
        <w:continuationSeparator/>
      </w:r>
    </w:p>
  </w:endnote>
  <w:endnote w:type="continuationNotice" w:id="1">
    <w:p w14:paraId="2DCC7DFA" w14:textId="77777777" w:rsidR="006716F1" w:rsidRDefault="006716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BA07" w14:textId="77777777" w:rsidR="00A52918" w:rsidRDefault="00A52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015D" w14:textId="77777777" w:rsidR="00A52918" w:rsidRDefault="00A529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A0D9" w14:textId="55C2EFA4" w:rsidR="00A16391" w:rsidRDefault="00A16391">
    <w:pPr>
      <w:pStyle w:val="Footer"/>
      <w:jc w:val="right"/>
    </w:pPr>
  </w:p>
  <w:p w14:paraId="70EF4690" w14:textId="77777777" w:rsidR="00A16391" w:rsidRDefault="00A16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2DE69" w14:textId="77777777" w:rsidR="006716F1" w:rsidRDefault="006716F1">
      <w:pPr>
        <w:spacing w:line="240" w:lineRule="auto"/>
      </w:pPr>
      <w:r>
        <w:separator/>
      </w:r>
    </w:p>
  </w:footnote>
  <w:footnote w:type="continuationSeparator" w:id="0">
    <w:p w14:paraId="312ECE5D" w14:textId="77777777" w:rsidR="006716F1" w:rsidRDefault="006716F1">
      <w:pPr>
        <w:spacing w:line="240" w:lineRule="auto"/>
      </w:pPr>
      <w:r>
        <w:continuationSeparator/>
      </w:r>
    </w:p>
  </w:footnote>
  <w:footnote w:type="continuationNotice" w:id="1">
    <w:p w14:paraId="4A9739CA" w14:textId="77777777" w:rsidR="006716F1" w:rsidRDefault="006716F1">
      <w:pPr>
        <w:spacing w:line="240" w:lineRule="auto"/>
      </w:pPr>
    </w:p>
  </w:footnote>
  <w:footnote w:id="2">
    <w:p w14:paraId="7D7EAEC6" w14:textId="4D1851B2" w:rsidR="00E16C44" w:rsidRPr="007328C7" w:rsidRDefault="00E16C44">
      <w:pPr>
        <w:pStyle w:val="FootnoteText"/>
        <w:rPr>
          <w:sz w:val="16"/>
          <w:szCs w:val="16"/>
        </w:rPr>
      </w:pPr>
      <w:r w:rsidRPr="007328C7">
        <w:rPr>
          <w:rStyle w:val="FootnoteReference"/>
          <w:sz w:val="16"/>
          <w:szCs w:val="16"/>
        </w:rPr>
        <w:footnoteRef/>
      </w:r>
      <w:r w:rsidRPr="007328C7">
        <w:rPr>
          <w:sz w:val="16"/>
          <w:szCs w:val="16"/>
        </w:rPr>
        <w:t xml:space="preserve"> Kamerstuk </w:t>
      </w:r>
      <w:bookmarkStart w:id="1" w:name="_Hlk216270207"/>
      <w:r w:rsidRPr="007328C7">
        <w:rPr>
          <w:sz w:val="16"/>
          <w:szCs w:val="16"/>
        </w:rPr>
        <w:t>21 501-02, nr. 3236</w:t>
      </w:r>
      <w:r w:rsidR="00323F6D" w:rsidRPr="007328C7">
        <w:rPr>
          <w:sz w:val="16"/>
          <w:szCs w:val="16"/>
        </w:rPr>
        <w:t>.</w:t>
      </w:r>
      <w:bookmarkEnd w:id="1"/>
    </w:p>
  </w:footnote>
  <w:footnote w:id="3">
    <w:p w14:paraId="5F84FADB" w14:textId="3E93D91C" w:rsidR="001D0319" w:rsidRPr="007328C7" w:rsidRDefault="001D0319">
      <w:pPr>
        <w:pStyle w:val="FootnoteText"/>
        <w:rPr>
          <w:sz w:val="16"/>
          <w:szCs w:val="16"/>
        </w:rPr>
      </w:pPr>
      <w:r w:rsidRPr="007328C7">
        <w:rPr>
          <w:rStyle w:val="FootnoteReference"/>
          <w:sz w:val="16"/>
          <w:szCs w:val="16"/>
        </w:rPr>
        <w:footnoteRef/>
      </w:r>
      <w:r w:rsidRPr="007328C7">
        <w:rPr>
          <w:sz w:val="16"/>
          <w:szCs w:val="16"/>
        </w:rPr>
        <w:t xml:space="preserve"> Kamerstuk 36 800-V, nr. 27</w:t>
      </w:r>
      <w:r w:rsidR="009463CD" w:rsidRPr="007328C7">
        <w:rPr>
          <w:sz w:val="16"/>
          <w:szCs w:val="16"/>
        </w:rPr>
        <w:t>.</w:t>
      </w:r>
    </w:p>
  </w:footnote>
  <w:footnote w:id="4">
    <w:p w14:paraId="71ED253F" w14:textId="1974AE7C" w:rsidR="00AB7BBC" w:rsidRPr="007328C7" w:rsidRDefault="00AB7BBC">
      <w:pPr>
        <w:pStyle w:val="FootnoteText"/>
        <w:rPr>
          <w:sz w:val="16"/>
          <w:szCs w:val="16"/>
        </w:rPr>
      </w:pPr>
      <w:r w:rsidRPr="007328C7">
        <w:rPr>
          <w:rStyle w:val="FootnoteReference"/>
          <w:sz w:val="16"/>
          <w:szCs w:val="16"/>
        </w:rPr>
        <w:footnoteRef/>
      </w:r>
      <w:r w:rsidRPr="007328C7">
        <w:rPr>
          <w:sz w:val="16"/>
          <w:szCs w:val="16"/>
        </w:rPr>
        <w:t xml:space="preserve"> Kamerstuk 23 432, nr. 619.</w:t>
      </w:r>
    </w:p>
  </w:footnote>
  <w:footnote w:id="5">
    <w:p w14:paraId="6C365338" w14:textId="17B0CC8C" w:rsidR="00555C0E" w:rsidRPr="007328C7" w:rsidRDefault="00555C0E">
      <w:pPr>
        <w:pStyle w:val="FootnoteText"/>
        <w:rPr>
          <w:sz w:val="16"/>
          <w:szCs w:val="16"/>
        </w:rPr>
      </w:pPr>
      <w:r w:rsidRPr="007328C7">
        <w:rPr>
          <w:rStyle w:val="FootnoteReference"/>
          <w:sz w:val="16"/>
          <w:szCs w:val="16"/>
        </w:rPr>
        <w:footnoteRef/>
      </w:r>
      <w:r w:rsidRPr="007328C7">
        <w:rPr>
          <w:sz w:val="16"/>
          <w:szCs w:val="16"/>
        </w:rPr>
        <w:t xml:space="preserve"> </w:t>
      </w:r>
      <w:r w:rsidR="006855C1">
        <w:rPr>
          <w:sz w:val="16"/>
          <w:szCs w:val="16"/>
        </w:rPr>
        <w:t xml:space="preserve">Zie bijlage en </w:t>
      </w:r>
      <w:hyperlink r:id="rId1" w:history="1">
        <w:r w:rsidR="006855C1" w:rsidRPr="00FA179B">
          <w:rPr>
            <w:rStyle w:val="Hyperlink"/>
            <w:sz w:val="16"/>
            <w:szCs w:val="16"/>
          </w:rPr>
          <w:t>https://wetgevingskalender.overheid.nl/regeling/WGK028298/</w:t>
        </w:r>
      </w:hyperlink>
      <w:r w:rsidR="006855C1" w:rsidRPr="007328C7">
        <w:rPr>
          <w:sz w:val="16"/>
          <w:szCs w:val="16"/>
        </w:rPr>
        <w:t>.</w:t>
      </w:r>
    </w:p>
  </w:footnote>
  <w:footnote w:id="6">
    <w:p w14:paraId="15723B43" w14:textId="77777777" w:rsidR="00B511E1" w:rsidRPr="007328C7" w:rsidRDefault="00B511E1" w:rsidP="00B511E1">
      <w:pPr>
        <w:pStyle w:val="FootnoteText"/>
        <w:rPr>
          <w:sz w:val="16"/>
          <w:szCs w:val="16"/>
        </w:rPr>
      </w:pPr>
      <w:r w:rsidRPr="007328C7">
        <w:rPr>
          <w:rStyle w:val="FootnoteReference"/>
          <w:sz w:val="16"/>
          <w:szCs w:val="16"/>
        </w:rPr>
        <w:footnoteRef/>
      </w:r>
      <w:r w:rsidRPr="007328C7">
        <w:rPr>
          <w:sz w:val="16"/>
          <w:szCs w:val="16"/>
        </w:rPr>
        <w:t xml:space="preserve"> Kamerstuk 23 432, nr. 544.</w:t>
      </w:r>
    </w:p>
  </w:footnote>
  <w:footnote w:id="7">
    <w:p w14:paraId="039A2F10" w14:textId="77777777" w:rsidR="00EC11D1" w:rsidRPr="007328C7" w:rsidRDefault="00EC11D1" w:rsidP="00EC11D1">
      <w:pPr>
        <w:pStyle w:val="FootnoteText"/>
        <w:rPr>
          <w:sz w:val="16"/>
          <w:szCs w:val="16"/>
        </w:rPr>
      </w:pPr>
      <w:r w:rsidRPr="007328C7">
        <w:rPr>
          <w:rStyle w:val="FootnoteReference"/>
          <w:sz w:val="16"/>
          <w:szCs w:val="16"/>
        </w:rPr>
        <w:footnoteRef/>
      </w:r>
      <w:r w:rsidRPr="007328C7">
        <w:rPr>
          <w:sz w:val="16"/>
          <w:szCs w:val="16"/>
        </w:rPr>
        <w:t xml:space="preserve"> Kamerstuk 23 432, nr. 569.</w:t>
      </w:r>
    </w:p>
  </w:footnote>
  <w:footnote w:id="8">
    <w:p w14:paraId="53F73A06" w14:textId="29080033" w:rsidR="00226CA6" w:rsidRPr="007328C7" w:rsidRDefault="00226CA6">
      <w:pPr>
        <w:pStyle w:val="FootnoteText"/>
        <w:rPr>
          <w:sz w:val="16"/>
          <w:szCs w:val="16"/>
        </w:rPr>
      </w:pPr>
      <w:r w:rsidRPr="007328C7">
        <w:rPr>
          <w:rStyle w:val="FootnoteReference"/>
          <w:sz w:val="16"/>
          <w:szCs w:val="16"/>
        </w:rPr>
        <w:footnoteRef/>
      </w:r>
      <w:r w:rsidRPr="007328C7">
        <w:rPr>
          <w:sz w:val="16"/>
          <w:szCs w:val="16"/>
        </w:rPr>
        <w:t xml:space="preserve"> Kamerstuk 21 501-02, nr. 3196.</w:t>
      </w:r>
    </w:p>
  </w:footnote>
  <w:footnote w:id="9">
    <w:p w14:paraId="28EB9F7A" w14:textId="1B4AE029" w:rsidR="00C11DEB" w:rsidRPr="007328C7" w:rsidRDefault="00C11DEB">
      <w:pPr>
        <w:pStyle w:val="FootnoteText"/>
        <w:rPr>
          <w:sz w:val="16"/>
          <w:szCs w:val="16"/>
        </w:rPr>
      </w:pPr>
      <w:r w:rsidRPr="007328C7">
        <w:rPr>
          <w:rStyle w:val="FootnoteReference"/>
          <w:sz w:val="16"/>
          <w:szCs w:val="16"/>
        </w:rPr>
        <w:footnoteRef/>
      </w:r>
      <w:r w:rsidRPr="007328C7">
        <w:rPr>
          <w:sz w:val="16"/>
          <w:szCs w:val="16"/>
        </w:rPr>
        <w:t xml:space="preserve"> Kamerstuk 21 501, nr. 3253, p. 41.</w:t>
      </w:r>
    </w:p>
  </w:footnote>
  <w:footnote w:id="10">
    <w:p w14:paraId="61DED31D" w14:textId="77777777" w:rsidR="00E8357B" w:rsidRPr="007328C7" w:rsidRDefault="00E8357B" w:rsidP="00E8357B">
      <w:pPr>
        <w:pStyle w:val="FootnoteText"/>
        <w:rPr>
          <w:sz w:val="16"/>
          <w:szCs w:val="16"/>
        </w:rPr>
      </w:pPr>
      <w:r w:rsidRPr="007328C7">
        <w:rPr>
          <w:sz w:val="16"/>
          <w:szCs w:val="16"/>
          <w:vertAlign w:val="superscript"/>
        </w:rPr>
        <w:footnoteRef/>
      </w:r>
      <w:r w:rsidRPr="007328C7">
        <w:rPr>
          <w:sz w:val="16"/>
          <w:szCs w:val="16"/>
        </w:rPr>
        <w:t xml:space="preserve"> </w:t>
      </w:r>
      <w:bookmarkStart w:id="3" w:name="_Hlk214028494"/>
      <w:bookmarkStart w:id="4" w:name="_Hlk214028252"/>
      <w:r w:rsidRPr="007328C7">
        <w:rPr>
          <w:sz w:val="16"/>
          <w:szCs w:val="16"/>
        </w:rPr>
        <w:t>Artikel 2, lid 1, van de Sanctiewet 1977</w:t>
      </w:r>
      <w:bookmarkEnd w:id="3"/>
      <w:r w:rsidRPr="007328C7">
        <w:rPr>
          <w:sz w:val="16"/>
          <w:szCs w:val="16"/>
        </w:rPr>
        <w:t>.</w:t>
      </w:r>
      <w:bookmarkEnd w:id="4"/>
    </w:p>
  </w:footnote>
  <w:footnote w:id="11">
    <w:p w14:paraId="1B98A3E7" w14:textId="77777777" w:rsidR="004D2355" w:rsidRPr="007328C7" w:rsidRDefault="004D2355" w:rsidP="004D2355">
      <w:pPr>
        <w:pStyle w:val="FootnoteText"/>
        <w:rPr>
          <w:sz w:val="16"/>
          <w:szCs w:val="16"/>
        </w:rPr>
      </w:pPr>
      <w:r w:rsidRPr="007328C7">
        <w:rPr>
          <w:rStyle w:val="FootnoteReference"/>
          <w:sz w:val="16"/>
          <w:szCs w:val="16"/>
        </w:rPr>
        <w:footnoteRef/>
      </w:r>
      <w:r w:rsidRPr="007328C7">
        <w:rPr>
          <w:sz w:val="16"/>
          <w:szCs w:val="16"/>
        </w:rPr>
        <w:t xml:space="preserve"> Kamerstuk 21 501-02, nr. 3345.</w:t>
      </w:r>
    </w:p>
  </w:footnote>
  <w:footnote w:id="12">
    <w:p w14:paraId="054566CE" w14:textId="77777777" w:rsidR="00DF342B" w:rsidRPr="007328C7" w:rsidRDefault="00DF342B" w:rsidP="00DF342B">
      <w:pPr>
        <w:pStyle w:val="FootnoteText"/>
        <w:rPr>
          <w:sz w:val="16"/>
          <w:szCs w:val="16"/>
        </w:rPr>
      </w:pPr>
      <w:r w:rsidRPr="007328C7">
        <w:rPr>
          <w:rStyle w:val="FootnoteReference"/>
          <w:sz w:val="16"/>
          <w:szCs w:val="16"/>
        </w:rPr>
        <w:footnoteRef/>
      </w:r>
      <w:r w:rsidRPr="007328C7">
        <w:rPr>
          <w:sz w:val="16"/>
          <w:szCs w:val="16"/>
        </w:rPr>
        <w:t xml:space="preserve"> Artikel 6, lid 4, van de Sanctiewet 1977.</w:t>
      </w:r>
    </w:p>
  </w:footnote>
  <w:footnote w:id="13">
    <w:p w14:paraId="7AD3F769" w14:textId="557DBAE5" w:rsidR="00701257" w:rsidRPr="007328C7" w:rsidRDefault="00701257">
      <w:pPr>
        <w:pStyle w:val="FootnoteText"/>
        <w:rPr>
          <w:sz w:val="16"/>
          <w:szCs w:val="16"/>
        </w:rPr>
      </w:pPr>
      <w:r w:rsidRPr="007328C7">
        <w:rPr>
          <w:rStyle w:val="FootnoteReference"/>
          <w:sz w:val="16"/>
          <w:szCs w:val="16"/>
        </w:rPr>
        <w:footnoteRef/>
      </w:r>
      <w:r w:rsidRPr="007328C7">
        <w:rPr>
          <w:sz w:val="16"/>
          <w:szCs w:val="16"/>
        </w:rPr>
        <w:t xml:space="preserve"> </w:t>
      </w:r>
      <w:bookmarkStart w:id="8" w:name="_Hlk213793860"/>
      <w:r w:rsidRPr="007328C7">
        <w:rPr>
          <w:sz w:val="16"/>
          <w:szCs w:val="16"/>
        </w:rPr>
        <w:t xml:space="preserve">TZ202509-111. </w:t>
      </w:r>
      <w:bookmarkEnd w:id="8"/>
    </w:p>
  </w:footnote>
  <w:footnote w:id="14">
    <w:p w14:paraId="4BD17193" w14:textId="77777777" w:rsidR="004B3AF7" w:rsidRPr="007328C7" w:rsidRDefault="004B3AF7" w:rsidP="004B3AF7">
      <w:pPr>
        <w:pStyle w:val="FootnoteText"/>
        <w:rPr>
          <w:sz w:val="16"/>
          <w:szCs w:val="16"/>
        </w:rPr>
      </w:pPr>
      <w:r w:rsidRPr="007328C7">
        <w:rPr>
          <w:rStyle w:val="FootnoteReference"/>
          <w:sz w:val="16"/>
          <w:szCs w:val="16"/>
        </w:rPr>
        <w:footnoteRef/>
      </w:r>
      <w:r w:rsidRPr="007328C7">
        <w:rPr>
          <w:sz w:val="16"/>
          <w:szCs w:val="16"/>
        </w:rPr>
        <w:t xml:space="preserve"> Artikel 24, lid 2, van Verordening (EU) 2015/478 en artikel 33 van Verordening (EU) nr. 2015/936.</w:t>
      </w:r>
    </w:p>
  </w:footnote>
  <w:footnote w:id="15">
    <w:p w14:paraId="04E00C51" w14:textId="45243D2D" w:rsidR="002C096B" w:rsidRPr="007328C7" w:rsidRDefault="002C096B">
      <w:pPr>
        <w:pStyle w:val="FootnoteText"/>
        <w:rPr>
          <w:sz w:val="16"/>
          <w:szCs w:val="16"/>
        </w:rPr>
      </w:pPr>
      <w:r w:rsidRPr="007328C7">
        <w:rPr>
          <w:rStyle w:val="FootnoteReference"/>
          <w:sz w:val="16"/>
          <w:szCs w:val="16"/>
        </w:rPr>
        <w:footnoteRef/>
      </w:r>
      <w:r w:rsidRPr="007328C7">
        <w:rPr>
          <w:sz w:val="16"/>
          <w:szCs w:val="16"/>
        </w:rPr>
        <w:t xml:space="preserve"> Artikel 6, lid 1, van de Sanctiewet 1977.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2672" w14:textId="77777777" w:rsidR="00A52918" w:rsidRDefault="00A52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BA04" w14:textId="77777777" w:rsidR="00EF1B65" w:rsidRDefault="005A2B30">
    <w:r>
      <w:rPr>
        <w:noProof/>
      </w:rPr>
      <mc:AlternateContent>
        <mc:Choice Requires="wps">
          <w:drawing>
            <wp:anchor distT="0" distB="0" distL="0" distR="0" simplePos="0" relativeHeight="251658240" behindDoc="0" locked="1" layoutInCell="1" allowOverlap="1" wp14:anchorId="05A9BA08" wp14:editId="402856A5">
              <wp:simplePos x="0" y="0"/>
              <wp:positionH relativeFrom="page">
                <wp:posOffset>5924550</wp:posOffset>
              </wp:positionH>
              <wp:positionV relativeFrom="page">
                <wp:posOffset>1968500</wp:posOffset>
              </wp:positionV>
              <wp:extent cx="13779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05A9BA34" w14:textId="77777777" w:rsidR="00EF1B65" w:rsidRDefault="005A2B30">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05A9BA08" id="_x0000_t202" coordsize="21600,21600" o:spt="202" path="m,l,21600r21600,l21600,xe">
              <v:stroke joinstyle="miter"/>
              <v:path gradientshapeok="t" o:connecttype="rect"/>
            </v:shapetype>
            <v:shape id="41b1110a-80a4-11ea-b356-6230a4311406" o:spid="_x0000_s1026" type="#_x0000_t202" style="position:absolute;margin-left:466.5pt;margin-top:155pt;width:108.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fJkAEAAA4DAAAOAAAAZHJzL2Uyb0RvYy54bWysUlFP4zAMfj+J/xDlnbWAgK1ahwSI00mn&#10;u5O4+wFZmqyVmjjYYe349Thh3dDxhnhxnDj+/Pmzlzej68XWIHXga3k2K6UwXkPT+U0t//19OJ1L&#10;QVH5RvXgTS13huTN6uTbcgiVOYcW+sagYBBP1RBq2cYYqqIg3RqnaAbBeA5aQKciX3FTNKgGRnd9&#10;cV6WV8UA2AQEbYj49f4tKFcZ31qj429ryUTR15K5xWwx23WyxWqpqg2q0HZ6T0N9goVTneeiB6h7&#10;FZV4xu4DlOs0AoGNMw2uAGs7bXIP3M1Z+V83j60KJvfC4lA4yERfB6t/bR/DHxRxvIWRB5gEGQJV&#10;xI+pn9GiSyczFRxnCXcH2cwYhU5JF9fXi0sOaY7Ny3IxX2Rhi2N6QIrfDTiRnFoizyXLpbY/KXJJ&#10;/jp9SdU8PHR9n96PXJIXx/W4J7iGZse8efUYrwV8kWLgMdaSnp4VGin6H551SjOfHJyc9eQorzm1&#10;llGKN/cu5t2YKrPomdt+QdJU398zv+Mar14BAAD//wMAUEsDBBQABgAIAAAAIQD3zMSL4AAAAA0B&#10;AAAPAAAAZHJzL2Rvd25yZXYueG1sTI/BTsMwEETvSPyDtUjcqB1CCw1xqgrBCQk1DQeOTrxNrMbr&#10;ELtt+HucE9zeaEezM/lmsj074+iNIwnJQgBDapw21Er4rN7unoD5oEir3hFK+EEPm+L6KleZdhcq&#10;8bwPLYsh5DMloQthyDj3TYdW+YUbkOLt4EarQpRjy/WoLjHc9vxeiBW3ylD80KkBXzpsjvuTlbD9&#10;ovLVfH/Uu/JQmqpaC3pfHaW8vZm2z8ACTuHPDHP9WB2K2Kl2J9Ke9RLWaRq3BAlpIiLMjmQ5Ux1p&#10;+Zg8AC9y/n9F8QsAAP//AwBQSwECLQAUAAYACAAAACEAtoM4kv4AAADhAQAAEwAAAAAAAAAAAAAA&#10;AAAAAAAAW0NvbnRlbnRfVHlwZXNdLnhtbFBLAQItABQABgAIAAAAIQA4/SH/1gAAAJQBAAALAAAA&#10;AAAAAAAAAAAAAC8BAABfcmVscy8ucmVsc1BLAQItABQABgAIAAAAIQDCOcfJkAEAAA4DAAAOAAAA&#10;AAAAAAAAAAAAAC4CAABkcnMvZTJvRG9jLnhtbFBLAQItABQABgAIAAAAIQD3zMSL4AAAAA0BAAAP&#10;AAAAAAAAAAAAAAAAAOoDAABkcnMvZG93bnJldi54bWxQSwUGAAAAAAQABADzAAAA9wQAAAAA&#10;" filled="f" stroked="f">
              <v:textbox inset="0,0,0,0">
                <w:txbxContent>
                  <w:p w14:paraId="05A9BA34" w14:textId="77777777" w:rsidR="00EF1B65" w:rsidRDefault="005A2B30">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05A9BA0A" wp14:editId="05A9BA0B">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5A9BA35" w14:textId="7344A825" w:rsidR="00EF1B65" w:rsidRDefault="00EF1B65">
                          <w:pPr>
                            <w:pStyle w:val="Rubricering"/>
                          </w:pPr>
                        </w:p>
                      </w:txbxContent>
                    </wps:txbx>
                    <wps:bodyPr vert="horz" wrap="square" lIns="0" tIns="0" rIns="0" bIns="0" anchor="t" anchorCtr="0"/>
                  </wps:wsp>
                </a:graphicData>
              </a:graphic>
            </wp:anchor>
          </w:drawing>
        </mc:Choice>
        <mc:Fallback>
          <w:pict>
            <v:shape w14:anchorId="05A9BA0A"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05A9BA35" w14:textId="7344A825" w:rsidR="00EF1B65" w:rsidRDefault="00EF1B65">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5A9BA0C" wp14:editId="05A9BA0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sdt>
                          <w:sdtPr>
                            <w:id w:val="-1297056198"/>
                            <w:docPartObj>
                              <w:docPartGallery w:val="Page Numbers (Top of Page)"/>
                              <w:docPartUnique/>
                            </w:docPartObj>
                          </w:sdtPr>
                          <w:sdtEndPr>
                            <w:rPr>
                              <w:sz w:val="14"/>
                              <w:szCs w:val="14"/>
                            </w:rPr>
                          </w:sdtEndPr>
                          <w:sdtContent>
                            <w:p w14:paraId="6D3B8BDA" w14:textId="77777777" w:rsidR="00A16391" w:rsidRPr="00A16391" w:rsidRDefault="00A16391" w:rsidP="00A16391">
                              <w:pPr>
                                <w:pStyle w:val="Footer"/>
                                <w:jc w:val="right"/>
                                <w:rPr>
                                  <w:sz w:val="14"/>
                                  <w:szCs w:val="14"/>
                                </w:rPr>
                              </w:pPr>
                              <w:r w:rsidRPr="00A16391">
                                <w:rPr>
                                  <w:sz w:val="14"/>
                                  <w:szCs w:val="14"/>
                                </w:rPr>
                                <w:t xml:space="preserve">Pagina </w:t>
                              </w:r>
                              <w:r w:rsidRPr="00A16391">
                                <w:rPr>
                                  <w:sz w:val="20"/>
                                  <w:szCs w:val="20"/>
                                </w:rPr>
                                <w:fldChar w:fldCharType="begin"/>
                              </w:r>
                              <w:r w:rsidRPr="00A16391">
                                <w:rPr>
                                  <w:sz w:val="14"/>
                                  <w:szCs w:val="14"/>
                                </w:rPr>
                                <w:instrText>PAGE</w:instrText>
                              </w:r>
                              <w:r w:rsidRPr="00A16391">
                                <w:rPr>
                                  <w:sz w:val="20"/>
                                  <w:szCs w:val="20"/>
                                </w:rPr>
                                <w:fldChar w:fldCharType="separate"/>
                              </w:r>
                              <w:r w:rsidRPr="00A16391">
                                <w:rPr>
                                  <w:sz w:val="14"/>
                                  <w:szCs w:val="14"/>
                                </w:rPr>
                                <w:t>1</w:t>
                              </w:r>
                              <w:r w:rsidRPr="00A16391">
                                <w:rPr>
                                  <w:sz w:val="20"/>
                                  <w:szCs w:val="20"/>
                                </w:rPr>
                                <w:fldChar w:fldCharType="end"/>
                              </w:r>
                              <w:r w:rsidRPr="00A16391">
                                <w:rPr>
                                  <w:sz w:val="14"/>
                                  <w:szCs w:val="14"/>
                                </w:rPr>
                                <w:t xml:space="preserve"> van </w:t>
                              </w:r>
                              <w:r w:rsidRPr="00A16391">
                                <w:rPr>
                                  <w:sz w:val="20"/>
                                  <w:szCs w:val="20"/>
                                </w:rPr>
                                <w:fldChar w:fldCharType="begin"/>
                              </w:r>
                              <w:r w:rsidRPr="00A16391">
                                <w:rPr>
                                  <w:sz w:val="14"/>
                                  <w:szCs w:val="14"/>
                                </w:rPr>
                                <w:instrText>NUMPAGES</w:instrText>
                              </w:r>
                              <w:r w:rsidRPr="00A16391">
                                <w:rPr>
                                  <w:sz w:val="20"/>
                                  <w:szCs w:val="20"/>
                                </w:rPr>
                                <w:fldChar w:fldCharType="separate"/>
                              </w:r>
                              <w:r w:rsidRPr="00A16391">
                                <w:rPr>
                                  <w:sz w:val="14"/>
                                  <w:szCs w:val="14"/>
                                </w:rPr>
                                <w:t>3</w:t>
                              </w:r>
                              <w:r w:rsidRPr="00A16391">
                                <w:rPr>
                                  <w:sz w:val="20"/>
                                  <w:szCs w:val="20"/>
                                </w:rPr>
                                <w:fldChar w:fldCharType="end"/>
                              </w:r>
                            </w:p>
                          </w:sdtContent>
                        </w:sdt>
                        <w:p w14:paraId="05A9BA42" w14:textId="77777777" w:rsidR="005A2B30" w:rsidRDefault="005A2B30"/>
                      </w:txbxContent>
                    </wps:txbx>
                    <wps:bodyPr vert="horz" wrap="square" lIns="0" tIns="0" rIns="0" bIns="0" anchor="t" anchorCtr="0"/>
                  </wps:wsp>
                </a:graphicData>
              </a:graphic>
            </wp:anchor>
          </w:drawing>
        </mc:Choice>
        <mc:Fallback>
          <w:pict>
            <v:shape w14:anchorId="05A9BA0C"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sdt>
                    <w:sdtPr>
                      <w:id w:val="-1297056198"/>
                      <w:docPartObj>
                        <w:docPartGallery w:val="Page Numbers (Top of Page)"/>
                        <w:docPartUnique/>
                      </w:docPartObj>
                    </w:sdtPr>
                    <w:sdtEndPr>
                      <w:rPr>
                        <w:sz w:val="14"/>
                        <w:szCs w:val="14"/>
                      </w:rPr>
                    </w:sdtEndPr>
                    <w:sdtContent>
                      <w:p w14:paraId="6D3B8BDA" w14:textId="77777777" w:rsidR="00A16391" w:rsidRPr="00A16391" w:rsidRDefault="00A16391" w:rsidP="00A16391">
                        <w:pPr>
                          <w:pStyle w:val="Footer"/>
                          <w:jc w:val="right"/>
                          <w:rPr>
                            <w:sz w:val="14"/>
                            <w:szCs w:val="14"/>
                          </w:rPr>
                        </w:pPr>
                        <w:r w:rsidRPr="00A16391">
                          <w:rPr>
                            <w:sz w:val="14"/>
                            <w:szCs w:val="14"/>
                          </w:rPr>
                          <w:t xml:space="preserve">Pagina </w:t>
                        </w:r>
                        <w:r w:rsidRPr="00A16391">
                          <w:rPr>
                            <w:sz w:val="20"/>
                            <w:szCs w:val="20"/>
                          </w:rPr>
                          <w:fldChar w:fldCharType="begin"/>
                        </w:r>
                        <w:r w:rsidRPr="00A16391">
                          <w:rPr>
                            <w:sz w:val="14"/>
                            <w:szCs w:val="14"/>
                          </w:rPr>
                          <w:instrText>PAGE</w:instrText>
                        </w:r>
                        <w:r w:rsidRPr="00A16391">
                          <w:rPr>
                            <w:sz w:val="20"/>
                            <w:szCs w:val="20"/>
                          </w:rPr>
                          <w:fldChar w:fldCharType="separate"/>
                        </w:r>
                        <w:r w:rsidRPr="00A16391">
                          <w:rPr>
                            <w:sz w:val="14"/>
                            <w:szCs w:val="14"/>
                          </w:rPr>
                          <w:t>1</w:t>
                        </w:r>
                        <w:r w:rsidRPr="00A16391">
                          <w:rPr>
                            <w:sz w:val="20"/>
                            <w:szCs w:val="20"/>
                          </w:rPr>
                          <w:fldChar w:fldCharType="end"/>
                        </w:r>
                        <w:r w:rsidRPr="00A16391">
                          <w:rPr>
                            <w:sz w:val="14"/>
                            <w:szCs w:val="14"/>
                          </w:rPr>
                          <w:t xml:space="preserve"> van </w:t>
                        </w:r>
                        <w:r w:rsidRPr="00A16391">
                          <w:rPr>
                            <w:sz w:val="20"/>
                            <w:szCs w:val="20"/>
                          </w:rPr>
                          <w:fldChar w:fldCharType="begin"/>
                        </w:r>
                        <w:r w:rsidRPr="00A16391">
                          <w:rPr>
                            <w:sz w:val="14"/>
                            <w:szCs w:val="14"/>
                          </w:rPr>
                          <w:instrText>NUMPAGES</w:instrText>
                        </w:r>
                        <w:r w:rsidRPr="00A16391">
                          <w:rPr>
                            <w:sz w:val="20"/>
                            <w:szCs w:val="20"/>
                          </w:rPr>
                          <w:fldChar w:fldCharType="separate"/>
                        </w:r>
                        <w:r w:rsidRPr="00A16391">
                          <w:rPr>
                            <w:sz w:val="14"/>
                            <w:szCs w:val="14"/>
                          </w:rPr>
                          <w:t>3</w:t>
                        </w:r>
                        <w:r w:rsidRPr="00A16391">
                          <w:rPr>
                            <w:sz w:val="20"/>
                            <w:szCs w:val="20"/>
                          </w:rPr>
                          <w:fldChar w:fldCharType="end"/>
                        </w:r>
                      </w:p>
                    </w:sdtContent>
                  </w:sdt>
                  <w:p w14:paraId="05A9BA42" w14:textId="77777777" w:rsidR="005A2B30" w:rsidRDefault="005A2B3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BA06" w14:textId="77777777" w:rsidR="00EF1B65" w:rsidRDefault="005A2B30">
    <w:pPr>
      <w:spacing w:after="7131" w:line="14" w:lineRule="exact"/>
    </w:pPr>
    <w:r>
      <w:rPr>
        <w:noProof/>
      </w:rPr>
      <mc:AlternateContent>
        <mc:Choice Requires="wps">
          <w:drawing>
            <wp:anchor distT="0" distB="0" distL="0" distR="0" simplePos="0" relativeHeight="251658243" behindDoc="0" locked="1" layoutInCell="1" allowOverlap="1" wp14:anchorId="05A9BA0E" wp14:editId="05A9BA0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5A9BA36" w14:textId="77777777" w:rsidR="005A2B30" w:rsidRDefault="005A2B30"/>
                      </w:txbxContent>
                    </wps:txbx>
                    <wps:bodyPr vert="horz" wrap="square" lIns="0" tIns="0" rIns="0" bIns="0" anchor="t" anchorCtr="0"/>
                  </wps:wsp>
                </a:graphicData>
              </a:graphic>
            </wp:anchor>
          </w:drawing>
        </mc:Choice>
        <mc:Fallback>
          <w:pict>
            <v:shapetype w14:anchorId="05A9BA0E"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05A9BA36" w14:textId="77777777" w:rsidR="005A2B30" w:rsidRDefault="005A2B30"/>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5A9BA10" wp14:editId="0C808EDC">
              <wp:simplePos x="0" y="0"/>
              <wp:positionH relativeFrom="margin">
                <wp:align>right</wp:align>
              </wp:positionH>
              <wp:positionV relativeFrom="page">
                <wp:posOffset>1952625</wp:posOffset>
              </wp:positionV>
              <wp:extent cx="4787900" cy="1562100"/>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562100"/>
                      </a:xfrm>
                      <a:prstGeom prst="rect">
                        <a:avLst/>
                      </a:prstGeom>
                      <a:noFill/>
                    </wps:spPr>
                    <wps:txbx>
                      <w:txbxContent>
                        <w:p w14:paraId="05A9BA1F" w14:textId="2B7247F3" w:rsidR="00EF1B65" w:rsidRDefault="005A2B30">
                          <w:r w:rsidRPr="00F7128C">
                            <w:t xml:space="preserve">Aan de Voorzitter van de </w:t>
                          </w:r>
                          <w:r w:rsidRPr="00F7128C">
                            <w:br/>
                            <w:t>Tweede Kamer der Staten-Generaal</w:t>
                          </w:r>
                          <w:r w:rsidRPr="00F7128C">
                            <w:br/>
                            <w:t>Prinses Irenestraat 6</w:t>
                          </w:r>
                          <w:r w:rsidRPr="00F7128C">
                            <w:br/>
                            <w:t>Den Haag</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5A9BA10" id="41b10c0b-80a4-11ea-b356-6230a4311406" o:spid="_x0000_s1030" type="#_x0000_t202" style="position:absolute;margin-left:325.8pt;margin-top:153.75pt;width:377pt;height:123pt;z-index:25165824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sHmoAEAAC8DAAAOAAAAZHJzL2Uyb0RvYy54bWysUttu2zAMfS/QfxD03tgJ1suMOMXWokWB&#10;oS3Q7QMUWYoFWKJKKbGzry8lx0mxvQ17kXiRDg8PubwdbMd2CoMBV/P5rORMOQmNcZua//r5cHHD&#10;WYjCNaIDp2q+V4Hfrs7Plr2v1AJa6BqFjEBcqHpf8zZGXxVFkK2yIszAK0dJDWhFJBc3RYOiJ3Tb&#10;FYuyvCp6wMYjSBUCRe/HJF9lfK2VjC9aBxVZV3PiFvOJ+Vyns1gtRbVB4VsjDzTEP7CwwjgqeoS6&#10;F1GwLZq/oKyRCAF0nEmwBWhtpMo9UDfz8o9u3lrhVe6FxAn+KFP4f7DyeffmX5HF4TsMNMAkSO9D&#10;FSiY+hk02nQTU0Z5knB/lE0NkUkKfrm+uf5aUkpSbn55tZiTQzjF6bvHEB8VWJaMmiPNJcsldj9C&#10;HJ9OT1I1Bw+m61L8xCVZcVgPzDRUcuK5hmZP9GkDCbYF/M1ZT9OseXjfClScdU+O5EqjnwycjPVk&#10;CCfpa80jZ6N5F/OKjFS+bSNok1kmDmPFAzWaSu7zsEFp7J/9/Oq056sPAAAA//8DAFBLAwQUAAYA&#10;CAAAACEAOeE3Gd4AAAAIAQAADwAAAGRycy9kb3ducmV2LnhtbEyPzU7DMBCE70i8g7VI3KgNxf0J&#10;caoKwQkJkYYDRyd2E6vxOsRuG96e5VSOs7Oa+SbfTL5nJztGF1DB/UwAs9gE47BV8Fm93q2AxaTR&#10;6D6gVfBjI2yK66tcZyacsbSnXWoZhWDMtIIupSHjPDad9TrOwmCRvH0YvU4kx5abUZ8p3Pf8QYgF&#10;99ohNXR6sM+dbQ67o1ew/cLyxX2/1x/lvnRVtRb4tjgodXszbZ+AJTulyzP84RM6FMRUhyOayHoF&#10;NCQpmIulBEb2Uj7SpVYg5VwCL3L+f0DxCwAA//8DAFBLAQItABQABgAIAAAAIQC2gziS/gAAAOEB&#10;AAATAAAAAAAAAAAAAAAAAAAAAABbQ29udGVudF9UeXBlc10ueG1sUEsBAi0AFAAGAAgAAAAhADj9&#10;If/WAAAAlAEAAAsAAAAAAAAAAAAAAAAALwEAAF9yZWxzLy5yZWxzUEsBAi0AFAAGAAgAAAAhAOjq&#10;weagAQAALwMAAA4AAAAAAAAAAAAAAAAALgIAAGRycy9lMm9Eb2MueG1sUEsBAi0AFAAGAAgAAAAh&#10;ADnhNxneAAAACAEAAA8AAAAAAAAAAAAAAAAA+gMAAGRycy9kb3ducmV2LnhtbFBLBQYAAAAABAAE&#10;APMAAAAFBQAAAAA=&#10;" filled="f" stroked="f">
              <v:textbox inset="0,0,0,0">
                <w:txbxContent>
                  <w:p w14:paraId="05A9BA1F" w14:textId="2B7247F3" w:rsidR="00EF1B65" w:rsidRDefault="005A2B30">
                    <w:r w:rsidRPr="00F7128C">
                      <w:t xml:space="preserve">Aan de Voorzitter van de </w:t>
                    </w:r>
                    <w:r w:rsidRPr="00F7128C">
                      <w:br/>
                      <w:t>Tweede Kamer der Staten-Generaal</w:t>
                    </w:r>
                    <w:r w:rsidRPr="00F7128C">
                      <w:br/>
                      <w:t>Prinses Irenestraat 6</w:t>
                    </w:r>
                    <w:r w:rsidRPr="00F7128C">
                      <w:br/>
                      <w:t>Den Haag</w:t>
                    </w:r>
                  </w:p>
                </w:txbxContent>
              </v:textbox>
              <w10:wrap anchorx="margin" anchory="page"/>
              <w10:anchorlock/>
            </v:shape>
          </w:pict>
        </mc:Fallback>
      </mc:AlternateContent>
    </w:r>
    <w:r>
      <w:rPr>
        <w:noProof/>
      </w:rPr>
      <mc:AlternateContent>
        <mc:Choice Requires="wps">
          <w:drawing>
            <wp:anchor distT="0" distB="0" distL="0" distR="0" simplePos="0" relativeHeight="251658245" behindDoc="0" locked="1" layoutInCell="1" allowOverlap="1" wp14:anchorId="05A9BA12" wp14:editId="05A9BA1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EF1B65" w14:paraId="05A9BA22" w14:textId="77777777">
                            <w:tc>
                              <w:tcPr>
                                <w:tcW w:w="678" w:type="dxa"/>
                              </w:tcPr>
                              <w:p w14:paraId="05A9BA20" w14:textId="77777777" w:rsidR="00EF1B65" w:rsidRDefault="005A2B30">
                                <w:r>
                                  <w:t>Datum</w:t>
                                </w:r>
                              </w:p>
                            </w:tc>
                            <w:tc>
                              <w:tcPr>
                                <w:tcW w:w="6851" w:type="dxa"/>
                              </w:tcPr>
                              <w:p w14:paraId="05A9BA21" w14:textId="30238160" w:rsidR="00EF1B65" w:rsidRDefault="006A4AFD">
                                <w:r>
                                  <w:t>22</w:t>
                                </w:r>
                                <w:r w:rsidR="008E00A2" w:rsidRPr="000C57ED">
                                  <w:t xml:space="preserve"> mei </w:t>
                                </w:r>
                                <w:r w:rsidR="00DF2CDF" w:rsidRPr="000C57ED">
                                  <w:t>2026</w:t>
                                </w:r>
                              </w:p>
                            </w:tc>
                          </w:tr>
                          <w:tr w:rsidR="00EF1B65" w14:paraId="05A9BA27" w14:textId="77777777">
                            <w:tc>
                              <w:tcPr>
                                <w:tcW w:w="678" w:type="dxa"/>
                              </w:tcPr>
                              <w:p w14:paraId="05A9BA23" w14:textId="77777777" w:rsidR="00EF1B65" w:rsidRDefault="005A2B30">
                                <w:r>
                                  <w:t>Betreft</w:t>
                                </w:r>
                              </w:p>
                              <w:p w14:paraId="05A9BA24" w14:textId="77777777" w:rsidR="00EF1B65" w:rsidRDefault="00EF1B65"/>
                            </w:tc>
                            <w:tc>
                              <w:tcPr>
                                <w:tcW w:w="6851" w:type="dxa"/>
                              </w:tcPr>
                              <w:p w14:paraId="05A9BA25" w14:textId="77777777" w:rsidR="00EF1B65" w:rsidRDefault="005A2B30">
                                <w:r>
                                  <w:t>Tijdelijk sanctiebesluit onrechtmatige nederzettingen in de door Israël bezette gebieden</w:t>
                                </w:r>
                              </w:p>
                              <w:p w14:paraId="05A9BA26" w14:textId="77777777" w:rsidR="00EF1B65" w:rsidRDefault="00EF1B65"/>
                            </w:tc>
                          </w:tr>
                        </w:tbl>
                        <w:p w14:paraId="05A9BA28" w14:textId="77777777" w:rsidR="00EF1B65" w:rsidRDefault="00EF1B65"/>
                        <w:p w14:paraId="05A9BA29" w14:textId="77777777" w:rsidR="00EF1B65" w:rsidRDefault="00EF1B65"/>
                      </w:txbxContent>
                    </wps:txbx>
                    <wps:bodyPr vert="horz" wrap="square" lIns="0" tIns="0" rIns="0" bIns="0" anchor="t" anchorCtr="0"/>
                  </wps:wsp>
                </a:graphicData>
              </a:graphic>
            </wp:anchor>
          </w:drawing>
        </mc:Choice>
        <mc:Fallback>
          <w:pict>
            <v:shape w14:anchorId="05A9BA12"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EF1B65" w14:paraId="05A9BA22" w14:textId="77777777">
                      <w:tc>
                        <w:tcPr>
                          <w:tcW w:w="678" w:type="dxa"/>
                        </w:tcPr>
                        <w:p w14:paraId="05A9BA20" w14:textId="77777777" w:rsidR="00EF1B65" w:rsidRDefault="005A2B30">
                          <w:r>
                            <w:t>Datum</w:t>
                          </w:r>
                        </w:p>
                      </w:tc>
                      <w:tc>
                        <w:tcPr>
                          <w:tcW w:w="6851" w:type="dxa"/>
                        </w:tcPr>
                        <w:p w14:paraId="05A9BA21" w14:textId="30238160" w:rsidR="00EF1B65" w:rsidRDefault="006A4AFD">
                          <w:r>
                            <w:t>22</w:t>
                          </w:r>
                          <w:r w:rsidR="008E00A2" w:rsidRPr="000C57ED">
                            <w:t xml:space="preserve"> mei </w:t>
                          </w:r>
                          <w:r w:rsidR="00DF2CDF" w:rsidRPr="000C57ED">
                            <w:t>2026</w:t>
                          </w:r>
                        </w:p>
                      </w:tc>
                    </w:tr>
                    <w:tr w:rsidR="00EF1B65" w14:paraId="05A9BA27" w14:textId="77777777">
                      <w:tc>
                        <w:tcPr>
                          <w:tcW w:w="678" w:type="dxa"/>
                        </w:tcPr>
                        <w:p w14:paraId="05A9BA23" w14:textId="77777777" w:rsidR="00EF1B65" w:rsidRDefault="005A2B30">
                          <w:r>
                            <w:t>Betreft</w:t>
                          </w:r>
                        </w:p>
                        <w:p w14:paraId="05A9BA24" w14:textId="77777777" w:rsidR="00EF1B65" w:rsidRDefault="00EF1B65"/>
                      </w:tc>
                      <w:tc>
                        <w:tcPr>
                          <w:tcW w:w="6851" w:type="dxa"/>
                        </w:tcPr>
                        <w:p w14:paraId="05A9BA25" w14:textId="77777777" w:rsidR="00EF1B65" w:rsidRDefault="005A2B30">
                          <w:r>
                            <w:t>Tijdelijk sanctiebesluit onrechtmatige nederzettingen in de door Israël bezette gebieden</w:t>
                          </w:r>
                        </w:p>
                        <w:p w14:paraId="05A9BA26" w14:textId="77777777" w:rsidR="00EF1B65" w:rsidRDefault="00EF1B65"/>
                      </w:tc>
                    </w:tr>
                  </w:tbl>
                  <w:p w14:paraId="05A9BA28" w14:textId="77777777" w:rsidR="00EF1B65" w:rsidRDefault="00EF1B65"/>
                  <w:p w14:paraId="05A9BA29" w14:textId="77777777" w:rsidR="00EF1B65" w:rsidRDefault="00EF1B65"/>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5A9BA14" wp14:editId="0B02BBCB">
              <wp:simplePos x="0" y="0"/>
              <wp:positionH relativeFrom="page">
                <wp:posOffset>5924550</wp:posOffset>
              </wp:positionH>
              <wp:positionV relativeFrom="page">
                <wp:posOffset>1968500</wp:posOffset>
              </wp:positionV>
              <wp:extent cx="1333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05A9BA2B" w14:textId="12C2C5AA" w:rsidR="00EF1B65" w:rsidRDefault="005A2B30" w:rsidP="007328C7">
                          <w:pPr>
                            <w:pStyle w:val="Referentiegegevensbold"/>
                          </w:pPr>
                          <w:r>
                            <w:t>Ministerie van Buitenlandse Zaken</w:t>
                          </w:r>
                        </w:p>
                        <w:p w14:paraId="62B304C5" w14:textId="77777777" w:rsidR="00A16391" w:rsidRDefault="00A16391">
                          <w:pPr>
                            <w:pStyle w:val="Referentiegegevens"/>
                          </w:pPr>
                          <w:r>
                            <w:t>Rijnstraat 8</w:t>
                          </w:r>
                        </w:p>
                        <w:p w14:paraId="19E8FC55" w14:textId="77777777" w:rsidR="00A16391" w:rsidRPr="00991B7F" w:rsidRDefault="00A16391">
                          <w:pPr>
                            <w:pStyle w:val="Referentiegegevens"/>
                            <w:rPr>
                              <w:lang w:val="da-DK"/>
                            </w:rPr>
                          </w:pPr>
                          <w:r w:rsidRPr="00991B7F">
                            <w:rPr>
                              <w:lang w:val="da-DK"/>
                            </w:rPr>
                            <w:t>2515 XP Den Haag</w:t>
                          </w:r>
                        </w:p>
                        <w:p w14:paraId="3AE74B45" w14:textId="77777777" w:rsidR="00A16391" w:rsidRPr="00991B7F" w:rsidRDefault="00A16391">
                          <w:pPr>
                            <w:pStyle w:val="Referentiegegevens"/>
                            <w:rPr>
                              <w:lang w:val="da-DK"/>
                            </w:rPr>
                          </w:pPr>
                          <w:r w:rsidRPr="00991B7F">
                            <w:rPr>
                              <w:lang w:val="da-DK"/>
                            </w:rPr>
                            <w:t xml:space="preserve">Postbus 20061 </w:t>
                          </w:r>
                        </w:p>
                        <w:p w14:paraId="721BCE3C" w14:textId="2FC3D952" w:rsidR="00A16391" w:rsidRPr="00991B7F" w:rsidRDefault="00A16391">
                          <w:pPr>
                            <w:pStyle w:val="Referentiegegevens"/>
                            <w:rPr>
                              <w:lang w:val="da-DK"/>
                            </w:rPr>
                          </w:pPr>
                          <w:r w:rsidRPr="00991B7F">
                            <w:rPr>
                              <w:lang w:val="da-DK"/>
                            </w:rPr>
                            <w:t>Nederland</w:t>
                          </w:r>
                        </w:p>
                        <w:p w14:paraId="05A9BA2D" w14:textId="536F5BA6" w:rsidR="00EF1B65" w:rsidRPr="00991B7F" w:rsidRDefault="005A2B30">
                          <w:pPr>
                            <w:pStyle w:val="Referentiegegevens"/>
                            <w:rPr>
                              <w:lang w:val="da-DK"/>
                            </w:rPr>
                          </w:pPr>
                          <w:r w:rsidRPr="00991B7F">
                            <w:rPr>
                              <w:lang w:val="da-DK"/>
                            </w:rPr>
                            <w:t>www.minbuza.nl</w:t>
                          </w:r>
                        </w:p>
                        <w:p w14:paraId="05A9BA2E" w14:textId="77777777" w:rsidR="00EF1B65" w:rsidRPr="00991B7F" w:rsidRDefault="00EF1B65">
                          <w:pPr>
                            <w:pStyle w:val="WitregelW2"/>
                            <w:rPr>
                              <w:lang w:val="da-DK"/>
                            </w:rPr>
                          </w:pPr>
                        </w:p>
                        <w:p w14:paraId="32F601FC" w14:textId="77777777" w:rsidR="004E7DAC" w:rsidRPr="006A4AFD" w:rsidRDefault="004E7DAC" w:rsidP="004E7DAC">
                          <w:pPr>
                            <w:pStyle w:val="Referentiegegevensbold"/>
                          </w:pPr>
                          <w:r w:rsidRPr="006A4AFD">
                            <w:t>Onze referentie</w:t>
                          </w:r>
                        </w:p>
                        <w:p w14:paraId="22B6E2B7" w14:textId="77777777" w:rsidR="004E7DAC" w:rsidRDefault="004E7DAC" w:rsidP="004E7DAC">
                          <w:pPr>
                            <w:pStyle w:val="Referentiegegevens"/>
                          </w:pPr>
                          <w:r>
                            <w:t>BZ2522103</w:t>
                          </w:r>
                        </w:p>
                        <w:p w14:paraId="02668B2D" w14:textId="77777777" w:rsidR="004E7DAC" w:rsidRPr="004E7DAC" w:rsidRDefault="004E7DAC" w:rsidP="004E7DAC"/>
                        <w:p w14:paraId="05A9BA2F" w14:textId="77777777" w:rsidR="00EF1B65" w:rsidRDefault="005A2B30">
                          <w:pPr>
                            <w:pStyle w:val="Referentiegegevensbold"/>
                          </w:pPr>
                          <w:r>
                            <w:t>Bijlage(n)</w:t>
                          </w:r>
                        </w:p>
                        <w:p w14:paraId="05A9BA30" w14:textId="08AF06BC" w:rsidR="00EF1B65" w:rsidRDefault="00A52918">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05A9BA14" id="41b10cd4-80a4-11ea-b356-6230a4311406" o:spid="_x0000_s1032" type="#_x0000_t202" style="position:absolute;margin-left:466.5pt;margin-top:155pt;width:10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tRlAEAABUDAAAOAAAAZHJzL2Uyb0RvYy54bWysUlFvEzEMfkfiP0R5p3dbxdSdmk6CaQgJ&#10;AdLgB6S5pBfpEgc761359TjZrkXwhnhxnDj+/Pmzt3dzGMXRInmISl6tWilsNND7eFDy+7eHNxsp&#10;KOvY6xGiVfJkSd7tXr/aTqmz1zDA2FsUDBKpm5KSQ86paxoygw2aVpBs5KADDDrzFQ9Nj3pi9DA2&#10;121700yAfUIwlohf75+DclfxnbMmf3GObBajkswtV4vV7ottdlvdHVCnwZsXGvofWATtIxc9Q93r&#10;rMUT+r+ggjcIBC6vDIQGnPPG1h64m6v2j24eB51s7YXFoXSWif4frPl8fExfUeT5Hcw8wCLIlKgj&#10;fiz9zA5DOZmp4DhLeDrLZucsTElar9dvWw4Zjm3a9nZzW4VtLukJKX+wEERxlESeS5VLHz9R5pL8&#10;dflSqkV48ONY3i9cipfn/Sx8r+TNwnMP/Ynp8wYy7AD4U4qJp6kk/XjSaKUYP0aWq4x+cXBx9ouj&#10;o+FUJbMUz+77XFdkIcDaV4ove1KG+/u90rxs8+4XAAAA//8DAFBLAwQUAAYACAAAACEAPgGCweEA&#10;AAANAQAADwAAAGRycy9kb3ducmV2LnhtbEyPwU7DMBBE70j8g7VI3KgdUgoNcaoKwQkJNQ0Hjk68&#10;TazG6xC7bfh7nBPcZndHs2/yzWR7dsbRG0cSkoUAhtQ4baiV8Fm93T0B80GRVr0jlPCDHjbF9VWu&#10;Mu0uVOJ5H1oWQ8hnSkIXwpBx7psOrfILNyDF28GNVoU4ji3Xo7rEcNvzeyFW3CpD8UOnBnzpsDnu&#10;T1bC9ovKV/P9Ue/KQ2mqai3ofXWU8vZm2j4DCziFPzPM+BEdishUuxNpz3oJ6zSNXYKENBFRzI5k&#10;Oa/qqB4ekyXwIuf/WxS/AAAA//8DAFBLAQItABQABgAIAAAAIQC2gziS/gAAAOEBAAATAAAAAAAA&#10;AAAAAAAAAAAAAABbQ29udGVudF9UeXBlc10ueG1sUEsBAi0AFAAGAAgAAAAhADj9If/WAAAAlAEA&#10;AAsAAAAAAAAAAAAAAAAALwEAAF9yZWxzLy5yZWxzUEsBAi0AFAAGAAgAAAAhAJuCu1GUAQAAFQMA&#10;AA4AAAAAAAAAAAAAAAAALgIAAGRycy9lMm9Eb2MueG1sUEsBAi0AFAAGAAgAAAAhAD4BgsHhAAAA&#10;DQEAAA8AAAAAAAAAAAAAAAAA7gMAAGRycy9kb3ducmV2LnhtbFBLBQYAAAAABAAEAPMAAAD8BAAA&#10;AAA=&#10;" filled="f" stroked="f">
              <v:textbox inset="0,0,0,0">
                <w:txbxContent>
                  <w:p w14:paraId="05A9BA2B" w14:textId="12C2C5AA" w:rsidR="00EF1B65" w:rsidRDefault="005A2B30" w:rsidP="007328C7">
                    <w:pPr>
                      <w:pStyle w:val="Referentiegegevensbold"/>
                    </w:pPr>
                    <w:r>
                      <w:t>Ministerie van Buitenlandse Zaken</w:t>
                    </w:r>
                  </w:p>
                  <w:p w14:paraId="62B304C5" w14:textId="77777777" w:rsidR="00A16391" w:rsidRDefault="00A16391">
                    <w:pPr>
                      <w:pStyle w:val="Referentiegegevens"/>
                    </w:pPr>
                    <w:r>
                      <w:t>Rijnstraat 8</w:t>
                    </w:r>
                  </w:p>
                  <w:p w14:paraId="19E8FC55" w14:textId="77777777" w:rsidR="00A16391" w:rsidRPr="00991B7F" w:rsidRDefault="00A16391">
                    <w:pPr>
                      <w:pStyle w:val="Referentiegegevens"/>
                      <w:rPr>
                        <w:lang w:val="da-DK"/>
                      </w:rPr>
                    </w:pPr>
                    <w:r w:rsidRPr="00991B7F">
                      <w:rPr>
                        <w:lang w:val="da-DK"/>
                      </w:rPr>
                      <w:t>2515 XP Den Haag</w:t>
                    </w:r>
                  </w:p>
                  <w:p w14:paraId="3AE74B45" w14:textId="77777777" w:rsidR="00A16391" w:rsidRPr="00991B7F" w:rsidRDefault="00A16391">
                    <w:pPr>
                      <w:pStyle w:val="Referentiegegevens"/>
                      <w:rPr>
                        <w:lang w:val="da-DK"/>
                      </w:rPr>
                    </w:pPr>
                    <w:r w:rsidRPr="00991B7F">
                      <w:rPr>
                        <w:lang w:val="da-DK"/>
                      </w:rPr>
                      <w:t xml:space="preserve">Postbus 20061 </w:t>
                    </w:r>
                  </w:p>
                  <w:p w14:paraId="721BCE3C" w14:textId="2FC3D952" w:rsidR="00A16391" w:rsidRPr="00991B7F" w:rsidRDefault="00A16391">
                    <w:pPr>
                      <w:pStyle w:val="Referentiegegevens"/>
                      <w:rPr>
                        <w:lang w:val="da-DK"/>
                      </w:rPr>
                    </w:pPr>
                    <w:r w:rsidRPr="00991B7F">
                      <w:rPr>
                        <w:lang w:val="da-DK"/>
                      </w:rPr>
                      <w:t>Nederland</w:t>
                    </w:r>
                  </w:p>
                  <w:p w14:paraId="05A9BA2D" w14:textId="536F5BA6" w:rsidR="00EF1B65" w:rsidRPr="00991B7F" w:rsidRDefault="005A2B30">
                    <w:pPr>
                      <w:pStyle w:val="Referentiegegevens"/>
                      <w:rPr>
                        <w:lang w:val="da-DK"/>
                      </w:rPr>
                    </w:pPr>
                    <w:r w:rsidRPr="00991B7F">
                      <w:rPr>
                        <w:lang w:val="da-DK"/>
                      </w:rPr>
                      <w:t>www.minbuza.nl</w:t>
                    </w:r>
                  </w:p>
                  <w:p w14:paraId="05A9BA2E" w14:textId="77777777" w:rsidR="00EF1B65" w:rsidRPr="00991B7F" w:rsidRDefault="00EF1B65">
                    <w:pPr>
                      <w:pStyle w:val="WitregelW2"/>
                      <w:rPr>
                        <w:lang w:val="da-DK"/>
                      </w:rPr>
                    </w:pPr>
                  </w:p>
                  <w:p w14:paraId="32F601FC" w14:textId="77777777" w:rsidR="004E7DAC" w:rsidRPr="006A4AFD" w:rsidRDefault="004E7DAC" w:rsidP="004E7DAC">
                    <w:pPr>
                      <w:pStyle w:val="Referentiegegevensbold"/>
                    </w:pPr>
                    <w:r w:rsidRPr="006A4AFD">
                      <w:t>Onze referentie</w:t>
                    </w:r>
                  </w:p>
                  <w:p w14:paraId="22B6E2B7" w14:textId="77777777" w:rsidR="004E7DAC" w:rsidRDefault="004E7DAC" w:rsidP="004E7DAC">
                    <w:pPr>
                      <w:pStyle w:val="Referentiegegevens"/>
                    </w:pPr>
                    <w:r>
                      <w:t>BZ2522103</w:t>
                    </w:r>
                  </w:p>
                  <w:p w14:paraId="02668B2D" w14:textId="77777777" w:rsidR="004E7DAC" w:rsidRPr="004E7DAC" w:rsidRDefault="004E7DAC" w:rsidP="004E7DAC"/>
                  <w:p w14:paraId="05A9BA2F" w14:textId="77777777" w:rsidR="00EF1B65" w:rsidRDefault="005A2B30">
                    <w:pPr>
                      <w:pStyle w:val="Referentiegegevensbold"/>
                    </w:pPr>
                    <w:r>
                      <w:t>Bijlage(n)</w:t>
                    </w:r>
                  </w:p>
                  <w:p w14:paraId="05A9BA30" w14:textId="08AF06BC" w:rsidR="00EF1B65" w:rsidRDefault="00A52918">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5A9BA16" wp14:editId="05A9BA17">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5A9BA31" w14:textId="3F415207" w:rsidR="00EF1B65" w:rsidRDefault="00EF1B65">
                          <w:pPr>
                            <w:pStyle w:val="Rubricering"/>
                          </w:pPr>
                        </w:p>
                      </w:txbxContent>
                    </wps:txbx>
                    <wps:bodyPr vert="horz" wrap="square" lIns="0" tIns="0" rIns="0" bIns="0" anchor="t" anchorCtr="0"/>
                  </wps:wsp>
                </a:graphicData>
              </a:graphic>
            </wp:anchor>
          </w:drawing>
        </mc:Choice>
        <mc:Fallback>
          <w:pict>
            <v:shape w14:anchorId="05A9BA16"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05A9BA31" w14:textId="3F415207" w:rsidR="00EF1B65" w:rsidRDefault="00EF1B65">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5A9BA18" wp14:editId="05A9BA1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sdt>
                          <w:sdtPr>
                            <w:id w:val="-1769616900"/>
                            <w:docPartObj>
                              <w:docPartGallery w:val="Page Numbers (Top of Page)"/>
                              <w:docPartUnique/>
                            </w:docPartObj>
                          </w:sdtPr>
                          <w:sdtEndPr>
                            <w:rPr>
                              <w:sz w:val="14"/>
                              <w:szCs w:val="14"/>
                            </w:rPr>
                          </w:sdtEndPr>
                          <w:sdtContent>
                            <w:p w14:paraId="327046DD" w14:textId="77777777" w:rsidR="00A16391" w:rsidRPr="00A16391" w:rsidRDefault="00A16391" w:rsidP="00A16391">
                              <w:pPr>
                                <w:pStyle w:val="Footer"/>
                                <w:jc w:val="right"/>
                                <w:rPr>
                                  <w:sz w:val="14"/>
                                  <w:szCs w:val="14"/>
                                </w:rPr>
                              </w:pPr>
                              <w:r w:rsidRPr="00A16391">
                                <w:rPr>
                                  <w:sz w:val="14"/>
                                  <w:szCs w:val="14"/>
                                </w:rPr>
                                <w:t xml:space="preserve">Pagina </w:t>
                              </w:r>
                              <w:r w:rsidRPr="00A16391">
                                <w:rPr>
                                  <w:sz w:val="20"/>
                                  <w:szCs w:val="20"/>
                                </w:rPr>
                                <w:fldChar w:fldCharType="begin"/>
                              </w:r>
                              <w:r w:rsidRPr="00A16391">
                                <w:rPr>
                                  <w:sz w:val="14"/>
                                  <w:szCs w:val="14"/>
                                </w:rPr>
                                <w:instrText>PAGE</w:instrText>
                              </w:r>
                              <w:r w:rsidRPr="00A16391">
                                <w:rPr>
                                  <w:sz w:val="20"/>
                                  <w:szCs w:val="20"/>
                                </w:rPr>
                                <w:fldChar w:fldCharType="separate"/>
                              </w:r>
                              <w:r w:rsidRPr="00A16391">
                                <w:rPr>
                                  <w:sz w:val="14"/>
                                  <w:szCs w:val="14"/>
                                </w:rPr>
                                <w:t>1</w:t>
                              </w:r>
                              <w:r w:rsidRPr="00A16391">
                                <w:rPr>
                                  <w:sz w:val="20"/>
                                  <w:szCs w:val="20"/>
                                </w:rPr>
                                <w:fldChar w:fldCharType="end"/>
                              </w:r>
                              <w:r w:rsidRPr="00A16391">
                                <w:rPr>
                                  <w:sz w:val="14"/>
                                  <w:szCs w:val="14"/>
                                </w:rPr>
                                <w:t xml:space="preserve"> van </w:t>
                              </w:r>
                              <w:r w:rsidRPr="00A16391">
                                <w:rPr>
                                  <w:sz w:val="20"/>
                                  <w:szCs w:val="20"/>
                                </w:rPr>
                                <w:fldChar w:fldCharType="begin"/>
                              </w:r>
                              <w:r w:rsidRPr="00A16391">
                                <w:rPr>
                                  <w:sz w:val="14"/>
                                  <w:szCs w:val="14"/>
                                </w:rPr>
                                <w:instrText>NUMPAGES</w:instrText>
                              </w:r>
                              <w:r w:rsidRPr="00A16391">
                                <w:rPr>
                                  <w:sz w:val="20"/>
                                  <w:szCs w:val="20"/>
                                </w:rPr>
                                <w:fldChar w:fldCharType="separate"/>
                              </w:r>
                              <w:r w:rsidRPr="00A16391">
                                <w:rPr>
                                  <w:sz w:val="14"/>
                                  <w:szCs w:val="14"/>
                                </w:rPr>
                                <w:t>3</w:t>
                              </w:r>
                              <w:r w:rsidRPr="00A16391">
                                <w:rPr>
                                  <w:sz w:val="20"/>
                                  <w:szCs w:val="20"/>
                                </w:rPr>
                                <w:fldChar w:fldCharType="end"/>
                              </w:r>
                            </w:p>
                          </w:sdtContent>
                        </w:sdt>
                        <w:p w14:paraId="05A9BA3C" w14:textId="77777777" w:rsidR="005A2B30" w:rsidRDefault="005A2B30"/>
                      </w:txbxContent>
                    </wps:txbx>
                    <wps:bodyPr vert="horz" wrap="square" lIns="0" tIns="0" rIns="0" bIns="0" anchor="t" anchorCtr="0"/>
                  </wps:wsp>
                </a:graphicData>
              </a:graphic>
            </wp:anchor>
          </w:drawing>
        </mc:Choice>
        <mc:Fallback>
          <w:pict>
            <v:shape w14:anchorId="05A9BA18"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sdt>
                    <w:sdtPr>
                      <w:id w:val="-1769616900"/>
                      <w:docPartObj>
                        <w:docPartGallery w:val="Page Numbers (Top of Page)"/>
                        <w:docPartUnique/>
                      </w:docPartObj>
                    </w:sdtPr>
                    <w:sdtEndPr>
                      <w:rPr>
                        <w:sz w:val="14"/>
                        <w:szCs w:val="14"/>
                      </w:rPr>
                    </w:sdtEndPr>
                    <w:sdtContent>
                      <w:p w14:paraId="327046DD" w14:textId="77777777" w:rsidR="00A16391" w:rsidRPr="00A16391" w:rsidRDefault="00A16391" w:rsidP="00A16391">
                        <w:pPr>
                          <w:pStyle w:val="Footer"/>
                          <w:jc w:val="right"/>
                          <w:rPr>
                            <w:sz w:val="14"/>
                            <w:szCs w:val="14"/>
                          </w:rPr>
                        </w:pPr>
                        <w:r w:rsidRPr="00A16391">
                          <w:rPr>
                            <w:sz w:val="14"/>
                            <w:szCs w:val="14"/>
                          </w:rPr>
                          <w:t xml:space="preserve">Pagina </w:t>
                        </w:r>
                        <w:r w:rsidRPr="00A16391">
                          <w:rPr>
                            <w:sz w:val="20"/>
                            <w:szCs w:val="20"/>
                          </w:rPr>
                          <w:fldChar w:fldCharType="begin"/>
                        </w:r>
                        <w:r w:rsidRPr="00A16391">
                          <w:rPr>
                            <w:sz w:val="14"/>
                            <w:szCs w:val="14"/>
                          </w:rPr>
                          <w:instrText>PAGE</w:instrText>
                        </w:r>
                        <w:r w:rsidRPr="00A16391">
                          <w:rPr>
                            <w:sz w:val="20"/>
                            <w:szCs w:val="20"/>
                          </w:rPr>
                          <w:fldChar w:fldCharType="separate"/>
                        </w:r>
                        <w:r w:rsidRPr="00A16391">
                          <w:rPr>
                            <w:sz w:val="14"/>
                            <w:szCs w:val="14"/>
                          </w:rPr>
                          <w:t>1</w:t>
                        </w:r>
                        <w:r w:rsidRPr="00A16391">
                          <w:rPr>
                            <w:sz w:val="20"/>
                            <w:szCs w:val="20"/>
                          </w:rPr>
                          <w:fldChar w:fldCharType="end"/>
                        </w:r>
                        <w:r w:rsidRPr="00A16391">
                          <w:rPr>
                            <w:sz w:val="14"/>
                            <w:szCs w:val="14"/>
                          </w:rPr>
                          <w:t xml:space="preserve"> van </w:t>
                        </w:r>
                        <w:r w:rsidRPr="00A16391">
                          <w:rPr>
                            <w:sz w:val="20"/>
                            <w:szCs w:val="20"/>
                          </w:rPr>
                          <w:fldChar w:fldCharType="begin"/>
                        </w:r>
                        <w:r w:rsidRPr="00A16391">
                          <w:rPr>
                            <w:sz w:val="14"/>
                            <w:szCs w:val="14"/>
                          </w:rPr>
                          <w:instrText>NUMPAGES</w:instrText>
                        </w:r>
                        <w:r w:rsidRPr="00A16391">
                          <w:rPr>
                            <w:sz w:val="20"/>
                            <w:szCs w:val="20"/>
                          </w:rPr>
                          <w:fldChar w:fldCharType="separate"/>
                        </w:r>
                        <w:r w:rsidRPr="00A16391">
                          <w:rPr>
                            <w:sz w:val="14"/>
                            <w:szCs w:val="14"/>
                          </w:rPr>
                          <w:t>3</w:t>
                        </w:r>
                        <w:r w:rsidRPr="00A16391">
                          <w:rPr>
                            <w:sz w:val="20"/>
                            <w:szCs w:val="20"/>
                          </w:rPr>
                          <w:fldChar w:fldCharType="end"/>
                        </w:r>
                      </w:p>
                    </w:sdtContent>
                  </w:sdt>
                  <w:p w14:paraId="05A9BA3C" w14:textId="77777777" w:rsidR="005A2B30" w:rsidRDefault="005A2B30"/>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5A9BA1A" wp14:editId="05A9BA1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5A9BA32" w14:textId="77777777" w:rsidR="00EF1B65" w:rsidRDefault="005A2B30">
                          <w:pPr>
                            <w:spacing w:line="240" w:lineRule="auto"/>
                          </w:pPr>
                          <w:r>
                            <w:rPr>
                              <w:noProof/>
                            </w:rPr>
                            <w:drawing>
                              <wp:inline distT="0" distB="0" distL="0" distR="0" wp14:anchorId="05A9BA36" wp14:editId="05A9BA37">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A9BA1A"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05A9BA32" w14:textId="77777777" w:rsidR="00EF1B65" w:rsidRDefault="005A2B30">
                    <w:pPr>
                      <w:spacing w:line="240" w:lineRule="auto"/>
                    </w:pPr>
                    <w:r>
                      <w:rPr>
                        <w:noProof/>
                      </w:rPr>
                      <w:drawing>
                        <wp:inline distT="0" distB="0" distL="0" distR="0" wp14:anchorId="05A9BA36" wp14:editId="05A9BA37">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5A9BA1C" wp14:editId="05A9BA1D">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A9BA33" w14:textId="77777777" w:rsidR="00EF1B65" w:rsidRDefault="005A2B30">
                          <w:pPr>
                            <w:spacing w:line="240" w:lineRule="auto"/>
                          </w:pPr>
                          <w:r>
                            <w:rPr>
                              <w:noProof/>
                            </w:rPr>
                            <w:drawing>
                              <wp:inline distT="0" distB="0" distL="0" distR="0" wp14:anchorId="05A9BA38" wp14:editId="05A9BA39">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A9BA1C"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05A9BA33" w14:textId="77777777" w:rsidR="00EF1B65" w:rsidRDefault="005A2B30">
                    <w:pPr>
                      <w:spacing w:line="240" w:lineRule="auto"/>
                    </w:pPr>
                    <w:r>
                      <w:rPr>
                        <w:noProof/>
                      </w:rPr>
                      <w:drawing>
                        <wp:inline distT="0" distB="0" distL="0" distR="0" wp14:anchorId="05A9BA38" wp14:editId="05A9BA39">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84454D"/>
    <w:multiLevelType w:val="multilevel"/>
    <w:tmpl w:val="3BDCD3F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AE53BB6"/>
    <w:multiLevelType w:val="multilevel"/>
    <w:tmpl w:val="5C46603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D4FE3F4"/>
    <w:multiLevelType w:val="multilevel"/>
    <w:tmpl w:val="8D06106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BCFE276"/>
    <w:multiLevelType w:val="multilevel"/>
    <w:tmpl w:val="5A93EC07"/>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5F94DF"/>
    <w:multiLevelType w:val="multilevel"/>
    <w:tmpl w:val="D51E53D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502477052">
    <w:abstractNumId w:val="4"/>
  </w:num>
  <w:num w:numId="2" w16cid:durableId="1869759280">
    <w:abstractNumId w:val="1"/>
  </w:num>
  <w:num w:numId="3" w16cid:durableId="649865405">
    <w:abstractNumId w:val="0"/>
  </w:num>
  <w:num w:numId="4" w16cid:durableId="721175170">
    <w:abstractNumId w:val="2"/>
  </w:num>
  <w:num w:numId="5" w16cid:durableId="2042973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B65"/>
    <w:rsid w:val="0000364C"/>
    <w:rsid w:val="000400C0"/>
    <w:rsid w:val="00055FBA"/>
    <w:rsid w:val="00060CA7"/>
    <w:rsid w:val="00061D61"/>
    <w:rsid w:val="000648F9"/>
    <w:rsid w:val="00064B96"/>
    <w:rsid w:val="00065049"/>
    <w:rsid w:val="0007466F"/>
    <w:rsid w:val="000757C9"/>
    <w:rsid w:val="00075B0D"/>
    <w:rsid w:val="00082BEF"/>
    <w:rsid w:val="00087FF9"/>
    <w:rsid w:val="00096E95"/>
    <w:rsid w:val="000A2EF2"/>
    <w:rsid w:val="000A70FC"/>
    <w:rsid w:val="000B04A7"/>
    <w:rsid w:val="000B0D13"/>
    <w:rsid w:val="000B1CA2"/>
    <w:rsid w:val="000B2186"/>
    <w:rsid w:val="000B440F"/>
    <w:rsid w:val="000B4621"/>
    <w:rsid w:val="000C28EC"/>
    <w:rsid w:val="000C4DFB"/>
    <w:rsid w:val="000C57ED"/>
    <w:rsid w:val="000D41CC"/>
    <w:rsid w:val="000D6F82"/>
    <w:rsid w:val="000E2B7C"/>
    <w:rsid w:val="000E4D51"/>
    <w:rsid w:val="000E62C3"/>
    <w:rsid w:val="000F2D13"/>
    <w:rsid w:val="00105D6C"/>
    <w:rsid w:val="001346F5"/>
    <w:rsid w:val="00135A27"/>
    <w:rsid w:val="00136B26"/>
    <w:rsid w:val="00140CCF"/>
    <w:rsid w:val="00140D27"/>
    <w:rsid w:val="00141D84"/>
    <w:rsid w:val="00145E47"/>
    <w:rsid w:val="00147A12"/>
    <w:rsid w:val="001519DC"/>
    <w:rsid w:val="0015762C"/>
    <w:rsid w:val="00165FD6"/>
    <w:rsid w:val="00166BAC"/>
    <w:rsid w:val="001677C2"/>
    <w:rsid w:val="00173BE3"/>
    <w:rsid w:val="00173F21"/>
    <w:rsid w:val="00181A7A"/>
    <w:rsid w:val="001851F5"/>
    <w:rsid w:val="0019172E"/>
    <w:rsid w:val="001937C4"/>
    <w:rsid w:val="001A2E6F"/>
    <w:rsid w:val="001A707C"/>
    <w:rsid w:val="001B23CF"/>
    <w:rsid w:val="001B26C5"/>
    <w:rsid w:val="001B5E07"/>
    <w:rsid w:val="001B62A3"/>
    <w:rsid w:val="001C4935"/>
    <w:rsid w:val="001D0319"/>
    <w:rsid w:val="001D1E7D"/>
    <w:rsid w:val="001D4D41"/>
    <w:rsid w:val="001D5543"/>
    <w:rsid w:val="001E696B"/>
    <w:rsid w:val="001E77D9"/>
    <w:rsid w:val="001E7F76"/>
    <w:rsid w:val="001F3467"/>
    <w:rsid w:val="001F3BDC"/>
    <w:rsid w:val="00200142"/>
    <w:rsid w:val="00213D36"/>
    <w:rsid w:val="00221746"/>
    <w:rsid w:val="00222329"/>
    <w:rsid w:val="00226CA6"/>
    <w:rsid w:val="00230A15"/>
    <w:rsid w:val="00237F9F"/>
    <w:rsid w:val="00241598"/>
    <w:rsid w:val="00250E53"/>
    <w:rsid w:val="002628E6"/>
    <w:rsid w:val="002636B9"/>
    <w:rsid w:val="002652DE"/>
    <w:rsid w:val="0026536F"/>
    <w:rsid w:val="00271B24"/>
    <w:rsid w:val="00274077"/>
    <w:rsid w:val="00283840"/>
    <w:rsid w:val="00285685"/>
    <w:rsid w:val="002957AA"/>
    <w:rsid w:val="0029674B"/>
    <w:rsid w:val="00297505"/>
    <w:rsid w:val="002A417E"/>
    <w:rsid w:val="002A5D66"/>
    <w:rsid w:val="002C096B"/>
    <w:rsid w:val="002F6EE0"/>
    <w:rsid w:val="0030001B"/>
    <w:rsid w:val="00316FBF"/>
    <w:rsid w:val="00323960"/>
    <w:rsid w:val="00323F6D"/>
    <w:rsid w:val="00327502"/>
    <w:rsid w:val="00330614"/>
    <w:rsid w:val="003369B1"/>
    <w:rsid w:val="003471FC"/>
    <w:rsid w:val="00351583"/>
    <w:rsid w:val="00351951"/>
    <w:rsid w:val="003637C0"/>
    <w:rsid w:val="003709BF"/>
    <w:rsid w:val="00377051"/>
    <w:rsid w:val="00377F93"/>
    <w:rsid w:val="00381E2C"/>
    <w:rsid w:val="00385A1E"/>
    <w:rsid w:val="003864F0"/>
    <w:rsid w:val="00390879"/>
    <w:rsid w:val="00397565"/>
    <w:rsid w:val="003B2151"/>
    <w:rsid w:val="003B45E9"/>
    <w:rsid w:val="003C06B0"/>
    <w:rsid w:val="003C509C"/>
    <w:rsid w:val="003D6295"/>
    <w:rsid w:val="003E0C22"/>
    <w:rsid w:val="003E2981"/>
    <w:rsid w:val="003E6040"/>
    <w:rsid w:val="003E64AD"/>
    <w:rsid w:val="003F0656"/>
    <w:rsid w:val="003F748D"/>
    <w:rsid w:val="00404CC3"/>
    <w:rsid w:val="00405310"/>
    <w:rsid w:val="00412F42"/>
    <w:rsid w:val="004214C7"/>
    <w:rsid w:val="00421969"/>
    <w:rsid w:val="004329FB"/>
    <w:rsid w:val="0043463D"/>
    <w:rsid w:val="00440E0F"/>
    <w:rsid w:val="004521F0"/>
    <w:rsid w:val="0045264F"/>
    <w:rsid w:val="00464429"/>
    <w:rsid w:val="004676CC"/>
    <w:rsid w:val="00470FDD"/>
    <w:rsid w:val="004736CD"/>
    <w:rsid w:val="004775D6"/>
    <w:rsid w:val="00492967"/>
    <w:rsid w:val="00493D1D"/>
    <w:rsid w:val="004A2455"/>
    <w:rsid w:val="004A2A06"/>
    <w:rsid w:val="004A53F0"/>
    <w:rsid w:val="004A6548"/>
    <w:rsid w:val="004A6A04"/>
    <w:rsid w:val="004A7C58"/>
    <w:rsid w:val="004B106B"/>
    <w:rsid w:val="004B309D"/>
    <w:rsid w:val="004B3AF7"/>
    <w:rsid w:val="004C12DF"/>
    <w:rsid w:val="004C25C0"/>
    <w:rsid w:val="004C7388"/>
    <w:rsid w:val="004D0485"/>
    <w:rsid w:val="004D2355"/>
    <w:rsid w:val="004D5DBF"/>
    <w:rsid w:val="004D5DDB"/>
    <w:rsid w:val="004D78A4"/>
    <w:rsid w:val="004E0AC8"/>
    <w:rsid w:val="004E7DAC"/>
    <w:rsid w:val="004F6B0B"/>
    <w:rsid w:val="00555C0E"/>
    <w:rsid w:val="0056173D"/>
    <w:rsid w:val="005635B2"/>
    <w:rsid w:val="00570CAF"/>
    <w:rsid w:val="005718C8"/>
    <w:rsid w:val="00575E6E"/>
    <w:rsid w:val="00576C8A"/>
    <w:rsid w:val="00596F41"/>
    <w:rsid w:val="0059749B"/>
    <w:rsid w:val="005A2B30"/>
    <w:rsid w:val="005A4DF1"/>
    <w:rsid w:val="005A5ACA"/>
    <w:rsid w:val="005B1E4C"/>
    <w:rsid w:val="005C3638"/>
    <w:rsid w:val="005D5372"/>
    <w:rsid w:val="005D5D97"/>
    <w:rsid w:val="005D741B"/>
    <w:rsid w:val="005E30A5"/>
    <w:rsid w:val="005E424A"/>
    <w:rsid w:val="005F1C7D"/>
    <w:rsid w:val="005F6A85"/>
    <w:rsid w:val="00610551"/>
    <w:rsid w:val="00615C24"/>
    <w:rsid w:val="0062200C"/>
    <w:rsid w:val="0062303F"/>
    <w:rsid w:val="00626962"/>
    <w:rsid w:val="00643A51"/>
    <w:rsid w:val="0065197D"/>
    <w:rsid w:val="00655C05"/>
    <w:rsid w:val="00661943"/>
    <w:rsid w:val="00661BDD"/>
    <w:rsid w:val="00665935"/>
    <w:rsid w:val="0066598E"/>
    <w:rsid w:val="006716F1"/>
    <w:rsid w:val="0068132F"/>
    <w:rsid w:val="006855C1"/>
    <w:rsid w:val="006A1882"/>
    <w:rsid w:val="006A4AFD"/>
    <w:rsid w:val="006A7057"/>
    <w:rsid w:val="006B113D"/>
    <w:rsid w:val="006B7B9D"/>
    <w:rsid w:val="006C3154"/>
    <w:rsid w:val="006C5447"/>
    <w:rsid w:val="006C73CA"/>
    <w:rsid w:val="006D3957"/>
    <w:rsid w:val="006D4C2E"/>
    <w:rsid w:val="006E1100"/>
    <w:rsid w:val="006E269B"/>
    <w:rsid w:val="006F4557"/>
    <w:rsid w:val="006F574D"/>
    <w:rsid w:val="006F7FB9"/>
    <w:rsid w:val="00701257"/>
    <w:rsid w:val="00704140"/>
    <w:rsid w:val="00706732"/>
    <w:rsid w:val="00713158"/>
    <w:rsid w:val="00713B98"/>
    <w:rsid w:val="00715E90"/>
    <w:rsid w:val="007328C7"/>
    <w:rsid w:val="00736A97"/>
    <w:rsid w:val="00737321"/>
    <w:rsid w:val="007400F7"/>
    <w:rsid w:val="007530F0"/>
    <w:rsid w:val="0075466E"/>
    <w:rsid w:val="007630C9"/>
    <w:rsid w:val="00765001"/>
    <w:rsid w:val="007739D2"/>
    <w:rsid w:val="007806BC"/>
    <w:rsid w:val="00781ED3"/>
    <w:rsid w:val="00782887"/>
    <w:rsid w:val="0078669F"/>
    <w:rsid w:val="00791548"/>
    <w:rsid w:val="007934E7"/>
    <w:rsid w:val="00794B97"/>
    <w:rsid w:val="007A2759"/>
    <w:rsid w:val="007A75C7"/>
    <w:rsid w:val="007B46B8"/>
    <w:rsid w:val="007C2376"/>
    <w:rsid w:val="007C632D"/>
    <w:rsid w:val="007D32DD"/>
    <w:rsid w:val="007E2566"/>
    <w:rsid w:val="00805A76"/>
    <w:rsid w:val="0081002C"/>
    <w:rsid w:val="0083554B"/>
    <w:rsid w:val="0083569C"/>
    <w:rsid w:val="0083607A"/>
    <w:rsid w:val="008561F9"/>
    <w:rsid w:val="008626BA"/>
    <w:rsid w:val="00866D5C"/>
    <w:rsid w:val="0086702A"/>
    <w:rsid w:val="00867754"/>
    <w:rsid w:val="008711F3"/>
    <w:rsid w:val="008757DD"/>
    <w:rsid w:val="00881E91"/>
    <w:rsid w:val="00882F3B"/>
    <w:rsid w:val="008926ED"/>
    <w:rsid w:val="008955F8"/>
    <w:rsid w:val="008A5CD9"/>
    <w:rsid w:val="008A7F79"/>
    <w:rsid w:val="008B2D33"/>
    <w:rsid w:val="008C153F"/>
    <w:rsid w:val="008D2ED1"/>
    <w:rsid w:val="008D3BE1"/>
    <w:rsid w:val="008D6159"/>
    <w:rsid w:val="008E00A2"/>
    <w:rsid w:val="008E58B7"/>
    <w:rsid w:val="008F046D"/>
    <w:rsid w:val="008F0B92"/>
    <w:rsid w:val="008F164D"/>
    <w:rsid w:val="0090248C"/>
    <w:rsid w:val="00906345"/>
    <w:rsid w:val="0091313C"/>
    <w:rsid w:val="009457FF"/>
    <w:rsid w:val="009463CD"/>
    <w:rsid w:val="00973C27"/>
    <w:rsid w:val="0097656F"/>
    <w:rsid w:val="00977873"/>
    <w:rsid w:val="00987ABB"/>
    <w:rsid w:val="00991B7F"/>
    <w:rsid w:val="009A1181"/>
    <w:rsid w:val="009B25C1"/>
    <w:rsid w:val="009C47EA"/>
    <w:rsid w:val="009D16AE"/>
    <w:rsid w:val="009D2A44"/>
    <w:rsid w:val="009D626B"/>
    <w:rsid w:val="009D707A"/>
    <w:rsid w:val="009D7D7D"/>
    <w:rsid w:val="009E39EC"/>
    <w:rsid w:val="009F51D5"/>
    <w:rsid w:val="00A039BE"/>
    <w:rsid w:val="00A056E9"/>
    <w:rsid w:val="00A05C75"/>
    <w:rsid w:val="00A1338A"/>
    <w:rsid w:val="00A16391"/>
    <w:rsid w:val="00A227D8"/>
    <w:rsid w:val="00A35372"/>
    <w:rsid w:val="00A42BA2"/>
    <w:rsid w:val="00A44047"/>
    <w:rsid w:val="00A4455B"/>
    <w:rsid w:val="00A45EEB"/>
    <w:rsid w:val="00A5273E"/>
    <w:rsid w:val="00A52918"/>
    <w:rsid w:val="00A55266"/>
    <w:rsid w:val="00A90162"/>
    <w:rsid w:val="00A92DF3"/>
    <w:rsid w:val="00AA0345"/>
    <w:rsid w:val="00AA1AA1"/>
    <w:rsid w:val="00AA7843"/>
    <w:rsid w:val="00AB2459"/>
    <w:rsid w:val="00AB7BBC"/>
    <w:rsid w:val="00AC1831"/>
    <w:rsid w:val="00AC53BF"/>
    <w:rsid w:val="00AD1B1E"/>
    <w:rsid w:val="00AD2134"/>
    <w:rsid w:val="00AD27D9"/>
    <w:rsid w:val="00AE4C8A"/>
    <w:rsid w:val="00AF3A2D"/>
    <w:rsid w:val="00B018B7"/>
    <w:rsid w:val="00B06441"/>
    <w:rsid w:val="00B06A0A"/>
    <w:rsid w:val="00B228BF"/>
    <w:rsid w:val="00B30BA0"/>
    <w:rsid w:val="00B311CC"/>
    <w:rsid w:val="00B31EE0"/>
    <w:rsid w:val="00B41C70"/>
    <w:rsid w:val="00B46EE5"/>
    <w:rsid w:val="00B511E1"/>
    <w:rsid w:val="00B54853"/>
    <w:rsid w:val="00B57337"/>
    <w:rsid w:val="00B60F1C"/>
    <w:rsid w:val="00B70B76"/>
    <w:rsid w:val="00B70F0D"/>
    <w:rsid w:val="00B7491A"/>
    <w:rsid w:val="00B82696"/>
    <w:rsid w:val="00B82C65"/>
    <w:rsid w:val="00B92DBB"/>
    <w:rsid w:val="00B947C4"/>
    <w:rsid w:val="00BA004D"/>
    <w:rsid w:val="00BA7052"/>
    <w:rsid w:val="00BB0BA4"/>
    <w:rsid w:val="00BB56A7"/>
    <w:rsid w:val="00BC0A66"/>
    <w:rsid w:val="00BC4F42"/>
    <w:rsid w:val="00BD623D"/>
    <w:rsid w:val="00BD6BB3"/>
    <w:rsid w:val="00BF0CF3"/>
    <w:rsid w:val="00BF2B42"/>
    <w:rsid w:val="00BF2ED1"/>
    <w:rsid w:val="00BF3DED"/>
    <w:rsid w:val="00BF4F43"/>
    <w:rsid w:val="00BF7114"/>
    <w:rsid w:val="00BF7794"/>
    <w:rsid w:val="00C05041"/>
    <w:rsid w:val="00C11DEB"/>
    <w:rsid w:val="00C14531"/>
    <w:rsid w:val="00C160CF"/>
    <w:rsid w:val="00C16110"/>
    <w:rsid w:val="00C16822"/>
    <w:rsid w:val="00C256AC"/>
    <w:rsid w:val="00C27C0E"/>
    <w:rsid w:val="00C27EB5"/>
    <w:rsid w:val="00C34979"/>
    <w:rsid w:val="00C4190D"/>
    <w:rsid w:val="00C458CE"/>
    <w:rsid w:val="00C472DE"/>
    <w:rsid w:val="00C514C5"/>
    <w:rsid w:val="00C51BA0"/>
    <w:rsid w:val="00C55A6B"/>
    <w:rsid w:val="00C6043B"/>
    <w:rsid w:val="00C60F24"/>
    <w:rsid w:val="00C71757"/>
    <w:rsid w:val="00C73A90"/>
    <w:rsid w:val="00C73EEB"/>
    <w:rsid w:val="00C82F70"/>
    <w:rsid w:val="00C83452"/>
    <w:rsid w:val="00C850F3"/>
    <w:rsid w:val="00C90164"/>
    <w:rsid w:val="00C95540"/>
    <w:rsid w:val="00C9593C"/>
    <w:rsid w:val="00CA04CE"/>
    <w:rsid w:val="00CA31E8"/>
    <w:rsid w:val="00CA3CE2"/>
    <w:rsid w:val="00CB3215"/>
    <w:rsid w:val="00CC3427"/>
    <w:rsid w:val="00CD2CA4"/>
    <w:rsid w:val="00CD323E"/>
    <w:rsid w:val="00CE5951"/>
    <w:rsid w:val="00D00237"/>
    <w:rsid w:val="00D0077E"/>
    <w:rsid w:val="00D00D38"/>
    <w:rsid w:val="00D0196A"/>
    <w:rsid w:val="00D0376D"/>
    <w:rsid w:val="00D13B7C"/>
    <w:rsid w:val="00D14317"/>
    <w:rsid w:val="00D1589D"/>
    <w:rsid w:val="00D1608F"/>
    <w:rsid w:val="00D348CC"/>
    <w:rsid w:val="00D4082F"/>
    <w:rsid w:val="00D532F9"/>
    <w:rsid w:val="00D54A5D"/>
    <w:rsid w:val="00D560AE"/>
    <w:rsid w:val="00D63888"/>
    <w:rsid w:val="00D64338"/>
    <w:rsid w:val="00D64AC2"/>
    <w:rsid w:val="00D66B45"/>
    <w:rsid w:val="00D803FD"/>
    <w:rsid w:val="00D8464B"/>
    <w:rsid w:val="00DA0D59"/>
    <w:rsid w:val="00DA0FB0"/>
    <w:rsid w:val="00DA3AA3"/>
    <w:rsid w:val="00DA3E9C"/>
    <w:rsid w:val="00DA50D3"/>
    <w:rsid w:val="00DB2238"/>
    <w:rsid w:val="00DB27E2"/>
    <w:rsid w:val="00DC5AB5"/>
    <w:rsid w:val="00DD1791"/>
    <w:rsid w:val="00DE5E15"/>
    <w:rsid w:val="00DF2CDF"/>
    <w:rsid w:val="00DF342B"/>
    <w:rsid w:val="00DF4E89"/>
    <w:rsid w:val="00DF6081"/>
    <w:rsid w:val="00E0065D"/>
    <w:rsid w:val="00E0220B"/>
    <w:rsid w:val="00E122B7"/>
    <w:rsid w:val="00E16C44"/>
    <w:rsid w:val="00E20FF4"/>
    <w:rsid w:val="00E213FD"/>
    <w:rsid w:val="00E258EF"/>
    <w:rsid w:val="00E317A9"/>
    <w:rsid w:val="00E32D8A"/>
    <w:rsid w:val="00E3581F"/>
    <w:rsid w:val="00E36065"/>
    <w:rsid w:val="00E3684D"/>
    <w:rsid w:val="00E40564"/>
    <w:rsid w:val="00E56AA5"/>
    <w:rsid w:val="00E605AE"/>
    <w:rsid w:val="00E62EE0"/>
    <w:rsid w:val="00E64925"/>
    <w:rsid w:val="00E64DF0"/>
    <w:rsid w:val="00E764C3"/>
    <w:rsid w:val="00E772E0"/>
    <w:rsid w:val="00E8357B"/>
    <w:rsid w:val="00E8359C"/>
    <w:rsid w:val="00E83F6E"/>
    <w:rsid w:val="00E86075"/>
    <w:rsid w:val="00E93A80"/>
    <w:rsid w:val="00E93FB7"/>
    <w:rsid w:val="00EA1C13"/>
    <w:rsid w:val="00EA1CCB"/>
    <w:rsid w:val="00EA1E8D"/>
    <w:rsid w:val="00EB1D74"/>
    <w:rsid w:val="00EB2B16"/>
    <w:rsid w:val="00EB6432"/>
    <w:rsid w:val="00EB6F54"/>
    <w:rsid w:val="00EC11D1"/>
    <w:rsid w:val="00EC68E5"/>
    <w:rsid w:val="00EC75EA"/>
    <w:rsid w:val="00ED5F2E"/>
    <w:rsid w:val="00ED6C4F"/>
    <w:rsid w:val="00EE257C"/>
    <w:rsid w:val="00EE4C9C"/>
    <w:rsid w:val="00EE644F"/>
    <w:rsid w:val="00EF1B65"/>
    <w:rsid w:val="00EF4013"/>
    <w:rsid w:val="00EF73A2"/>
    <w:rsid w:val="00F013B3"/>
    <w:rsid w:val="00F154EF"/>
    <w:rsid w:val="00F23E80"/>
    <w:rsid w:val="00F2429F"/>
    <w:rsid w:val="00F34339"/>
    <w:rsid w:val="00F420B6"/>
    <w:rsid w:val="00F430D3"/>
    <w:rsid w:val="00F445A3"/>
    <w:rsid w:val="00F473D5"/>
    <w:rsid w:val="00F526EE"/>
    <w:rsid w:val="00F52CC1"/>
    <w:rsid w:val="00F54EB2"/>
    <w:rsid w:val="00F57A1F"/>
    <w:rsid w:val="00F619E4"/>
    <w:rsid w:val="00F65862"/>
    <w:rsid w:val="00F7128C"/>
    <w:rsid w:val="00F810E9"/>
    <w:rsid w:val="00F81FD7"/>
    <w:rsid w:val="00FA03A5"/>
    <w:rsid w:val="00FA1706"/>
    <w:rsid w:val="00FA2F82"/>
    <w:rsid w:val="00FA37A2"/>
    <w:rsid w:val="00FA6EBD"/>
    <w:rsid w:val="00FB1357"/>
    <w:rsid w:val="00FB3471"/>
    <w:rsid w:val="00FC102B"/>
    <w:rsid w:val="00FC3B44"/>
    <w:rsid w:val="00FD1438"/>
    <w:rsid w:val="00FD341A"/>
    <w:rsid w:val="00FD7046"/>
    <w:rsid w:val="00FE3B34"/>
    <w:rsid w:val="00FF7F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9B9FC"/>
  <w15:docId w15:val="{358DF26D-884E-484E-9699-31E78F72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977873"/>
    <w:pPr>
      <w:tabs>
        <w:tab w:val="center" w:pos="4513"/>
        <w:tab w:val="right" w:pos="9026"/>
      </w:tabs>
      <w:spacing w:line="240" w:lineRule="auto"/>
    </w:pPr>
  </w:style>
  <w:style w:type="character" w:customStyle="1" w:styleId="HeaderChar">
    <w:name w:val="Header Char"/>
    <w:basedOn w:val="DefaultParagraphFont"/>
    <w:link w:val="Header"/>
    <w:uiPriority w:val="99"/>
    <w:rsid w:val="00977873"/>
    <w:rPr>
      <w:rFonts w:ascii="Verdana" w:hAnsi="Verdana"/>
      <w:color w:val="000000"/>
      <w:sz w:val="18"/>
      <w:szCs w:val="18"/>
    </w:rPr>
  </w:style>
  <w:style w:type="paragraph" w:styleId="Footer">
    <w:name w:val="footer"/>
    <w:basedOn w:val="Normal"/>
    <w:link w:val="FooterChar"/>
    <w:uiPriority w:val="99"/>
    <w:unhideWhenUsed/>
    <w:rsid w:val="00977873"/>
    <w:pPr>
      <w:tabs>
        <w:tab w:val="center" w:pos="4513"/>
        <w:tab w:val="right" w:pos="9026"/>
      </w:tabs>
      <w:spacing w:line="240" w:lineRule="auto"/>
    </w:pPr>
  </w:style>
  <w:style w:type="character" w:customStyle="1" w:styleId="FooterChar">
    <w:name w:val="Footer Char"/>
    <w:basedOn w:val="DefaultParagraphFont"/>
    <w:link w:val="Footer"/>
    <w:uiPriority w:val="99"/>
    <w:rsid w:val="00977873"/>
    <w:rPr>
      <w:rFonts w:ascii="Verdana" w:hAnsi="Verdana"/>
      <w:color w:val="000000"/>
      <w:sz w:val="18"/>
      <w:szCs w:val="18"/>
    </w:rPr>
  </w:style>
  <w:style w:type="paragraph" w:styleId="Revision">
    <w:name w:val="Revision"/>
    <w:hidden/>
    <w:uiPriority w:val="99"/>
    <w:semiHidden/>
    <w:rsid w:val="000E62C3"/>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E16C44"/>
    <w:pPr>
      <w:spacing w:line="240" w:lineRule="auto"/>
    </w:pPr>
    <w:rPr>
      <w:sz w:val="20"/>
      <w:szCs w:val="20"/>
    </w:rPr>
  </w:style>
  <w:style w:type="character" w:customStyle="1" w:styleId="FootnoteTextChar">
    <w:name w:val="Footnote Text Char"/>
    <w:basedOn w:val="DefaultParagraphFont"/>
    <w:link w:val="FootnoteText"/>
    <w:uiPriority w:val="99"/>
    <w:semiHidden/>
    <w:rsid w:val="00E16C44"/>
    <w:rPr>
      <w:rFonts w:ascii="Verdana" w:hAnsi="Verdana"/>
      <w:color w:val="000000"/>
    </w:rPr>
  </w:style>
  <w:style w:type="character" w:styleId="FootnoteReference">
    <w:name w:val="footnote reference"/>
    <w:basedOn w:val="DefaultParagraphFont"/>
    <w:uiPriority w:val="99"/>
    <w:semiHidden/>
    <w:unhideWhenUsed/>
    <w:rsid w:val="00E16C44"/>
    <w:rPr>
      <w:vertAlign w:val="superscript"/>
    </w:rPr>
  </w:style>
  <w:style w:type="character" w:styleId="CommentReference">
    <w:name w:val="annotation reference"/>
    <w:basedOn w:val="DefaultParagraphFont"/>
    <w:uiPriority w:val="99"/>
    <w:unhideWhenUsed/>
    <w:rsid w:val="000A2EF2"/>
    <w:rPr>
      <w:sz w:val="16"/>
      <w:szCs w:val="16"/>
    </w:rPr>
  </w:style>
  <w:style w:type="paragraph" w:styleId="CommentText">
    <w:name w:val="annotation text"/>
    <w:basedOn w:val="Normal"/>
    <w:link w:val="CommentTextChar"/>
    <w:uiPriority w:val="99"/>
    <w:unhideWhenUsed/>
    <w:rsid w:val="000A2EF2"/>
    <w:pPr>
      <w:spacing w:line="240" w:lineRule="auto"/>
    </w:pPr>
    <w:rPr>
      <w:sz w:val="20"/>
      <w:szCs w:val="20"/>
    </w:rPr>
  </w:style>
  <w:style w:type="character" w:customStyle="1" w:styleId="CommentTextChar">
    <w:name w:val="Comment Text Char"/>
    <w:basedOn w:val="DefaultParagraphFont"/>
    <w:link w:val="CommentText"/>
    <w:uiPriority w:val="99"/>
    <w:rsid w:val="000A2EF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A2EF2"/>
    <w:rPr>
      <w:b/>
      <w:bCs/>
    </w:rPr>
  </w:style>
  <w:style w:type="character" w:customStyle="1" w:styleId="CommentSubjectChar">
    <w:name w:val="Comment Subject Char"/>
    <w:basedOn w:val="CommentTextChar"/>
    <w:link w:val="CommentSubject"/>
    <w:uiPriority w:val="99"/>
    <w:semiHidden/>
    <w:rsid w:val="000A2EF2"/>
    <w:rPr>
      <w:rFonts w:ascii="Verdana" w:hAnsi="Verdana"/>
      <w:b/>
      <w:bCs/>
      <w:color w:val="000000"/>
    </w:rPr>
  </w:style>
  <w:style w:type="paragraph" w:customStyle="1" w:styleId="Citaat1">
    <w:name w:val="Citaat1"/>
    <w:basedOn w:val="Normal"/>
    <w:next w:val="Normal"/>
    <w:uiPriority w:val="98"/>
    <w:qFormat/>
    <w:rsid w:val="00B46EE5"/>
    <w:pPr>
      <w:spacing w:before="200" w:after="160"/>
      <w:ind w:left="861"/>
      <w:jc w:val="center"/>
    </w:pPr>
    <w:rPr>
      <w:i/>
      <w:color w:val="404040"/>
    </w:rPr>
  </w:style>
  <w:style w:type="paragraph" w:customStyle="1" w:styleId="Geenafstand1">
    <w:name w:val="Geen afstand1"/>
    <w:basedOn w:val="Normal"/>
    <w:next w:val="Normal"/>
    <w:uiPriority w:val="98"/>
    <w:qFormat/>
    <w:rsid w:val="00B46EE5"/>
    <w:pPr>
      <w:spacing w:line="180" w:lineRule="exact"/>
    </w:pPr>
  </w:style>
  <w:style w:type="paragraph" w:customStyle="1" w:styleId="Intensievebenadrukking1">
    <w:name w:val="Intensieve benadrukking1"/>
    <w:basedOn w:val="Normal"/>
    <w:next w:val="Normal"/>
    <w:uiPriority w:val="98"/>
    <w:qFormat/>
    <w:rsid w:val="00B46EE5"/>
    <w:rPr>
      <w:i/>
      <w:color w:val="4F81BD"/>
    </w:rPr>
  </w:style>
  <w:style w:type="paragraph" w:customStyle="1" w:styleId="Intensieveverwijzing1">
    <w:name w:val="Intensieve verwijzing1"/>
    <w:basedOn w:val="Normal"/>
    <w:next w:val="Normal"/>
    <w:uiPriority w:val="98"/>
    <w:qFormat/>
    <w:rsid w:val="00B46EE5"/>
    <w:rPr>
      <w:b/>
      <w:smallCaps/>
      <w:color w:val="4F81BD"/>
      <w:spacing w:val="5"/>
    </w:rPr>
  </w:style>
  <w:style w:type="paragraph" w:customStyle="1" w:styleId="Kop11">
    <w:name w:val="Kop 11"/>
    <w:basedOn w:val="Normal"/>
    <w:next w:val="Normal"/>
    <w:qFormat/>
    <w:rsid w:val="00B46EE5"/>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B46EE5"/>
    <w:pPr>
      <w:tabs>
        <w:tab w:val="left" w:pos="0"/>
      </w:tabs>
      <w:spacing w:before="240"/>
    </w:pPr>
    <w:rPr>
      <w:i/>
    </w:rPr>
  </w:style>
  <w:style w:type="paragraph" w:customStyle="1" w:styleId="Kop31">
    <w:name w:val="Kop 31"/>
    <w:basedOn w:val="Normal"/>
    <w:next w:val="Normal"/>
    <w:uiPriority w:val="2"/>
    <w:qFormat/>
    <w:rsid w:val="00B46EE5"/>
    <w:pPr>
      <w:tabs>
        <w:tab w:val="left" w:pos="0"/>
      </w:tabs>
      <w:spacing w:before="240"/>
      <w:ind w:left="-1120"/>
    </w:pPr>
  </w:style>
  <w:style w:type="paragraph" w:customStyle="1" w:styleId="Kop41">
    <w:name w:val="Kop 41"/>
    <w:basedOn w:val="Normal"/>
    <w:next w:val="Normal"/>
    <w:uiPriority w:val="3"/>
    <w:qFormat/>
    <w:rsid w:val="00B46EE5"/>
    <w:pPr>
      <w:tabs>
        <w:tab w:val="left" w:pos="0"/>
      </w:tabs>
      <w:spacing w:before="240"/>
      <w:ind w:left="-1120"/>
    </w:pPr>
  </w:style>
  <w:style w:type="paragraph" w:customStyle="1" w:styleId="Kop51">
    <w:name w:val="Kop 51"/>
    <w:basedOn w:val="Normal"/>
    <w:next w:val="Normal"/>
    <w:rsid w:val="00B46EE5"/>
    <w:pPr>
      <w:spacing w:line="320" w:lineRule="exact"/>
    </w:pPr>
    <w:rPr>
      <w:sz w:val="24"/>
      <w:szCs w:val="24"/>
    </w:rPr>
  </w:style>
  <w:style w:type="paragraph" w:customStyle="1" w:styleId="Ondertitel1">
    <w:name w:val="Ondertitel1"/>
    <w:basedOn w:val="Normal"/>
    <w:next w:val="Normal"/>
    <w:uiPriority w:val="8"/>
    <w:qFormat/>
    <w:rsid w:val="00B46EE5"/>
    <w:pPr>
      <w:spacing w:line="320" w:lineRule="atLeast"/>
    </w:pPr>
    <w:rPr>
      <w:sz w:val="24"/>
      <w:szCs w:val="24"/>
    </w:rPr>
  </w:style>
  <w:style w:type="paragraph" w:customStyle="1" w:styleId="Subtielebenadrukking1">
    <w:name w:val="Subtiele benadrukking1"/>
    <w:basedOn w:val="Normal"/>
    <w:next w:val="Normal"/>
    <w:uiPriority w:val="98"/>
    <w:qFormat/>
    <w:rsid w:val="00B46EE5"/>
    <w:rPr>
      <w:i/>
      <w:color w:val="404040"/>
    </w:rPr>
  </w:style>
  <w:style w:type="paragraph" w:customStyle="1" w:styleId="Subtieleverwijzing1">
    <w:name w:val="Subtiele verwijzing1"/>
    <w:basedOn w:val="Normal"/>
    <w:next w:val="Normal"/>
    <w:uiPriority w:val="98"/>
    <w:qFormat/>
    <w:rsid w:val="00B46EE5"/>
    <w:rPr>
      <w:smallCaps/>
      <w:color w:val="404040"/>
    </w:rPr>
  </w:style>
  <w:style w:type="table" w:customStyle="1" w:styleId="Tabelraster1">
    <w:name w:val="Tabelraster1"/>
    <w:rsid w:val="00B46EE5"/>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B46EE5"/>
    <w:pPr>
      <w:spacing w:line="320" w:lineRule="atLeast"/>
    </w:pPr>
    <w:rPr>
      <w:b/>
      <w:sz w:val="24"/>
      <w:szCs w:val="24"/>
    </w:rPr>
  </w:style>
  <w:style w:type="paragraph" w:customStyle="1" w:styleId="Titelvanboek1">
    <w:name w:val="Titel van boek1"/>
    <w:basedOn w:val="Normal"/>
    <w:next w:val="Normal"/>
    <w:uiPriority w:val="98"/>
    <w:qFormat/>
    <w:rsid w:val="00B46EE5"/>
    <w:rPr>
      <w:b/>
      <w:i/>
      <w:spacing w:val="5"/>
    </w:rPr>
  </w:style>
  <w:style w:type="character" w:styleId="UnresolvedMention">
    <w:name w:val="Unresolved Mention"/>
    <w:basedOn w:val="DefaultParagraphFont"/>
    <w:uiPriority w:val="99"/>
    <w:semiHidden/>
    <w:unhideWhenUsed/>
    <w:rsid w:val="002F6EE0"/>
    <w:rPr>
      <w:color w:val="605E5C"/>
      <w:shd w:val="clear" w:color="auto" w:fill="E1DFDD"/>
    </w:rPr>
  </w:style>
  <w:style w:type="character" w:styleId="FollowedHyperlink">
    <w:name w:val="FollowedHyperlink"/>
    <w:basedOn w:val="DefaultParagraphFont"/>
    <w:uiPriority w:val="99"/>
    <w:semiHidden/>
    <w:unhideWhenUsed/>
    <w:rsid w:val="00250E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755945">
      <w:bodyDiv w:val="1"/>
      <w:marLeft w:val="0"/>
      <w:marRight w:val="0"/>
      <w:marTop w:val="0"/>
      <w:marBottom w:val="0"/>
      <w:divBdr>
        <w:top w:val="none" w:sz="0" w:space="0" w:color="auto"/>
        <w:left w:val="none" w:sz="0" w:space="0" w:color="auto"/>
        <w:bottom w:val="none" w:sz="0" w:space="0" w:color="auto"/>
        <w:right w:val="none" w:sz="0" w:space="0" w:color="auto"/>
      </w:divBdr>
    </w:div>
    <w:div w:id="1892813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gevingskalender.overheid.nl/regeling/WGK028298/"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1031</ap:Words>
  <ap:Characters>5672</ap:Characters>
  <ap:DocSecurity>0</ap:DocSecurity>
  <ap:Lines>47</ap:Lines>
  <ap:Paragraphs>13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Tijdelijk sanctiebesluit onrechtmatige nederzettingen in de door Israël bezette gebieden</vt:lpstr>
      <vt:lpstr>Tijdelijk sanctiebesluit onrechtmatige nederzettingen in de door Israël bezette gebieden</vt:lpstr>
    </vt:vector>
  </ap:TitlesOfParts>
  <ap:LinksUpToDate>false</ap:LinksUpToDate>
  <ap:CharactersWithSpaces>6690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2026-05-12T08:55:00.0000000Z</lastPrinted>
  <dcterms:created xsi:type="dcterms:W3CDTF">2026-05-22T07:56:00.0000000Z</dcterms:created>
  <dcterms:modified xsi:type="dcterms:W3CDTF">2026-05-22T07:56:00.0000000Z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4613e73c-710c-48f5-bcd5-7da338935df2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DossierProcessLocation">
    <vt:lpwstr/>
  </property>
  <property fmtid="{D5CDD505-2E9C-101B-9397-08002B2CF9AE}" pid="9" name="BZDossierGovernmentOfficial">
    <vt:lpwstr/>
  </property>
  <property fmtid="{D5CDD505-2E9C-101B-9397-08002B2CF9AE}" pid="10" name="BZMarking">
    <vt:lpwstr>5;#NO MARKING|0a4eb9ae-69eb-4d9e-b573-43ab99ef8592</vt:lpwstr>
  </property>
  <property fmtid="{D5CDD505-2E9C-101B-9397-08002B2CF9AE}" pid="11" name="f2fb2a8e39404f1ab554e4e4a49d2918">
    <vt:lpwstr/>
  </property>
  <property fmtid="{D5CDD505-2E9C-101B-9397-08002B2CF9AE}" pid="12" name="BZDossierPublishingWOOCategory">
    <vt:lpwstr/>
  </property>
  <property fmtid="{D5CDD505-2E9C-101B-9397-08002B2CF9AE}" pid="13" name="i42ef48d5fa942a0ad0d60e44f201751">
    <vt:lpwstr/>
  </property>
  <property fmtid="{D5CDD505-2E9C-101B-9397-08002B2CF9AE}" pid="14" name="BZClassification">
    <vt:lpwstr>37;#NLD RESTRICTED (NLD-R)|54a65c48-f92b-4d74-bc06-5cce37537635</vt:lpwstr>
  </property>
  <property fmtid="{D5CDD505-2E9C-101B-9397-08002B2CF9AE}" pid="15" name="f8e003236e1c4ac2ab9051d5d8789bbb">
    <vt:lpwstr/>
  </property>
  <property fmtid="{D5CDD505-2E9C-101B-9397-08002B2CF9AE}" pid="16" name="p29721a54a5c4bbe9786e930fc91e270">
    <vt:lpwstr/>
  </property>
  <property fmtid="{D5CDD505-2E9C-101B-9397-08002B2CF9AE}" pid="17" name="ed9282a3f18446ec8c17c7829edf82dd">
    <vt:lpwstr/>
  </property>
  <property fmtid="{D5CDD505-2E9C-101B-9397-08002B2CF9AE}" pid="18" name="e256f556a7b748329ab47889947c7d40">
    <vt:lpwstr/>
  </property>
  <property fmtid="{D5CDD505-2E9C-101B-9397-08002B2CF9AE}" pid="19" name="BZDossierProcessType">
    <vt:lpwstr/>
  </property>
  <property fmtid="{D5CDD505-2E9C-101B-9397-08002B2CF9AE}" pid="20" name="BZDossierBudgetManager">
    <vt:lpwstr/>
  </property>
  <property fmtid="{D5CDD505-2E9C-101B-9397-08002B2CF9AE}" pid="21" name="BZDossierSendTo">
    <vt:lpwstr/>
  </property>
  <property fmtid="{D5CDD505-2E9C-101B-9397-08002B2CF9AE}" pid="22" name="BZCountryState">
    <vt:lpwstr>3;#Not applicable|ec01d90b-9d0f-4785-8785-e1ea615196bf</vt:lpwstr>
  </property>
  <property fmtid="{D5CDD505-2E9C-101B-9397-08002B2CF9AE}" pid="23" name="_docset_NoMedatataSyncRequired">
    <vt:lpwstr>False</vt:lpwstr>
  </property>
  <property fmtid="{D5CDD505-2E9C-101B-9397-08002B2CF9AE}" pid="24" name="BZDossierTemplate">
    <vt:lpwstr>ReguliereKamerbrief</vt:lpwstr>
  </property>
</Properties>
</file>