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B6D" w:rsidP="00A47B6D" w:rsidRDefault="00A47B6D" w14:paraId="1B04535A" w14:textId="78FEBF38">
      <w:pPr>
        <w:rPr>
          <w:rStyle w:val="Zwaar"/>
          <w:b w:val="0"/>
          <w:bCs w:val="0"/>
        </w:rPr>
      </w:pPr>
      <w:r>
        <w:rPr>
          <w:rStyle w:val="Zwaar"/>
          <w:b w:val="0"/>
          <w:bCs w:val="0"/>
        </w:rPr>
        <w:t>AH 1991</w:t>
      </w:r>
    </w:p>
    <w:p w:rsidR="00A47B6D" w:rsidP="00A47B6D" w:rsidRDefault="00A47B6D" w14:paraId="305EF348" w14:textId="63F6EB76">
      <w:pPr>
        <w:rPr>
          <w:rStyle w:val="Zwaar"/>
          <w:b w:val="0"/>
          <w:bCs w:val="0"/>
        </w:rPr>
      </w:pPr>
      <w:r>
        <w:rPr>
          <w:rStyle w:val="Zwaar"/>
          <w:b w:val="0"/>
          <w:bCs w:val="0"/>
        </w:rPr>
        <w:t>2026Z07153</w:t>
      </w:r>
    </w:p>
    <w:p w:rsidR="00A47B6D" w:rsidP="00A47B6D" w:rsidRDefault="00A47B6D" w14:paraId="1AFADA5C" w14:textId="4FD9700A">
      <w:pPr>
        <w:rPr>
          <w:rStyle w:val="Zwaar"/>
          <w:b w:val="0"/>
          <w:bCs w:val="0"/>
        </w:rPr>
      </w:pPr>
      <w:r w:rsidRPr="00A47B6D">
        <w:rPr>
          <w:rStyle w:val="Zwaar"/>
          <w:b w:val="0"/>
          <w:bCs w:val="0"/>
          <w:sz w:val="24"/>
          <w:szCs w:val="24"/>
        </w:rPr>
        <w:t xml:space="preserve">Antwoord van minister Van Veldhoven-van der Meer (Klimaat en Groene Groei) (ontvangen </w:t>
      </w:r>
      <w:r>
        <w:rPr>
          <w:rStyle w:val="Zwaar"/>
          <w:b w:val="0"/>
          <w:bCs w:val="0"/>
          <w:sz w:val="24"/>
          <w:szCs w:val="24"/>
        </w:rPr>
        <w:t xml:space="preserve"> 22 mei 2026)</w:t>
      </w:r>
    </w:p>
    <w:p w:rsidR="00A47B6D" w:rsidP="00A47B6D" w:rsidRDefault="00A47B6D" w14:paraId="56D7DFD5" w14:textId="77777777">
      <w:pPr>
        <w:rPr>
          <w:rStyle w:val="Zwaar"/>
          <w:b w:val="0"/>
          <w:bCs w:val="0"/>
        </w:rPr>
      </w:pPr>
    </w:p>
    <w:p w:rsidR="00A47B6D" w:rsidP="00A47B6D" w:rsidRDefault="00A47B6D" w14:paraId="115E6B02" w14:textId="032F9B26">
      <w:pPr>
        <w:rPr>
          <w:rStyle w:val="Zwaar"/>
          <w:b w:val="0"/>
          <w:bCs w:val="0"/>
        </w:rPr>
      </w:pPr>
      <w:r w:rsidRPr="00A47B6D">
        <w:rPr>
          <w:rStyle w:val="Zwaar"/>
          <w:b w:val="0"/>
          <w:bCs w:val="0"/>
          <w:color w:val="000000"/>
          <w:sz w:val="24"/>
          <w:szCs w:val="24"/>
        </w:rPr>
        <w:t xml:space="preserve">Zie ook Aanhangsel Handelingen, vergaderjaar 2025-2026, nr. </w:t>
      </w:r>
      <w:r>
        <w:rPr>
          <w:rStyle w:val="Zwaar"/>
          <w:b w:val="0"/>
          <w:bCs w:val="0"/>
        </w:rPr>
        <w:t>1805</w:t>
      </w:r>
    </w:p>
    <w:p w:rsidRPr="003F6F84" w:rsidR="00A47B6D" w:rsidP="00A47B6D" w:rsidRDefault="00A47B6D" w14:paraId="0FFE6171" w14:textId="77777777">
      <w:r w:rsidRPr="006B7A36">
        <w:rPr>
          <w:rStyle w:val="Zwaar"/>
          <w:b w:val="0"/>
          <w:bCs w:val="0"/>
        </w:rPr>
        <w:t>1</w:t>
      </w:r>
      <w:r>
        <w:rPr>
          <w:rStyle w:val="Zwaar"/>
          <w:bCs w:val="0"/>
        </w:rPr>
        <w:br/>
      </w:r>
      <w:r w:rsidRPr="003F6F84">
        <w:t>Kunt u aangeven hoe het tijdspad eruitziet voor het invoeren van de capaciteitsmarkt voor de leveringszekerheid van elektriciteit, zoals afgesproken in het coalitieakkoord? Welke concrete stappen moeten nog worden gezet en binnen welke termijn verwacht u dat het capaciteitsmechanisme operationeel kan zijn? </w:t>
      </w:r>
    </w:p>
    <w:p w:rsidR="00A47B6D" w:rsidP="00A47B6D" w:rsidRDefault="00A47B6D" w14:paraId="2CECD2F1" w14:textId="77777777">
      <w:pPr>
        <w:rPr>
          <w:rStyle w:val="Zwaar"/>
          <w:b w:val="0"/>
          <w:bCs w:val="0"/>
        </w:rPr>
      </w:pPr>
    </w:p>
    <w:p w:rsidRPr="006B7A36" w:rsidR="00A47B6D" w:rsidP="00A47B6D" w:rsidRDefault="00A47B6D" w14:paraId="14652572" w14:textId="77777777">
      <w:pPr>
        <w:rPr>
          <w:b/>
          <w:bCs/>
        </w:rPr>
      </w:pPr>
      <w:r w:rsidRPr="006B7A36">
        <w:rPr>
          <w:rStyle w:val="Zwaar"/>
          <w:b w:val="0"/>
          <w:bCs w:val="0"/>
        </w:rPr>
        <w:t>Antwoord</w:t>
      </w:r>
    </w:p>
    <w:p w:rsidR="00A47B6D" w:rsidP="00A47B6D" w:rsidRDefault="00A47B6D" w14:paraId="075A3B3E" w14:textId="77777777">
      <w:r>
        <w:t xml:space="preserve">Zoals in het coalitieakkoord is opgenomen, zet het kabinet in op een capaciteitsmarkt om de voorzieningszekerheid van elektriciteit te borgen. Op dit moment werkt het kabinet aan de uitwerking van het tijdspad en de benodigde stappen hiervoor. Het </w:t>
      </w:r>
      <w:r w:rsidRPr="00096E15">
        <w:t xml:space="preserve">kabinet </w:t>
      </w:r>
      <w:r w:rsidRPr="00CB2C25">
        <w:t xml:space="preserve">beoogt </w:t>
      </w:r>
      <w:r w:rsidRPr="00096E15">
        <w:t>voor de</w:t>
      </w:r>
      <w:r>
        <w:t xml:space="preserve"> zomer een brief over voorzieningszekerheid van elektriciteit naar uw Kamer te sturen. In deze brief zal nader worden ingegaan op het tijdspad en de benodigde concrete stappen.  </w:t>
      </w:r>
    </w:p>
    <w:p w:rsidR="00A47B6D" w:rsidP="00A47B6D" w:rsidRDefault="00A47B6D" w14:paraId="2B9F6F2C" w14:textId="77777777"/>
    <w:p w:rsidR="00A47B6D" w:rsidP="00A47B6D" w:rsidRDefault="00A47B6D" w14:paraId="1E78C6EC" w14:textId="77777777">
      <w:r>
        <w:t>2</w:t>
      </w:r>
    </w:p>
    <w:p w:rsidR="00A47B6D" w:rsidP="00A47B6D" w:rsidRDefault="00A47B6D" w14:paraId="1A7420B5" w14:textId="77777777">
      <w:r w:rsidRPr="003F6F84">
        <w:t>Op welke manier wordt bij het ontwerp van het capaciteitsmechanisme rekening gehouden met de voorschriften uit Verordening (EU) 2019/943, met name ten aanzien van de CO₂-emissienormen voor elektriciteitscentrales uit artikel 22 lid 4?</w:t>
      </w:r>
    </w:p>
    <w:p w:rsidR="00A47B6D" w:rsidP="00A47B6D" w:rsidRDefault="00A47B6D" w14:paraId="7417727A" w14:textId="77777777"/>
    <w:p w:rsidR="00A47B6D" w:rsidP="00A47B6D" w:rsidRDefault="00A47B6D" w14:paraId="428FB166" w14:textId="77777777">
      <w:r>
        <w:t>Antwoord</w:t>
      </w:r>
    </w:p>
    <w:p w:rsidR="00A47B6D" w:rsidP="00A47B6D" w:rsidRDefault="00A47B6D" w14:paraId="1D95724B" w14:textId="77777777">
      <w:r>
        <w:t xml:space="preserve">Het kabinet bekijkt momenteel hoe de afspraak uit het coalitieakkoord over introductie van een capaciteitsmarkt het beste kan worden vorm gegeven. Hierbij wordt rekening gehouden met de CO2-emissienormen voor elektriciteitscentrales en andere voorschriften uit Verordening (EU) 2019/943. In de eerdergenoemde brief over het capaciteitsmechanisme zal dit onderdeel worden toegelicht. </w:t>
      </w:r>
    </w:p>
    <w:p w:rsidR="00A47B6D" w:rsidP="00A47B6D" w:rsidRDefault="00A47B6D" w14:paraId="094E71BA" w14:textId="77777777">
      <w:r>
        <w:br/>
        <w:t>3</w:t>
      </w:r>
    </w:p>
    <w:p w:rsidR="00A47B6D" w:rsidP="00A47B6D" w:rsidRDefault="00A47B6D" w14:paraId="216DB52E" w14:textId="77777777">
      <w:r w:rsidRPr="003F6F84">
        <w:t xml:space="preserve">Klopt het dat deze verordening voorschrijft dat energiecentrales alleen mogen deelnemen aan een capaciteitsmechanisme indien zij minder dan 550 g CO₂ per </w:t>
      </w:r>
      <w:r w:rsidRPr="003F6F84">
        <w:lastRenderedPageBreak/>
        <w:t>kWh uitstoten en gemiddeld minder dan 350 kg CO₂ per kW geïnstalleerd vermogen per jaar?</w:t>
      </w:r>
    </w:p>
    <w:p w:rsidR="00A47B6D" w:rsidP="00A47B6D" w:rsidRDefault="00A47B6D" w14:paraId="08CC5991" w14:textId="77777777"/>
    <w:p w:rsidR="00A47B6D" w:rsidP="00A47B6D" w:rsidRDefault="00A47B6D" w14:paraId="2294B777" w14:textId="77777777">
      <w:r>
        <w:t>Antwoord</w:t>
      </w:r>
    </w:p>
    <w:p w:rsidR="00A47B6D" w:rsidP="00A47B6D" w:rsidRDefault="00A47B6D" w14:paraId="3E4F1504" w14:textId="77777777">
      <w:r>
        <w:t>Ja. Of cumulatief aan beide voorwaarden moet worden voldaan zal worden nagevraagd in gesprekken met de Europese Commissie tijdens</w:t>
      </w:r>
      <w:r w:rsidRPr="00AE6A71">
        <w:t xml:space="preserve"> de verdere uitwerking</w:t>
      </w:r>
      <w:r>
        <w:t xml:space="preserve"> van het capaciteitsmechanisme.</w:t>
      </w:r>
    </w:p>
    <w:p w:rsidR="00A47B6D" w:rsidP="00A47B6D" w:rsidRDefault="00A47B6D" w14:paraId="7AE60A8C" w14:textId="77777777"/>
    <w:p w:rsidR="00A47B6D" w:rsidP="00A47B6D" w:rsidRDefault="00A47B6D" w14:paraId="662FA3BA" w14:textId="77777777">
      <w:r>
        <w:t>4</w:t>
      </w:r>
    </w:p>
    <w:p w:rsidR="00A47B6D" w:rsidP="00A47B6D" w:rsidRDefault="00A47B6D" w14:paraId="4CA914F9" w14:textId="77777777">
      <w:r w:rsidRPr="003F6F84">
        <w:t>Kunt u bevestigen dat het kabinet bij de verdere vormgeving van aanvullend beleid voor leveringszekerheid van elektriciteit blijft streven naar de beste balans tussen maatschappelijke kosten en baten, zoals eerder aangegeven in Kamerstuk 29 023, nr. 570?</w:t>
      </w:r>
    </w:p>
    <w:p w:rsidR="00A47B6D" w:rsidP="00A47B6D" w:rsidRDefault="00A47B6D" w14:paraId="0D967EB5" w14:textId="77777777"/>
    <w:p w:rsidRPr="003F6F84" w:rsidR="00A47B6D" w:rsidP="00A47B6D" w:rsidRDefault="00A47B6D" w14:paraId="6187AEF5" w14:textId="77777777">
      <w:r w:rsidRPr="003F6F84">
        <w:t>Antwoord</w:t>
      </w:r>
      <w:r>
        <w:t xml:space="preserve"> </w:t>
      </w:r>
    </w:p>
    <w:p w:rsidRPr="003F6F84" w:rsidR="00A47B6D" w:rsidP="00A47B6D" w:rsidRDefault="00A47B6D" w14:paraId="2D4FD89A" w14:textId="77777777">
      <w:r>
        <w:t xml:space="preserve">Ja, dat kan ik bevestigen. </w:t>
      </w:r>
    </w:p>
    <w:p w:rsidR="00A47B6D" w:rsidP="00A47B6D" w:rsidRDefault="00A47B6D" w14:paraId="6B355F7D" w14:textId="77777777"/>
    <w:p w:rsidR="00A47B6D" w:rsidP="00A47B6D" w:rsidRDefault="00A47B6D" w14:paraId="799D2C8D" w14:textId="77777777">
      <w:r>
        <w:t>5</w:t>
      </w:r>
    </w:p>
    <w:p w:rsidRPr="003F6F84" w:rsidR="00A47B6D" w:rsidP="00A47B6D" w:rsidRDefault="00A47B6D" w14:paraId="1DC31E07" w14:textId="77777777">
      <w:r w:rsidRPr="003F6F84">
        <w:t>In hoeverre zal er bij de inrichting van de capaciteitsmarkt aansluiting worden gezocht bij hoe een dergelijk mechanisme in ons omringende landen zoals België al is ingericht? </w:t>
      </w:r>
    </w:p>
    <w:p w:rsidRPr="003F6F84" w:rsidR="00A47B6D" w:rsidP="00A47B6D" w:rsidRDefault="00A47B6D" w14:paraId="6163AF4F" w14:textId="77777777">
      <w:r w:rsidRPr="003F6F84">
        <w:t>Antwoord</w:t>
      </w:r>
      <w:r>
        <w:t xml:space="preserve"> </w:t>
      </w:r>
    </w:p>
    <w:p w:rsidR="00A47B6D" w:rsidP="00A47B6D" w:rsidRDefault="00A47B6D" w14:paraId="48494F74" w14:textId="77777777">
      <w:r w:rsidRPr="003F6F84">
        <w:t xml:space="preserve">Het </w:t>
      </w:r>
      <w:r>
        <w:t>k</w:t>
      </w:r>
      <w:r w:rsidRPr="003F6F84">
        <w:t>abinet vindt het belangrijk om de ontwikkelingen van omringende landen</w:t>
      </w:r>
      <w:r>
        <w:t xml:space="preserve"> </w:t>
      </w:r>
      <w:r w:rsidRPr="003F6F84">
        <w:t>zoals België aandachtig te volgen, zoals ook benadrukt in de Kamerbrief van mei 2025</w:t>
      </w:r>
      <w:r>
        <w:rPr>
          <w:rStyle w:val="Voetnootmarkering"/>
        </w:rPr>
        <w:footnoteReference w:id="1"/>
      </w:r>
      <w:r w:rsidRPr="003F6F84">
        <w:t>. De concrete inrichting van een capaciteitsmarkt en keuzes die daaruit voortvloeien</w:t>
      </w:r>
      <w:r>
        <w:t xml:space="preserve">, </w:t>
      </w:r>
      <w:r w:rsidRPr="003F6F84">
        <w:t>worden momenteel uitgewerkt en zullen worden toegelicht in de</w:t>
      </w:r>
      <w:r>
        <w:t xml:space="preserve"> aanstaande</w:t>
      </w:r>
      <w:r w:rsidRPr="003F6F84">
        <w:t xml:space="preserve"> Kamerbrief</w:t>
      </w:r>
      <w:r>
        <w:t xml:space="preserve">. </w:t>
      </w:r>
    </w:p>
    <w:p w:rsidR="00A47B6D" w:rsidP="00A47B6D" w:rsidRDefault="00A47B6D" w14:paraId="3F79E23E" w14:textId="77777777"/>
    <w:p w:rsidR="00A47B6D" w:rsidP="00A47B6D" w:rsidRDefault="00A47B6D" w14:paraId="41E93AD7" w14:textId="77777777">
      <w:r w:rsidRPr="003F6F84">
        <w:t>6</w:t>
      </w:r>
    </w:p>
    <w:p w:rsidRPr="003F6F84" w:rsidR="00A47B6D" w:rsidP="00A47B6D" w:rsidRDefault="00A47B6D" w14:paraId="2B832D89" w14:textId="77777777">
      <w:r w:rsidRPr="003F6F84">
        <w:t>Welke mogelijkheden ziet u om bij de verdere uitwerking van een capaciteitsmechanisme rekening te houden met de rol van bestaande kolencentrales in de voorzieningszekerheid van elektriciteit, zoals dat o.a. ook in België is gedaan? </w:t>
      </w:r>
    </w:p>
    <w:p w:rsidRPr="003F6F84" w:rsidR="00A47B6D" w:rsidP="00A47B6D" w:rsidRDefault="00A47B6D" w14:paraId="6276BC08" w14:textId="77777777">
      <w:r w:rsidRPr="003F6F84">
        <w:lastRenderedPageBreak/>
        <w:t> </w:t>
      </w:r>
    </w:p>
    <w:p w:rsidR="00A47B6D" w:rsidP="00A47B6D" w:rsidRDefault="00A47B6D" w14:paraId="001861E4" w14:textId="77777777">
      <w:r w:rsidRPr="003F6F84">
        <w:t>7</w:t>
      </w:r>
    </w:p>
    <w:p w:rsidRPr="003F6F84" w:rsidR="00A47B6D" w:rsidP="00A47B6D" w:rsidRDefault="00A47B6D" w14:paraId="42701948" w14:textId="77777777">
      <w:r w:rsidRPr="003F6F84">
        <w:t>Hoe beoordeelt u de mogelijkheid om het capaciteitsmechanisme zo in te richten dat deze centrales alleen in aanmerking komen voor deelname aan een capaciteitsmechanisme indien zij voldoen aan strenge emissie-eisen zoals die uit de genoemde Europese Verordening, waarmee een in aanmerking komende</w:t>
      </w:r>
      <w:r>
        <w:t xml:space="preserve"> </w:t>
      </w:r>
      <w:r w:rsidRPr="003F6F84">
        <w:t>centrale minstens zo schoon dient te zijn als het uitstootniveau van een gascentrale? </w:t>
      </w:r>
    </w:p>
    <w:p w:rsidRPr="003F6F84" w:rsidR="00A47B6D" w:rsidP="00A47B6D" w:rsidRDefault="00A47B6D" w14:paraId="6186B480" w14:textId="77777777">
      <w:r w:rsidRPr="003F6F84">
        <w:t> </w:t>
      </w:r>
    </w:p>
    <w:p w:rsidRPr="003F6F84" w:rsidR="00A47B6D" w:rsidP="00A47B6D" w:rsidRDefault="00A47B6D" w14:paraId="07C775B5" w14:textId="77777777">
      <w:r w:rsidRPr="003F6F84">
        <w:t>Antwoord op vraag 6 en 7</w:t>
      </w:r>
      <w:r>
        <w:t xml:space="preserve"> </w:t>
      </w:r>
    </w:p>
    <w:p w:rsidR="00A47B6D" w:rsidP="00A47B6D" w:rsidRDefault="00A47B6D" w14:paraId="09FB671D" w14:textId="77777777">
      <w:r w:rsidRPr="003F6F84">
        <w:t>Volgens Europese verduurzamingseisen als onderdeel van de staatssteunregels waaraan een capaciteitsmechanisme moet voldoen, zijn volledig kolengestookte centrales uitgesloten van deelname aan d</w:t>
      </w:r>
      <w:r>
        <w:t>it mechanism</w:t>
      </w:r>
      <w:r w:rsidRPr="003F6F84">
        <w:t>e. Deze verordening geldt voor alle lidstaten waardoor volledig kolengestookte centrales geen onderdeel</w:t>
      </w:r>
      <w:r>
        <w:t xml:space="preserve"> </w:t>
      </w:r>
      <w:r w:rsidRPr="003F6F84">
        <w:t>van</w:t>
      </w:r>
      <w:r>
        <w:t xml:space="preserve"> </w:t>
      </w:r>
      <w:r w:rsidRPr="003F6F84">
        <w:t>het Belgische capaciteitsmechanisme zijn, of kunnen worden van een Nederlands</w:t>
      </w:r>
      <w:r>
        <w:t xml:space="preserve"> </w:t>
      </w:r>
      <w:r w:rsidRPr="003F6F84">
        <w:t>capaciteitsmechanisme.</w:t>
      </w:r>
      <w:r>
        <w:t xml:space="preserve"> </w:t>
      </w:r>
    </w:p>
    <w:p w:rsidR="00A47B6D" w:rsidP="00A47B6D" w:rsidRDefault="00A47B6D" w14:paraId="0CAF8C85" w14:textId="77777777"/>
    <w:p w:rsidRPr="003F6F84" w:rsidR="00A47B6D" w:rsidP="00A47B6D" w:rsidRDefault="00A47B6D" w14:paraId="45AE7AA5" w14:textId="77777777">
      <w:r w:rsidRPr="003F6F84">
        <w:t>Wel zijn andere vormen van regelbaar vermogen, zoals gas</w:t>
      </w:r>
      <w:r>
        <w:t>-</w:t>
      </w:r>
      <w:r w:rsidRPr="003F6F84">
        <w:t xml:space="preserve">, waterstof- en biomassacentrales toegestaan. Gelet op de Europese verduurzamingseisen en </w:t>
      </w:r>
      <w:r>
        <w:t xml:space="preserve">het beginsel </w:t>
      </w:r>
      <w:r w:rsidRPr="003F6F84">
        <w:t>van techn</w:t>
      </w:r>
      <w:r>
        <w:t>ologie</w:t>
      </w:r>
      <w:r w:rsidRPr="003F6F84">
        <w:t>neutraliteit, kunnen kolencentrales deelnemen aan het capaciteitsmechanisme indien zij voldoen aan de CO2-eisen</w:t>
      </w:r>
      <w:r>
        <w:t xml:space="preserve">. Dit kan </w:t>
      </w:r>
      <w:r w:rsidRPr="003F6F84">
        <w:t>door bijvoorbeeld</w:t>
      </w:r>
      <w:r>
        <w:t xml:space="preserve"> </w:t>
      </w:r>
      <w:r w:rsidRPr="003F6F84">
        <w:t>gebruik te maken van een andere brandstof</w:t>
      </w:r>
      <w:r>
        <w:t xml:space="preserve"> zoals </w:t>
      </w:r>
      <w:r w:rsidRPr="003F6F84">
        <w:t>biomassa. </w:t>
      </w:r>
      <w:r>
        <w:t xml:space="preserve"> </w:t>
      </w:r>
    </w:p>
    <w:p w:rsidR="00A47B6D" w:rsidP="00A47B6D" w:rsidRDefault="00A47B6D" w14:paraId="51A3EBD9" w14:textId="77777777">
      <w:r w:rsidRPr="003F6F84">
        <w:t> </w:t>
      </w:r>
    </w:p>
    <w:p w:rsidR="00A47B6D" w:rsidP="00A47B6D" w:rsidRDefault="00A47B6D" w14:paraId="189BD0DB" w14:textId="77777777">
      <w:r w:rsidRPr="003F6F84">
        <w:t>8</w:t>
      </w:r>
    </w:p>
    <w:p w:rsidRPr="003F6F84" w:rsidR="00A47B6D" w:rsidP="00A47B6D" w:rsidRDefault="00A47B6D" w14:paraId="2CA8200D" w14:textId="77777777">
      <w:r w:rsidRPr="003F6F84">
        <w:t>Is het mogelijk om het capaciteitsmechanisme flexibel vorm te geven zodat ook innovatieve technologieën, zoals waterstofcentrales of batterijsystemen, kunnen bijdragen aan de leveringszekerheid? </w:t>
      </w:r>
    </w:p>
    <w:p w:rsidR="00A47B6D" w:rsidP="00A47B6D" w:rsidRDefault="00A47B6D" w14:paraId="48E258EE" w14:textId="77777777"/>
    <w:p w:rsidRPr="003F6F84" w:rsidR="00A47B6D" w:rsidP="00A47B6D" w:rsidRDefault="00A47B6D" w14:paraId="2E7A83DE" w14:textId="77777777">
      <w:r w:rsidRPr="003F6F84">
        <w:t>Antwoord</w:t>
      </w:r>
      <w:r>
        <w:t xml:space="preserve"> </w:t>
      </w:r>
    </w:p>
    <w:p w:rsidR="00A47B6D" w:rsidP="00A47B6D" w:rsidRDefault="00A47B6D" w14:paraId="2D21BA96" w14:textId="77777777">
      <w:r>
        <w:t xml:space="preserve">Ja. </w:t>
      </w:r>
      <w:r w:rsidRPr="003F6F84">
        <w:t>Een capaciteitsmechanisme moet techn</w:t>
      </w:r>
      <w:r>
        <w:t>ologie</w:t>
      </w:r>
      <w:r w:rsidRPr="003F6F84">
        <w:t>neutraal zijn. Het is mogelijk om in het ontwerp van een</w:t>
      </w:r>
      <w:r>
        <w:t xml:space="preserve"> </w:t>
      </w:r>
      <w:r w:rsidRPr="003F6F84">
        <w:t>capaciteitsmechanisme keuzes te maken die gelijkwaardige deelname van CO2-vrije techn</w:t>
      </w:r>
      <w:r>
        <w:t>ologieën</w:t>
      </w:r>
      <w:r w:rsidRPr="003F6F84">
        <w:t xml:space="preserve"> zoals vraagrespons en </w:t>
      </w:r>
      <w:r>
        <w:t>energie</w:t>
      </w:r>
      <w:r w:rsidRPr="003F6F84">
        <w:t xml:space="preserve">opslag (o.a. </w:t>
      </w:r>
      <w:r>
        <w:t xml:space="preserve">via </w:t>
      </w:r>
      <w:r w:rsidRPr="003F6F84">
        <w:t>batterijsystemen) stimuleren.</w:t>
      </w:r>
    </w:p>
    <w:p w:rsidR="00670502" w:rsidRDefault="00670502" w14:paraId="01FFC54B" w14:textId="77777777"/>
    <w:sectPr w:rsidR="00670502" w:rsidSect="00A47B6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D7A3" w14:textId="77777777" w:rsidR="007E07B5" w:rsidRDefault="007E07B5" w:rsidP="00A47B6D">
      <w:pPr>
        <w:spacing w:after="0" w:line="240" w:lineRule="auto"/>
      </w:pPr>
      <w:r>
        <w:separator/>
      </w:r>
    </w:p>
  </w:endnote>
  <w:endnote w:type="continuationSeparator" w:id="0">
    <w:p w14:paraId="725BC61B" w14:textId="77777777" w:rsidR="007E07B5" w:rsidRDefault="007E07B5" w:rsidP="00A4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D6F" w14:textId="77777777" w:rsidR="00A47B6D" w:rsidRPr="00A47B6D" w:rsidRDefault="00A47B6D" w:rsidP="00A47B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B2C1" w14:textId="77777777" w:rsidR="00A47B6D" w:rsidRPr="00A47B6D" w:rsidRDefault="00A47B6D" w:rsidP="00A47B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A148" w14:textId="77777777" w:rsidR="00A47B6D" w:rsidRPr="00A47B6D" w:rsidRDefault="00A47B6D" w:rsidP="00A47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E1DB" w14:textId="77777777" w:rsidR="007E07B5" w:rsidRDefault="007E07B5" w:rsidP="00A47B6D">
      <w:pPr>
        <w:spacing w:after="0" w:line="240" w:lineRule="auto"/>
      </w:pPr>
      <w:r>
        <w:separator/>
      </w:r>
    </w:p>
  </w:footnote>
  <w:footnote w:type="continuationSeparator" w:id="0">
    <w:p w14:paraId="2354B738" w14:textId="77777777" w:rsidR="007E07B5" w:rsidRDefault="007E07B5" w:rsidP="00A47B6D">
      <w:pPr>
        <w:spacing w:after="0" w:line="240" w:lineRule="auto"/>
      </w:pPr>
      <w:r>
        <w:continuationSeparator/>
      </w:r>
    </w:p>
  </w:footnote>
  <w:footnote w:id="1">
    <w:p w14:paraId="7396DDB7" w14:textId="77777777" w:rsidR="00A47B6D" w:rsidRDefault="00A47B6D" w:rsidP="00A47B6D">
      <w:pPr>
        <w:pStyle w:val="Voetnoottekst"/>
      </w:pPr>
      <w:r>
        <w:rPr>
          <w:rStyle w:val="Voetnootmarkering"/>
        </w:rPr>
        <w:footnoteRef/>
      </w:r>
      <w:r>
        <w:t xml:space="preserve"> </w:t>
      </w:r>
      <w:r w:rsidRPr="003F6F84">
        <w:t>Kamerstukken II 2024/25, 29023, nr. 570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BC71" w14:textId="77777777" w:rsidR="00A47B6D" w:rsidRPr="00A47B6D" w:rsidRDefault="00A47B6D" w:rsidP="00A47B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BBE7" w14:textId="77777777" w:rsidR="00A47B6D" w:rsidRPr="00A47B6D" w:rsidRDefault="00A47B6D" w:rsidP="00A47B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3D22" w14:textId="77777777" w:rsidR="00A47B6D" w:rsidRPr="00A47B6D" w:rsidRDefault="00A47B6D" w:rsidP="00A47B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6D"/>
    <w:rsid w:val="000064D8"/>
    <w:rsid w:val="00670502"/>
    <w:rsid w:val="007E07B5"/>
    <w:rsid w:val="00A47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86CC"/>
  <w15:chartTrackingRefBased/>
  <w15:docId w15:val="{485DE63A-EB05-4CBC-B20D-8571D992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B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7B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7B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7B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7B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7B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B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B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B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B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7B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7B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7B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7B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7B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B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B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B6D"/>
    <w:rPr>
      <w:rFonts w:eastAsiaTheme="majorEastAsia" w:cstheme="majorBidi"/>
      <w:color w:val="272727" w:themeColor="text1" w:themeTint="D8"/>
    </w:rPr>
  </w:style>
  <w:style w:type="paragraph" w:styleId="Titel">
    <w:name w:val="Title"/>
    <w:basedOn w:val="Standaard"/>
    <w:next w:val="Standaard"/>
    <w:link w:val="TitelChar"/>
    <w:uiPriority w:val="10"/>
    <w:qFormat/>
    <w:rsid w:val="00A47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B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B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B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B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B6D"/>
    <w:rPr>
      <w:i/>
      <w:iCs/>
      <w:color w:val="404040" w:themeColor="text1" w:themeTint="BF"/>
    </w:rPr>
  </w:style>
  <w:style w:type="paragraph" w:styleId="Lijstalinea">
    <w:name w:val="List Paragraph"/>
    <w:basedOn w:val="Standaard"/>
    <w:uiPriority w:val="34"/>
    <w:qFormat/>
    <w:rsid w:val="00A47B6D"/>
    <w:pPr>
      <w:ind w:left="720"/>
      <w:contextualSpacing/>
    </w:pPr>
  </w:style>
  <w:style w:type="character" w:styleId="Intensievebenadrukking">
    <w:name w:val="Intense Emphasis"/>
    <w:basedOn w:val="Standaardalinea-lettertype"/>
    <w:uiPriority w:val="21"/>
    <w:qFormat/>
    <w:rsid w:val="00A47B6D"/>
    <w:rPr>
      <w:i/>
      <w:iCs/>
      <w:color w:val="2F5496" w:themeColor="accent1" w:themeShade="BF"/>
    </w:rPr>
  </w:style>
  <w:style w:type="paragraph" w:styleId="Duidelijkcitaat">
    <w:name w:val="Intense Quote"/>
    <w:basedOn w:val="Standaard"/>
    <w:next w:val="Standaard"/>
    <w:link w:val="DuidelijkcitaatChar"/>
    <w:uiPriority w:val="30"/>
    <w:qFormat/>
    <w:rsid w:val="00A47B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7B6D"/>
    <w:rPr>
      <w:i/>
      <w:iCs/>
      <w:color w:val="2F5496" w:themeColor="accent1" w:themeShade="BF"/>
    </w:rPr>
  </w:style>
  <w:style w:type="character" w:styleId="Intensieveverwijzing">
    <w:name w:val="Intense Reference"/>
    <w:basedOn w:val="Standaardalinea-lettertype"/>
    <w:uiPriority w:val="32"/>
    <w:qFormat/>
    <w:rsid w:val="00A47B6D"/>
    <w:rPr>
      <w:b/>
      <w:bCs/>
      <w:smallCaps/>
      <w:color w:val="2F5496" w:themeColor="accent1" w:themeShade="BF"/>
      <w:spacing w:val="5"/>
    </w:rPr>
  </w:style>
  <w:style w:type="paragraph" w:styleId="Koptekst">
    <w:name w:val="header"/>
    <w:basedOn w:val="Standaard"/>
    <w:link w:val="KoptekstChar"/>
    <w:rsid w:val="00A47B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7B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7B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7B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47B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7B6D"/>
    <w:rPr>
      <w:rFonts w:ascii="Verdana" w:hAnsi="Verdana"/>
      <w:noProof/>
      <w:sz w:val="13"/>
      <w:szCs w:val="24"/>
      <w:lang w:eastAsia="nl-NL"/>
    </w:rPr>
  </w:style>
  <w:style w:type="paragraph" w:customStyle="1" w:styleId="Huisstijl-Gegeven">
    <w:name w:val="Huisstijl-Gegeven"/>
    <w:basedOn w:val="Standaard"/>
    <w:link w:val="Huisstijl-GegevenCharChar"/>
    <w:rsid w:val="00A47B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7B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47B6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47B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47B6D"/>
    <w:pPr>
      <w:spacing w:after="0"/>
    </w:pPr>
    <w:rPr>
      <w:b/>
    </w:rPr>
  </w:style>
  <w:style w:type="paragraph" w:customStyle="1" w:styleId="Huisstijl-Paginanummering">
    <w:name w:val="Huisstijl-Paginanummering"/>
    <w:basedOn w:val="Standaard"/>
    <w:rsid w:val="00A47B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47B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47B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47B6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47B6D"/>
    <w:rPr>
      <w:b/>
      <w:bCs/>
    </w:rPr>
  </w:style>
  <w:style w:type="character" w:styleId="Voetnootmarkering">
    <w:name w:val="footnote reference"/>
    <w:basedOn w:val="Standaardalinea-lettertype"/>
    <w:semiHidden/>
    <w:unhideWhenUsed/>
    <w:rsid w:val="00A47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734</ap:Words>
  <ap:Characters>4038</ap:Characters>
  <ap:DocSecurity>0</ap:DocSecurity>
  <ap:Lines>33</ap:Lines>
  <ap:Paragraphs>9</ap:Paragraphs>
  <ap:ScaleCrop>false</ap:ScaleCrop>
  <ap:LinksUpToDate>false</ap:LinksUpToDate>
  <ap:CharactersWithSpaces>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2026-05-22T13:34:00.0000000Z</dcterms:created>
  <dcterms:modified xsi:type="dcterms:W3CDTF">2026-05-22T13:34:00.0000000Z</dcterms:modified>
  <version/>
  <category/>
</coreProperties>
</file>