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5C86ABB" w14:textId="77777777">
        <w:trPr>
          <w:cantSplit/>
        </w:trPr>
        <w:tc>
          <w:tcPr>
            <w:tcW w:w="9212" w:type="dxa"/>
            <w:gridSpan w:val="2"/>
          </w:tcPr>
          <w:p w:rsidR="003B4752" w:rsidRDefault="003B4752" w14:paraId="2F045F4A" w14:textId="77777777">
            <w:pPr>
              <w:tabs>
                <w:tab w:val="left" w:pos="-1440"/>
                <w:tab w:val="left" w:pos="-720"/>
              </w:tabs>
              <w:suppressAutoHyphens/>
            </w:pPr>
          </w:p>
        </w:tc>
      </w:tr>
      <w:tr w:rsidR="003B4752" w14:paraId="70AC5B3F" w14:textId="77777777">
        <w:trPr>
          <w:cantSplit/>
        </w:trPr>
        <w:tc>
          <w:tcPr>
            <w:tcW w:w="9212" w:type="dxa"/>
            <w:gridSpan w:val="2"/>
          </w:tcPr>
          <w:p w:rsidR="003B4752" w:rsidRDefault="003B4752" w14:paraId="04B36167" w14:textId="77777777">
            <w:pPr>
              <w:tabs>
                <w:tab w:val="left" w:pos="-1440"/>
                <w:tab w:val="left" w:pos="-720"/>
              </w:tabs>
              <w:suppressAutoHyphens/>
              <w:rPr>
                <w:b/>
              </w:rPr>
            </w:pPr>
          </w:p>
        </w:tc>
      </w:tr>
      <w:tr w:rsidR="009833D1" w14:paraId="2DB99681" w14:textId="77777777">
        <w:tc>
          <w:tcPr>
            <w:tcW w:w="2622" w:type="dxa"/>
          </w:tcPr>
          <w:p w:rsidR="009833D1" w:rsidRDefault="00EF02AC" w14:paraId="1F356DE2" w14:textId="40111CDD">
            <w:pPr>
              <w:widowControl w:val="0"/>
              <w:rPr>
                <w:b/>
              </w:rPr>
            </w:pPr>
            <w:r>
              <w:rPr>
                <w:b/>
              </w:rPr>
              <w:t>36 915 XII</w:t>
            </w:r>
          </w:p>
        </w:tc>
        <w:tc>
          <w:tcPr>
            <w:tcW w:w="6590" w:type="dxa"/>
          </w:tcPr>
          <w:p w:rsidRPr="00C14B1A" w:rsidR="009833D1" w:rsidP="00EF02AC" w:rsidRDefault="00C14B1A" w14:paraId="5FC54374" w14:textId="75B8BAB1">
            <w:pPr>
              <w:rPr>
                <w:b/>
                <w:bCs/>
              </w:rPr>
            </w:pPr>
            <w:r w:rsidRPr="00C14B1A">
              <w:rPr>
                <w:b/>
                <w:bCs/>
              </w:rPr>
              <w:t xml:space="preserve">Wijziging van de begrotingsstaten van het Ministerie van Infrastructuur en Waterstaat (XII) voor het jaar 2026 (wijziging samenhangende met de </w:t>
            </w:r>
            <w:r w:rsidRPr="00C14B1A">
              <w:rPr>
                <w:b/>
                <w:bCs/>
                <w:szCs w:val="24"/>
              </w:rPr>
              <w:t>Voorjaarsnota</w:t>
            </w:r>
            <w:r w:rsidRPr="00C14B1A">
              <w:rPr>
                <w:b/>
                <w:bCs/>
              </w:rPr>
              <w:t>)</w:t>
            </w:r>
          </w:p>
        </w:tc>
      </w:tr>
      <w:tr w:rsidR="003B4752" w14:paraId="3984EC09" w14:textId="77777777">
        <w:tc>
          <w:tcPr>
            <w:tcW w:w="2622" w:type="dxa"/>
          </w:tcPr>
          <w:p w:rsidR="003B4752" w:rsidRDefault="003B4752" w14:paraId="43CF92C7" w14:textId="77777777">
            <w:pPr>
              <w:tabs>
                <w:tab w:val="left" w:pos="284"/>
              </w:tabs>
              <w:rPr>
                <w:b/>
              </w:rPr>
            </w:pPr>
          </w:p>
        </w:tc>
        <w:tc>
          <w:tcPr>
            <w:tcW w:w="6590" w:type="dxa"/>
          </w:tcPr>
          <w:p w:rsidR="003B4752" w:rsidRDefault="003B4752" w14:paraId="0D3EB3D0" w14:textId="77777777">
            <w:pPr>
              <w:tabs>
                <w:tab w:val="left" w:pos="284"/>
              </w:tabs>
              <w:rPr>
                <w:b/>
              </w:rPr>
            </w:pPr>
          </w:p>
        </w:tc>
      </w:tr>
      <w:tr w:rsidR="003B4752" w14:paraId="56E57061" w14:textId="77777777">
        <w:tc>
          <w:tcPr>
            <w:tcW w:w="2622" w:type="dxa"/>
          </w:tcPr>
          <w:p w:rsidR="003B4752" w:rsidRDefault="003B4752" w14:paraId="3B5FD4F6" w14:textId="7E7B0487">
            <w:pPr>
              <w:tabs>
                <w:tab w:val="left" w:pos="284"/>
              </w:tabs>
              <w:rPr>
                <w:b/>
              </w:rPr>
            </w:pPr>
            <w:r>
              <w:rPr>
                <w:b/>
              </w:rPr>
              <w:t xml:space="preserve">Nr. </w:t>
            </w:r>
            <w:r w:rsidR="00EF02AC">
              <w:rPr>
                <w:b/>
              </w:rPr>
              <w:t>15</w:t>
            </w:r>
          </w:p>
        </w:tc>
        <w:tc>
          <w:tcPr>
            <w:tcW w:w="6590" w:type="dxa"/>
          </w:tcPr>
          <w:p w:rsidR="003B4752" w:rsidRDefault="003B4752" w14:paraId="6679A3FA" w14:textId="77777777">
            <w:pPr>
              <w:tabs>
                <w:tab w:val="left" w:pos="284"/>
              </w:tabs>
              <w:rPr>
                <w:b/>
              </w:rPr>
            </w:pPr>
            <w:r>
              <w:rPr>
                <w:b/>
              </w:rPr>
              <w:t>NOTA VAN WIJZIGING</w:t>
            </w:r>
          </w:p>
          <w:p w:rsidRPr="00EF02AC" w:rsidR="003B4752" w:rsidP="009833D1" w:rsidRDefault="003B4752" w14:paraId="63949A04" w14:textId="5B61ED80">
            <w:pPr>
              <w:tabs>
                <w:tab w:val="left" w:pos="284"/>
              </w:tabs>
              <w:rPr>
                <w:bCs/>
              </w:rPr>
            </w:pPr>
            <w:r>
              <w:t xml:space="preserve">Ontvangen </w:t>
            </w:r>
            <w:r w:rsidR="00EF02AC">
              <w:rPr>
                <w:bCs/>
              </w:rPr>
              <w:t>22 mei 2026</w:t>
            </w:r>
          </w:p>
        </w:tc>
      </w:tr>
    </w:tbl>
    <w:p w:rsidRPr="00EF02AC" w:rsidR="00EF02AC" w:rsidP="00EF02AC" w:rsidRDefault="00EF02AC" w14:paraId="554BEB3B" w14:textId="77777777">
      <w:pPr>
        <w:tabs>
          <w:tab w:val="left" w:pos="284"/>
        </w:tabs>
      </w:pPr>
    </w:p>
    <w:p w:rsidRPr="00EF02AC" w:rsidR="00EF02AC" w:rsidP="00EF02AC" w:rsidRDefault="00EF02AC" w14:paraId="5C8C2C5F" w14:textId="5836DAC5">
      <w:pPr>
        <w:tabs>
          <w:tab w:val="left" w:pos="284"/>
        </w:tabs>
      </w:pPr>
      <w:r>
        <w:tab/>
      </w:r>
      <w:r w:rsidRPr="00EF02AC">
        <w:t>Het voorstel van wet wordt als volgt gewijzigd:</w:t>
      </w:r>
    </w:p>
    <w:p w:rsidR="00EF02AC" w:rsidP="00EF02AC" w:rsidRDefault="00EF02AC" w14:paraId="5D6A75D2" w14:textId="77777777">
      <w:pPr>
        <w:tabs>
          <w:tab w:val="left" w:pos="284"/>
        </w:tabs>
        <w:rPr>
          <w:b/>
        </w:rPr>
      </w:pPr>
    </w:p>
    <w:p w:rsidRPr="00EF02AC" w:rsidR="00EF02AC" w:rsidP="00EF02AC" w:rsidRDefault="00EF02AC" w14:paraId="088F0E9C" w14:textId="476A8B2F">
      <w:pPr>
        <w:tabs>
          <w:tab w:val="left" w:pos="284"/>
        </w:tabs>
        <w:rPr>
          <w:b/>
        </w:rPr>
      </w:pPr>
      <w:r w:rsidRPr="00EF02AC">
        <w:rPr>
          <w:b/>
        </w:rPr>
        <w:t>A</w:t>
      </w:r>
    </w:p>
    <w:p w:rsidRPr="00EF02AC" w:rsidR="00EF02AC" w:rsidP="00EF02AC" w:rsidRDefault="00EF02AC" w14:paraId="73301ED5" w14:textId="77777777">
      <w:pPr>
        <w:tabs>
          <w:tab w:val="left" w:pos="284"/>
        </w:tabs>
      </w:pPr>
    </w:p>
    <w:p w:rsidRPr="00EF02AC" w:rsidR="00EF02AC" w:rsidP="00EF02AC" w:rsidRDefault="00EF02AC" w14:paraId="181BB902" w14:textId="4B739D78">
      <w:pPr>
        <w:tabs>
          <w:tab w:val="left" w:pos="284"/>
        </w:tabs>
      </w:pPr>
      <w:r>
        <w:tab/>
      </w:r>
      <w:r w:rsidRPr="00EF02AC">
        <w:t>De begrotingsstaat van het Ministerie van Infrastructuur en Waterstaat (XII) voor het jaar 2026 komt te luiden:</w:t>
      </w:r>
    </w:p>
    <w:p w:rsidR="009833D1" w:rsidP="00FE223B" w:rsidRDefault="009833D1" w14:paraId="3B152CC7"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280"/>
        <w:gridCol w:w="1234"/>
        <w:gridCol w:w="935"/>
        <w:gridCol w:w="1067"/>
        <w:gridCol w:w="1234"/>
        <w:gridCol w:w="900"/>
        <w:gridCol w:w="1067"/>
      </w:tblGrid>
      <w:tr w:rsidRPr="00EF02AC" w:rsidR="00EF02AC" w:rsidTr="00EF02AC" w14:paraId="21BF1FF1" w14:textId="77777777">
        <w:trPr>
          <w:tblHeader/>
        </w:trPr>
        <w:tc>
          <w:tcPr>
            <w:tcW w:w="5000" w:type="pct"/>
            <w:gridSpan w:val="8"/>
            <w:tcMar>
              <w:top w:w="22" w:type="dxa"/>
              <w:left w:w="113" w:type="dxa"/>
              <w:bottom w:w="22" w:type="dxa"/>
            </w:tcMar>
          </w:tcPr>
          <w:p w:rsidRPr="00EF02AC" w:rsidR="00EF02AC" w:rsidP="00E015FC" w:rsidRDefault="00EF02AC" w14:paraId="641C0380" w14:textId="77777777">
            <w:pPr>
              <w:pStyle w:val="kio2-table-title"/>
              <w:rPr>
                <w:rFonts w:ascii="Times New Roman" w:hAnsi="Times New Roman" w:cs="Times New Roman"/>
                <w:sz w:val="20"/>
              </w:rPr>
            </w:pPr>
            <w:r w:rsidRPr="00EF02AC">
              <w:rPr>
                <w:rFonts w:ascii="Times New Roman" w:hAnsi="Times New Roman" w:cs="Times New Roman"/>
                <w:sz w:val="20"/>
              </w:rPr>
              <w:t>Vastgestelde begrotingsstaat van het Ministerie van Infrastructuur en Waterstaat (XII) voor het jaar 2026 (bedragen x € 1.000)</w:t>
            </w:r>
          </w:p>
        </w:tc>
      </w:tr>
      <w:tr w:rsidRPr="00EF02AC" w:rsidR="00EF02AC" w:rsidTr="00EF02AC" w14:paraId="1DA3F3CD" w14:textId="77777777">
        <w:trPr>
          <w:tblHeader/>
        </w:trPr>
        <w:tc>
          <w:tcPr>
            <w:tcW w:w="184" w:type="pct"/>
            <w:tcBorders>
              <w:top w:val="single" w:color="000000" w:sz="2" w:space="0"/>
              <w:bottom w:val="single" w:color="009EE0" w:sz="2" w:space="0"/>
            </w:tcBorders>
            <w:tcMar>
              <w:top w:w="28" w:type="dxa"/>
              <w:bottom w:w="28" w:type="dxa"/>
              <w:right w:w="28" w:type="dxa"/>
            </w:tcMar>
          </w:tcPr>
          <w:p w:rsidRPr="00EF02AC" w:rsidR="00EF02AC" w:rsidP="00E015FC" w:rsidRDefault="00EF02AC" w14:paraId="3C391D3E"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Art.</w:t>
            </w:r>
          </w:p>
        </w:tc>
        <w:tc>
          <w:tcPr>
            <w:tcW w:w="1273"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7623B24E"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Omschrijving</w:t>
            </w:r>
          </w:p>
        </w:tc>
        <w:tc>
          <w:tcPr>
            <w:tcW w:w="1776" w:type="pct"/>
            <w:gridSpan w:val="3"/>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527C51EC"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Vastgestelde begroting (incl. NvW en amendementen)</w:t>
            </w:r>
          </w:p>
        </w:tc>
        <w:tc>
          <w:tcPr>
            <w:tcW w:w="1767" w:type="pct"/>
            <w:gridSpan w:val="3"/>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065FA0AE"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Mutaties 1e suppletoire begroting (incl. ISB, NvW en amendementen)</w:t>
            </w:r>
          </w:p>
        </w:tc>
      </w:tr>
      <w:tr w:rsidRPr="00EF02AC" w:rsidR="00EF02AC" w:rsidTr="00EF02AC" w14:paraId="1C3B9004" w14:textId="77777777">
        <w:tc>
          <w:tcPr>
            <w:tcW w:w="184" w:type="pct"/>
            <w:tcBorders>
              <w:bottom w:val="single" w:color="009EE0" w:sz="2" w:space="0"/>
            </w:tcBorders>
            <w:tcMar>
              <w:top w:w="22" w:type="dxa"/>
              <w:bottom w:w="22" w:type="dxa"/>
              <w:right w:w="28" w:type="dxa"/>
            </w:tcMar>
          </w:tcPr>
          <w:p w:rsidRPr="00EF02AC" w:rsidR="00EF02AC" w:rsidP="00E015FC" w:rsidRDefault="00EF02AC" w14:paraId="35CCC8FA" w14:textId="77777777">
            <w:pPr>
              <w:pStyle w:val="p-table"/>
              <w:rPr>
                <w:rFonts w:ascii="Times New Roman" w:hAnsi="Times New Roman" w:cs="Times New Roman"/>
                <w:sz w:val="20"/>
              </w:rPr>
            </w:pPr>
          </w:p>
        </w:tc>
        <w:tc>
          <w:tcPr>
            <w:tcW w:w="1273" w:type="pct"/>
            <w:tcBorders>
              <w:bottom w:val="single" w:color="009EE0" w:sz="2" w:space="0"/>
            </w:tcBorders>
            <w:tcMar>
              <w:top w:w="22" w:type="dxa"/>
              <w:left w:w="28" w:type="dxa"/>
              <w:bottom w:w="22" w:type="dxa"/>
              <w:right w:w="28" w:type="dxa"/>
            </w:tcMar>
          </w:tcPr>
          <w:p w:rsidRPr="00EF02AC" w:rsidR="00EF02AC" w:rsidP="00E015FC" w:rsidRDefault="00EF02AC" w14:paraId="0C46FFEE"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EF02AC" w:rsidR="00EF02AC" w:rsidP="00E015FC" w:rsidRDefault="00EF02AC" w14:paraId="1AD51086" w14:textId="77777777">
            <w:pPr>
              <w:pStyle w:val="p-table"/>
              <w:rPr>
                <w:rFonts w:ascii="Times New Roman" w:hAnsi="Times New Roman" w:cs="Times New Roman"/>
                <w:sz w:val="20"/>
              </w:rPr>
            </w:pPr>
            <w:r w:rsidRPr="00EF02AC">
              <w:rPr>
                <w:rFonts w:ascii="Times New Roman" w:hAnsi="Times New Roman" w:cs="Times New Roman"/>
                <w:sz w:val="20"/>
              </w:rPr>
              <w:t>Verplichtingen</w:t>
            </w:r>
          </w:p>
        </w:tc>
        <w:tc>
          <w:tcPr>
            <w:tcW w:w="532" w:type="pct"/>
            <w:tcBorders>
              <w:bottom w:val="single" w:color="009EE0" w:sz="2" w:space="0"/>
            </w:tcBorders>
            <w:tcMar>
              <w:top w:w="22" w:type="dxa"/>
              <w:left w:w="28" w:type="dxa"/>
              <w:bottom w:w="22" w:type="dxa"/>
              <w:right w:w="28" w:type="dxa"/>
            </w:tcMar>
          </w:tcPr>
          <w:p w:rsidRPr="00EF02AC" w:rsidR="00EF02AC" w:rsidP="00E015FC" w:rsidRDefault="00EF02AC" w14:paraId="7AE7ADF5" w14:textId="77777777">
            <w:pPr>
              <w:pStyle w:val="p-table"/>
              <w:rPr>
                <w:rFonts w:ascii="Times New Roman" w:hAnsi="Times New Roman" w:cs="Times New Roman"/>
                <w:sz w:val="20"/>
              </w:rPr>
            </w:pPr>
            <w:r w:rsidRPr="00EF02AC">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EF02AC" w:rsidR="00EF02AC" w:rsidP="00E015FC" w:rsidRDefault="00EF02AC" w14:paraId="25098292" w14:textId="77777777">
            <w:pPr>
              <w:pStyle w:val="p-table"/>
              <w:rPr>
                <w:rFonts w:ascii="Times New Roman" w:hAnsi="Times New Roman" w:cs="Times New Roman"/>
                <w:sz w:val="20"/>
              </w:rPr>
            </w:pPr>
            <w:r w:rsidRPr="00EF02AC">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EF02AC" w:rsidR="00EF02AC" w:rsidP="00E015FC" w:rsidRDefault="00EF02AC" w14:paraId="78E2EA89" w14:textId="77777777">
            <w:pPr>
              <w:pStyle w:val="p-table"/>
              <w:rPr>
                <w:rFonts w:ascii="Times New Roman" w:hAnsi="Times New Roman" w:cs="Times New Roman"/>
                <w:sz w:val="20"/>
              </w:rPr>
            </w:pPr>
            <w:r w:rsidRPr="00EF02AC">
              <w:rPr>
                <w:rFonts w:ascii="Times New Roman" w:hAnsi="Times New Roman" w:cs="Times New Roman"/>
                <w:sz w:val="20"/>
              </w:rPr>
              <w:t>Verplichtingen</w:t>
            </w:r>
          </w:p>
        </w:tc>
        <w:tc>
          <w:tcPr>
            <w:tcW w:w="523" w:type="pct"/>
            <w:tcBorders>
              <w:bottom w:val="single" w:color="009EE0" w:sz="2" w:space="0"/>
            </w:tcBorders>
            <w:tcMar>
              <w:top w:w="22" w:type="dxa"/>
              <w:left w:w="28" w:type="dxa"/>
              <w:bottom w:w="22" w:type="dxa"/>
              <w:right w:w="28" w:type="dxa"/>
            </w:tcMar>
          </w:tcPr>
          <w:p w:rsidRPr="00EF02AC" w:rsidR="00EF02AC" w:rsidP="00E015FC" w:rsidRDefault="00EF02AC" w14:paraId="344C7F42" w14:textId="77777777">
            <w:pPr>
              <w:pStyle w:val="p-table"/>
              <w:rPr>
                <w:rFonts w:ascii="Times New Roman" w:hAnsi="Times New Roman" w:cs="Times New Roman"/>
                <w:sz w:val="20"/>
              </w:rPr>
            </w:pPr>
            <w:r w:rsidRPr="00EF02AC">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EF02AC" w:rsidR="00EF02AC" w:rsidP="00E015FC" w:rsidRDefault="00EF02AC" w14:paraId="75BAD99F" w14:textId="77777777">
            <w:pPr>
              <w:pStyle w:val="p-table"/>
              <w:rPr>
                <w:rFonts w:ascii="Times New Roman" w:hAnsi="Times New Roman" w:cs="Times New Roman"/>
                <w:sz w:val="20"/>
              </w:rPr>
            </w:pPr>
            <w:r w:rsidRPr="00EF02AC">
              <w:rPr>
                <w:rFonts w:ascii="Times New Roman" w:hAnsi="Times New Roman" w:cs="Times New Roman"/>
                <w:sz w:val="20"/>
              </w:rPr>
              <w:t>Ontvangsten</w:t>
            </w:r>
          </w:p>
        </w:tc>
      </w:tr>
      <w:tr w:rsidRPr="00EF02AC" w:rsidR="00EF02AC" w:rsidTr="00EF02AC" w14:paraId="32A6918C" w14:textId="77777777">
        <w:tc>
          <w:tcPr>
            <w:tcW w:w="184" w:type="pct"/>
            <w:tcMar>
              <w:top w:w="22" w:type="dxa"/>
              <w:bottom w:w="22" w:type="dxa"/>
              <w:right w:w="28" w:type="dxa"/>
            </w:tcMar>
          </w:tcPr>
          <w:p w:rsidRPr="00EF02AC" w:rsidR="00EF02AC" w:rsidP="00E015FC" w:rsidRDefault="00EF02AC" w14:paraId="3410A89E" w14:textId="77777777">
            <w:pPr>
              <w:pStyle w:val="p-table"/>
              <w:rPr>
                <w:rFonts w:ascii="Times New Roman" w:hAnsi="Times New Roman" w:cs="Times New Roman"/>
                <w:sz w:val="20"/>
              </w:rPr>
            </w:pPr>
          </w:p>
        </w:tc>
        <w:tc>
          <w:tcPr>
            <w:tcW w:w="1273" w:type="pct"/>
            <w:tcMar>
              <w:top w:w="22" w:type="dxa"/>
              <w:left w:w="28" w:type="dxa"/>
              <w:bottom w:w="22" w:type="dxa"/>
              <w:right w:w="28" w:type="dxa"/>
            </w:tcMar>
          </w:tcPr>
          <w:p w:rsidRPr="00EF02AC" w:rsidR="00EF02AC" w:rsidP="00E015FC" w:rsidRDefault="00EF02AC" w14:paraId="7E2193F4" w14:textId="77777777">
            <w:pPr>
              <w:pStyle w:val="p-table"/>
              <w:rPr>
                <w:rFonts w:ascii="Times New Roman" w:hAnsi="Times New Roman" w:cs="Times New Roman"/>
                <w:sz w:val="20"/>
              </w:rPr>
            </w:pPr>
            <w:r w:rsidRPr="00EF02AC">
              <w:rPr>
                <w:rFonts w:ascii="Times New Roman" w:hAnsi="Times New Roman" w:cs="Times New Roman"/>
                <w:b/>
                <w:sz w:val="20"/>
              </w:rPr>
              <w:t>Totaal</w:t>
            </w:r>
          </w:p>
        </w:tc>
        <w:tc>
          <w:tcPr>
            <w:tcW w:w="655" w:type="pct"/>
            <w:tcMar>
              <w:top w:w="22" w:type="dxa"/>
              <w:left w:w="28" w:type="dxa"/>
              <w:bottom w:w="22" w:type="dxa"/>
              <w:right w:w="28" w:type="dxa"/>
            </w:tcMar>
            <w:vAlign w:val="bottom"/>
          </w:tcPr>
          <w:p w:rsidRPr="00EF02AC" w:rsidR="00EF02AC" w:rsidP="00E015FC" w:rsidRDefault="00EF02AC" w14:paraId="693600AF" w14:textId="77777777">
            <w:pPr>
              <w:pStyle w:val="p-table"/>
              <w:jc w:val="right"/>
              <w:rPr>
                <w:rFonts w:ascii="Times New Roman" w:hAnsi="Times New Roman" w:cs="Times New Roman"/>
                <w:sz w:val="20"/>
              </w:rPr>
            </w:pPr>
            <w:r w:rsidRPr="00EF02AC">
              <w:rPr>
                <w:rFonts w:ascii="Times New Roman" w:hAnsi="Times New Roman" w:cs="Times New Roman"/>
                <w:sz w:val="20"/>
              </w:rPr>
              <w:t>4.088.147</w:t>
            </w:r>
          </w:p>
        </w:tc>
        <w:tc>
          <w:tcPr>
            <w:tcW w:w="532" w:type="pct"/>
            <w:tcMar>
              <w:top w:w="22" w:type="dxa"/>
              <w:left w:w="28" w:type="dxa"/>
              <w:bottom w:w="22" w:type="dxa"/>
              <w:right w:w="28" w:type="dxa"/>
            </w:tcMar>
            <w:vAlign w:val="bottom"/>
          </w:tcPr>
          <w:p w:rsidRPr="00EF02AC" w:rsidR="00EF02AC" w:rsidP="00E015FC" w:rsidRDefault="00EF02AC" w14:paraId="57C51BF4" w14:textId="77777777">
            <w:pPr>
              <w:pStyle w:val="p-table"/>
              <w:jc w:val="right"/>
              <w:rPr>
                <w:rFonts w:ascii="Times New Roman" w:hAnsi="Times New Roman" w:cs="Times New Roman"/>
                <w:sz w:val="20"/>
              </w:rPr>
            </w:pPr>
            <w:r w:rsidRPr="00EF02AC">
              <w:rPr>
                <w:rFonts w:ascii="Times New Roman" w:hAnsi="Times New Roman" w:cs="Times New Roman"/>
                <w:sz w:val="20"/>
              </w:rPr>
              <w:t>3.987.518</w:t>
            </w:r>
          </w:p>
        </w:tc>
        <w:tc>
          <w:tcPr>
            <w:tcW w:w="589" w:type="pct"/>
            <w:tcMar>
              <w:top w:w="22" w:type="dxa"/>
              <w:left w:w="28" w:type="dxa"/>
              <w:bottom w:w="22" w:type="dxa"/>
              <w:right w:w="28" w:type="dxa"/>
            </w:tcMar>
            <w:vAlign w:val="bottom"/>
          </w:tcPr>
          <w:p w:rsidRPr="00EF02AC" w:rsidR="00EF02AC" w:rsidP="00E015FC" w:rsidRDefault="00EF02AC" w14:paraId="3FCE4C70" w14:textId="77777777">
            <w:pPr>
              <w:pStyle w:val="p-table"/>
              <w:jc w:val="right"/>
              <w:rPr>
                <w:rFonts w:ascii="Times New Roman" w:hAnsi="Times New Roman" w:cs="Times New Roman"/>
                <w:sz w:val="20"/>
              </w:rPr>
            </w:pPr>
            <w:r w:rsidRPr="00EF02AC">
              <w:rPr>
                <w:rFonts w:ascii="Times New Roman" w:hAnsi="Times New Roman" w:cs="Times New Roman"/>
                <w:sz w:val="20"/>
              </w:rPr>
              <w:t>582.204</w:t>
            </w:r>
          </w:p>
        </w:tc>
        <w:tc>
          <w:tcPr>
            <w:tcW w:w="655" w:type="pct"/>
            <w:tcMar>
              <w:top w:w="22" w:type="dxa"/>
              <w:left w:w="28" w:type="dxa"/>
              <w:bottom w:w="22" w:type="dxa"/>
              <w:right w:w="28" w:type="dxa"/>
            </w:tcMar>
            <w:vAlign w:val="bottom"/>
          </w:tcPr>
          <w:p w:rsidRPr="00EF02AC" w:rsidR="00EF02AC" w:rsidP="00E015FC" w:rsidRDefault="00EF02AC" w14:paraId="685734A2" w14:textId="77777777">
            <w:pPr>
              <w:pStyle w:val="p-table"/>
              <w:jc w:val="right"/>
              <w:rPr>
                <w:rFonts w:ascii="Times New Roman" w:hAnsi="Times New Roman" w:cs="Times New Roman"/>
                <w:sz w:val="20"/>
              </w:rPr>
            </w:pPr>
            <w:r w:rsidRPr="00EF02AC">
              <w:rPr>
                <w:rFonts w:ascii="Times New Roman" w:hAnsi="Times New Roman" w:cs="Times New Roman"/>
                <w:sz w:val="20"/>
              </w:rPr>
              <w:t>118.581</w:t>
            </w:r>
          </w:p>
        </w:tc>
        <w:tc>
          <w:tcPr>
            <w:tcW w:w="523" w:type="pct"/>
            <w:tcMar>
              <w:top w:w="22" w:type="dxa"/>
              <w:left w:w="28" w:type="dxa"/>
              <w:bottom w:w="22" w:type="dxa"/>
              <w:right w:w="28" w:type="dxa"/>
            </w:tcMar>
            <w:vAlign w:val="bottom"/>
          </w:tcPr>
          <w:p w:rsidRPr="00EF02AC" w:rsidR="00EF02AC" w:rsidP="00E015FC" w:rsidRDefault="00EF02AC" w14:paraId="748B23C8" w14:textId="77777777">
            <w:pPr>
              <w:pStyle w:val="p-table"/>
              <w:jc w:val="right"/>
              <w:rPr>
                <w:rFonts w:ascii="Times New Roman" w:hAnsi="Times New Roman" w:cs="Times New Roman"/>
                <w:sz w:val="20"/>
              </w:rPr>
            </w:pPr>
            <w:r w:rsidRPr="00EF02AC">
              <w:rPr>
                <w:rFonts w:ascii="Times New Roman" w:hAnsi="Times New Roman" w:cs="Times New Roman"/>
                <w:sz w:val="20"/>
              </w:rPr>
              <w:t>179.967</w:t>
            </w:r>
          </w:p>
        </w:tc>
        <w:tc>
          <w:tcPr>
            <w:tcW w:w="589" w:type="pct"/>
            <w:tcMar>
              <w:top w:w="22" w:type="dxa"/>
              <w:left w:w="28" w:type="dxa"/>
              <w:bottom w:w="22" w:type="dxa"/>
              <w:right w:w="28" w:type="dxa"/>
            </w:tcMar>
            <w:vAlign w:val="bottom"/>
          </w:tcPr>
          <w:p w:rsidRPr="00EF02AC" w:rsidR="00EF02AC" w:rsidP="00E015FC" w:rsidRDefault="00EF02AC" w14:paraId="18E8B64E" w14:textId="77777777">
            <w:pPr>
              <w:pStyle w:val="p-table"/>
              <w:jc w:val="right"/>
              <w:rPr>
                <w:rFonts w:ascii="Times New Roman" w:hAnsi="Times New Roman" w:cs="Times New Roman"/>
                <w:sz w:val="20"/>
              </w:rPr>
            </w:pPr>
            <w:r w:rsidRPr="00EF02AC">
              <w:rPr>
                <w:rFonts w:ascii="Times New Roman" w:hAnsi="Times New Roman" w:cs="Times New Roman"/>
                <w:sz w:val="20"/>
              </w:rPr>
              <w:t>20.009</w:t>
            </w:r>
          </w:p>
        </w:tc>
      </w:tr>
      <w:tr w:rsidRPr="00EF02AC" w:rsidR="00EF02AC" w:rsidTr="00EF02AC" w14:paraId="5F035CF7" w14:textId="77777777">
        <w:tc>
          <w:tcPr>
            <w:tcW w:w="184" w:type="pct"/>
            <w:tcMar>
              <w:top w:w="22" w:type="dxa"/>
              <w:bottom w:w="22" w:type="dxa"/>
              <w:right w:w="28" w:type="dxa"/>
            </w:tcMar>
          </w:tcPr>
          <w:p w:rsidRPr="00EF02AC" w:rsidR="00EF02AC" w:rsidP="00E015FC" w:rsidRDefault="00EF02AC" w14:paraId="3B2A7F14" w14:textId="77777777">
            <w:pPr>
              <w:pStyle w:val="p-table"/>
              <w:rPr>
                <w:rFonts w:ascii="Times New Roman" w:hAnsi="Times New Roman" w:cs="Times New Roman"/>
                <w:sz w:val="20"/>
              </w:rPr>
            </w:pPr>
          </w:p>
        </w:tc>
        <w:tc>
          <w:tcPr>
            <w:tcW w:w="1273" w:type="pct"/>
            <w:tcMar>
              <w:top w:w="22" w:type="dxa"/>
              <w:left w:w="28" w:type="dxa"/>
              <w:bottom w:w="22" w:type="dxa"/>
              <w:right w:w="28" w:type="dxa"/>
            </w:tcMar>
          </w:tcPr>
          <w:p w:rsidRPr="00EF02AC" w:rsidR="00EF02AC" w:rsidP="00E015FC" w:rsidRDefault="00EF02AC" w14:paraId="6859E639"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EF02AC" w:rsidR="00EF02AC" w:rsidP="00E015FC" w:rsidRDefault="00EF02AC" w14:paraId="5BE20F3E" w14:textId="77777777">
            <w:pPr>
              <w:pStyle w:val="p-table"/>
              <w:rPr>
                <w:rFonts w:ascii="Times New Roman" w:hAnsi="Times New Roman" w:cs="Times New Roman"/>
                <w:sz w:val="20"/>
              </w:rPr>
            </w:pPr>
          </w:p>
        </w:tc>
        <w:tc>
          <w:tcPr>
            <w:tcW w:w="532" w:type="pct"/>
            <w:tcMar>
              <w:top w:w="22" w:type="dxa"/>
              <w:left w:w="28" w:type="dxa"/>
              <w:bottom w:w="22" w:type="dxa"/>
              <w:right w:w="28" w:type="dxa"/>
            </w:tcMar>
          </w:tcPr>
          <w:p w:rsidRPr="00EF02AC" w:rsidR="00EF02AC" w:rsidP="00E015FC" w:rsidRDefault="00EF02AC" w14:paraId="0A6FA501"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7819C4EB"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EF02AC" w:rsidR="00EF02AC" w:rsidP="00E015FC" w:rsidRDefault="00EF02AC" w14:paraId="0FA455FF" w14:textId="77777777">
            <w:pPr>
              <w:pStyle w:val="p-table"/>
              <w:rPr>
                <w:rFonts w:ascii="Times New Roman" w:hAnsi="Times New Roman" w:cs="Times New Roman"/>
                <w:sz w:val="20"/>
              </w:rPr>
            </w:pPr>
          </w:p>
        </w:tc>
        <w:tc>
          <w:tcPr>
            <w:tcW w:w="523" w:type="pct"/>
            <w:tcMar>
              <w:top w:w="22" w:type="dxa"/>
              <w:left w:w="28" w:type="dxa"/>
              <w:bottom w:w="22" w:type="dxa"/>
              <w:right w:w="28" w:type="dxa"/>
            </w:tcMar>
          </w:tcPr>
          <w:p w:rsidRPr="00EF02AC" w:rsidR="00EF02AC" w:rsidP="00E015FC" w:rsidRDefault="00EF02AC" w14:paraId="2E83DD65"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13D149A8" w14:textId="77777777">
            <w:pPr>
              <w:pStyle w:val="p-table"/>
              <w:rPr>
                <w:rFonts w:ascii="Times New Roman" w:hAnsi="Times New Roman" w:cs="Times New Roman"/>
                <w:sz w:val="20"/>
              </w:rPr>
            </w:pPr>
          </w:p>
        </w:tc>
      </w:tr>
      <w:tr w:rsidRPr="00EF02AC" w:rsidR="00EF02AC" w:rsidTr="00EF02AC" w14:paraId="0F4106F5" w14:textId="77777777">
        <w:tc>
          <w:tcPr>
            <w:tcW w:w="184" w:type="pct"/>
            <w:tcMar>
              <w:top w:w="22" w:type="dxa"/>
              <w:bottom w:w="22" w:type="dxa"/>
              <w:right w:w="28" w:type="dxa"/>
            </w:tcMar>
          </w:tcPr>
          <w:p w:rsidRPr="00EF02AC" w:rsidR="00EF02AC" w:rsidP="00E015FC" w:rsidRDefault="00EF02AC" w14:paraId="1F124CA5" w14:textId="77777777">
            <w:pPr>
              <w:pStyle w:val="p-table"/>
              <w:rPr>
                <w:rFonts w:ascii="Times New Roman" w:hAnsi="Times New Roman" w:cs="Times New Roman"/>
                <w:sz w:val="20"/>
              </w:rPr>
            </w:pPr>
          </w:p>
        </w:tc>
        <w:tc>
          <w:tcPr>
            <w:tcW w:w="1273" w:type="pct"/>
            <w:tcMar>
              <w:top w:w="22" w:type="dxa"/>
              <w:left w:w="28" w:type="dxa"/>
              <w:bottom w:w="22" w:type="dxa"/>
              <w:right w:w="28" w:type="dxa"/>
            </w:tcMar>
          </w:tcPr>
          <w:p w:rsidRPr="00EF02AC" w:rsidR="00EF02AC" w:rsidP="00E015FC" w:rsidRDefault="00EF02AC" w14:paraId="1C131269" w14:textId="77777777">
            <w:pPr>
              <w:pStyle w:val="p-table"/>
              <w:rPr>
                <w:rFonts w:ascii="Times New Roman" w:hAnsi="Times New Roman" w:cs="Times New Roman"/>
                <w:sz w:val="20"/>
              </w:rPr>
            </w:pPr>
            <w:r w:rsidRPr="00EF02AC">
              <w:rPr>
                <w:rFonts w:ascii="Times New Roman" w:hAnsi="Times New Roman" w:cs="Times New Roman"/>
                <w:b/>
                <w:sz w:val="20"/>
              </w:rPr>
              <w:t>Beleidsartikelen</w:t>
            </w:r>
          </w:p>
        </w:tc>
        <w:tc>
          <w:tcPr>
            <w:tcW w:w="655" w:type="pct"/>
            <w:tcMar>
              <w:top w:w="22" w:type="dxa"/>
              <w:left w:w="28" w:type="dxa"/>
              <w:bottom w:w="22" w:type="dxa"/>
              <w:right w:w="28" w:type="dxa"/>
            </w:tcMar>
          </w:tcPr>
          <w:p w:rsidRPr="00EF02AC" w:rsidR="00EF02AC" w:rsidP="00E015FC" w:rsidRDefault="00EF02AC" w14:paraId="22B61007" w14:textId="77777777">
            <w:pPr>
              <w:pStyle w:val="p-table"/>
              <w:rPr>
                <w:rFonts w:ascii="Times New Roman" w:hAnsi="Times New Roman" w:cs="Times New Roman"/>
                <w:sz w:val="20"/>
              </w:rPr>
            </w:pPr>
          </w:p>
        </w:tc>
        <w:tc>
          <w:tcPr>
            <w:tcW w:w="532" w:type="pct"/>
            <w:tcMar>
              <w:top w:w="22" w:type="dxa"/>
              <w:left w:w="28" w:type="dxa"/>
              <w:bottom w:w="22" w:type="dxa"/>
              <w:right w:w="28" w:type="dxa"/>
            </w:tcMar>
          </w:tcPr>
          <w:p w:rsidRPr="00EF02AC" w:rsidR="00EF02AC" w:rsidP="00E015FC" w:rsidRDefault="00EF02AC" w14:paraId="3D9193C4"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14DE9B06"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EF02AC" w:rsidR="00EF02AC" w:rsidP="00E015FC" w:rsidRDefault="00EF02AC" w14:paraId="3AEE0055" w14:textId="77777777">
            <w:pPr>
              <w:pStyle w:val="p-table"/>
              <w:rPr>
                <w:rFonts w:ascii="Times New Roman" w:hAnsi="Times New Roman" w:cs="Times New Roman"/>
                <w:sz w:val="20"/>
              </w:rPr>
            </w:pPr>
          </w:p>
        </w:tc>
        <w:tc>
          <w:tcPr>
            <w:tcW w:w="523" w:type="pct"/>
            <w:tcMar>
              <w:top w:w="22" w:type="dxa"/>
              <w:left w:w="28" w:type="dxa"/>
              <w:bottom w:w="22" w:type="dxa"/>
              <w:right w:w="28" w:type="dxa"/>
            </w:tcMar>
          </w:tcPr>
          <w:p w:rsidRPr="00EF02AC" w:rsidR="00EF02AC" w:rsidP="00E015FC" w:rsidRDefault="00EF02AC" w14:paraId="578F9DD6"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3BA6F63B" w14:textId="77777777">
            <w:pPr>
              <w:pStyle w:val="p-table"/>
              <w:rPr>
                <w:rFonts w:ascii="Times New Roman" w:hAnsi="Times New Roman" w:cs="Times New Roman"/>
                <w:sz w:val="20"/>
              </w:rPr>
            </w:pPr>
          </w:p>
        </w:tc>
      </w:tr>
      <w:tr w:rsidRPr="00EF02AC" w:rsidR="00EF02AC" w:rsidTr="00EF02AC" w14:paraId="6B75015C" w14:textId="77777777">
        <w:tc>
          <w:tcPr>
            <w:tcW w:w="184" w:type="pct"/>
            <w:tcMar>
              <w:top w:w="22" w:type="dxa"/>
              <w:bottom w:w="22" w:type="dxa"/>
              <w:right w:w="28" w:type="dxa"/>
            </w:tcMar>
          </w:tcPr>
          <w:p w:rsidRPr="00EF02AC" w:rsidR="00EF02AC" w:rsidP="00E015FC" w:rsidRDefault="00EF02AC" w14:paraId="4CB4B075" w14:textId="77777777">
            <w:pPr>
              <w:pStyle w:val="p-table"/>
              <w:rPr>
                <w:rFonts w:ascii="Times New Roman" w:hAnsi="Times New Roman" w:cs="Times New Roman"/>
                <w:sz w:val="20"/>
              </w:rPr>
            </w:pPr>
            <w:r w:rsidRPr="00EF02AC">
              <w:rPr>
                <w:rFonts w:ascii="Times New Roman" w:hAnsi="Times New Roman" w:cs="Times New Roman"/>
                <w:sz w:val="20"/>
              </w:rPr>
              <w:t>11</w:t>
            </w:r>
          </w:p>
        </w:tc>
        <w:tc>
          <w:tcPr>
            <w:tcW w:w="1273" w:type="pct"/>
            <w:tcMar>
              <w:top w:w="22" w:type="dxa"/>
              <w:left w:w="28" w:type="dxa"/>
              <w:bottom w:w="22" w:type="dxa"/>
              <w:right w:w="28" w:type="dxa"/>
            </w:tcMar>
          </w:tcPr>
          <w:p w:rsidRPr="00EF02AC" w:rsidR="00EF02AC" w:rsidP="00E015FC" w:rsidRDefault="00EF02AC" w14:paraId="4AE24EF9" w14:textId="77777777">
            <w:pPr>
              <w:pStyle w:val="p-table"/>
              <w:rPr>
                <w:rFonts w:ascii="Times New Roman" w:hAnsi="Times New Roman" w:cs="Times New Roman"/>
                <w:sz w:val="20"/>
              </w:rPr>
            </w:pPr>
            <w:r w:rsidRPr="00EF02AC">
              <w:rPr>
                <w:rFonts w:ascii="Times New Roman" w:hAnsi="Times New Roman" w:cs="Times New Roman"/>
                <w:sz w:val="20"/>
              </w:rPr>
              <w:t>Integraal waterbeleid</w:t>
            </w:r>
          </w:p>
        </w:tc>
        <w:tc>
          <w:tcPr>
            <w:tcW w:w="655" w:type="pct"/>
            <w:tcMar>
              <w:top w:w="22" w:type="dxa"/>
              <w:left w:w="28" w:type="dxa"/>
              <w:bottom w:w="22" w:type="dxa"/>
              <w:right w:w="28" w:type="dxa"/>
            </w:tcMar>
            <w:vAlign w:val="bottom"/>
          </w:tcPr>
          <w:p w:rsidRPr="00EF02AC" w:rsidR="00EF02AC" w:rsidP="00E015FC" w:rsidRDefault="00EF02AC" w14:paraId="66FC7175" w14:textId="77777777">
            <w:pPr>
              <w:pStyle w:val="p-table"/>
              <w:jc w:val="right"/>
              <w:rPr>
                <w:rFonts w:ascii="Times New Roman" w:hAnsi="Times New Roman" w:cs="Times New Roman"/>
                <w:sz w:val="20"/>
              </w:rPr>
            </w:pPr>
            <w:r w:rsidRPr="00EF02AC">
              <w:rPr>
                <w:rFonts w:ascii="Times New Roman" w:hAnsi="Times New Roman" w:cs="Times New Roman"/>
                <w:sz w:val="20"/>
              </w:rPr>
              <w:t>73.721</w:t>
            </w:r>
          </w:p>
        </w:tc>
        <w:tc>
          <w:tcPr>
            <w:tcW w:w="532" w:type="pct"/>
            <w:tcMar>
              <w:top w:w="22" w:type="dxa"/>
              <w:left w:w="28" w:type="dxa"/>
              <w:bottom w:w="22" w:type="dxa"/>
              <w:right w:w="28" w:type="dxa"/>
            </w:tcMar>
            <w:vAlign w:val="bottom"/>
          </w:tcPr>
          <w:p w:rsidRPr="00EF02AC" w:rsidR="00EF02AC" w:rsidP="00E015FC" w:rsidRDefault="00EF02AC" w14:paraId="7D998EE2" w14:textId="77777777">
            <w:pPr>
              <w:pStyle w:val="p-table"/>
              <w:jc w:val="right"/>
              <w:rPr>
                <w:rFonts w:ascii="Times New Roman" w:hAnsi="Times New Roman" w:cs="Times New Roman"/>
                <w:sz w:val="20"/>
              </w:rPr>
            </w:pPr>
            <w:r w:rsidRPr="00EF02AC">
              <w:rPr>
                <w:rFonts w:ascii="Times New Roman" w:hAnsi="Times New Roman" w:cs="Times New Roman"/>
                <w:sz w:val="20"/>
              </w:rPr>
              <w:t>99.892</w:t>
            </w:r>
          </w:p>
        </w:tc>
        <w:tc>
          <w:tcPr>
            <w:tcW w:w="589" w:type="pct"/>
            <w:tcMar>
              <w:top w:w="22" w:type="dxa"/>
              <w:left w:w="28" w:type="dxa"/>
              <w:bottom w:w="22" w:type="dxa"/>
              <w:right w:w="28" w:type="dxa"/>
            </w:tcMar>
            <w:vAlign w:val="bottom"/>
          </w:tcPr>
          <w:p w:rsidRPr="00EF02AC" w:rsidR="00EF02AC" w:rsidP="00E015FC" w:rsidRDefault="00EF02AC" w14:paraId="070B7E3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5EF51503" w14:textId="77777777">
            <w:pPr>
              <w:pStyle w:val="p-table"/>
              <w:jc w:val="right"/>
              <w:rPr>
                <w:rFonts w:ascii="Times New Roman" w:hAnsi="Times New Roman" w:cs="Times New Roman"/>
                <w:sz w:val="20"/>
              </w:rPr>
            </w:pPr>
            <w:r w:rsidRPr="00EF02AC">
              <w:rPr>
                <w:rFonts w:ascii="Times New Roman" w:hAnsi="Times New Roman" w:cs="Times New Roman"/>
                <w:sz w:val="20"/>
              </w:rPr>
              <w:t>1.274</w:t>
            </w:r>
          </w:p>
        </w:tc>
        <w:tc>
          <w:tcPr>
            <w:tcW w:w="523" w:type="pct"/>
            <w:tcMar>
              <w:top w:w="22" w:type="dxa"/>
              <w:left w:w="28" w:type="dxa"/>
              <w:bottom w:w="22" w:type="dxa"/>
              <w:right w:w="28" w:type="dxa"/>
            </w:tcMar>
            <w:vAlign w:val="bottom"/>
          </w:tcPr>
          <w:p w:rsidRPr="00EF02AC" w:rsidR="00EF02AC" w:rsidP="00E015FC" w:rsidRDefault="00EF02AC" w14:paraId="7B33ED8D" w14:textId="77777777">
            <w:pPr>
              <w:pStyle w:val="p-table"/>
              <w:jc w:val="right"/>
              <w:rPr>
                <w:rFonts w:ascii="Times New Roman" w:hAnsi="Times New Roman" w:cs="Times New Roman"/>
                <w:sz w:val="20"/>
              </w:rPr>
            </w:pPr>
            <w:r w:rsidRPr="00EF02AC">
              <w:rPr>
                <w:rFonts w:ascii="Times New Roman" w:hAnsi="Times New Roman" w:cs="Times New Roman"/>
                <w:sz w:val="20"/>
              </w:rPr>
              <w:t>3.841</w:t>
            </w:r>
          </w:p>
        </w:tc>
        <w:tc>
          <w:tcPr>
            <w:tcW w:w="589" w:type="pct"/>
            <w:tcMar>
              <w:top w:w="22" w:type="dxa"/>
              <w:left w:w="28" w:type="dxa"/>
              <w:bottom w:w="22" w:type="dxa"/>
              <w:right w:w="28" w:type="dxa"/>
            </w:tcMar>
            <w:vAlign w:val="bottom"/>
          </w:tcPr>
          <w:p w:rsidRPr="00EF02AC" w:rsidR="00EF02AC" w:rsidP="00E015FC" w:rsidRDefault="00EF02AC" w14:paraId="122D35C8" w14:textId="77777777">
            <w:pPr>
              <w:pStyle w:val="p-table"/>
              <w:jc w:val="right"/>
              <w:rPr>
                <w:rFonts w:ascii="Times New Roman" w:hAnsi="Times New Roman" w:cs="Times New Roman"/>
                <w:sz w:val="20"/>
              </w:rPr>
            </w:pPr>
            <w:r w:rsidRPr="00EF02AC">
              <w:rPr>
                <w:rFonts w:ascii="Times New Roman" w:hAnsi="Times New Roman" w:cs="Times New Roman"/>
                <w:sz w:val="20"/>
              </w:rPr>
              <w:t>452</w:t>
            </w:r>
          </w:p>
        </w:tc>
      </w:tr>
      <w:tr w:rsidRPr="00EF02AC" w:rsidR="00EF02AC" w:rsidTr="00EF02AC" w14:paraId="1BD83591" w14:textId="77777777">
        <w:tc>
          <w:tcPr>
            <w:tcW w:w="184" w:type="pct"/>
            <w:tcMar>
              <w:top w:w="22" w:type="dxa"/>
              <w:bottom w:w="22" w:type="dxa"/>
              <w:right w:w="28" w:type="dxa"/>
            </w:tcMar>
          </w:tcPr>
          <w:p w:rsidRPr="00EF02AC" w:rsidR="00EF02AC" w:rsidP="00E015FC" w:rsidRDefault="00EF02AC" w14:paraId="02C2201C" w14:textId="77777777">
            <w:pPr>
              <w:pStyle w:val="p-table"/>
              <w:rPr>
                <w:rFonts w:ascii="Times New Roman" w:hAnsi="Times New Roman" w:cs="Times New Roman"/>
                <w:sz w:val="20"/>
              </w:rPr>
            </w:pPr>
            <w:r w:rsidRPr="00EF02AC">
              <w:rPr>
                <w:rFonts w:ascii="Times New Roman" w:hAnsi="Times New Roman" w:cs="Times New Roman"/>
                <w:sz w:val="20"/>
              </w:rPr>
              <w:t>13</w:t>
            </w:r>
          </w:p>
        </w:tc>
        <w:tc>
          <w:tcPr>
            <w:tcW w:w="1273" w:type="pct"/>
            <w:tcMar>
              <w:top w:w="22" w:type="dxa"/>
              <w:left w:w="28" w:type="dxa"/>
              <w:bottom w:w="22" w:type="dxa"/>
              <w:right w:w="28" w:type="dxa"/>
            </w:tcMar>
          </w:tcPr>
          <w:p w:rsidRPr="00EF02AC" w:rsidR="00EF02AC" w:rsidP="00E015FC" w:rsidRDefault="00EF02AC" w14:paraId="6C56850C" w14:textId="77777777">
            <w:pPr>
              <w:pStyle w:val="p-table"/>
              <w:rPr>
                <w:rFonts w:ascii="Times New Roman" w:hAnsi="Times New Roman" w:cs="Times New Roman"/>
                <w:sz w:val="20"/>
              </w:rPr>
            </w:pPr>
            <w:r w:rsidRPr="00EF02AC">
              <w:rPr>
                <w:rFonts w:ascii="Times New Roman" w:hAnsi="Times New Roman" w:cs="Times New Roman"/>
                <w:sz w:val="20"/>
              </w:rPr>
              <w:t>Bodem en Ondergrond</w:t>
            </w:r>
          </w:p>
        </w:tc>
        <w:tc>
          <w:tcPr>
            <w:tcW w:w="655" w:type="pct"/>
            <w:tcMar>
              <w:top w:w="22" w:type="dxa"/>
              <w:left w:w="28" w:type="dxa"/>
              <w:bottom w:w="22" w:type="dxa"/>
              <w:right w:w="28" w:type="dxa"/>
            </w:tcMar>
            <w:vAlign w:val="bottom"/>
          </w:tcPr>
          <w:p w:rsidRPr="00EF02AC" w:rsidR="00EF02AC" w:rsidP="00E015FC" w:rsidRDefault="00EF02AC" w14:paraId="4E3B0403" w14:textId="77777777">
            <w:pPr>
              <w:pStyle w:val="p-table"/>
              <w:jc w:val="right"/>
              <w:rPr>
                <w:rFonts w:ascii="Times New Roman" w:hAnsi="Times New Roman" w:cs="Times New Roman"/>
                <w:sz w:val="20"/>
              </w:rPr>
            </w:pPr>
            <w:r w:rsidRPr="00EF02AC">
              <w:rPr>
                <w:rFonts w:ascii="Times New Roman" w:hAnsi="Times New Roman" w:cs="Times New Roman"/>
                <w:sz w:val="20"/>
              </w:rPr>
              <w:t>151.495</w:t>
            </w:r>
          </w:p>
        </w:tc>
        <w:tc>
          <w:tcPr>
            <w:tcW w:w="532" w:type="pct"/>
            <w:tcMar>
              <w:top w:w="22" w:type="dxa"/>
              <w:left w:w="28" w:type="dxa"/>
              <w:bottom w:w="22" w:type="dxa"/>
              <w:right w:w="28" w:type="dxa"/>
            </w:tcMar>
            <w:vAlign w:val="bottom"/>
          </w:tcPr>
          <w:p w:rsidRPr="00EF02AC" w:rsidR="00EF02AC" w:rsidP="00E015FC" w:rsidRDefault="00EF02AC" w14:paraId="4915D22A" w14:textId="77777777">
            <w:pPr>
              <w:pStyle w:val="p-table"/>
              <w:jc w:val="right"/>
              <w:rPr>
                <w:rFonts w:ascii="Times New Roman" w:hAnsi="Times New Roman" w:cs="Times New Roman"/>
                <w:sz w:val="20"/>
              </w:rPr>
            </w:pPr>
            <w:r w:rsidRPr="00EF02AC">
              <w:rPr>
                <w:rFonts w:ascii="Times New Roman" w:hAnsi="Times New Roman" w:cs="Times New Roman"/>
                <w:sz w:val="20"/>
              </w:rPr>
              <w:t>119.539</w:t>
            </w:r>
          </w:p>
        </w:tc>
        <w:tc>
          <w:tcPr>
            <w:tcW w:w="589" w:type="pct"/>
            <w:tcMar>
              <w:top w:w="22" w:type="dxa"/>
              <w:left w:w="28" w:type="dxa"/>
              <w:bottom w:w="22" w:type="dxa"/>
              <w:right w:w="28" w:type="dxa"/>
            </w:tcMar>
            <w:vAlign w:val="bottom"/>
          </w:tcPr>
          <w:p w:rsidRPr="00EF02AC" w:rsidR="00EF02AC" w:rsidP="00E015FC" w:rsidRDefault="00EF02AC" w14:paraId="652C5E6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722DE097" w14:textId="77777777">
            <w:pPr>
              <w:pStyle w:val="p-table"/>
              <w:jc w:val="right"/>
              <w:rPr>
                <w:rFonts w:ascii="Times New Roman" w:hAnsi="Times New Roman" w:cs="Times New Roman"/>
                <w:sz w:val="20"/>
              </w:rPr>
            </w:pPr>
            <w:r w:rsidRPr="00EF02AC">
              <w:rPr>
                <w:rFonts w:ascii="Times New Roman" w:hAnsi="Times New Roman" w:cs="Times New Roman"/>
                <w:sz w:val="20"/>
              </w:rPr>
              <w:t>5.053</w:t>
            </w:r>
          </w:p>
        </w:tc>
        <w:tc>
          <w:tcPr>
            <w:tcW w:w="523" w:type="pct"/>
            <w:tcMar>
              <w:top w:w="22" w:type="dxa"/>
              <w:left w:w="28" w:type="dxa"/>
              <w:bottom w:w="22" w:type="dxa"/>
              <w:right w:w="28" w:type="dxa"/>
            </w:tcMar>
            <w:vAlign w:val="bottom"/>
          </w:tcPr>
          <w:p w:rsidRPr="00EF02AC" w:rsidR="00EF02AC" w:rsidP="00E015FC" w:rsidRDefault="00EF02AC" w14:paraId="650DFEE2" w14:textId="77777777">
            <w:pPr>
              <w:pStyle w:val="p-table"/>
              <w:jc w:val="right"/>
              <w:rPr>
                <w:rFonts w:ascii="Times New Roman" w:hAnsi="Times New Roman" w:cs="Times New Roman"/>
                <w:sz w:val="20"/>
              </w:rPr>
            </w:pPr>
            <w:r w:rsidRPr="00EF02AC">
              <w:rPr>
                <w:rFonts w:ascii="Times New Roman" w:hAnsi="Times New Roman" w:cs="Times New Roman"/>
                <w:sz w:val="20"/>
              </w:rPr>
              <w:t>196</w:t>
            </w:r>
          </w:p>
        </w:tc>
        <w:tc>
          <w:tcPr>
            <w:tcW w:w="589" w:type="pct"/>
            <w:tcMar>
              <w:top w:w="22" w:type="dxa"/>
              <w:left w:w="28" w:type="dxa"/>
              <w:bottom w:w="22" w:type="dxa"/>
              <w:right w:w="28" w:type="dxa"/>
            </w:tcMar>
            <w:vAlign w:val="bottom"/>
          </w:tcPr>
          <w:p w:rsidRPr="00EF02AC" w:rsidR="00EF02AC" w:rsidP="00E015FC" w:rsidRDefault="00EF02AC" w14:paraId="64F81205" w14:textId="77777777">
            <w:pPr>
              <w:pStyle w:val="p-table"/>
              <w:jc w:val="right"/>
              <w:rPr>
                <w:rFonts w:ascii="Times New Roman" w:hAnsi="Times New Roman" w:cs="Times New Roman"/>
                <w:sz w:val="20"/>
              </w:rPr>
            </w:pPr>
            <w:r w:rsidRPr="00EF02AC">
              <w:rPr>
                <w:rFonts w:ascii="Times New Roman" w:hAnsi="Times New Roman" w:cs="Times New Roman"/>
                <w:sz w:val="20"/>
              </w:rPr>
              <w:t>168</w:t>
            </w:r>
          </w:p>
        </w:tc>
      </w:tr>
      <w:tr w:rsidRPr="00EF02AC" w:rsidR="00EF02AC" w:rsidTr="00EF02AC" w14:paraId="443F6355" w14:textId="77777777">
        <w:tc>
          <w:tcPr>
            <w:tcW w:w="184" w:type="pct"/>
            <w:tcMar>
              <w:top w:w="22" w:type="dxa"/>
              <w:bottom w:w="22" w:type="dxa"/>
              <w:right w:w="28" w:type="dxa"/>
            </w:tcMar>
          </w:tcPr>
          <w:p w:rsidRPr="00EF02AC" w:rsidR="00EF02AC" w:rsidP="00E015FC" w:rsidRDefault="00EF02AC" w14:paraId="508BB6CB" w14:textId="77777777">
            <w:pPr>
              <w:pStyle w:val="p-table"/>
              <w:rPr>
                <w:rFonts w:ascii="Times New Roman" w:hAnsi="Times New Roman" w:cs="Times New Roman"/>
                <w:sz w:val="20"/>
              </w:rPr>
            </w:pPr>
            <w:r w:rsidRPr="00EF02AC">
              <w:rPr>
                <w:rFonts w:ascii="Times New Roman" w:hAnsi="Times New Roman" w:cs="Times New Roman"/>
                <w:sz w:val="20"/>
              </w:rPr>
              <w:t>14</w:t>
            </w:r>
          </w:p>
        </w:tc>
        <w:tc>
          <w:tcPr>
            <w:tcW w:w="1273" w:type="pct"/>
            <w:tcMar>
              <w:top w:w="22" w:type="dxa"/>
              <w:left w:w="28" w:type="dxa"/>
              <w:bottom w:w="22" w:type="dxa"/>
              <w:right w:w="28" w:type="dxa"/>
            </w:tcMar>
          </w:tcPr>
          <w:p w:rsidRPr="00EF02AC" w:rsidR="00EF02AC" w:rsidP="00E015FC" w:rsidRDefault="00EF02AC" w14:paraId="1AF06FA7" w14:textId="77777777">
            <w:pPr>
              <w:pStyle w:val="p-table"/>
              <w:rPr>
                <w:rFonts w:ascii="Times New Roman" w:hAnsi="Times New Roman" w:cs="Times New Roman"/>
                <w:sz w:val="20"/>
              </w:rPr>
            </w:pPr>
            <w:r w:rsidRPr="00EF02AC">
              <w:rPr>
                <w:rFonts w:ascii="Times New Roman" w:hAnsi="Times New Roman" w:cs="Times New Roman"/>
                <w:sz w:val="20"/>
              </w:rPr>
              <w:t>Wegen en verkeersveiligheid</w:t>
            </w:r>
          </w:p>
        </w:tc>
        <w:tc>
          <w:tcPr>
            <w:tcW w:w="655" w:type="pct"/>
            <w:tcMar>
              <w:top w:w="22" w:type="dxa"/>
              <w:left w:w="28" w:type="dxa"/>
              <w:bottom w:w="22" w:type="dxa"/>
              <w:right w:w="28" w:type="dxa"/>
            </w:tcMar>
            <w:vAlign w:val="bottom"/>
          </w:tcPr>
          <w:p w:rsidRPr="00EF02AC" w:rsidR="00EF02AC" w:rsidP="00E015FC" w:rsidRDefault="00EF02AC" w14:paraId="14F80E58" w14:textId="77777777">
            <w:pPr>
              <w:pStyle w:val="p-table"/>
              <w:jc w:val="right"/>
              <w:rPr>
                <w:rFonts w:ascii="Times New Roman" w:hAnsi="Times New Roman" w:cs="Times New Roman"/>
                <w:sz w:val="20"/>
              </w:rPr>
            </w:pPr>
            <w:r w:rsidRPr="00EF02AC">
              <w:rPr>
                <w:rFonts w:ascii="Times New Roman" w:hAnsi="Times New Roman" w:cs="Times New Roman"/>
                <w:sz w:val="20"/>
              </w:rPr>
              <w:t>392.585</w:t>
            </w:r>
          </w:p>
        </w:tc>
        <w:tc>
          <w:tcPr>
            <w:tcW w:w="532" w:type="pct"/>
            <w:tcMar>
              <w:top w:w="22" w:type="dxa"/>
              <w:left w:w="28" w:type="dxa"/>
              <w:bottom w:w="22" w:type="dxa"/>
              <w:right w:w="28" w:type="dxa"/>
            </w:tcMar>
            <w:vAlign w:val="bottom"/>
          </w:tcPr>
          <w:p w:rsidRPr="00EF02AC" w:rsidR="00EF02AC" w:rsidP="00E015FC" w:rsidRDefault="00EF02AC" w14:paraId="0B4B140C" w14:textId="77777777">
            <w:pPr>
              <w:pStyle w:val="p-table"/>
              <w:jc w:val="right"/>
              <w:rPr>
                <w:rFonts w:ascii="Times New Roman" w:hAnsi="Times New Roman" w:cs="Times New Roman"/>
                <w:sz w:val="20"/>
              </w:rPr>
            </w:pPr>
            <w:r w:rsidRPr="00EF02AC">
              <w:rPr>
                <w:rFonts w:ascii="Times New Roman" w:hAnsi="Times New Roman" w:cs="Times New Roman"/>
                <w:sz w:val="20"/>
              </w:rPr>
              <w:t>400.246</w:t>
            </w:r>
          </w:p>
        </w:tc>
        <w:tc>
          <w:tcPr>
            <w:tcW w:w="589" w:type="pct"/>
            <w:tcMar>
              <w:top w:w="22" w:type="dxa"/>
              <w:left w:w="28" w:type="dxa"/>
              <w:bottom w:w="22" w:type="dxa"/>
              <w:right w:w="28" w:type="dxa"/>
            </w:tcMar>
            <w:vAlign w:val="bottom"/>
          </w:tcPr>
          <w:p w:rsidRPr="00EF02AC" w:rsidR="00EF02AC" w:rsidP="00E015FC" w:rsidRDefault="00EF02AC" w14:paraId="5A4CCE2D" w14:textId="77777777">
            <w:pPr>
              <w:pStyle w:val="p-table"/>
              <w:jc w:val="right"/>
              <w:rPr>
                <w:rFonts w:ascii="Times New Roman" w:hAnsi="Times New Roman" w:cs="Times New Roman"/>
                <w:sz w:val="20"/>
              </w:rPr>
            </w:pPr>
            <w:r w:rsidRPr="00EF02AC">
              <w:rPr>
                <w:rFonts w:ascii="Times New Roman" w:hAnsi="Times New Roman" w:cs="Times New Roman"/>
                <w:sz w:val="20"/>
              </w:rPr>
              <w:t>5.782</w:t>
            </w:r>
          </w:p>
        </w:tc>
        <w:tc>
          <w:tcPr>
            <w:tcW w:w="655" w:type="pct"/>
            <w:tcMar>
              <w:top w:w="22" w:type="dxa"/>
              <w:left w:w="28" w:type="dxa"/>
              <w:bottom w:w="22" w:type="dxa"/>
              <w:right w:w="28" w:type="dxa"/>
            </w:tcMar>
            <w:vAlign w:val="bottom"/>
          </w:tcPr>
          <w:p w:rsidRPr="00EF02AC" w:rsidR="00EF02AC" w:rsidP="00E015FC" w:rsidRDefault="00EF02AC" w14:paraId="4F8E6891" w14:textId="77777777">
            <w:pPr>
              <w:pStyle w:val="p-table"/>
              <w:jc w:val="right"/>
              <w:rPr>
                <w:rFonts w:ascii="Times New Roman" w:hAnsi="Times New Roman" w:cs="Times New Roman"/>
                <w:sz w:val="20"/>
              </w:rPr>
            </w:pPr>
            <w:r w:rsidRPr="00EF02AC">
              <w:rPr>
                <w:rFonts w:ascii="Times New Roman" w:hAnsi="Times New Roman" w:cs="Times New Roman"/>
                <w:sz w:val="20"/>
              </w:rPr>
              <w:t>33.134</w:t>
            </w:r>
          </w:p>
        </w:tc>
        <w:tc>
          <w:tcPr>
            <w:tcW w:w="523" w:type="pct"/>
            <w:tcMar>
              <w:top w:w="22" w:type="dxa"/>
              <w:left w:w="28" w:type="dxa"/>
              <w:bottom w:w="22" w:type="dxa"/>
              <w:right w:w="28" w:type="dxa"/>
            </w:tcMar>
            <w:vAlign w:val="bottom"/>
          </w:tcPr>
          <w:p w:rsidRPr="00EF02AC" w:rsidR="00EF02AC" w:rsidP="00E015FC" w:rsidRDefault="00EF02AC" w14:paraId="254E62D0" w14:textId="77777777">
            <w:pPr>
              <w:pStyle w:val="p-table"/>
              <w:jc w:val="right"/>
              <w:rPr>
                <w:rFonts w:ascii="Times New Roman" w:hAnsi="Times New Roman" w:cs="Times New Roman"/>
                <w:sz w:val="20"/>
              </w:rPr>
            </w:pPr>
            <w:r w:rsidRPr="00EF02AC">
              <w:rPr>
                <w:rFonts w:ascii="Times New Roman" w:hAnsi="Times New Roman" w:cs="Times New Roman"/>
                <w:sz w:val="20"/>
              </w:rPr>
              <w:t>‒ 86.726</w:t>
            </w:r>
          </w:p>
        </w:tc>
        <w:tc>
          <w:tcPr>
            <w:tcW w:w="589" w:type="pct"/>
            <w:tcMar>
              <w:top w:w="22" w:type="dxa"/>
              <w:left w:w="28" w:type="dxa"/>
              <w:bottom w:w="22" w:type="dxa"/>
              <w:right w:w="28" w:type="dxa"/>
            </w:tcMar>
            <w:vAlign w:val="bottom"/>
          </w:tcPr>
          <w:p w:rsidRPr="00EF02AC" w:rsidR="00EF02AC" w:rsidP="00E015FC" w:rsidRDefault="00EF02AC" w14:paraId="4B317AC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442C09E5" w14:textId="77777777">
        <w:tc>
          <w:tcPr>
            <w:tcW w:w="184" w:type="pct"/>
            <w:tcMar>
              <w:top w:w="22" w:type="dxa"/>
              <w:bottom w:w="22" w:type="dxa"/>
              <w:right w:w="28" w:type="dxa"/>
            </w:tcMar>
          </w:tcPr>
          <w:p w:rsidRPr="00EF02AC" w:rsidR="00EF02AC" w:rsidP="00E015FC" w:rsidRDefault="00EF02AC" w14:paraId="4ED27B36" w14:textId="77777777">
            <w:pPr>
              <w:pStyle w:val="p-table"/>
              <w:rPr>
                <w:rFonts w:ascii="Times New Roman" w:hAnsi="Times New Roman" w:cs="Times New Roman"/>
                <w:sz w:val="20"/>
              </w:rPr>
            </w:pPr>
            <w:r w:rsidRPr="00EF02AC">
              <w:rPr>
                <w:rFonts w:ascii="Times New Roman" w:hAnsi="Times New Roman" w:cs="Times New Roman"/>
                <w:sz w:val="20"/>
              </w:rPr>
              <w:t>15</w:t>
            </w:r>
          </w:p>
        </w:tc>
        <w:tc>
          <w:tcPr>
            <w:tcW w:w="1273" w:type="pct"/>
            <w:tcMar>
              <w:top w:w="22" w:type="dxa"/>
              <w:left w:w="28" w:type="dxa"/>
              <w:bottom w:w="22" w:type="dxa"/>
              <w:right w:w="28" w:type="dxa"/>
            </w:tcMar>
          </w:tcPr>
          <w:p w:rsidRPr="00EF02AC" w:rsidR="00EF02AC" w:rsidP="00E015FC" w:rsidRDefault="00EF02AC" w14:paraId="7BCD9D75" w14:textId="77777777">
            <w:pPr>
              <w:pStyle w:val="p-table"/>
              <w:rPr>
                <w:rFonts w:ascii="Times New Roman" w:hAnsi="Times New Roman" w:cs="Times New Roman"/>
                <w:sz w:val="20"/>
              </w:rPr>
            </w:pPr>
            <w:r w:rsidRPr="00EF02AC">
              <w:rPr>
                <w:rFonts w:ascii="Times New Roman" w:hAnsi="Times New Roman" w:cs="Times New Roman"/>
                <w:sz w:val="20"/>
              </w:rPr>
              <w:t>Vrachtwagenheffing</w:t>
            </w:r>
          </w:p>
        </w:tc>
        <w:tc>
          <w:tcPr>
            <w:tcW w:w="655" w:type="pct"/>
            <w:tcMar>
              <w:top w:w="22" w:type="dxa"/>
              <w:left w:w="28" w:type="dxa"/>
              <w:bottom w:w="22" w:type="dxa"/>
              <w:right w:w="28" w:type="dxa"/>
            </w:tcMar>
            <w:vAlign w:val="bottom"/>
          </w:tcPr>
          <w:p w:rsidRPr="00EF02AC" w:rsidR="00EF02AC" w:rsidP="00E015FC" w:rsidRDefault="00EF02AC" w14:paraId="1A1E7F5A" w14:textId="77777777">
            <w:pPr>
              <w:pStyle w:val="p-table"/>
              <w:jc w:val="right"/>
              <w:rPr>
                <w:rFonts w:ascii="Times New Roman" w:hAnsi="Times New Roman" w:cs="Times New Roman"/>
                <w:sz w:val="20"/>
              </w:rPr>
            </w:pPr>
            <w:r w:rsidRPr="00EF02AC">
              <w:rPr>
                <w:rFonts w:ascii="Times New Roman" w:hAnsi="Times New Roman" w:cs="Times New Roman"/>
                <w:sz w:val="20"/>
              </w:rPr>
              <w:t>374.484</w:t>
            </w:r>
          </w:p>
        </w:tc>
        <w:tc>
          <w:tcPr>
            <w:tcW w:w="532" w:type="pct"/>
            <w:tcMar>
              <w:top w:w="22" w:type="dxa"/>
              <w:left w:w="28" w:type="dxa"/>
              <w:bottom w:w="22" w:type="dxa"/>
              <w:right w:w="28" w:type="dxa"/>
            </w:tcMar>
            <w:vAlign w:val="bottom"/>
          </w:tcPr>
          <w:p w:rsidRPr="00EF02AC" w:rsidR="00EF02AC" w:rsidP="00E015FC" w:rsidRDefault="00EF02AC" w14:paraId="1F085E43" w14:textId="77777777">
            <w:pPr>
              <w:pStyle w:val="p-table"/>
              <w:jc w:val="right"/>
              <w:rPr>
                <w:rFonts w:ascii="Times New Roman" w:hAnsi="Times New Roman" w:cs="Times New Roman"/>
                <w:sz w:val="20"/>
              </w:rPr>
            </w:pPr>
            <w:r w:rsidRPr="00EF02AC">
              <w:rPr>
                <w:rFonts w:ascii="Times New Roman" w:hAnsi="Times New Roman" w:cs="Times New Roman"/>
                <w:sz w:val="20"/>
              </w:rPr>
              <w:t>374.484</w:t>
            </w:r>
          </w:p>
        </w:tc>
        <w:tc>
          <w:tcPr>
            <w:tcW w:w="589" w:type="pct"/>
            <w:tcMar>
              <w:top w:w="22" w:type="dxa"/>
              <w:left w:w="28" w:type="dxa"/>
              <w:bottom w:w="22" w:type="dxa"/>
              <w:right w:w="28" w:type="dxa"/>
            </w:tcMar>
            <w:vAlign w:val="bottom"/>
          </w:tcPr>
          <w:p w:rsidRPr="00EF02AC" w:rsidR="00EF02AC" w:rsidP="00E015FC" w:rsidRDefault="00EF02AC" w14:paraId="1F14FD85" w14:textId="77777777">
            <w:pPr>
              <w:pStyle w:val="p-table"/>
              <w:jc w:val="right"/>
              <w:rPr>
                <w:rFonts w:ascii="Times New Roman" w:hAnsi="Times New Roman" w:cs="Times New Roman"/>
                <w:sz w:val="20"/>
              </w:rPr>
            </w:pPr>
            <w:r w:rsidRPr="00EF02AC">
              <w:rPr>
                <w:rFonts w:ascii="Times New Roman" w:hAnsi="Times New Roman" w:cs="Times New Roman"/>
                <w:sz w:val="20"/>
              </w:rPr>
              <w:t>539.000</w:t>
            </w:r>
          </w:p>
        </w:tc>
        <w:tc>
          <w:tcPr>
            <w:tcW w:w="655" w:type="pct"/>
            <w:tcMar>
              <w:top w:w="22" w:type="dxa"/>
              <w:left w:w="28" w:type="dxa"/>
              <w:bottom w:w="22" w:type="dxa"/>
              <w:right w:w="28" w:type="dxa"/>
            </w:tcMar>
            <w:vAlign w:val="bottom"/>
          </w:tcPr>
          <w:p w:rsidRPr="00EF02AC" w:rsidR="00EF02AC" w:rsidP="00E015FC" w:rsidRDefault="00EF02AC" w14:paraId="034E8E3E" w14:textId="77777777">
            <w:pPr>
              <w:pStyle w:val="p-table"/>
              <w:jc w:val="right"/>
              <w:rPr>
                <w:rFonts w:ascii="Times New Roman" w:hAnsi="Times New Roman" w:cs="Times New Roman"/>
                <w:sz w:val="20"/>
              </w:rPr>
            </w:pPr>
            <w:r w:rsidRPr="00EF02AC">
              <w:rPr>
                <w:rFonts w:ascii="Times New Roman" w:hAnsi="Times New Roman" w:cs="Times New Roman"/>
                <w:sz w:val="20"/>
              </w:rPr>
              <w:t>‒ 10.205</w:t>
            </w:r>
          </w:p>
        </w:tc>
        <w:tc>
          <w:tcPr>
            <w:tcW w:w="523" w:type="pct"/>
            <w:tcMar>
              <w:top w:w="22" w:type="dxa"/>
              <w:left w:w="28" w:type="dxa"/>
              <w:bottom w:w="22" w:type="dxa"/>
              <w:right w:w="28" w:type="dxa"/>
            </w:tcMar>
            <w:vAlign w:val="bottom"/>
          </w:tcPr>
          <w:p w:rsidRPr="00EF02AC" w:rsidR="00EF02AC" w:rsidP="00E015FC" w:rsidRDefault="00EF02AC" w14:paraId="77B39977" w14:textId="77777777">
            <w:pPr>
              <w:pStyle w:val="p-table"/>
              <w:jc w:val="right"/>
              <w:rPr>
                <w:rFonts w:ascii="Times New Roman" w:hAnsi="Times New Roman" w:cs="Times New Roman"/>
                <w:sz w:val="20"/>
              </w:rPr>
            </w:pPr>
            <w:r w:rsidRPr="00EF02AC">
              <w:rPr>
                <w:rFonts w:ascii="Times New Roman" w:hAnsi="Times New Roman" w:cs="Times New Roman"/>
                <w:sz w:val="20"/>
              </w:rPr>
              <w:t>‒ 110.705</w:t>
            </w:r>
          </w:p>
        </w:tc>
        <w:tc>
          <w:tcPr>
            <w:tcW w:w="589" w:type="pct"/>
            <w:tcMar>
              <w:top w:w="22" w:type="dxa"/>
              <w:left w:w="28" w:type="dxa"/>
              <w:bottom w:w="22" w:type="dxa"/>
              <w:right w:w="28" w:type="dxa"/>
            </w:tcMar>
            <w:vAlign w:val="bottom"/>
          </w:tcPr>
          <w:p w:rsidRPr="00EF02AC" w:rsidR="00EF02AC" w:rsidP="00E015FC" w:rsidRDefault="00EF02AC" w14:paraId="40136C3C" w14:textId="77777777">
            <w:pPr>
              <w:pStyle w:val="p-table"/>
              <w:jc w:val="right"/>
              <w:rPr>
                <w:rFonts w:ascii="Times New Roman" w:hAnsi="Times New Roman" w:cs="Times New Roman"/>
                <w:sz w:val="20"/>
              </w:rPr>
            </w:pPr>
            <w:r w:rsidRPr="00EF02AC">
              <w:rPr>
                <w:rFonts w:ascii="Times New Roman" w:hAnsi="Times New Roman" w:cs="Times New Roman"/>
                <w:sz w:val="20"/>
              </w:rPr>
              <w:t>16.064</w:t>
            </w:r>
          </w:p>
        </w:tc>
      </w:tr>
      <w:tr w:rsidRPr="00EF02AC" w:rsidR="00EF02AC" w:rsidTr="00EF02AC" w14:paraId="4AEFDD76" w14:textId="77777777">
        <w:tc>
          <w:tcPr>
            <w:tcW w:w="184" w:type="pct"/>
            <w:tcMar>
              <w:top w:w="22" w:type="dxa"/>
              <w:bottom w:w="22" w:type="dxa"/>
              <w:right w:w="28" w:type="dxa"/>
            </w:tcMar>
          </w:tcPr>
          <w:p w:rsidRPr="00EF02AC" w:rsidR="00EF02AC" w:rsidP="00E015FC" w:rsidRDefault="00EF02AC" w14:paraId="688476B2" w14:textId="77777777">
            <w:pPr>
              <w:pStyle w:val="p-table"/>
              <w:rPr>
                <w:rFonts w:ascii="Times New Roman" w:hAnsi="Times New Roman" w:cs="Times New Roman"/>
                <w:sz w:val="20"/>
              </w:rPr>
            </w:pPr>
            <w:r w:rsidRPr="00EF02AC">
              <w:rPr>
                <w:rFonts w:ascii="Times New Roman" w:hAnsi="Times New Roman" w:cs="Times New Roman"/>
                <w:sz w:val="20"/>
              </w:rPr>
              <w:t>16</w:t>
            </w:r>
          </w:p>
        </w:tc>
        <w:tc>
          <w:tcPr>
            <w:tcW w:w="1273" w:type="pct"/>
            <w:tcMar>
              <w:top w:w="22" w:type="dxa"/>
              <w:left w:w="28" w:type="dxa"/>
              <w:bottom w:w="22" w:type="dxa"/>
              <w:right w:w="28" w:type="dxa"/>
            </w:tcMar>
          </w:tcPr>
          <w:p w:rsidRPr="00EF02AC" w:rsidR="00EF02AC" w:rsidP="00E015FC" w:rsidRDefault="00EF02AC" w14:paraId="3CCA8912" w14:textId="77777777">
            <w:pPr>
              <w:pStyle w:val="p-table"/>
              <w:rPr>
                <w:rFonts w:ascii="Times New Roman" w:hAnsi="Times New Roman" w:cs="Times New Roman"/>
                <w:sz w:val="20"/>
              </w:rPr>
            </w:pPr>
            <w:r w:rsidRPr="00EF02AC">
              <w:rPr>
                <w:rFonts w:ascii="Times New Roman" w:hAnsi="Times New Roman" w:cs="Times New Roman"/>
                <w:sz w:val="20"/>
              </w:rPr>
              <w:t>Openbaar vervoer en spoor</w:t>
            </w:r>
          </w:p>
        </w:tc>
        <w:tc>
          <w:tcPr>
            <w:tcW w:w="655" w:type="pct"/>
            <w:tcMar>
              <w:top w:w="22" w:type="dxa"/>
              <w:left w:w="28" w:type="dxa"/>
              <w:bottom w:w="22" w:type="dxa"/>
              <w:right w:w="28" w:type="dxa"/>
            </w:tcMar>
            <w:vAlign w:val="bottom"/>
          </w:tcPr>
          <w:p w:rsidRPr="00EF02AC" w:rsidR="00EF02AC" w:rsidP="00E015FC" w:rsidRDefault="00EF02AC" w14:paraId="40F93B6D" w14:textId="77777777">
            <w:pPr>
              <w:pStyle w:val="p-table"/>
              <w:jc w:val="right"/>
              <w:rPr>
                <w:rFonts w:ascii="Times New Roman" w:hAnsi="Times New Roman" w:cs="Times New Roman"/>
                <w:sz w:val="20"/>
              </w:rPr>
            </w:pPr>
            <w:r w:rsidRPr="00EF02AC">
              <w:rPr>
                <w:rFonts w:ascii="Times New Roman" w:hAnsi="Times New Roman" w:cs="Times New Roman"/>
                <w:sz w:val="20"/>
              </w:rPr>
              <w:t>250.511</w:t>
            </w:r>
          </w:p>
        </w:tc>
        <w:tc>
          <w:tcPr>
            <w:tcW w:w="532" w:type="pct"/>
            <w:tcMar>
              <w:top w:w="22" w:type="dxa"/>
              <w:left w:w="28" w:type="dxa"/>
              <w:bottom w:w="22" w:type="dxa"/>
              <w:right w:w="28" w:type="dxa"/>
            </w:tcMar>
            <w:vAlign w:val="bottom"/>
          </w:tcPr>
          <w:p w:rsidRPr="00EF02AC" w:rsidR="00EF02AC" w:rsidP="00E015FC" w:rsidRDefault="00EF02AC" w14:paraId="34698DCE" w14:textId="77777777">
            <w:pPr>
              <w:pStyle w:val="p-table"/>
              <w:jc w:val="right"/>
              <w:rPr>
                <w:rFonts w:ascii="Times New Roman" w:hAnsi="Times New Roman" w:cs="Times New Roman"/>
                <w:sz w:val="20"/>
              </w:rPr>
            </w:pPr>
            <w:r w:rsidRPr="00EF02AC">
              <w:rPr>
                <w:rFonts w:ascii="Times New Roman" w:hAnsi="Times New Roman" w:cs="Times New Roman"/>
                <w:sz w:val="20"/>
              </w:rPr>
              <w:t>256.998</w:t>
            </w:r>
          </w:p>
        </w:tc>
        <w:tc>
          <w:tcPr>
            <w:tcW w:w="589" w:type="pct"/>
            <w:tcMar>
              <w:top w:w="22" w:type="dxa"/>
              <w:left w:w="28" w:type="dxa"/>
              <w:bottom w:w="22" w:type="dxa"/>
              <w:right w:w="28" w:type="dxa"/>
            </w:tcMar>
            <w:vAlign w:val="bottom"/>
          </w:tcPr>
          <w:p w:rsidRPr="00EF02AC" w:rsidR="00EF02AC" w:rsidP="00E015FC" w:rsidRDefault="00EF02AC" w14:paraId="5071DD12"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3B3ACF16" w14:textId="77777777">
            <w:pPr>
              <w:pStyle w:val="p-table"/>
              <w:jc w:val="right"/>
              <w:rPr>
                <w:rFonts w:ascii="Times New Roman" w:hAnsi="Times New Roman" w:cs="Times New Roman"/>
                <w:sz w:val="20"/>
              </w:rPr>
            </w:pPr>
            <w:r w:rsidRPr="00EF02AC">
              <w:rPr>
                <w:rFonts w:ascii="Times New Roman" w:hAnsi="Times New Roman" w:cs="Times New Roman"/>
                <w:sz w:val="20"/>
              </w:rPr>
              <w:t>116.530</w:t>
            </w:r>
          </w:p>
        </w:tc>
        <w:tc>
          <w:tcPr>
            <w:tcW w:w="523" w:type="pct"/>
            <w:tcMar>
              <w:top w:w="22" w:type="dxa"/>
              <w:left w:w="28" w:type="dxa"/>
              <w:bottom w:w="22" w:type="dxa"/>
              <w:right w:w="28" w:type="dxa"/>
            </w:tcMar>
            <w:vAlign w:val="bottom"/>
          </w:tcPr>
          <w:p w:rsidRPr="00EF02AC" w:rsidR="00EF02AC" w:rsidP="00E015FC" w:rsidRDefault="00EF02AC" w14:paraId="5A2746C6" w14:textId="77777777">
            <w:pPr>
              <w:pStyle w:val="p-table"/>
              <w:jc w:val="right"/>
              <w:rPr>
                <w:rFonts w:ascii="Times New Roman" w:hAnsi="Times New Roman" w:cs="Times New Roman"/>
                <w:sz w:val="20"/>
              </w:rPr>
            </w:pPr>
            <w:r w:rsidRPr="00EF02AC">
              <w:rPr>
                <w:rFonts w:ascii="Times New Roman" w:hAnsi="Times New Roman" w:cs="Times New Roman"/>
                <w:sz w:val="20"/>
              </w:rPr>
              <w:t>128.963</w:t>
            </w:r>
          </w:p>
        </w:tc>
        <w:tc>
          <w:tcPr>
            <w:tcW w:w="589" w:type="pct"/>
            <w:tcMar>
              <w:top w:w="22" w:type="dxa"/>
              <w:left w:w="28" w:type="dxa"/>
              <w:bottom w:w="22" w:type="dxa"/>
              <w:right w:w="28" w:type="dxa"/>
            </w:tcMar>
            <w:vAlign w:val="bottom"/>
          </w:tcPr>
          <w:p w:rsidRPr="00EF02AC" w:rsidR="00EF02AC" w:rsidP="00E015FC" w:rsidRDefault="00EF02AC" w14:paraId="2FD2F438"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2C2F2C30" w14:textId="77777777">
        <w:tc>
          <w:tcPr>
            <w:tcW w:w="184" w:type="pct"/>
            <w:tcMar>
              <w:top w:w="22" w:type="dxa"/>
              <w:bottom w:w="22" w:type="dxa"/>
              <w:right w:w="28" w:type="dxa"/>
            </w:tcMar>
          </w:tcPr>
          <w:p w:rsidRPr="00EF02AC" w:rsidR="00EF02AC" w:rsidP="00E015FC" w:rsidRDefault="00EF02AC" w14:paraId="6F0FDEE4" w14:textId="77777777">
            <w:pPr>
              <w:pStyle w:val="p-table"/>
              <w:rPr>
                <w:rFonts w:ascii="Times New Roman" w:hAnsi="Times New Roman" w:cs="Times New Roman"/>
                <w:sz w:val="20"/>
              </w:rPr>
            </w:pPr>
            <w:r w:rsidRPr="00EF02AC">
              <w:rPr>
                <w:rFonts w:ascii="Times New Roman" w:hAnsi="Times New Roman" w:cs="Times New Roman"/>
                <w:sz w:val="20"/>
              </w:rPr>
              <w:t>17</w:t>
            </w:r>
          </w:p>
        </w:tc>
        <w:tc>
          <w:tcPr>
            <w:tcW w:w="1273" w:type="pct"/>
            <w:tcMar>
              <w:top w:w="22" w:type="dxa"/>
              <w:left w:w="28" w:type="dxa"/>
              <w:bottom w:w="22" w:type="dxa"/>
              <w:right w:w="28" w:type="dxa"/>
            </w:tcMar>
          </w:tcPr>
          <w:p w:rsidRPr="00EF02AC" w:rsidR="00EF02AC" w:rsidP="00E015FC" w:rsidRDefault="00EF02AC" w14:paraId="4EE6C7AA" w14:textId="77777777">
            <w:pPr>
              <w:pStyle w:val="p-table"/>
              <w:rPr>
                <w:rFonts w:ascii="Times New Roman" w:hAnsi="Times New Roman" w:cs="Times New Roman"/>
                <w:sz w:val="20"/>
              </w:rPr>
            </w:pPr>
            <w:r w:rsidRPr="00EF02AC">
              <w:rPr>
                <w:rFonts w:ascii="Times New Roman" w:hAnsi="Times New Roman" w:cs="Times New Roman"/>
                <w:sz w:val="20"/>
              </w:rPr>
              <w:t>Luchtvaart</w:t>
            </w:r>
          </w:p>
        </w:tc>
        <w:tc>
          <w:tcPr>
            <w:tcW w:w="655" w:type="pct"/>
            <w:tcMar>
              <w:top w:w="22" w:type="dxa"/>
              <w:left w:w="28" w:type="dxa"/>
              <w:bottom w:w="22" w:type="dxa"/>
              <w:right w:w="28" w:type="dxa"/>
            </w:tcMar>
            <w:vAlign w:val="bottom"/>
          </w:tcPr>
          <w:p w:rsidRPr="00EF02AC" w:rsidR="00EF02AC" w:rsidP="00E015FC" w:rsidRDefault="00EF02AC" w14:paraId="0686A1E6" w14:textId="77777777">
            <w:pPr>
              <w:pStyle w:val="p-table"/>
              <w:jc w:val="right"/>
              <w:rPr>
                <w:rFonts w:ascii="Times New Roman" w:hAnsi="Times New Roman" w:cs="Times New Roman"/>
                <w:sz w:val="20"/>
              </w:rPr>
            </w:pPr>
            <w:r w:rsidRPr="00EF02AC">
              <w:rPr>
                <w:rFonts w:ascii="Times New Roman" w:hAnsi="Times New Roman" w:cs="Times New Roman"/>
                <w:sz w:val="20"/>
              </w:rPr>
              <w:t>267.890</w:t>
            </w:r>
          </w:p>
        </w:tc>
        <w:tc>
          <w:tcPr>
            <w:tcW w:w="532" w:type="pct"/>
            <w:tcMar>
              <w:top w:w="22" w:type="dxa"/>
              <w:left w:w="28" w:type="dxa"/>
              <w:bottom w:w="22" w:type="dxa"/>
              <w:right w:w="28" w:type="dxa"/>
            </w:tcMar>
            <w:vAlign w:val="bottom"/>
          </w:tcPr>
          <w:p w:rsidRPr="00EF02AC" w:rsidR="00EF02AC" w:rsidP="00E015FC" w:rsidRDefault="00EF02AC" w14:paraId="75FD9F90" w14:textId="77777777">
            <w:pPr>
              <w:pStyle w:val="p-table"/>
              <w:jc w:val="right"/>
              <w:rPr>
                <w:rFonts w:ascii="Times New Roman" w:hAnsi="Times New Roman" w:cs="Times New Roman"/>
                <w:sz w:val="20"/>
              </w:rPr>
            </w:pPr>
            <w:r w:rsidRPr="00EF02AC">
              <w:rPr>
                <w:rFonts w:ascii="Times New Roman" w:hAnsi="Times New Roman" w:cs="Times New Roman"/>
                <w:sz w:val="20"/>
              </w:rPr>
              <w:t>125.057</w:t>
            </w:r>
          </w:p>
        </w:tc>
        <w:tc>
          <w:tcPr>
            <w:tcW w:w="589" w:type="pct"/>
            <w:tcMar>
              <w:top w:w="22" w:type="dxa"/>
              <w:left w:w="28" w:type="dxa"/>
              <w:bottom w:w="22" w:type="dxa"/>
              <w:right w:w="28" w:type="dxa"/>
            </w:tcMar>
            <w:vAlign w:val="bottom"/>
          </w:tcPr>
          <w:p w:rsidRPr="00EF02AC" w:rsidR="00EF02AC" w:rsidP="00E015FC" w:rsidRDefault="00EF02AC" w14:paraId="1DDF3B32" w14:textId="77777777">
            <w:pPr>
              <w:pStyle w:val="p-table"/>
              <w:jc w:val="right"/>
              <w:rPr>
                <w:rFonts w:ascii="Times New Roman" w:hAnsi="Times New Roman" w:cs="Times New Roman"/>
                <w:sz w:val="20"/>
              </w:rPr>
            </w:pPr>
            <w:r w:rsidRPr="00EF02AC">
              <w:rPr>
                <w:rFonts w:ascii="Times New Roman" w:hAnsi="Times New Roman" w:cs="Times New Roman"/>
                <w:sz w:val="20"/>
              </w:rPr>
              <w:t>12.711</w:t>
            </w:r>
          </w:p>
        </w:tc>
        <w:tc>
          <w:tcPr>
            <w:tcW w:w="655" w:type="pct"/>
            <w:tcMar>
              <w:top w:w="22" w:type="dxa"/>
              <w:left w:w="28" w:type="dxa"/>
              <w:bottom w:w="22" w:type="dxa"/>
              <w:right w:w="28" w:type="dxa"/>
            </w:tcMar>
            <w:vAlign w:val="bottom"/>
          </w:tcPr>
          <w:p w:rsidRPr="00EF02AC" w:rsidR="00EF02AC" w:rsidP="00E015FC" w:rsidRDefault="00EF02AC" w14:paraId="17EEA596" w14:textId="77777777">
            <w:pPr>
              <w:pStyle w:val="p-table"/>
              <w:jc w:val="right"/>
              <w:rPr>
                <w:rFonts w:ascii="Times New Roman" w:hAnsi="Times New Roman" w:cs="Times New Roman"/>
                <w:sz w:val="20"/>
              </w:rPr>
            </w:pPr>
            <w:r w:rsidRPr="00EF02AC">
              <w:rPr>
                <w:rFonts w:ascii="Times New Roman" w:hAnsi="Times New Roman" w:cs="Times New Roman"/>
                <w:sz w:val="20"/>
              </w:rPr>
              <w:t>‒ 102.609</w:t>
            </w:r>
          </w:p>
        </w:tc>
        <w:tc>
          <w:tcPr>
            <w:tcW w:w="523" w:type="pct"/>
            <w:tcMar>
              <w:top w:w="22" w:type="dxa"/>
              <w:left w:w="28" w:type="dxa"/>
              <w:bottom w:w="22" w:type="dxa"/>
              <w:right w:w="28" w:type="dxa"/>
            </w:tcMar>
            <w:vAlign w:val="bottom"/>
          </w:tcPr>
          <w:p w:rsidRPr="00EF02AC" w:rsidR="00EF02AC" w:rsidP="00E015FC" w:rsidRDefault="00EF02AC" w14:paraId="39533CB7" w14:textId="77777777">
            <w:pPr>
              <w:pStyle w:val="p-table"/>
              <w:jc w:val="right"/>
              <w:rPr>
                <w:rFonts w:ascii="Times New Roman" w:hAnsi="Times New Roman" w:cs="Times New Roman"/>
                <w:sz w:val="20"/>
              </w:rPr>
            </w:pPr>
            <w:r w:rsidRPr="00EF02AC">
              <w:rPr>
                <w:rFonts w:ascii="Times New Roman" w:hAnsi="Times New Roman" w:cs="Times New Roman"/>
                <w:sz w:val="20"/>
              </w:rPr>
              <w:t>‒ 9.653</w:t>
            </w:r>
          </w:p>
        </w:tc>
        <w:tc>
          <w:tcPr>
            <w:tcW w:w="589" w:type="pct"/>
            <w:tcMar>
              <w:top w:w="22" w:type="dxa"/>
              <w:left w:w="28" w:type="dxa"/>
              <w:bottom w:w="22" w:type="dxa"/>
              <w:right w:w="28" w:type="dxa"/>
            </w:tcMar>
            <w:vAlign w:val="bottom"/>
          </w:tcPr>
          <w:p w:rsidRPr="00EF02AC" w:rsidR="00EF02AC" w:rsidP="00E015FC" w:rsidRDefault="00EF02AC" w14:paraId="494D0E6C" w14:textId="77777777">
            <w:pPr>
              <w:pStyle w:val="p-table"/>
              <w:jc w:val="right"/>
              <w:rPr>
                <w:rFonts w:ascii="Times New Roman" w:hAnsi="Times New Roman" w:cs="Times New Roman"/>
                <w:sz w:val="20"/>
              </w:rPr>
            </w:pPr>
            <w:r w:rsidRPr="00EF02AC">
              <w:rPr>
                <w:rFonts w:ascii="Times New Roman" w:hAnsi="Times New Roman" w:cs="Times New Roman"/>
                <w:sz w:val="20"/>
              </w:rPr>
              <w:t>1.568</w:t>
            </w:r>
          </w:p>
        </w:tc>
      </w:tr>
      <w:tr w:rsidRPr="00EF02AC" w:rsidR="00EF02AC" w:rsidTr="00EF02AC" w14:paraId="1DE59027" w14:textId="77777777">
        <w:tc>
          <w:tcPr>
            <w:tcW w:w="184" w:type="pct"/>
            <w:tcMar>
              <w:top w:w="22" w:type="dxa"/>
              <w:bottom w:w="22" w:type="dxa"/>
              <w:right w:w="28" w:type="dxa"/>
            </w:tcMar>
          </w:tcPr>
          <w:p w:rsidRPr="00EF02AC" w:rsidR="00EF02AC" w:rsidP="00E015FC" w:rsidRDefault="00EF02AC" w14:paraId="28BEF6F2" w14:textId="77777777">
            <w:pPr>
              <w:pStyle w:val="p-table"/>
              <w:rPr>
                <w:rFonts w:ascii="Times New Roman" w:hAnsi="Times New Roman" w:cs="Times New Roman"/>
                <w:sz w:val="20"/>
              </w:rPr>
            </w:pPr>
            <w:r w:rsidRPr="00EF02AC">
              <w:rPr>
                <w:rFonts w:ascii="Times New Roman" w:hAnsi="Times New Roman" w:cs="Times New Roman"/>
                <w:sz w:val="20"/>
              </w:rPr>
              <w:t>18</w:t>
            </w:r>
          </w:p>
        </w:tc>
        <w:tc>
          <w:tcPr>
            <w:tcW w:w="1273" w:type="pct"/>
            <w:tcMar>
              <w:top w:w="22" w:type="dxa"/>
              <w:left w:w="28" w:type="dxa"/>
              <w:bottom w:w="22" w:type="dxa"/>
              <w:right w:w="28" w:type="dxa"/>
            </w:tcMar>
          </w:tcPr>
          <w:p w:rsidRPr="00EF02AC" w:rsidR="00EF02AC" w:rsidP="00E015FC" w:rsidRDefault="00EF02AC" w14:paraId="41145CA8" w14:textId="77777777">
            <w:pPr>
              <w:pStyle w:val="p-table"/>
              <w:rPr>
                <w:rFonts w:ascii="Times New Roman" w:hAnsi="Times New Roman" w:cs="Times New Roman"/>
                <w:sz w:val="20"/>
              </w:rPr>
            </w:pPr>
            <w:r w:rsidRPr="00EF02AC">
              <w:rPr>
                <w:rFonts w:ascii="Times New Roman" w:hAnsi="Times New Roman" w:cs="Times New Roman"/>
                <w:sz w:val="20"/>
              </w:rPr>
              <w:t>Scheepvaart en havens</w:t>
            </w:r>
          </w:p>
        </w:tc>
        <w:tc>
          <w:tcPr>
            <w:tcW w:w="655" w:type="pct"/>
            <w:tcMar>
              <w:top w:w="22" w:type="dxa"/>
              <w:left w:w="28" w:type="dxa"/>
              <w:bottom w:w="22" w:type="dxa"/>
              <w:right w:w="28" w:type="dxa"/>
            </w:tcMar>
            <w:vAlign w:val="bottom"/>
          </w:tcPr>
          <w:p w:rsidRPr="00EF02AC" w:rsidR="00EF02AC" w:rsidP="00E015FC" w:rsidRDefault="00EF02AC" w14:paraId="45338275" w14:textId="77777777">
            <w:pPr>
              <w:pStyle w:val="p-table"/>
              <w:jc w:val="right"/>
              <w:rPr>
                <w:rFonts w:ascii="Times New Roman" w:hAnsi="Times New Roman" w:cs="Times New Roman"/>
                <w:sz w:val="20"/>
              </w:rPr>
            </w:pPr>
            <w:r w:rsidRPr="00EF02AC">
              <w:rPr>
                <w:rFonts w:ascii="Times New Roman" w:hAnsi="Times New Roman" w:cs="Times New Roman"/>
                <w:sz w:val="20"/>
              </w:rPr>
              <w:t>139.592</w:t>
            </w:r>
          </w:p>
        </w:tc>
        <w:tc>
          <w:tcPr>
            <w:tcW w:w="532" w:type="pct"/>
            <w:tcMar>
              <w:top w:w="22" w:type="dxa"/>
              <w:left w:w="28" w:type="dxa"/>
              <w:bottom w:w="22" w:type="dxa"/>
              <w:right w:w="28" w:type="dxa"/>
            </w:tcMar>
            <w:vAlign w:val="bottom"/>
          </w:tcPr>
          <w:p w:rsidRPr="00EF02AC" w:rsidR="00EF02AC" w:rsidP="00E015FC" w:rsidRDefault="00EF02AC" w14:paraId="64208BC8" w14:textId="77777777">
            <w:pPr>
              <w:pStyle w:val="p-table"/>
              <w:jc w:val="right"/>
              <w:rPr>
                <w:rFonts w:ascii="Times New Roman" w:hAnsi="Times New Roman" w:cs="Times New Roman"/>
                <w:sz w:val="20"/>
              </w:rPr>
            </w:pPr>
            <w:r w:rsidRPr="00EF02AC">
              <w:rPr>
                <w:rFonts w:ascii="Times New Roman" w:hAnsi="Times New Roman" w:cs="Times New Roman"/>
                <w:sz w:val="20"/>
              </w:rPr>
              <w:t>162.239</w:t>
            </w:r>
          </w:p>
        </w:tc>
        <w:tc>
          <w:tcPr>
            <w:tcW w:w="589" w:type="pct"/>
            <w:tcMar>
              <w:top w:w="22" w:type="dxa"/>
              <w:left w:w="28" w:type="dxa"/>
              <w:bottom w:w="22" w:type="dxa"/>
              <w:right w:w="28" w:type="dxa"/>
            </w:tcMar>
            <w:vAlign w:val="bottom"/>
          </w:tcPr>
          <w:p w:rsidRPr="00EF02AC" w:rsidR="00EF02AC" w:rsidP="00E015FC" w:rsidRDefault="00EF02AC" w14:paraId="4F9F6A39"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31BADC22" w14:textId="77777777">
            <w:pPr>
              <w:pStyle w:val="p-table"/>
              <w:jc w:val="right"/>
              <w:rPr>
                <w:rFonts w:ascii="Times New Roman" w:hAnsi="Times New Roman" w:cs="Times New Roman"/>
                <w:sz w:val="20"/>
              </w:rPr>
            </w:pPr>
            <w:r w:rsidRPr="00EF02AC">
              <w:rPr>
                <w:rFonts w:ascii="Times New Roman" w:hAnsi="Times New Roman" w:cs="Times New Roman"/>
                <w:sz w:val="20"/>
              </w:rPr>
              <w:t>‒ 35.807</w:t>
            </w:r>
          </w:p>
        </w:tc>
        <w:tc>
          <w:tcPr>
            <w:tcW w:w="523" w:type="pct"/>
            <w:tcMar>
              <w:top w:w="22" w:type="dxa"/>
              <w:left w:w="28" w:type="dxa"/>
              <w:bottom w:w="22" w:type="dxa"/>
              <w:right w:w="28" w:type="dxa"/>
            </w:tcMar>
            <w:vAlign w:val="bottom"/>
          </w:tcPr>
          <w:p w:rsidRPr="00EF02AC" w:rsidR="00EF02AC" w:rsidP="00E015FC" w:rsidRDefault="00EF02AC" w14:paraId="689BCC81" w14:textId="77777777">
            <w:pPr>
              <w:pStyle w:val="p-table"/>
              <w:jc w:val="right"/>
              <w:rPr>
                <w:rFonts w:ascii="Times New Roman" w:hAnsi="Times New Roman" w:cs="Times New Roman"/>
                <w:sz w:val="20"/>
              </w:rPr>
            </w:pPr>
            <w:r w:rsidRPr="00EF02AC">
              <w:rPr>
                <w:rFonts w:ascii="Times New Roman" w:hAnsi="Times New Roman" w:cs="Times New Roman"/>
                <w:sz w:val="20"/>
              </w:rPr>
              <w:t>12.992</w:t>
            </w:r>
          </w:p>
        </w:tc>
        <w:tc>
          <w:tcPr>
            <w:tcW w:w="589" w:type="pct"/>
            <w:tcMar>
              <w:top w:w="22" w:type="dxa"/>
              <w:left w:w="28" w:type="dxa"/>
              <w:bottom w:w="22" w:type="dxa"/>
              <w:right w:w="28" w:type="dxa"/>
            </w:tcMar>
            <w:vAlign w:val="bottom"/>
          </w:tcPr>
          <w:p w:rsidRPr="00EF02AC" w:rsidR="00EF02AC" w:rsidP="00E015FC" w:rsidRDefault="00EF02AC" w14:paraId="3C016DFE" w14:textId="77777777">
            <w:pPr>
              <w:pStyle w:val="p-table"/>
              <w:jc w:val="right"/>
              <w:rPr>
                <w:rFonts w:ascii="Times New Roman" w:hAnsi="Times New Roman" w:cs="Times New Roman"/>
                <w:sz w:val="20"/>
              </w:rPr>
            </w:pPr>
            <w:r w:rsidRPr="00EF02AC">
              <w:rPr>
                <w:rFonts w:ascii="Times New Roman" w:hAnsi="Times New Roman" w:cs="Times New Roman"/>
                <w:sz w:val="20"/>
              </w:rPr>
              <w:t>1.360</w:t>
            </w:r>
          </w:p>
        </w:tc>
      </w:tr>
      <w:tr w:rsidRPr="00EF02AC" w:rsidR="00EF02AC" w:rsidTr="00EF02AC" w14:paraId="59724C4C" w14:textId="77777777">
        <w:tc>
          <w:tcPr>
            <w:tcW w:w="184" w:type="pct"/>
            <w:tcMar>
              <w:top w:w="22" w:type="dxa"/>
              <w:bottom w:w="22" w:type="dxa"/>
              <w:right w:w="28" w:type="dxa"/>
            </w:tcMar>
          </w:tcPr>
          <w:p w:rsidRPr="00EF02AC" w:rsidR="00EF02AC" w:rsidP="00E015FC" w:rsidRDefault="00EF02AC" w14:paraId="0AD7EAB5" w14:textId="77777777">
            <w:pPr>
              <w:pStyle w:val="p-table"/>
              <w:rPr>
                <w:rFonts w:ascii="Times New Roman" w:hAnsi="Times New Roman" w:cs="Times New Roman"/>
                <w:sz w:val="20"/>
              </w:rPr>
            </w:pPr>
            <w:r w:rsidRPr="00EF02AC">
              <w:rPr>
                <w:rFonts w:ascii="Times New Roman" w:hAnsi="Times New Roman" w:cs="Times New Roman"/>
                <w:sz w:val="20"/>
              </w:rPr>
              <w:t>19</w:t>
            </w:r>
          </w:p>
        </w:tc>
        <w:tc>
          <w:tcPr>
            <w:tcW w:w="1273" w:type="pct"/>
            <w:tcMar>
              <w:top w:w="22" w:type="dxa"/>
              <w:left w:w="28" w:type="dxa"/>
              <w:bottom w:w="22" w:type="dxa"/>
              <w:right w:w="28" w:type="dxa"/>
            </w:tcMar>
          </w:tcPr>
          <w:p w:rsidRPr="00EF02AC" w:rsidR="00EF02AC" w:rsidP="00E015FC" w:rsidRDefault="00EF02AC" w14:paraId="1853E09F" w14:textId="77777777">
            <w:pPr>
              <w:pStyle w:val="p-table"/>
              <w:rPr>
                <w:rFonts w:ascii="Times New Roman" w:hAnsi="Times New Roman" w:cs="Times New Roman"/>
                <w:sz w:val="20"/>
              </w:rPr>
            </w:pPr>
            <w:r w:rsidRPr="00EF02AC">
              <w:rPr>
                <w:rFonts w:ascii="Times New Roman" w:hAnsi="Times New Roman" w:cs="Times New Roman"/>
                <w:sz w:val="20"/>
              </w:rPr>
              <w:t>Internationaal Beleid</w:t>
            </w:r>
          </w:p>
        </w:tc>
        <w:tc>
          <w:tcPr>
            <w:tcW w:w="655" w:type="pct"/>
            <w:tcMar>
              <w:top w:w="22" w:type="dxa"/>
              <w:left w:w="28" w:type="dxa"/>
              <w:bottom w:w="22" w:type="dxa"/>
              <w:right w:w="28" w:type="dxa"/>
            </w:tcMar>
            <w:vAlign w:val="bottom"/>
          </w:tcPr>
          <w:p w:rsidRPr="00EF02AC" w:rsidR="00EF02AC" w:rsidP="00E015FC" w:rsidRDefault="00EF02AC" w14:paraId="64DCF672" w14:textId="77777777">
            <w:pPr>
              <w:pStyle w:val="p-table"/>
              <w:jc w:val="right"/>
              <w:rPr>
                <w:rFonts w:ascii="Times New Roman" w:hAnsi="Times New Roman" w:cs="Times New Roman"/>
                <w:sz w:val="20"/>
              </w:rPr>
            </w:pPr>
            <w:r w:rsidRPr="00EF02AC">
              <w:rPr>
                <w:rFonts w:ascii="Times New Roman" w:hAnsi="Times New Roman" w:cs="Times New Roman"/>
                <w:sz w:val="20"/>
              </w:rPr>
              <w:t>10.102</w:t>
            </w:r>
          </w:p>
        </w:tc>
        <w:tc>
          <w:tcPr>
            <w:tcW w:w="532" w:type="pct"/>
            <w:tcMar>
              <w:top w:w="22" w:type="dxa"/>
              <w:left w:w="28" w:type="dxa"/>
              <w:bottom w:w="22" w:type="dxa"/>
              <w:right w:w="28" w:type="dxa"/>
            </w:tcMar>
            <w:vAlign w:val="bottom"/>
          </w:tcPr>
          <w:p w:rsidRPr="00EF02AC" w:rsidR="00EF02AC" w:rsidP="00E015FC" w:rsidRDefault="00EF02AC" w14:paraId="0BE76695" w14:textId="77777777">
            <w:pPr>
              <w:pStyle w:val="p-table"/>
              <w:jc w:val="right"/>
              <w:rPr>
                <w:rFonts w:ascii="Times New Roman" w:hAnsi="Times New Roman" w:cs="Times New Roman"/>
                <w:sz w:val="20"/>
              </w:rPr>
            </w:pPr>
            <w:r w:rsidRPr="00EF02AC">
              <w:rPr>
                <w:rFonts w:ascii="Times New Roman" w:hAnsi="Times New Roman" w:cs="Times New Roman"/>
                <w:sz w:val="20"/>
              </w:rPr>
              <w:t>11.030</w:t>
            </w:r>
          </w:p>
        </w:tc>
        <w:tc>
          <w:tcPr>
            <w:tcW w:w="589" w:type="pct"/>
            <w:tcMar>
              <w:top w:w="22" w:type="dxa"/>
              <w:left w:w="28" w:type="dxa"/>
              <w:bottom w:w="22" w:type="dxa"/>
              <w:right w:w="28" w:type="dxa"/>
            </w:tcMar>
            <w:vAlign w:val="bottom"/>
          </w:tcPr>
          <w:p w:rsidRPr="00EF02AC" w:rsidR="00EF02AC" w:rsidP="00E015FC" w:rsidRDefault="00EF02AC" w14:paraId="47571C93" w14:textId="77777777">
            <w:pPr>
              <w:pStyle w:val="p-table"/>
              <w:jc w:val="right"/>
              <w:rPr>
                <w:rFonts w:ascii="Times New Roman" w:hAnsi="Times New Roman" w:cs="Times New Roman"/>
                <w:sz w:val="20"/>
              </w:rPr>
            </w:pPr>
            <w:r w:rsidRPr="00EF02AC">
              <w:rPr>
                <w:rFonts w:ascii="Times New Roman" w:hAnsi="Times New Roman" w:cs="Times New Roman"/>
                <w:sz w:val="20"/>
              </w:rPr>
              <w:t>802</w:t>
            </w:r>
          </w:p>
        </w:tc>
        <w:tc>
          <w:tcPr>
            <w:tcW w:w="655" w:type="pct"/>
            <w:tcMar>
              <w:top w:w="22" w:type="dxa"/>
              <w:left w:w="28" w:type="dxa"/>
              <w:bottom w:w="22" w:type="dxa"/>
              <w:right w:w="28" w:type="dxa"/>
            </w:tcMar>
            <w:vAlign w:val="bottom"/>
          </w:tcPr>
          <w:p w:rsidRPr="00EF02AC" w:rsidR="00EF02AC" w:rsidP="00E015FC" w:rsidRDefault="00EF02AC" w14:paraId="73F000F3" w14:textId="77777777">
            <w:pPr>
              <w:pStyle w:val="p-table"/>
              <w:jc w:val="right"/>
              <w:rPr>
                <w:rFonts w:ascii="Times New Roman" w:hAnsi="Times New Roman" w:cs="Times New Roman"/>
                <w:sz w:val="20"/>
              </w:rPr>
            </w:pPr>
            <w:r w:rsidRPr="00EF02AC">
              <w:rPr>
                <w:rFonts w:ascii="Times New Roman" w:hAnsi="Times New Roman" w:cs="Times New Roman"/>
                <w:sz w:val="20"/>
              </w:rPr>
              <w:t>686</w:t>
            </w:r>
          </w:p>
        </w:tc>
        <w:tc>
          <w:tcPr>
            <w:tcW w:w="523" w:type="pct"/>
            <w:tcMar>
              <w:top w:w="22" w:type="dxa"/>
              <w:left w:w="28" w:type="dxa"/>
              <w:bottom w:w="22" w:type="dxa"/>
              <w:right w:w="28" w:type="dxa"/>
            </w:tcMar>
            <w:vAlign w:val="bottom"/>
          </w:tcPr>
          <w:p w:rsidRPr="00EF02AC" w:rsidR="00EF02AC" w:rsidP="00E015FC" w:rsidRDefault="00EF02AC" w14:paraId="59616A67" w14:textId="77777777">
            <w:pPr>
              <w:pStyle w:val="p-table"/>
              <w:jc w:val="right"/>
              <w:rPr>
                <w:rFonts w:ascii="Times New Roman" w:hAnsi="Times New Roman" w:cs="Times New Roman"/>
                <w:sz w:val="20"/>
              </w:rPr>
            </w:pPr>
            <w:r w:rsidRPr="00EF02AC">
              <w:rPr>
                <w:rFonts w:ascii="Times New Roman" w:hAnsi="Times New Roman" w:cs="Times New Roman"/>
                <w:sz w:val="20"/>
              </w:rPr>
              <w:t>767</w:t>
            </w:r>
          </w:p>
        </w:tc>
        <w:tc>
          <w:tcPr>
            <w:tcW w:w="589" w:type="pct"/>
            <w:tcMar>
              <w:top w:w="22" w:type="dxa"/>
              <w:left w:w="28" w:type="dxa"/>
              <w:bottom w:w="22" w:type="dxa"/>
              <w:right w:w="28" w:type="dxa"/>
            </w:tcMar>
            <w:vAlign w:val="bottom"/>
          </w:tcPr>
          <w:p w:rsidRPr="00EF02AC" w:rsidR="00EF02AC" w:rsidP="00E015FC" w:rsidRDefault="00EF02AC" w14:paraId="093BE2A3" w14:textId="77777777">
            <w:pPr>
              <w:pStyle w:val="p-table"/>
              <w:jc w:val="right"/>
              <w:rPr>
                <w:rFonts w:ascii="Times New Roman" w:hAnsi="Times New Roman" w:cs="Times New Roman"/>
                <w:sz w:val="20"/>
              </w:rPr>
            </w:pPr>
            <w:r w:rsidRPr="00EF02AC">
              <w:rPr>
                <w:rFonts w:ascii="Times New Roman" w:hAnsi="Times New Roman" w:cs="Times New Roman"/>
                <w:sz w:val="20"/>
              </w:rPr>
              <w:t>397</w:t>
            </w:r>
          </w:p>
        </w:tc>
      </w:tr>
      <w:tr w:rsidRPr="00EF02AC" w:rsidR="00EF02AC" w:rsidTr="00EF02AC" w14:paraId="0F2A1907" w14:textId="77777777">
        <w:tc>
          <w:tcPr>
            <w:tcW w:w="184" w:type="pct"/>
            <w:tcMar>
              <w:top w:w="22" w:type="dxa"/>
              <w:bottom w:w="22" w:type="dxa"/>
              <w:right w:w="28" w:type="dxa"/>
            </w:tcMar>
          </w:tcPr>
          <w:p w:rsidRPr="00EF02AC" w:rsidR="00EF02AC" w:rsidP="00E015FC" w:rsidRDefault="00EF02AC" w14:paraId="10E5EB96" w14:textId="77777777">
            <w:pPr>
              <w:pStyle w:val="p-table"/>
              <w:rPr>
                <w:rFonts w:ascii="Times New Roman" w:hAnsi="Times New Roman" w:cs="Times New Roman"/>
                <w:sz w:val="20"/>
              </w:rPr>
            </w:pPr>
            <w:r w:rsidRPr="00EF02AC">
              <w:rPr>
                <w:rFonts w:ascii="Times New Roman" w:hAnsi="Times New Roman" w:cs="Times New Roman"/>
                <w:sz w:val="20"/>
              </w:rPr>
              <w:t>20</w:t>
            </w:r>
          </w:p>
        </w:tc>
        <w:tc>
          <w:tcPr>
            <w:tcW w:w="1273" w:type="pct"/>
            <w:tcMar>
              <w:top w:w="22" w:type="dxa"/>
              <w:left w:w="28" w:type="dxa"/>
              <w:bottom w:w="22" w:type="dxa"/>
              <w:right w:w="28" w:type="dxa"/>
            </w:tcMar>
          </w:tcPr>
          <w:p w:rsidRPr="00EF02AC" w:rsidR="00EF02AC" w:rsidP="00E015FC" w:rsidRDefault="00EF02AC" w14:paraId="5F8B8327" w14:textId="77777777">
            <w:pPr>
              <w:pStyle w:val="p-table"/>
              <w:rPr>
                <w:rFonts w:ascii="Times New Roman" w:hAnsi="Times New Roman" w:cs="Times New Roman"/>
                <w:sz w:val="20"/>
              </w:rPr>
            </w:pPr>
            <w:r w:rsidRPr="00EF02AC">
              <w:rPr>
                <w:rFonts w:ascii="Times New Roman" w:hAnsi="Times New Roman" w:cs="Times New Roman"/>
                <w:sz w:val="20"/>
              </w:rPr>
              <w:t>Lucht en geluid</w:t>
            </w:r>
          </w:p>
        </w:tc>
        <w:tc>
          <w:tcPr>
            <w:tcW w:w="655" w:type="pct"/>
            <w:tcMar>
              <w:top w:w="22" w:type="dxa"/>
              <w:left w:w="28" w:type="dxa"/>
              <w:bottom w:w="22" w:type="dxa"/>
              <w:right w:w="28" w:type="dxa"/>
            </w:tcMar>
            <w:vAlign w:val="bottom"/>
          </w:tcPr>
          <w:p w:rsidRPr="00EF02AC" w:rsidR="00EF02AC" w:rsidP="00E015FC" w:rsidRDefault="00EF02AC" w14:paraId="063348B6" w14:textId="77777777">
            <w:pPr>
              <w:pStyle w:val="p-table"/>
              <w:jc w:val="right"/>
              <w:rPr>
                <w:rFonts w:ascii="Times New Roman" w:hAnsi="Times New Roman" w:cs="Times New Roman"/>
                <w:sz w:val="20"/>
              </w:rPr>
            </w:pPr>
            <w:r w:rsidRPr="00EF02AC">
              <w:rPr>
                <w:rFonts w:ascii="Times New Roman" w:hAnsi="Times New Roman" w:cs="Times New Roman"/>
                <w:sz w:val="20"/>
              </w:rPr>
              <w:t>54.870</w:t>
            </w:r>
          </w:p>
        </w:tc>
        <w:tc>
          <w:tcPr>
            <w:tcW w:w="532" w:type="pct"/>
            <w:tcMar>
              <w:top w:w="22" w:type="dxa"/>
              <w:left w:w="28" w:type="dxa"/>
              <w:bottom w:w="22" w:type="dxa"/>
              <w:right w:w="28" w:type="dxa"/>
            </w:tcMar>
            <w:vAlign w:val="bottom"/>
          </w:tcPr>
          <w:p w:rsidRPr="00EF02AC" w:rsidR="00EF02AC" w:rsidP="00E015FC" w:rsidRDefault="00EF02AC" w14:paraId="787923EA" w14:textId="77777777">
            <w:pPr>
              <w:pStyle w:val="p-table"/>
              <w:jc w:val="right"/>
              <w:rPr>
                <w:rFonts w:ascii="Times New Roman" w:hAnsi="Times New Roman" w:cs="Times New Roman"/>
                <w:sz w:val="20"/>
              </w:rPr>
            </w:pPr>
            <w:r w:rsidRPr="00EF02AC">
              <w:rPr>
                <w:rFonts w:ascii="Times New Roman" w:hAnsi="Times New Roman" w:cs="Times New Roman"/>
                <w:sz w:val="20"/>
              </w:rPr>
              <w:t>60.816</w:t>
            </w:r>
          </w:p>
        </w:tc>
        <w:tc>
          <w:tcPr>
            <w:tcW w:w="589" w:type="pct"/>
            <w:tcMar>
              <w:top w:w="22" w:type="dxa"/>
              <w:left w:w="28" w:type="dxa"/>
              <w:bottom w:w="22" w:type="dxa"/>
              <w:right w:w="28" w:type="dxa"/>
            </w:tcMar>
            <w:vAlign w:val="bottom"/>
          </w:tcPr>
          <w:p w:rsidRPr="00EF02AC" w:rsidR="00EF02AC" w:rsidP="00E015FC" w:rsidRDefault="00EF02AC" w14:paraId="5A63B1E1" w14:textId="77777777">
            <w:pPr>
              <w:pStyle w:val="p-table"/>
              <w:jc w:val="right"/>
              <w:rPr>
                <w:rFonts w:ascii="Times New Roman" w:hAnsi="Times New Roman" w:cs="Times New Roman"/>
                <w:sz w:val="20"/>
              </w:rPr>
            </w:pPr>
            <w:r w:rsidRPr="00EF02AC">
              <w:rPr>
                <w:rFonts w:ascii="Times New Roman" w:hAnsi="Times New Roman" w:cs="Times New Roman"/>
                <w:sz w:val="20"/>
              </w:rPr>
              <w:t>1.000</w:t>
            </w:r>
          </w:p>
        </w:tc>
        <w:tc>
          <w:tcPr>
            <w:tcW w:w="655" w:type="pct"/>
            <w:tcMar>
              <w:top w:w="22" w:type="dxa"/>
              <w:left w:w="28" w:type="dxa"/>
              <w:bottom w:w="22" w:type="dxa"/>
              <w:right w:w="28" w:type="dxa"/>
            </w:tcMar>
            <w:vAlign w:val="bottom"/>
          </w:tcPr>
          <w:p w:rsidRPr="00EF02AC" w:rsidR="00EF02AC" w:rsidP="00E015FC" w:rsidRDefault="00EF02AC" w14:paraId="3DABF7E7" w14:textId="77777777">
            <w:pPr>
              <w:pStyle w:val="p-table"/>
              <w:jc w:val="right"/>
              <w:rPr>
                <w:rFonts w:ascii="Times New Roman" w:hAnsi="Times New Roman" w:cs="Times New Roman"/>
                <w:sz w:val="20"/>
              </w:rPr>
            </w:pPr>
            <w:r w:rsidRPr="00EF02AC">
              <w:rPr>
                <w:rFonts w:ascii="Times New Roman" w:hAnsi="Times New Roman" w:cs="Times New Roman"/>
                <w:sz w:val="20"/>
              </w:rPr>
              <w:t>‒ 200</w:t>
            </w:r>
          </w:p>
        </w:tc>
        <w:tc>
          <w:tcPr>
            <w:tcW w:w="523" w:type="pct"/>
            <w:tcMar>
              <w:top w:w="22" w:type="dxa"/>
              <w:left w:w="28" w:type="dxa"/>
              <w:bottom w:w="22" w:type="dxa"/>
              <w:right w:w="28" w:type="dxa"/>
            </w:tcMar>
            <w:vAlign w:val="bottom"/>
          </w:tcPr>
          <w:p w:rsidRPr="00EF02AC" w:rsidR="00EF02AC" w:rsidP="00E015FC" w:rsidRDefault="00EF02AC" w14:paraId="095239BB" w14:textId="77777777">
            <w:pPr>
              <w:pStyle w:val="p-table"/>
              <w:jc w:val="right"/>
              <w:rPr>
                <w:rFonts w:ascii="Times New Roman" w:hAnsi="Times New Roman" w:cs="Times New Roman"/>
                <w:sz w:val="20"/>
              </w:rPr>
            </w:pPr>
            <w:r w:rsidRPr="00EF02AC">
              <w:rPr>
                <w:rFonts w:ascii="Times New Roman" w:hAnsi="Times New Roman" w:cs="Times New Roman"/>
                <w:sz w:val="20"/>
              </w:rPr>
              <w:t>206</w:t>
            </w:r>
          </w:p>
        </w:tc>
        <w:tc>
          <w:tcPr>
            <w:tcW w:w="589" w:type="pct"/>
            <w:tcMar>
              <w:top w:w="22" w:type="dxa"/>
              <w:left w:w="28" w:type="dxa"/>
              <w:bottom w:w="22" w:type="dxa"/>
              <w:right w:w="28" w:type="dxa"/>
            </w:tcMar>
            <w:vAlign w:val="bottom"/>
          </w:tcPr>
          <w:p w:rsidRPr="00EF02AC" w:rsidR="00EF02AC" w:rsidP="00E015FC" w:rsidRDefault="00EF02AC" w14:paraId="327D621F"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225639E6" w14:textId="77777777">
        <w:tc>
          <w:tcPr>
            <w:tcW w:w="184" w:type="pct"/>
            <w:tcMar>
              <w:top w:w="22" w:type="dxa"/>
              <w:bottom w:w="22" w:type="dxa"/>
              <w:right w:w="28" w:type="dxa"/>
            </w:tcMar>
          </w:tcPr>
          <w:p w:rsidRPr="00EF02AC" w:rsidR="00EF02AC" w:rsidP="00E015FC" w:rsidRDefault="00EF02AC" w14:paraId="5D0EEC3F" w14:textId="77777777">
            <w:pPr>
              <w:pStyle w:val="p-table"/>
              <w:rPr>
                <w:rFonts w:ascii="Times New Roman" w:hAnsi="Times New Roman" w:cs="Times New Roman"/>
                <w:sz w:val="20"/>
              </w:rPr>
            </w:pPr>
            <w:r w:rsidRPr="00EF02AC">
              <w:rPr>
                <w:rFonts w:ascii="Times New Roman" w:hAnsi="Times New Roman" w:cs="Times New Roman"/>
                <w:sz w:val="20"/>
              </w:rPr>
              <w:t>21</w:t>
            </w:r>
          </w:p>
        </w:tc>
        <w:tc>
          <w:tcPr>
            <w:tcW w:w="1273" w:type="pct"/>
            <w:tcMar>
              <w:top w:w="22" w:type="dxa"/>
              <w:left w:w="28" w:type="dxa"/>
              <w:bottom w:w="22" w:type="dxa"/>
              <w:right w:w="28" w:type="dxa"/>
            </w:tcMar>
          </w:tcPr>
          <w:p w:rsidRPr="00EF02AC" w:rsidR="00EF02AC" w:rsidP="00E015FC" w:rsidRDefault="00EF02AC" w14:paraId="208A0A66" w14:textId="77777777">
            <w:pPr>
              <w:pStyle w:val="p-table"/>
              <w:rPr>
                <w:rFonts w:ascii="Times New Roman" w:hAnsi="Times New Roman" w:cs="Times New Roman"/>
                <w:sz w:val="20"/>
              </w:rPr>
            </w:pPr>
            <w:r w:rsidRPr="00EF02AC">
              <w:rPr>
                <w:rFonts w:ascii="Times New Roman" w:hAnsi="Times New Roman" w:cs="Times New Roman"/>
                <w:sz w:val="20"/>
              </w:rPr>
              <w:t>Circulaire Economie</w:t>
            </w:r>
          </w:p>
        </w:tc>
        <w:tc>
          <w:tcPr>
            <w:tcW w:w="655" w:type="pct"/>
            <w:tcMar>
              <w:top w:w="22" w:type="dxa"/>
              <w:left w:w="28" w:type="dxa"/>
              <w:bottom w:w="22" w:type="dxa"/>
              <w:right w:w="28" w:type="dxa"/>
            </w:tcMar>
            <w:vAlign w:val="bottom"/>
          </w:tcPr>
          <w:p w:rsidRPr="00EF02AC" w:rsidR="00EF02AC" w:rsidP="00E015FC" w:rsidRDefault="00EF02AC" w14:paraId="6ABDB8E7" w14:textId="77777777">
            <w:pPr>
              <w:pStyle w:val="p-table"/>
              <w:jc w:val="right"/>
              <w:rPr>
                <w:rFonts w:ascii="Times New Roman" w:hAnsi="Times New Roman" w:cs="Times New Roman"/>
                <w:sz w:val="20"/>
              </w:rPr>
            </w:pPr>
            <w:r w:rsidRPr="00EF02AC">
              <w:rPr>
                <w:rFonts w:ascii="Times New Roman" w:hAnsi="Times New Roman" w:cs="Times New Roman"/>
                <w:sz w:val="20"/>
              </w:rPr>
              <w:t>65.775</w:t>
            </w:r>
          </w:p>
        </w:tc>
        <w:tc>
          <w:tcPr>
            <w:tcW w:w="532" w:type="pct"/>
            <w:tcMar>
              <w:top w:w="22" w:type="dxa"/>
              <w:left w:w="28" w:type="dxa"/>
              <w:bottom w:w="22" w:type="dxa"/>
              <w:right w:w="28" w:type="dxa"/>
            </w:tcMar>
            <w:vAlign w:val="bottom"/>
          </w:tcPr>
          <w:p w:rsidRPr="00EF02AC" w:rsidR="00EF02AC" w:rsidP="00E015FC" w:rsidRDefault="00EF02AC" w14:paraId="0B6B6B8F" w14:textId="77777777">
            <w:pPr>
              <w:pStyle w:val="p-table"/>
              <w:jc w:val="right"/>
              <w:rPr>
                <w:rFonts w:ascii="Times New Roman" w:hAnsi="Times New Roman" w:cs="Times New Roman"/>
                <w:sz w:val="20"/>
              </w:rPr>
            </w:pPr>
            <w:r w:rsidRPr="00EF02AC">
              <w:rPr>
                <w:rFonts w:ascii="Times New Roman" w:hAnsi="Times New Roman" w:cs="Times New Roman"/>
                <w:sz w:val="20"/>
              </w:rPr>
              <w:t>69.734</w:t>
            </w:r>
          </w:p>
        </w:tc>
        <w:tc>
          <w:tcPr>
            <w:tcW w:w="589" w:type="pct"/>
            <w:tcMar>
              <w:top w:w="22" w:type="dxa"/>
              <w:left w:w="28" w:type="dxa"/>
              <w:bottom w:w="22" w:type="dxa"/>
              <w:right w:w="28" w:type="dxa"/>
            </w:tcMar>
            <w:vAlign w:val="bottom"/>
          </w:tcPr>
          <w:p w:rsidRPr="00EF02AC" w:rsidR="00EF02AC" w:rsidP="00E015FC" w:rsidRDefault="00EF02AC" w14:paraId="330A072B"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22C1DBA2" w14:textId="77777777">
            <w:pPr>
              <w:pStyle w:val="p-table"/>
              <w:jc w:val="right"/>
              <w:rPr>
                <w:rFonts w:ascii="Times New Roman" w:hAnsi="Times New Roman" w:cs="Times New Roman"/>
                <w:sz w:val="20"/>
              </w:rPr>
            </w:pPr>
            <w:r w:rsidRPr="00EF02AC">
              <w:rPr>
                <w:rFonts w:ascii="Times New Roman" w:hAnsi="Times New Roman" w:cs="Times New Roman"/>
                <w:sz w:val="20"/>
              </w:rPr>
              <w:t>18.914</w:t>
            </w:r>
          </w:p>
        </w:tc>
        <w:tc>
          <w:tcPr>
            <w:tcW w:w="523" w:type="pct"/>
            <w:tcMar>
              <w:top w:w="22" w:type="dxa"/>
              <w:left w:w="28" w:type="dxa"/>
              <w:bottom w:w="22" w:type="dxa"/>
              <w:right w:w="28" w:type="dxa"/>
            </w:tcMar>
            <w:vAlign w:val="bottom"/>
          </w:tcPr>
          <w:p w:rsidRPr="00EF02AC" w:rsidR="00EF02AC" w:rsidP="00E015FC" w:rsidRDefault="00EF02AC" w14:paraId="0213959F" w14:textId="77777777">
            <w:pPr>
              <w:pStyle w:val="p-table"/>
              <w:jc w:val="right"/>
              <w:rPr>
                <w:rFonts w:ascii="Times New Roman" w:hAnsi="Times New Roman" w:cs="Times New Roman"/>
                <w:sz w:val="20"/>
              </w:rPr>
            </w:pPr>
            <w:r w:rsidRPr="00EF02AC">
              <w:rPr>
                <w:rFonts w:ascii="Times New Roman" w:hAnsi="Times New Roman" w:cs="Times New Roman"/>
                <w:sz w:val="20"/>
              </w:rPr>
              <w:t>7.257</w:t>
            </w:r>
          </w:p>
        </w:tc>
        <w:tc>
          <w:tcPr>
            <w:tcW w:w="589" w:type="pct"/>
            <w:tcMar>
              <w:top w:w="22" w:type="dxa"/>
              <w:left w:w="28" w:type="dxa"/>
              <w:bottom w:w="22" w:type="dxa"/>
              <w:right w:w="28" w:type="dxa"/>
            </w:tcMar>
            <w:vAlign w:val="bottom"/>
          </w:tcPr>
          <w:p w:rsidRPr="00EF02AC" w:rsidR="00EF02AC" w:rsidP="00E015FC" w:rsidRDefault="00EF02AC" w14:paraId="445F97FA"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30AA5475" w14:textId="77777777">
        <w:tc>
          <w:tcPr>
            <w:tcW w:w="184" w:type="pct"/>
            <w:tcMar>
              <w:top w:w="22" w:type="dxa"/>
              <w:bottom w:w="22" w:type="dxa"/>
              <w:right w:w="28" w:type="dxa"/>
            </w:tcMar>
          </w:tcPr>
          <w:p w:rsidRPr="00EF02AC" w:rsidR="00EF02AC" w:rsidP="00E015FC" w:rsidRDefault="00EF02AC" w14:paraId="60F8027F" w14:textId="77777777">
            <w:pPr>
              <w:pStyle w:val="p-table"/>
              <w:rPr>
                <w:rFonts w:ascii="Times New Roman" w:hAnsi="Times New Roman" w:cs="Times New Roman"/>
                <w:sz w:val="20"/>
              </w:rPr>
            </w:pPr>
            <w:r w:rsidRPr="00EF02AC">
              <w:rPr>
                <w:rFonts w:ascii="Times New Roman" w:hAnsi="Times New Roman" w:cs="Times New Roman"/>
                <w:sz w:val="20"/>
              </w:rPr>
              <w:t>22</w:t>
            </w:r>
          </w:p>
        </w:tc>
        <w:tc>
          <w:tcPr>
            <w:tcW w:w="1273" w:type="pct"/>
            <w:tcMar>
              <w:top w:w="22" w:type="dxa"/>
              <w:left w:w="28" w:type="dxa"/>
              <w:bottom w:w="22" w:type="dxa"/>
              <w:right w:w="28" w:type="dxa"/>
            </w:tcMar>
          </w:tcPr>
          <w:p w:rsidRPr="00EF02AC" w:rsidR="00EF02AC" w:rsidP="00E015FC" w:rsidRDefault="00EF02AC" w14:paraId="2584A917" w14:textId="77777777">
            <w:pPr>
              <w:pStyle w:val="p-table"/>
              <w:rPr>
                <w:rFonts w:ascii="Times New Roman" w:hAnsi="Times New Roman" w:cs="Times New Roman"/>
                <w:sz w:val="20"/>
              </w:rPr>
            </w:pPr>
            <w:r w:rsidRPr="00EF02AC">
              <w:rPr>
                <w:rFonts w:ascii="Times New Roman" w:hAnsi="Times New Roman" w:cs="Times New Roman"/>
                <w:sz w:val="20"/>
              </w:rPr>
              <w:t>Omgevingsveiligheid en milieurisico's</w:t>
            </w:r>
          </w:p>
        </w:tc>
        <w:tc>
          <w:tcPr>
            <w:tcW w:w="655" w:type="pct"/>
            <w:tcMar>
              <w:top w:w="22" w:type="dxa"/>
              <w:left w:w="28" w:type="dxa"/>
              <w:bottom w:w="22" w:type="dxa"/>
              <w:right w:w="28" w:type="dxa"/>
            </w:tcMar>
            <w:vAlign w:val="bottom"/>
          </w:tcPr>
          <w:p w:rsidRPr="00EF02AC" w:rsidR="00EF02AC" w:rsidP="00E015FC" w:rsidRDefault="00EF02AC" w14:paraId="6D57A0DC" w14:textId="77777777">
            <w:pPr>
              <w:pStyle w:val="p-table"/>
              <w:jc w:val="right"/>
              <w:rPr>
                <w:rFonts w:ascii="Times New Roman" w:hAnsi="Times New Roman" w:cs="Times New Roman"/>
                <w:sz w:val="20"/>
              </w:rPr>
            </w:pPr>
            <w:r w:rsidRPr="00EF02AC">
              <w:rPr>
                <w:rFonts w:ascii="Times New Roman" w:hAnsi="Times New Roman" w:cs="Times New Roman"/>
                <w:sz w:val="20"/>
              </w:rPr>
              <w:t>106.971</w:t>
            </w:r>
          </w:p>
        </w:tc>
        <w:tc>
          <w:tcPr>
            <w:tcW w:w="532" w:type="pct"/>
            <w:tcMar>
              <w:top w:w="22" w:type="dxa"/>
              <w:left w:w="28" w:type="dxa"/>
              <w:bottom w:w="22" w:type="dxa"/>
              <w:right w:w="28" w:type="dxa"/>
            </w:tcMar>
            <w:vAlign w:val="bottom"/>
          </w:tcPr>
          <w:p w:rsidRPr="00EF02AC" w:rsidR="00EF02AC" w:rsidP="00E015FC" w:rsidRDefault="00EF02AC" w14:paraId="55C2F907" w14:textId="77777777">
            <w:pPr>
              <w:pStyle w:val="p-table"/>
              <w:jc w:val="right"/>
              <w:rPr>
                <w:rFonts w:ascii="Times New Roman" w:hAnsi="Times New Roman" w:cs="Times New Roman"/>
                <w:sz w:val="20"/>
              </w:rPr>
            </w:pPr>
            <w:r w:rsidRPr="00EF02AC">
              <w:rPr>
                <w:rFonts w:ascii="Times New Roman" w:hAnsi="Times New Roman" w:cs="Times New Roman"/>
                <w:sz w:val="20"/>
              </w:rPr>
              <w:t>98.115</w:t>
            </w:r>
          </w:p>
        </w:tc>
        <w:tc>
          <w:tcPr>
            <w:tcW w:w="589" w:type="pct"/>
            <w:tcMar>
              <w:top w:w="22" w:type="dxa"/>
              <w:left w:w="28" w:type="dxa"/>
              <w:bottom w:w="22" w:type="dxa"/>
              <w:right w:w="28" w:type="dxa"/>
            </w:tcMar>
            <w:vAlign w:val="bottom"/>
          </w:tcPr>
          <w:p w:rsidRPr="00EF02AC" w:rsidR="00EF02AC" w:rsidP="00E015FC" w:rsidRDefault="00EF02AC" w14:paraId="33D86AF8" w14:textId="77777777">
            <w:pPr>
              <w:pStyle w:val="p-table"/>
              <w:jc w:val="right"/>
              <w:rPr>
                <w:rFonts w:ascii="Times New Roman" w:hAnsi="Times New Roman" w:cs="Times New Roman"/>
                <w:sz w:val="20"/>
              </w:rPr>
            </w:pPr>
            <w:r w:rsidRPr="00EF02AC">
              <w:rPr>
                <w:rFonts w:ascii="Times New Roman" w:hAnsi="Times New Roman" w:cs="Times New Roman"/>
                <w:sz w:val="20"/>
              </w:rPr>
              <w:t>250</w:t>
            </w:r>
          </w:p>
        </w:tc>
        <w:tc>
          <w:tcPr>
            <w:tcW w:w="655" w:type="pct"/>
            <w:tcMar>
              <w:top w:w="22" w:type="dxa"/>
              <w:left w:w="28" w:type="dxa"/>
              <w:bottom w:w="22" w:type="dxa"/>
              <w:right w:w="28" w:type="dxa"/>
            </w:tcMar>
            <w:vAlign w:val="bottom"/>
          </w:tcPr>
          <w:p w:rsidRPr="00EF02AC" w:rsidR="00EF02AC" w:rsidP="00E015FC" w:rsidRDefault="00EF02AC" w14:paraId="108C7560" w14:textId="77777777">
            <w:pPr>
              <w:pStyle w:val="p-table"/>
              <w:jc w:val="right"/>
              <w:rPr>
                <w:rFonts w:ascii="Times New Roman" w:hAnsi="Times New Roman" w:cs="Times New Roman"/>
                <w:sz w:val="20"/>
              </w:rPr>
            </w:pPr>
            <w:r w:rsidRPr="00EF02AC">
              <w:rPr>
                <w:rFonts w:ascii="Times New Roman" w:hAnsi="Times New Roman" w:cs="Times New Roman"/>
                <w:sz w:val="20"/>
              </w:rPr>
              <w:t>‒ 4.775</w:t>
            </w:r>
          </w:p>
        </w:tc>
        <w:tc>
          <w:tcPr>
            <w:tcW w:w="523" w:type="pct"/>
            <w:tcMar>
              <w:top w:w="22" w:type="dxa"/>
              <w:left w:w="28" w:type="dxa"/>
              <w:bottom w:w="22" w:type="dxa"/>
              <w:right w:w="28" w:type="dxa"/>
            </w:tcMar>
            <w:vAlign w:val="bottom"/>
          </w:tcPr>
          <w:p w:rsidRPr="00EF02AC" w:rsidR="00EF02AC" w:rsidP="00E015FC" w:rsidRDefault="00EF02AC" w14:paraId="777FB013" w14:textId="77777777">
            <w:pPr>
              <w:pStyle w:val="p-table"/>
              <w:jc w:val="right"/>
              <w:rPr>
                <w:rFonts w:ascii="Times New Roman" w:hAnsi="Times New Roman" w:cs="Times New Roman"/>
                <w:sz w:val="20"/>
              </w:rPr>
            </w:pPr>
            <w:r w:rsidRPr="00EF02AC">
              <w:rPr>
                <w:rFonts w:ascii="Times New Roman" w:hAnsi="Times New Roman" w:cs="Times New Roman"/>
                <w:sz w:val="20"/>
              </w:rPr>
              <w:t>‒ 4.722</w:t>
            </w:r>
          </w:p>
        </w:tc>
        <w:tc>
          <w:tcPr>
            <w:tcW w:w="589" w:type="pct"/>
            <w:tcMar>
              <w:top w:w="22" w:type="dxa"/>
              <w:left w:w="28" w:type="dxa"/>
              <w:bottom w:w="22" w:type="dxa"/>
              <w:right w:w="28" w:type="dxa"/>
            </w:tcMar>
            <w:vAlign w:val="bottom"/>
          </w:tcPr>
          <w:p w:rsidRPr="00EF02AC" w:rsidR="00EF02AC" w:rsidP="00E015FC" w:rsidRDefault="00EF02AC" w14:paraId="7892BEB0"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2A42D9BA" w14:textId="77777777">
        <w:tc>
          <w:tcPr>
            <w:tcW w:w="184" w:type="pct"/>
            <w:tcMar>
              <w:top w:w="22" w:type="dxa"/>
              <w:bottom w:w="22" w:type="dxa"/>
              <w:right w:w="28" w:type="dxa"/>
            </w:tcMar>
          </w:tcPr>
          <w:p w:rsidRPr="00EF02AC" w:rsidR="00EF02AC" w:rsidP="00E015FC" w:rsidRDefault="00EF02AC" w14:paraId="1176E359" w14:textId="77777777">
            <w:pPr>
              <w:pStyle w:val="p-table"/>
              <w:rPr>
                <w:rFonts w:ascii="Times New Roman" w:hAnsi="Times New Roman" w:cs="Times New Roman"/>
                <w:sz w:val="20"/>
              </w:rPr>
            </w:pPr>
            <w:r w:rsidRPr="00EF02AC">
              <w:rPr>
                <w:rFonts w:ascii="Times New Roman" w:hAnsi="Times New Roman" w:cs="Times New Roman"/>
                <w:sz w:val="20"/>
              </w:rPr>
              <w:t>23</w:t>
            </w:r>
          </w:p>
        </w:tc>
        <w:tc>
          <w:tcPr>
            <w:tcW w:w="1273" w:type="pct"/>
            <w:tcMar>
              <w:top w:w="22" w:type="dxa"/>
              <w:left w:w="28" w:type="dxa"/>
              <w:bottom w:w="22" w:type="dxa"/>
              <w:right w:w="28" w:type="dxa"/>
            </w:tcMar>
          </w:tcPr>
          <w:p w:rsidRPr="00EF02AC" w:rsidR="00EF02AC" w:rsidP="00E015FC" w:rsidRDefault="00EF02AC" w14:paraId="18FC94D1" w14:textId="77777777">
            <w:pPr>
              <w:pStyle w:val="p-table"/>
              <w:rPr>
                <w:rFonts w:ascii="Times New Roman" w:hAnsi="Times New Roman" w:cs="Times New Roman"/>
                <w:sz w:val="20"/>
              </w:rPr>
            </w:pPr>
            <w:r w:rsidRPr="00EF02AC">
              <w:rPr>
                <w:rFonts w:ascii="Times New Roman" w:hAnsi="Times New Roman" w:cs="Times New Roman"/>
                <w:sz w:val="20"/>
              </w:rPr>
              <w:t>Meteorologie, seismologie en aardobservatie</w:t>
            </w:r>
          </w:p>
        </w:tc>
        <w:tc>
          <w:tcPr>
            <w:tcW w:w="655" w:type="pct"/>
            <w:tcMar>
              <w:top w:w="22" w:type="dxa"/>
              <w:left w:w="28" w:type="dxa"/>
              <w:bottom w:w="22" w:type="dxa"/>
              <w:right w:w="28" w:type="dxa"/>
            </w:tcMar>
            <w:vAlign w:val="bottom"/>
          </w:tcPr>
          <w:p w:rsidRPr="00EF02AC" w:rsidR="00EF02AC" w:rsidP="00E015FC" w:rsidRDefault="00EF02AC" w14:paraId="2CE5D458" w14:textId="77777777">
            <w:pPr>
              <w:pStyle w:val="p-table"/>
              <w:jc w:val="right"/>
              <w:rPr>
                <w:rFonts w:ascii="Times New Roman" w:hAnsi="Times New Roman" w:cs="Times New Roman"/>
                <w:sz w:val="20"/>
              </w:rPr>
            </w:pPr>
            <w:r w:rsidRPr="00EF02AC">
              <w:rPr>
                <w:rFonts w:ascii="Times New Roman" w:hAnsi="Times New Roman" w:cs="Times New Roman"/>
                <w:sz w:val="20"/>
              </w:rPr>
              <w:t>82.553</w:t>
            </w:r>
          </w:p>
        </w:tc>
        <w:tc>
          <w:tcPr>
            <w:tcW w:w="532" w:type="pct"/>
            <w:tcMar>
              <w:top w:w="22" w:type="dxa"/>
              <w:left w:w="28" w:type="dxa"/>
              <w:bottom w:w="22" w:type="dxa"/>
              <w:right w:w="28" w:type="dxa"/>
            </w:tcMar>
            <w:vAlign w:val="bottom"/>
          </w:tcPr>
          <w:p w:rsidRPr="00EF02AC" w:rsidR="00EF02AC" w:rsidP="00E015FC" w:rsidRDefault="00EF02AC" w14:paraId="080FF336" w14:textId="77777777">
            <w:pPr>
              <w:pStyle w:val="p-table"/>
              <w:jc w:val="right"/>
              <w:rPr>
                <w:rFonts w:ascii="Times New Roman" w:hAnsi="Times New Roman" w:cs="Times New Roman"/>
                <w:sz w:val="20"/>
              </w:rPr>
            </w:pPr>
            <w:r w:rsidRPr="00EF02AC">
              <w:rPr>
                <w:rFonts w:ascii="Times New Roman" w:hAnsi="Times New Roman" w:cs="Times New Roman"/>
                <w:sz w:val="20"/>
              </w:rPr>
              <w:t>83.493</w:t>
            </w:r>
          </w:p>
        </w:tc>
        <w:tc>
          <w:tcPr>
            <w:tcW w:w="589" w:type="pct"/>
            <w:tcMar>
              <w:top w:w="22" w:type="dxa"/>
              <w:left w:w="28" w:type="dxa"/>
              <w:bottom w:w="22" w:type="dxa"/>
              <w:right w:w="28" w:type="dxa"/>
            </w:tcMar>
            <w:vAlign w:val="bottom"/>
          </w:tcPr>
          <w:p w:rsidRPr="00EF02AC" w:rsidR="00EF02AC" w:rsidP="00E015FC" w:rsidRDefault="00EF02AC" w14:paraId="66F21DC8"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716D6037" w14:textId="77777777">
            <w:pPr>
              <w:pStyle w:val="p-table"/>
              <w:jc w:val="right"/>
              <w:rPr>
                <w:rFonts w:ascii="Times New Roman" w:hAnsi="Times New Roman" w:cs="Times New Roman"/>
                <w:sz w:val="20"/>
              </w:rPr>
            </w:pPr>
            <w:r w:rsidRPr="00EF02AC">
              <w:rPr>
                <w:rFonts w:ascii="Times New Roman" w:hAnsi="Times New Roman" w:cs="Times New Roman"/>
                <w:sz w:val="20"/>
              </w:rPr>
              <w:t>2.762</w:t>
            </w:r>
          </w:p>
        </w:tc>
        <w:tc>
          <w:tcPr>
            <w:tcW w:w="523" w:type="pct"/>
            <w:tcMar>
              <w:top w:w="22" w:type="dxa"/>
              <w:left w:w="28" w:type="dxa"/>
              <w:bottom w:w="22" w:type="dxa"/>
              <w:right w:w="28" w:type="dxa"/>
            </w:tcMar>
            <w:vAlign w:val="bottom"/>
          </w:tcPr>
          <w:p w:rsidRPr="00EF02AC" w:rsidR="00EF02AC" w:rsidP="00E015FC" w:rsidRDefault="00EF02AC" w14:paraId="0C1100AA" w14:textId="77777777">
            <w:pPr>
              <w:pStyle w:val="p-table"/>
              <w:jc w:val="right"/>
              <w:rPr>
                <w:rFonts w:ascii="Times New Roman" w:hAnsi="Times New Roman" w:cs="Times New Roman"/>
                <w:sz w:val="20"/>
              </w:rPr>
            </w:pPr>
            <w:r w:rsidRPr="00EF02AC">
              <w:rPr>
                <w:rFonts w:ascii="Times New Roman" w:hAnsi="Times New Roman" w:cs="Times New Roman"/>
                <w:sz w:val="20"/>
              </w:rPr>
              <w:t>2.762</w:t>
            </w:r>
          </w:p>
        </w:tc>
        <w:tc>
          <w:tcPr>
            <w:tcW w:w="589" w:type="pct"/>
            <w:tcMar>
              <w:top w:w="22" w:type="dxa"/>
              <w:left w:w="28" w:type="dxa"/>
              <w:bottom w:w="22" w:type="dxa"/>
              <w:right w:w="28" w:type="dxa"/>
            </w:tcMar>
            <w:vAlign w:val="bottom"/>
          </w:tcPr>
          <w:p w:rsidRPr="00EF02AC" w:rsidR="00EF02AC" w:rsidP="00E015FC" w:rsidRDefault="00EF02AC" w14:paraId="035335C8"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6C936EF1" w14:textId="77777777">
        <w:tc>
          <w:tcPr>
            <w:tcW w:w="184" w:type="pct"/>
            <w:tcMar>
              <w:top w:w="22" w:type="dxa"/>
              <w:bottom w:w="22" w:type="dxa"/>
              <w:right w:w="28" w:type="dxa"/>
            </w:tcMar>
          </w:tcPr>
          <w:p w:rsidRPr="00EF02AC" w:rsidR="00EF02AC" w:rsidP="00E015FC" w:rsidRDefault="00EF02AC" w14:paraId="61A78485" w14:textId="77777777">
            <w:pPr>
              <w:pStyle w:val="p-table"/>
              <w:rPr>
                <w:rFonts w:ascii="Times New Roman" w:hAnsi="Times New Roman" w:cs="Times New Roman"/>
                <w:sz w:val="20"/>
              </w:rPr>
            </w:pPr>
            <w:r w:rsidRPr="00EF02AC">
              <w:rPr>
                <w:rFonts w:ascii="Times New Roman" w:hAnsi="Times New Roman" w:cs="Times New Roman"/>
                <w:sz w:val="20"/>
              </w:rPr>
              <w:t>24</w:t>
            </w:r>
          </w:p>
        </w:tc>
        <w:tc>
          <w:tcPr>
            <w:tcW w:w="1273" w:type="pct"/>
            <w:tcMar>
              <w:top w:w="22" w:type="dxa"/>
              <w:left w:w="28" w:type="dxa"/>
              <w:bottom w:w="22" w:type="dxa"/>
              <w:right w:w="28" w:type="dxa"/>
            </w:tcMar>
          </w:tcPr>
          <w:p w:rsidRPr="00EF02AC" w:rsidR="00EF02AC" w:rsidP="00E015FC" w:rsidRDefault="00EF02AC" w14:paraId="7293CBE3" w14:textId="77777777">
            <w:pPr>
              <w:pStyle w:val="p-table"/>
              <w:rPr>
                <w:rFonts w:ascii="Times New Roman" w:hAnsi="Times New Roman" w:cs="Times New Roman"/>
                <w:sz w:val="20"/>
              </w:rPr>
            </w:pPr>
            <w:r w:rsidRPr="00EF02AC">
              <w:rPr>
                <w:rFonts w:ascii="Times New Roman" w:hAnsi="Times New Roman" w:cs="Times New Roman"/>
                <w:sz w:val="20"/>
              </w:rPr>
              <w:t>Handhaving en toezicht</w:t>
            </w:r>
          </w:p>
        </w:tc>
        <w:tc>
          <w:tcPr>
            <w:tcW w:w="655" w:type="pct"/>
            <w:tcMar>
              <w:top w:w="22" w:type="dxa"/>
              <w:left w:w="28" w:type="dxa"/>
              <w:bottom w:w="22" w:type="dxa"/>
              <w:right w:w="28" w:type="dxa"/>
            </w:tcMar>
            <w:vAlign w:val="bottom"/>
          </w:tcPr>
          <w:p w:rsidRPr="00EF02AC" w:rsidR="00EF02AC" w:rsidP="00E015FC" w:rsidRDefault="00EF02AC" w14:paraId="2B01C10C" w14:textId="77777777">
            <w:pPr>
              <w:pStyle w:val="p-table"/>
              <w:jc w:val="right"/>
              <w:rPr>
                <w:rFonts w:ascii="Times New Roman" w:hAnsi="Times New Roman" w:cs="Times New Roman"/>
                <w:sz w:val="20"/>
              </w:rPr>
            </w:pPr>
            <w:r w:rsidRPr="00EF02AC">
              <w:rPr>
                <w:rFonts w:ascii="Times New Roman" w:hAnsi="Times New Roman" w:cs="Times New Roman"/>
                <w:sz w:val="20"/>
              </w:rPr>
              <w:t>228.514</w:t>
            </w:r>
          </w:p>
        </w:tc>
        <w:tc>
          <w:tcPr>
            <w:tcW w:w="532" w:type="pct"/>
            <w:tcMar>
              <w:top w:w="22" w:type="dxa"/>
              <w:left w:w="28" w:type="dxa"/>
              <w:bottom w:w="22" w:type="dxa"/>
              <w:right w:w="28" w:type="dxa"/>
            </w:tcMar>
            <w:vAlign w:val="bottom"/>
          </w:tcPr>
          <w:p w:rsidRPr="00EF02AC" w:rsidR="00EF02AC" w:rsidP="00E015FC" w:rsidRDefault="00EF02AC" w14:paraId="7D57AD51" w14:textId="77777777">
            <w:pPr>
              <w:pStyle w:val="p-table"/>
              <w:jc w:val="right"/>
              <w:rPr>
                <w:rFonts w:ascii="Times New Roman" w:hAnsi="Times New Roman" w:cs="Times New Roman"/>
                <w:sz w:val="20"/>
              </w:rPr>
            </w:pPr>
            <w:r w:rsidRPr="00EF02AC">
              <w:rPr>
                <w:rFonts w:ascii="Times New Roman" w:hAnsi="Times New Roman" w:cs="Times New Roman"/>
                <w:sz w:val="20"/>
              </w:rPr>
              <w:t>230.713</w:t>
            </w:r>
          </w:p>
        </w:tc>
        <w:tc>
          <w:tcPr>
            <w:tcW w:w="589" w:type="pct"/>
            <w:tcMar>
              <w:top w:w="22" w:type="dxa"/>
              <w:left w:w="28" w:type="dxa"/>
              <w:bottom w:w="22" w:type="dxa"/>
              <w:right w:w="28" w:type="dxa"/>
            </w:tcMar>
            <w:vAlign w:val="bottom"/>
          </w:tcPr>
          <w:p w:rsidRPr="00EF02AC" w:rsidR="00EF02AC" w:rsidP="00E015FC" w:rsidRDefault="00EF02AC" w14:paraId="27A0F2F7" w14:textId="77777777">
            <w:pPr>
              <w:pStyle w:val="p-table"/>
              <w:jc w:val="right"/>
              <w:rPr>
                <w:rFonts w:ascii="Times New Roman" w:hAnsi="Times New Roman" w:cs="Times New Roman"/>
                <w:sz w:val="20"/>
              </w:rPr>
            </w:pPr>
            <w:r w:rsidRPr="00EF02AC">
              <w:rPr>
                <w:rFonts w:ascii="Times New Roman" w:hAnsi="Times New Roman" w:cs="Times New Roman"/>
                <w:sz w:val="20"/>
              </w:rPr>
              <w:t>16.678</w:t>
            </w:r>
          </w:p>
        </w:tc>
        <w:tc>
          <w:tcPr>
            <w:tcW w:w="655" w:type="pct"/>
            <w:tcMar>
              <w:top w:w="22" w:type="dxa"/>
              <w:left w:w="28" w:type="dxa"/>
              <w:bottom w:w="22" w:type="dxa"/>
              <w:right w:w="28" w:type="dxa"/>
            </w:tcMar>
            <w:vAlign w:val="bottom"/>
          </w:tcPr>
          <w:p w:rsidRPr="00EF02AC" w:rsidR="00EF02AC" w:rsidP="00E015FC" w:rsidRDefault="00EF02AC" w14:paraId="6495AEFE" w14:textId="77777777">
            <w:pPr>
              <w:pStyle w:val="p-table"/>
              <w:jc w:val="right"/>
              <w:rPr>
                <w:rFonts w:ascii="Times New Roman" w:hAnsi="Times New Roman" w:cs="Times New Roman"/>
                <w:sz w:val="20"/>
              </w:rPr>
            </w:pPr>
            <w:r w:rsidRPr="00EF02AC">
              <w:rPr>
                <w:rFonts w:ascii="Times New Roman" w:hAnsi="Times New Roman" w:cs="Times New Roman"/>
                <w:sz w:val="20"/>
              </w:rPr>
              <w:t>13.407</w:t>
            </w:r>
          </w:p>
        </w:tc>
        <w:tc>
          <w:tcPr>
            <w:tcW w:w="523" w:type="pct"/>
            <w:tcMar>
              <w:top w:w="22" w:type="dxa"/>
              <w:left w:w="28" w:type="dxa"/>
              <w:bottom w:w="22" w:type="dxa"/>
              <w:right w:w="28" w:type="dxa"/>
            </w:tcMar>
            <w:vAlign w:val="bottom"/>
          </w:tcPr>
          <w:p w:rsidRPr="00EF02AC" w:rsidR="00EF02AC" w:rsidP="00E015FC" w:rsidRDefault="00EF02AC" w14:paraId="5D672821" w14:textId="77777777">
            <w:pPr>
              <w:pStyle w:val="p-table"/>
              <w:jc w:val="right"/>
              <w:rPr>
                <w:rFonts w:ascii="Times New Roman" w:hAnsi="Times New Roman" w:cs="Times New Roman"/>
                <w:sz w:val="20"/>
              </w:rPr>
            </w:pPr>
            <w:r w:rsidRPr="00EF02AC">
              <w:rPr>
                <w:rFonts w:ascii="Times New Roman" w:hAnsi="Times New Roman" w:cs="Times New Roman"/>
                <w:sz w:val="20"/>
              </w:rPr>
              <w:t>13.407</w:t>
            </w:r>
          </w:p>
        </w:tc>
        <w:tc>
          <w:tcPr>
            <w:tcW w:w="589" w:type="pct"/>
            <w:tcMar>
              <w:top w:w="22" w:type="dxa"/>
              <w:left w:w="28" w:type="dxa"/>
              <w:bottom w:w="22" w:type="dxa"/>
              <w:right w:w="28" w:type="dxa"/>
            </w:tcMar>
            <w:vAlign w:val="bottom"/>
          </w:tcPr>
          <w:p w:rsidRPr="00EF02AC" w:rsidR="00EF02AC" w:rsidP="00E015FC" w:rsidRDefault="00EF02AC" w14:paraId="597B5C5E"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76135279" w14:textId="77777777">
        <w:tc>
          <w:tcPr>
            <w:tcW w:w="184" w:type="pct"/>
            <w:tcMar>
              <w:top w:w="22" w:type="dxa"/>
              <w:bottom w:w="22" w:type="dxa"/>
              <w:right w:w="28" w:type="dxa"/>
            </w:tcMar>
          </w:tcPr>
          <w:p w:rsidRPr="00EF02AC" w:rsidR="00EF02AC" w:rsidP="00E015FC" w:rsidRDefault="00EF02AC" w14:paraId="6F1409DC" w14:textId="77777777">
            <w:pPr>
              <w:pStyle w:val="p-table"/>
              <w:rPr>
                <w:rFonts w:ascii="Times New Roman" w:hAnsi="Times New Roman" w:cs="Times New Roman"/>
                <w:sz w:val="20"/>
              </w:rPr>
            </w:pPr>
            <w:r w:rsidRPr="00EF02AC">
              <w:rPr>
                <w:rFonts w:ascii="Times New Roman" w:hAnsi="Times New Roman" w:cs="Times New Roman"/>
                <w:sz w:val="20"/>
              </w:rPr>
              <w:t>25</w:t>
            </w:r>
          </w:p>
        </w:tc>
        <w:tc>
          <w:tcPr>
            <w:tcW w:w="1273" w:type="pct"/>
            <w:tcMar>
              <w:top w:w="22" w:type="dxa"/>
              <w:left w:w="28" w:type="dxa"/>
              <w:bottom w:w="22" w:type="dxa"/>
              <w:right w:w="28" w:type="dxa"/>
            </w:tcMar>
          </w:tcPr>
          <w:p w:rsidRPr="00EF02AC" w:rsidR="00EF02AC" w:rsidP="00E015FC" w:rsidRDefault="00EF02AC" w14:paraId="6ECB35EE" w14:textId="77777777">
            <w:pPr>
              <w:pStyle w:val="p-table"/>
              <w:rPr>
                <w:rFonts w:ascii="Times New Roman" w:hAnsi="Times New Roman" w:cs="Times New Roman"/>
                <w:sz w:val="20"/>
              </w:rPr>
            </w:pPr>
            <w:r w:rsidRPr="00EF02AC">
              <w:rPr>
                <w:rFonts w:ascii="Times New Roman" w:hAnsi="Times New Roman" w:cs="Times New Roman"/>
                <w:sz w:val="20"/>
              </w:rPr>
              <w:t>Brede doeluitkering</w:t>
            </w:r>
          </w:p>
        </w:tc>
        <w:tc>
          <w:tcPr>
            <w:tcW w:w="655" w:type="pct"/>
            <w:tcMar>
              <w:top w:w="22" w:type="dxa"/>
              <w:left w:w="28" w:type="dxa"/>
              <w:bottom w:w="22" w:type="dxa"/>
              <w:right w:w="28" w:type="dxa"/>
            </w:tcMar>
            <w:vAlign w:val="bottom"/>
          </w:tcPr>
          <w:p w:rsidRPr="00EF02AC" w:rsidR="00EF02AC" w:rsidP="00E015FC" w:rsidRDefault="00EF02AC" w14:paraId="04E0D2CA" w14:textId="77777777">
            <w:pPr>
              <w:pStyle w:val="p-table"/>
              <w:jc w:val="right"/>
              <w:rPr>
                <w:rFonts w:ascii="Times New Roman" w:hAnsi="Times New Roman" w:cs="Times New Roman"/>
                <w:sz w:val="20"/>
              </w:rPr>
            </w:pPr>
            <w:r w:rsidRPr="00EF02AC">
              <w:rPr>
                <w:rFonts w:ascii="Times New Roman" w:hAnsi="Times New Roman" w:cs="Times New Roman"/>
                <w:sz w:val="20"/>
              </w:rPr>
              <w:t>1.296.254</w:t>
            </w:r>
          </w:p>
        </w:tc>
        <w:tc>
          <w:tcPr>
            <w:tcW w:w="532" w:type="pct"/>
            <w:tcMar>
              <w:top w:w="22" w:type="dxa"/>
              <w:left w:w="28" w:type="dxa"/>
              <w:bottom w:w="22" w:type="dxa"/>
              <w:right w:w="28" w:type="dxa"/>
            </w:tcMar>
            <w:vAlign w:val="bottom"/>
          </w:tcPr>
          <w:p w:rsidRPr="00EF02AC" w:rsidR="00EF02AC" w:rsidP="00E015FC" w:rsidRDefault="00EF02AC" w14:paraId="40035571" w14:textId="77777777">
            <w:pPr>
              <w:pStyle w:val="p-table"/>
              <w:jc w:val="right"/>
              <w:rPr>
                <w:rFonts w:ascii="Times New Roman" w:hAnsi="Times New Roman" w:cs="Times New Roman"/>
                <w:sz w:val="20"/>
              </w:rPr>
            </w:pPr>
            <w:r w:rsidRPr="00EF02AC">
              <w:rPr>
                <w:rFonts w:ascii="Times New Roman" w:hAnsi="Times New Roman" w:cs="Times New Roman"/>
                <w:sz w:val="20"/>
              </w:rPr>
              <w:t>1.296.254</w:t>
            </w:r>
          </w:p>
        </w:tc>
        <w:tc>
          <w:tcPr>
            <w:tcW w:w="589" w:type="pct"/>
            <w:tcMar>
              <w:top w:w="22" w:type="dxa"/>
              <w:left w:w="28" w:type="dxa"/>
              <w:bottom w:w="22" w:type="dxa"/>
              <w:right w:w="28" w:type="dxa"/>
            </w:tcMar>
            <w:vAlign w:val="bottom"/>
          </w:tcPr>
          <w:p w:rsidRPr="00EF02AC" w:rsidR="00EF02AC" w:rsidP="00E015FC" w:rsidRDefault="00EF02AC" w14:paraId="5AF1A385"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Mar>
              <w:top w:w="22" w:type="dxa"/>
              <w:left w:w="28" w:type="dxa"/>
              <w:bottom w:w="22" w:type="dxa"/>
              <w:right w:w="28" w:type="dxa"/>
            </w:tcMar>
            <w:vAlign w:val="bottom"/>
          </w:tcPr>
          <w:p w:rsidRPr="00EF02AC" w:rsidR="00EF02AC" w:rsidP="00E015FC" w:rsidRDefault="00EF02AC" w14:paraId="031B0C7F" w14:textId="77777777">
            <w:pPr>
              <w:pStyle w:val="p-table"/>
              <w:jc w:val="right"/>
              <w:rPr>
                <w:rFonts w:ascii="Times New Roman" w:hAnsi="Times New Roman" w:cs="Times New Roman"/>
                <w:sz w:val="20"/>
              </w:rPr>
            </w:pPr>
            <w:r w:rsidRPr="00EF02AC">
              <w:rPr>
                <w:rFonts w:ascii="Times New Roman" w:hAnsi="Times New Roman" w:cs="Times New Roman"/>
                <w:sz w:val="20"/>
              </w:rPr>
              <w:t>‒ 191.465</w:t>
            </w:r>
          </w:p>
        </w:tc>
        <w:tc>
          <w:tcPr>
            <w:tcW w:w="523" w:type="pct"/>
            <w:tcMar>
              <w:top w:w="22" w:type="dxa"/>
              <w:left w:w="28" w:type="dxa"/>
              <w:bottom w:w="22" w:type="dxa"/>
              <w:right w:w="28" w:type="dxa"/>
            </w:tcMar>
            <w:vAlign w:val="bottom"/>
          </w:tcPr>
          <w:p w:rsidRPr="00EF02AC" w:rsidR="00EF02AC" w:rsidP="00E015FC" w:rsidRDefault="00EF02AC" w14:paraId="3FBB1C2F" w14:textId="77777777">
            <w:pPr>
              <w:pStyle w:val="p-table"/>
              <w:jc w:val="right"/>
              <w:rPr>
                <w:rFonts w:ascii="Times New Roman" w:hAnsi="Times New Roman" w:cs="Times New Roman"/>
                <w:sz w:val="20"/>
              </w:rPr>
            </w:pPr>
            <w:r w:rsidRPr="00EF02AC">
              <w:rPr>
                <w:rFonts w:ascii="Times New Roman" w:hAnsi="Times New Roman" w:cs="Times New Roman"/>
                <w:sz w:val="20"/>
              </w:rPr>
              <w:t>64.943</w:t>
            </w:r>
          </w:p>
        </w:tc>
        <w:tc>
          <w:tcPr>
            <w:tcW w:w="589" w:type="pct"/>
            <w:tcMar>
              <w:top w:w="22" w:type="dxa"/>
              <w:left w:w="28" w:type="dxa"/>
              <w:bottom w:w="22" w:type="dxa"/>
              <w:right w:w="28" w:type="dxa"/>
            </w:tcMar>
            <w:vAlign w:val="bottom"/>
          </w:tcPr>
          <w:p w:rsidRPr="00EF02AC" w:rsidR="00EF02AC" w:rsidP="00E015FC" w:rsidRDefault="00EF02AC" w14:paraId="08350BD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6FA1341B" w14:textId="77777777">
        <w:tc>
          <w:tcPr>
            <w:tcW w:w="184" w:type="pct"/>
            <w:tcMar>
              <w:top w:w="22" w:type="dxa"/>
              <w:bottom w:w="22" w:type="dxa"/>
              <w:right w:w="28" w:type="dxa"/>
            </w:tcMar>
          </w:tcPr>
          <w:p w:rsidRPr="00EF02AC" w:rsidR="00EF02AC" w:rsidP="00E015FC" w:rsidRDefault="00EF02AC" w14:paraId="5E4FEE55" w14:textId="77777777">
            <w:pPr>
              <w:pStyle w:val="p-table"/>
              <w:rPr>
                <w:rFonts w:ascii="Times New Roman" w:hAnsi="Times New Roman" w:cs="Times New Roman"/>
                <w:sz w:val="20"/>
              </w:rPr>
            </w:pPr>
          </w:p>
        </w:tc>
        <w:tc>
          <w:tcPr>
            <w:tcW w:w="1273" w:type="pct"/>
            <w:tcMar>
              <w:top w:w="22" w:type="dxa"/>
              <w:left w:w="28" w:type="dxa"/>
              <w:bottom w:w="22" w:type="dxa"/>
              <w:right w:w="28" w:type="dxa"/>
            </w:tcMar>
          </w:tcPr>
          <w:p w:rsidRPr="00EF02AC" w:rsidR="00EF02AC" w:rsidP="00E015FC" w:rsidRDefault="00EF02AC" w14:paraId="3B770ED1"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EF02AC" w:rsidR="00EF02AC" w:rsidP="00E015FC" w:rsidRDefault="00EF02AC" w14:paraId="61803CE5" w14:textId="77777777">
            <w:pPr>
              <w:pStyle w:val="p-table"/>
              <w:rPr>
                <w:rFonts w:ascii="Times New Roman" w:hAnsi="Times New Roman" w:cs="Times New Roman"/>
                <w:sz w:val="20"/>
              </w:rPr>
            </w:pPr>
          </w:p>
        </w:tc>
        <w:tc>
          <w:tcPr>
            <w:tcW w:w="532" w:type="pct"/>
            <w:tcMar>
              <w:top w:w="22" w:type="dxa"/>
              <w:left w:w="28" w:type="dxa"/>
              <w:bottom w:w="22" w:type="dxa"/>
              <w:right w:w="28" w:type="dxa"/>
            </w:tcMar>
          </w:tcPr>
          <w:p w:rsidRPr="00EF02AC" w:rsidR="00EF02AC" w:rsidP="00E015FC" w:rsidRDefault="00EF02AC" w14:paraId="0FACF649"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797100DE" w14:textId="77777777">
            <w:pPr>
              <w:pStyle w:val="p-table"/>
              <w:rPr>
                <w:rFonts w:ascii="Times New Roman" w:hAnsi="Times New Roman" w:cs="Times New Roman"/>
                <w:sz w:val="20"/>
              </w:rPr>
            </w:pPr>
          </w:p>
        </w:tc>
        <w:tc>
          <w:tcPr>
            <w:tcW w:w="655" w:type="pct"/>
            <w:tcMar>
              <w:top w:w="22" w:type="dxa"/>
              <w:left w:w="28" w:type="dxa"/>
              <w:bottom w:w="22" w:type="dxa"/>
              <w:right w:w="28" w:type="dxa"/>
            </w:tcMar>
            <w:vAlign w:val="bottom"/>
          </w:tcPr>
          <w:p w:rsidRPr="00EF02AC" w:rsidR="00EF02AC" w:rsidP="00E015FC" w:rsidRDefault="00EF02AC" w14:paraId="7F3B473F"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23" w:type="pct"/>
            <w:tcMar>
              <w:top w:w="22" w:type="dxa"/>
              <w:left w:w="28" w:type="dxa"/>
              <w:bottom w:w="22" w:type="dxa"/>
              <w:right w:w="28" w:type="dxa"/>
            </w:tcMar>
            <w:vAlign w:val="bottom"/>
          </w:tcPr>
          <w:p w:rsidRPr="00EF02AC" w:rsidR="00EF02AC" w:rsidP="00E015FC" w:rsidRDefault="00EF02AC" w14:paraId="20292CCE"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89" w:type="pct"/>
            <w:tcMar>
              <w:top w:w="22" w:type="dxa"/>
              <w:left w:w="28" w:type="dxa"/>
              <w:bottom w:w="22" w:type="dxa"/>
              <w:right w:w="28" w:type="dxa"/>
            </w:tcMar>
            <w:vAlign w:val="bottom"/>
          </w:tcPr>
          <w:p w:rsidRPr="00EF02AC" w:rsidR="00EF02AC" w:rsidP="00E015FC" w:rsidRDefault="00EF02AC" w14:paraId="66A8AA7C"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0EC32875" w14:textId="77777777">
        <w:tc>
          <w:tcPr>
            <w:tcW w:w="184" w:type="pct"/>
            <w:tcMar>
              <w:top w:w="22" w:type="dxa"/>
              <w:bottom w:w="22" w:type="dxa"/>
              <w:right w:w="28" w:type="dxa"/>
            </w:tcMar>
          </w:tcPr>
          <w:p w:rsidRPr="00EF02AC" w:rsidR="00EF02AC" w:rsidP="00E015FC" w:rsidRDefault="00EF02AC" w14:paraId="1658E094" w14:textId="77777777">
            <w:pPr>
              <w:pStyle w:val="p-table"/>
              <w:rPr>
                <w:rFonts w:ascii="Times New Roman" w:hAnsi="Times New Roman" w:cs="Times New Roman"/>
                <w:sz w:val="20"/>
              </w:rPr>
            </w:pPr>
          </w:p>
        </w:tc>
        <w:tc>
          <w:tcPr>
            <w:tcW w:w="1273" w:type="pct"/>
            <w:tcMar>
              <w:top w:w="22" w:type="dxa"/>
              <w:left w:w="28" w:type="dxa"/>
              <w:bottom w:w="22" w:type="dxa"/>
              <w:right w:w="28" w:type="dxa"/>
            </w:tcMar>
          </w:tcPr>
          <w:p w:rsidRPr="00EF02AC" w:rsidR="00EF02AC" w:rsidP="00E015FC" w:rsidRDefault="00EF02AC" w14:paraId="6AAC4F7A" w14:textId="77777777">
            <w:pPr>
              <w:pStyle w:val="p-table"/>
              <w:rPr>
                <w:rFonts w:ascii="Times New Roman" w:hAnsi="Times New Roman" w:cs="Times New Roman"/>
                <w:sz w:val="20"/>
              </w:rPr>
            </w:pPr>
            <w:r w:rsidRPr="00EF02AC">
              <w:rPr>
                <w:rFonts w:ascii="Times New Roman" w:hAnsi="Times New Roman" w:cs="Times New Roman"/>
                <w:b/>
                <w:sz w:val="20"/>
              </w:rPr>
              <w:t>Niet-beleidsartikelen</w:t>
            </w:r>
          </w:p>
        </w:tc>
        <w:tc>
          <w:tcPr>
            <w:tcW w:w="655" w:type="pct"/>
            <w:tcMar>
              <w:top w:w="22" w:type="dxa"/>
              <w:left w:w="28" w:type="dxa"/>
              <w:bottom w:w="22" w:type="dxa"/>
              <w:right w:w="28" w:type="dxa"/>
            </w:tcMar>
          </w:tcPr>
          <w:p w:rsidRPr="00EF02AC" w:rsidR="00EF02AC" w:rsidP="00E015FC" w:rsidRDefault="00EF02AC" w14:paraId="6F71E09F" w14:textId="77777777">
            <w:pPr>
              <w:pStyle w:val="p-table"/>
              <w:rPr>
                <w:rFonts w:ascii="Times New Roman" w:hAnsi="Times New Roman" w:cs="Times New Roman"/>
                <w:sz w:val="20"/>
              </w:rPr>
            </w:pPr>
          </w:p>
        </w:tc>
        <w:tc>
          <w:tcPr>
            <w:tcW w:w="532" w:type="pct"/>
            <w:tcMar>
              <w:top w:w="22" w:type="dxa"/>
              <w:left w:w="28" w:type="dxa"/>
              <w:bottom w:w="22" w:type="dxa"/>
              <w:right w:w="28" w:type="dxa"/>
            </w:tcMar>
          </w:tcPr>
          <w:p w:rsidRPr="00EF02AC" w:rsidR="00EF02AC" w:rsidP="00E015FC" w:rsidRDefault="00EF02AC" w14:paraId="7EC323C7" w14:textId="77777777">
            <w:pPr>
              <w:pStyle w:val="p-table"/>
              <w:rPr>
                <w:rFonts w:ascii="Times New Roman" w:hAnsi="Times New Roman" w:cs="Times New Roman"/>
                <w:sz w:val="20"/>
              </w:rPr>
            </w:pPr>
          </w:p>
        </w:tc>
        <w:tc>
          <w:tcPr>
            <w:tcW w:w="589" w:type="pct"/>
            <w:tcMar>
              <w:top w:w="22" w:type="dxa"/>
              <w:left w:w="28" w:type="dxa"/>
              <w:bottom w:w="22" w:type="dxa"/>
              <w:right w:w="28" w:type="dxa"/>
            </w:tcMar>
          </w:tcPr>
          <w:p w:rsidRPr="00EF02AC" w:rsidR="00EF02AC" w:rsidP="00E015FC" w:rsidRDefault="00EF02AC" w14:paraId="1F40786A" w14:textId="77777777">
            <w:pPr>
              <w:pStyle w:val="p-table"/>
              <w:rPr>
                <w:rFonts w:ascii="Times New Roman" w:hAnsi="Times New Roman" w:cs="Times New Roman"/>
                <w:sz w:val="20"/>
              </w:rPr>
            </w:pPr>
          </w:p>
        </w:tc>
        <w:tc>
          <w:tcPr>
            <w:tcW w:w="655" w:type="pct"/>
            <w:tcMar>
              <w:top w:w="22" w:type="dxa"/>
              <w:left w:w="28" w:type="dxa"/>
              <w:bottom w:w="22" w:type="dxa"/>
              <w:right w:w="28" w:type="dxa"/>
            </w:tcMar>
            <w:vAlign w:val="bottom"/>
          </w:tcPr>
          <w:p w:rsidRPr="00EF02AC" w:rsidR="00EF02AC" w:rsidP="00E015FC" w:rsidRDefault="00EF02AC" w14:paraId="07583C60"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23" w:type="pct"/>
            <w:tcMar>
              <w:top w:w="22" w:type="dxa"/>
              <w:left w:w="28" w:type="dxa"/>
              <w:bottom w:w="22" w:type="dxa"/>
              <w:right w:w="28" w:type="dxa"/>
            </w:tcMar>
            <w:vAlign w:val="bottom"/>
          </w:tcPr>
          <w:p w:rsidRPr="00EF02AC" w:rsidR="00EF02AC" w:rsidP="00E015FC" w:rsidRDefault="00EF02AC" w14:paraId="5F10D56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89" w:type="pct"/>
            <w:tcMar>
              <w:top w:w="22" w:type="dxa"/>
              <w:left w:w="28" w:type="dxa"/>
              <w:bottom w:w="22" w:type="dxa"/>
              <w:right w:w="28" w:type="dxa"/>
            </w:tcMar>
            <w:vAlign w:val="bottom"/>
          </w:tcPr>
          <w:p w:rsidRPr="00EF02AC" w:rsidR="00EF02AC" w:rsidP="00E015FC" w:rsidRDefault="00EF02AC" w14:paraId="23D71EBE"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2AFB27C3" w14:textId="77777777">
        <w:tc>
          <w:tcPr>
            <w:tcW w:w="184" w:type="pct"/>
            <w:tcMar>
              <w:top w:w="22" w:type="dxa"/>
              <w:bottom w:w="22" w:type="dxa"/>
              <w:right w:w="28" w:type="dxa"/>
            </w:tcMar>
          </w:tcPr>
          <w:p w:rsidRPr="00EF02AC" w:rsidR="00EF02AC" w:rsidP="00E015FC" w:rsidRDefault="00EF02AC" w14:paraId="6FF3C447" w14:textId="77777777">
            <w:pPr>
              <w:pStyle w:val="p-table"/>
              <w:rPr>
                <w:rFonts w:ascii="Times New Roman" w:hAnsi="Times New Roman" w:cs="Times New Roman"/>
                <w:sz w:val="20"/>
              </w:rPr>
            </w:pPr>
            <w:r w:rsidRPr="00EF02AC">
              <w:rPr>
                <w:rFonts w:ascii="Times New Roman" w:hAnsi="Times New Roman" w:cs="Times New Roman"/>
                <w:sz w:val="20"/>
              </w:rPr>
              <w:t>97</w:t>
            </w:r>
          </w:p>
        </w:tc>
        <w:tc>
          <w:tcPr>
            <w:tcW w:w="1273" w:type="pct"/>
            <w:tcMar>
              <w:top w:w="22" w:type="dxa"/>
              <w:left w:w="28" w:type="dxa"/>
              <w:bottom w:w="22" w:type="dxa"/>
              <w:right w:w="28" w:type="dxa"/>
            </w:tcMar>
          </w:tcPr>
          <w:p w:rsidRPr="00EF02AC" w:rsidR="00EF02AC" w:rsidP="00E015FC" w:rsidRDefault="00EF02AC" w14:paraId="75BDC556" w14:textId="77777777">
            <w:pPr>
              <w:pStyle w:val="p-table"/>
              <w:rPr>
                <w:rFonts w:ascii="Times New Roman" w:hAnsi="Times New Roman" w:cs="Times New Roman"/>
                <w:sz w:val="20"/>
              </w:rPr>
            </w:pPr>
            <w:r w:rsidRPr="00EF02AC">
              <w:rPr>
                <w:rFonts w:ascii="Times New Roman" w:hAnsi="Times New Roman" w:cs="Times New Roman"/>
                <w:sz w:val="20"/>
              </w:rPr>
              <w:t>Algemeen departement</w:t>
            </w:r>
          </w:p>
        </w:tc>
        <w:tc>
          <w:tcPr>
            <w:tcW w:w="655" w:type="pct"/>
            <w:tcMar>
              <w:top w:w="22" w:type="dxa"/>
              <w:left w:w="28" w:type="dxa"/>
              <w:bottom w:w="22" w:type="dxa"/>
              <w:right w:w="28" w:type="dxa"/>
            </w:tcMar>
            <w:vAlign w:val="bottom"/>
          </w:tcPr>
          <w:p w:rsidRPr="00EF02AC" w:rsidR="00EF02AC" w:rsidP="00E015FC" w:rsidRDefault="00EF02AC" w14:paraId="0C4863AA" w14:textId="77777777">
            <w:pPr>
              <w:pStyle w:val="p-table"/>
              <w:jc w:val="right"/>
              <w:rPr>
                <w:rFonts w:ascii="Times New Roman" w:hAnsi="Times New Roman" w:cs="Times New Roman"/>
                <w:sz w:val="20"/>
              </w:rPr>
            </w:pPr>
            <w:r w:rsidRPr="00EF02AC">
              <w:rPr>
                <w:rFonts w:ascii="Times New Roman" w:hAnsi="Times New Roman" w:cs="Times New Roman"/>
                <w:sz w:val="20"/>
              </w:rPr>
              <w:t>64.242</w:t>
            </w:r>
          </w:p>
        </w:tc>
        <w:tc>
          <w:tcPr>
            <w:tcW w:w="532" w:type="pct"/>
            <w:tcMar>
              <w:top w:w="22" w:type="dxa"/>
              <w:left w:w="28" w:type="dxa"/>
              <w:bottom w:w="22" w:type="dxa"/>
              <w:right w:w="28" w:type="dxa"/>
            </w:tcMar>
            <w:vAlign w:val="bottom"/>
          </w:tcPr>
          <w:p w:rsidRPr="00EF02AC" w:rsidR="00EF02AC" w:rsidP="00E015FC" w:rsidRDefault="00EF02AC" w14:paraId="50242821" w14:textId="77777777">
            <w:pPr>
              <w:pStyle w:val="p-table"/>
              <w:jc w:val="right"/>
              <w:rPr>
                <w:rFonts w:ascii="Times New Roman" w:hAnsi="Times New Roman" w:cs="Times New Roman"/>
                <w:sz w:val="20"/>
              </w:rPr>
            </w:pPr>
            <w:r w:rsidRPr="00EF02AC">
              <w:rPr>
                <w:rFonts w:ascii="Times New Roman" w:hAnsi="Times New Roman" w:cs="Times New Roman"/>
                <w:sz w:val="20"/>
              </w:rPr>
              <w:t>57.287</w:t>
            </w:r>
          </w:p>
        </w:tc>
        <w:tc>
          <w:tcPr>
            <w:tcW w:w="589" w:type="pct"/>
            <w:tcMar>
              <w:top w:w="22" w:type="dxa"/>
              <w:left w:w="28" w:type="dxa"/>
              <w:bottom w:w="22" w:type="dxa"/>
              <w:right w:w="28" w:type="dxa"/>
            </w:tcMar>
            <w:vAlign w:val="bottom"/>
          </w:tcPr>
          <w:p w:rsidRPr="00EF02AC" w:rsidR="00EF02AC" w:rsidP="00E015FC" w:rsidRDefault="00EF02AC" w14:paraId="16245CBF" w14:textId="77777777">
            <w:pPr>
              <w:pStyle w:val="p-table"/>
              <w:jc w:val="right"/>
              <w:rPr>
                <w:rFonts w:ascii="Times New Roman" w:hAnsi="Times New Roman" w:cs="Times New Roman"/>
                <w:sz w:val="20"/>
              </w:rPr>
            </w:pPr>
            <w:r w:rsidRPr="00EF02AC">
              <w:rPr>
                <w:rFonts w:ascii="Times New Roman" w:hAnsi="Times New Roman" w:cs="Times New Roman"/>
                <w:sz w:val="20"/>
              </w:rPr>
              <w:t>1.101</w:t>
            </w:r>
          </w:p>
        </w:tc>
        <w:tc>
          <w:tcPr>
            <w:tcW w:w="655" w:type="pct"/>
            <w:tcMar>
              <w:top w:w="22" w:type="dxa"/>
              <w:left w:w="28" w:type="dxa"/>
              <w:bottom w:w="22" w:type="dxa"/>
              <w:right w:w="28" w:type="dxa"/>
            </w:tcMar>
            <w:vAlign w:val="bottom"/>
          </w:tcPr>
          <w:p w:rsidRPr="00EF02AC" w:rsidR="00EF02AC" w:rsidP="00E015FC" w:rsidRDefault="00EF02AC" w14:paraId="0C06CE4D" w14:textId="77777777">
            <w:pPr>
              <w:pStyle w:val="p-table"/>
              <w:jc w:val="right"/>
              <w:rPr>
                <w:rFonts w:ascii="Times New Roman" w:hAnsi="Times New Roman" w:cs="Times New Roman"/>
                <w:sz w:val="20"/>
              </w:rPr>
            </w:pPr>
            <w:r w:rsidRPr="00EF02AC">
              <w:rPr>
                <w:rFonts w:ascii="Times New Roman" w:hAnsi="Times New Roman" w:cs="Times New Roman"/>
                <w:sz w:val="20"/>
              </w:rPr>
              <w:t>184.161</w:t>
            </w:r>
          </w:p>
        </w:tc>
        <w:tc>
          <w:tcPr>
            <w:tcW w:w="523" w:type="pct"/>
            <w:tcMar>
              <w:top w:w="22" w:type="dxa"/>
              <w:left w:w="28" w:type="dxa"/>
              <w:bottom w:w="22" w:type="dxa"/>
              <w:right w:w="28" w:type="dxa"/>
            </w:tcMar>
            <w:vAlign w:val="bottom"/>
          </w:tcPr>
          <w:p w:rsidRPr="00EF02AC" w:rsidR="00EF02AC" w:rsidP="00E015FC" w:rsidRDefault="00EF02AC" w14:paraId="7C251B50" w14:textId="77777777">
            <w:pPr>
              <w:pStyle w:val="p-table"/>
              <w:jc w:val="right"/>
              <w:rPr>
                <w:rFonts w:ascii="Times New Roman" w:hAnsi="Times New Roman" w:cs="Times New Roman"/>
                <w:sz w:val="20"/>
              </w:rPr>
            </w:pPr>
            <w:r w:rsidRPr="00EF02AC">
              <w:rPr>
                <w:rFonts w:ascii="Times New Roman" w:hAnsi="Times New Roman" w:cs="Times New Roman"/>
                <w:sz w:val="20"/>
              </w:rPr>
              <w:t>57.841</w:t>
            </w:r>
          </w:p>
        </w:tc>
        <w:tc>
          <w:tcPr>
            <w:tcW w:w="589" w:type="pct"/>
            <w:tcMar>
              <w:top w:w="22" w:type="dxa"/>
              <w:left w:w="28" w:type="dxa"/>
              <w:bottom w:w="22" w:type="dxa"/>
              <w:right w:w="28" w:type="dxa"/>
            </w:tcMar>
            <w:vAlign w:val="bottom"/>
          </w:tcPr>
          <w:p w:rsidRPr="00EF02AC" w:rsidR="00EF02AC" w:rsidP="00E015FC" w:rsidRDefault="00EF02AC" w14:paraId="3695C6DF"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3F7590CC" w14:textId="77777777">
        <w:tc>
          <w:tcPr>
            <w:tcW w:w="184" w:type="pct"/>
            <w:tcMar>
              <w:top w:w="22" w:type="dxa"/>
              <w:bottom w:w="22" w:type="dxa"/>
              <w:right w:w="28" w:type="dxa"/>
            </w:tcMar>
          </w:tcPr>
          <w:p w:rsidRPr="00EF02AC" w:rsidR="00EF02AC" w:rsidP="00E015FC" w:rsidRDefault="00EF02AC" w14:paraId="00313A03" w14:textId="77777777">
            <w:pPr>
              <w:pStyle w:val="p-table"/>
              <w:rPr>
                <w:rFonts w:ascii="Times New Roman" w:hAnsi="Times New Roman" w:cs="Times New Roman"/>
                <w:sz w:val="20"/>
              </w:rPr>
            </w:pPr>
            <w:r w:rsidRPr="00EF02AC">
              <w:rPr>
                <w:rFonts w:ascii="Times New Roman" w:hAnsi="Times New Roman" w:cs="Times New Roman"/>
                <w:sz w:val="20"/>
              </w:rPr>
              <w:t>98</w:t>
            </w:r>
          </w:p>
        </w:tc>
        <w:tc>
          <w:tcPr>
            <w:tcW w:w="1273" w:type="pct"/>
            <w:tcMar>
              <w:top w:w="22" w:type="dxa"/>
              <w:left w:w="28" w:type="dxa"/>
              <w:bottom w:w="22" w:type="dxa"/>
              <w:right w:w="28" w:type="dxa"/>
            </w:tcMar>
          </w:tcPr>
          <w:p w:rsidRPr="00EF02AC" w:rsidR="00EF02AC" w:rsidP="00E015FC" w:rsidRDefault="00EF02AC" w14:paraId="7B8B3437" w14:textId="77777777">
            <w:pPr>
              <w:pStyle w:val="p-table"/>
              <w:rPr>
                <w:rFonts w:ascii="Times New Roman" w:hAnsi="Times New Roman" w:cs="Times New Roman"/>
                <w:sz w:val="20"/>
              </w:rPr>
            </w:pPr>
            <w:r w:rsidRPr="00EF02AC">
              <w:rPr>
                <w:rFonts w:ascii="Times New Roman" w:hAnsi="Times New Roman" w:cs="Times New Roman"/>
                <w:sz w:val="20"/>
              </w:rPr>
              <w:t>Apparaatsuitgaven Kerndepartement</w:t>
            </w:r>
          </w:p>
        </w:tc>
        <w:tc>
          <w:tcPr>
            <w:tcW w:w="655" w:type="pct"/>
            <w:tcMar>
              <w:top w:w="22" w:type="dxa"/>
              <w:left w:w="28" w:type="dxa"/>
              <w:bottom w:w="22" w:type="dxa"/>
              <w:right w:w="28" w:type="dxa"/>
            </w:tcMar>
            <w:vAlign w:val="bottom"/>
          </w:tcPr>
          <w:p w:rsidRPr="00EF02AC" w:rsidR="00EF02AC" w:rsidP="00E015FC" w:rsidRDefault="00EF02AC" w14:paraId="265F2BDA" w14:textId="77777777">
            <w:pPr>
              <w:pStyle w:val="p-table"/>
              <w:jc w:val="right"/>
              <w:rPr>
                <w:rFonts w:ascii="Times New Roman" w:hAnsi="Times New Roman" w:cs="Times New Roman"/>
                <w:sz w:val="20"/>
              </w:rPr>
            </w:pPr>
            <w:r w:rsidRPr="00EF02AC">
              <w:rPr>
                <w:rFonts w:ascii="Times New Roman" w:hAnsi="Times New Roman" w:cs="Times New Roman"/>
                <w:sz w:val="20"/>
              </w:rPr>
              <w:t>528.588</w:t>
            </w:r>
          </w:p>
        </w:tc>
        <w:tc>
          <w:tcPr>
            <w:tcW w:w="532" w:type="pct"/>
            <w:tcMar>
              <w:top w:w="22" w:type="dxa"/>
              <w:left w:w="28" w:type="dxa"/>
              <w:bottom w:w="22" w:type="dxa"/>
              <w:right w:w="28" w:type="dxa"/>
            </w:tcMar>
            <w:vAlign w:val="bottom"/>
          </w:tcPr>
          <w:p w:rsidRPr="00EF02AC" w:rsidR="00EF02AC" w:rsidP="00E015FC" w:rsidRDefault="00EF02AC" w14:paraId="2C221473" w14:textId="77777777">
            <w:pPr>
              <w:pStyle w:val="p-table"/>
              <w:jc w:val="right"/>
              <w:rPr>
                <w:rFonts w:ascii="Times New Roman" w:hAnsi="Times New Roman" w:cs="Times New Roman"/>
                <w:sz w:val="20"/>
              </w:rPr>
            </w:pPr>
            <w:r w:rsidRPr="00EF02AC">
              <w:rPr>
                <w:rFonts w:ascii="Times New Roman" w:hAnsi="Times New Roman" w:cs="Times New Roman"/>
                <w:sz w:val="20"/>
              </w:rPr>
              <w:t>541.621</w:t>
            </w:r>
          </w:p>
        </w:tc>
        <w:tc>
          <w:tcPr>
            <w:tcW w:w="589" w:type="pct"/>
            <w:tcMar>
              <w:top w:w="22" w:type="dxa"/>
              <w:left w:w="28" w:type="dxa"/>
              <w:bottom w:w="22" w:type="dxa"/>
              <w:right w:w="28" w:type="dxa"/>
            </w:tcMar>
            <w:vAlign w:val="bottom"/>
          </w:tcPr>
          <w:p w:rsidRPr="00EF02AC" w:rsidR="00EF02AC" w:rsidP="00E015FC" w:rsidRDefault="00EF02AC" w14:paraId="327759D8" w14:textId="77777777">
            <w:pPr>
              <w:pStyle w:val="p-table"/>
              <w:jc w:val="right"/>
              <w:rPr>
                <w:rFonts w:ascii="Times New Roman" w:hAnsi="Times New Roman" w:cs="Times New Roman"/>
                <w:sz w:val="20"/>
              </w:rPr>
            </w:pPr>
            <w:r w:rsidRPr="00EF02AC">
              <w:rPr>
                <w:rFonts w:ascii="Times New Roman" w:hAnsi="Times New Roman" w:cs="Times New Roman"/>
                <w:sz w:val="20"/>
              </w:rPr>
              <w:t>4.880</w:t>
            </w:r>
          </w:p>
        </w:tc>
        <w:tc>
          <w:tcPr>
            <w:tcW w:w="655" w:type="pct"/>
            <w:tcMar>
              <w:top w:w="22" w:type="dxa"/>
              <w:left w:w="28" w:type="dxa"/>
              <w:bottom w:w="22" w:type="dxa"/>
              <w:right w:w="28" w:type="dxa"/>
            </w:tcMar>
            <w:vAlign w:val="bottom"/>
          </w:tcPr>
          <w:p w:rsidRPr="00EF02AC" w:rsidR="00EF02AC" w:rsidP="00E015FC" w:rsidRDefault="00EF02AC" w14:paraId="27BE73AF" w14:textId="77777777">
            <w:pPr>
              <w:pStyle w:val="p-table"/>
              <w:jc w:val="right"/>
              <w:rPr>
                <w:rFonts w:ascii="Times New Roman" w:hAnsi="Times New Roman" w:cs="Times New Roman"/>
                <w:sz w:val="20"/>
              </w:rPr>
            </w:pPr>
            <w:r w:rsidRPr="00EF02AC">
              <w:rPr>
                <w:rFonts w:ascii="Times New Roman" w:hAnsi="Times New Roman" w:cs="Times New Roman"/>
                <w:sz w:val="20"/>
              </w:rPr>
              <w:t>‒ 18.682</w:t>
            </w:r>
          </w:p>
        </w:tc>
        <w:tc>
          <w:tcPr>
            <w:tcW w:w="523" w:type="pct"/>
            <w:tcMar>
              <w:top w:w="22" w:type="dxa"/>
              <w:left w:w="28" w:type="dxa"/>
              <w:bottom w:w="22" w:type="dxa"/>
              <w:right w:w="28" w:type="dxa"/>
            </w:tcMar>
            <w:vAlign w:val="bottom"/>
          </w:tcPr>
          <w:p w:rsidRPr="00EF02AC" w:rsidR="00EF02AC" w:rsidP="00E015FC" w:rsidRDefault="00EF02AC" w14:paraId="5068CD9A" w14:textId="77777777">
            <w:pPr>
              <w:pStyle w:val="p-table"/>
              <w:jc w:val="right"/>
              <w:rPr>
                <w:rFonts w:ascii="Times New Roman" w:hAnsi="Times New Roman" w:cs="Times New Roman"/>
                <w:sz w:val="20"/>
              </w:rPr>
            </w:pPr>
            <w:r w:rsidRPr="00EF02AC">
              <w:rPr>
                <w:rFonts w:ascii="Times New Roman" w:hAnsi="Times New Roman" w:cs="Times New Roman"/>
                <w:sz w:val="20"/>
              </w:rPr>
              <w:t>22.660</w:t>
            </w:r>
          </w:p>
        </w:tc>
        <w:tc>
          <w:tcPr>
            <w:tcW w:w="589" w:type="pct"/>
            <w:tcMar>
              <w:top w:w="22" w:type="dxa"/>
              <w:left w:w="28" w:type="dxa"/>
              <w:bottom w:w="22" w:type="dxa"/>
              <w:right w:w="28" w:type="dxa"/>
            </w:tcMar>
            <w:vAlign w:val="bottom"/>
          </w:tcPr>
          <w:p w:rsidRPr="00EF02AC" w:rsidR="00EF02AC" w:rsidP="00E015FC" w:rsidRDefault="00EF02AC" w14:paraId="5FA45C4B"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r w:rsidRPr="00EF02AC" w:rsidR="00EF02AC" w:rsidTr="00EF02AC" w14:paraId="39E474BB" w14:textId="77777777">
        <w:tc>
          <w:tcPr>
            <w:tcW w:w="184" w:type="pct"/>
            <w:tcBorders>
              <w:bottom w:val="single" w:color="009EE0" w:sz="2" w:space="0"/>
            </w:tcBorders>
            <w:tcMar>
              <w:top w:w="22" w:type="dxa"/>
              <w:bottom w:w="22" w:type="dxa"/>
              <w:right w:w="28" w:type="dxa"/>
            </w:tcMar>
          </w:tcPr>
          <w:p w:rsidRPr="00EF02AC" w:rsidR="00EF02AC" w:rsidP="00E015FC" w:rsidRDefault="00EF02AC" w14:paraId="1C40BD00" w14:textId="77777777">
            <w:pPr>
              <w:pStyle w:val="p-table"/>
              <w:rPr>
                <w:rFonts w:ascii="Times New Roman" w:hAnsi="Times New Roman" w:cs="Times New Roman"/>
                <w:sz w:val="20"/>
              </w:rPr>
            </w:pPr>
            <w:r w:rsidRPr="00EF02AC">
              <w:rPr>
                <w:rFonts w:ascii="Times New Roman" w:hAnsi="Times New Roman" w:cs="Times New Roman"/>
                <w:sz w:val="20"/>
              </w:rPr>
              <w:t>99</w:t>
            </w:r>
          </w:p>
        </w:tc>
        <w:tc>
          <w:tcPr>
            <w:tcW w:w="1273" w:type="pct"/>
            <w:tcBorders>
              <w:bottom w:val="single" w:color="009EE0" w:sz="2" w:space="0"/>
            </w:tcBorders>
            <w:tcMar>
              <w:top w:w="22" w:type="dxa"/>
              <w:left w:w="28" w:type="dxa"/>
              <w:bottom w:w="22" w:type="dxa"/>
              <w:right w:w="28" w:type="dxa"/>
            </w:tcMar>
          </w:tcPr>
          <w:p w:rsidRPr="00EF02AC" w:rsidR="00EF02AC" w:rsidP="00E015FC" w:rsidRDefault="00EF02AC" w14:paraId="7A9F6923" w14:textId="77777777">
            <w:pPr>
              <w:pStyle w:val="p-table"/>
              <w:rPr>
                <w:rFonts w:ascii="Times New Roman" w:hAnsi="Times New Roman" w:cs="Times New Roman"/>
                <w:sz w:val="20"/>
              </w:rPr>
            </w:pPr>
            <w:r w:rsidRPr="00EF02AC">
              <w:rPr>
                <w:rFonts w:ascii="Times New Roman" w:hAnsi="Times New Roman" w:cs="Times New Roman"/>
                <w:sz w:val="20"/>
              </w:rPr>
              <w:t>Nog Onverdeeld</w:t>
            </w:r>
          </w:p>
        </w:tc>
        <w:tc>
          <w:tcPr>
            <w:tcW w:w="655" w:type="pct"/>
            <w:tcBorders>
              <w:bottom w:val="single" w:color="009EE0" w:sz="2" w:space="0"/>
            </w:tcBorders>
            <w:tcMar>
              <w:top w:w="22" w:type="dxa"/>
              <w:left w:w="28" w:type="dxa"/>
              <w:bottom w:w="22" w:type="dxa"/>
              <w:right w:w="28" w:type="dxa"/>
            </w:tcMar>
            <w:vAlign w:val="bottom"/>
          </w:tcPr>
          <w:p w:rsidRPr="00EF02AC" w:rsidR="00EF02AC" w:rsidP="00E015FC" w:rsidRDefault="00EF02AC" w14:paraId="50915023"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32" w:type="pct"/>
            <w:tcBorders>
              <w:bottom w:val="single" w:color="009EE0" w:sz="2" w:space="0"/>
            </w:tcBorders>
            <w:tcMar>
              <w:top w:w="22" w:type="dxa"/>
              <w:left w:w="28" w:type="dxa"/>
              <w:bottom w:w="22" w:type="dxa"/>
              <w:right w:w="28" w:type="dxa"/>
            </w:tcMar>
            <w:vAlign w:val="bottom"/>
          </w:tcPr>
          <w:p w:rsidRPr="00EF02AC" w:rsidR="00EF02AC" w:rsidP="00E015FC" w:rsidRDefault="00EF02AC" w14:paraId="71BC2242"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589" w:type="pct"/>
            <w:tcBorders>
              <w:bottom w:val="single" w:color="009EE0" w:sz="2" w:space="0"/>
            </w:tcBorders>
            <w:tcMar>
              <w:top w:w="22" w:type="dxa"/>
              <w:left w:w="28" w:type="dxa"/>
              <w:bottom w:w="22" w:type="dxa"/>
              <w:right w:w="28" w:type="dxa"/>
            </w:tcMar>
            <w:vAlign w:val="bottom"/>
          </w:tcPr>
          <w:p w:rsidRPr="00EF02AC" w:rsidR="00EF02AC" w:rsidP="00E015FC" w:rsidRDefault="00EF02AC" w14:paraId="597B2C1F"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vAlign w:val="bottom"/>
          </w:tcPr>
          <w:p w:rsidRPr="00EF02AC" w:rsidR="00EF02AC" w:rsidP="00E015FC" w:rsidRDefault="00EF02AC" w14:paraId="65587BB3" w14:textId="77777777">
            <w:pPr>
              <w:pStyle w:val="p-table"/>
              <w:jc w:val="right"/>
              <w:rPr>
                <w:rFonts w:ascii="Times New Roman" w:hAnsi="Times New Roman" w:cs="Times New Roman"/>
                <w:sz w:val="20"/>
              </w:rPr>
            </w:pPr>
            <w:r w:rsidRPr="00EF02AC">
              <w:rPr>
                <w:rFonts w:ascii="Times New Roman" w:hAnsi="Times New Roman" w:cs="Times New Roman"/>
                <w:sz w:val="20"/>
              </w:rPr>
              <w:t>106.403</w:t>
            </w:r>
          </w:p>
        </w:tc>
        <w:tc>
          <w:tcPr>
            <w:tcW w:w="523" w:type="pct"/>
            <w:tcBorders>
              <w:bottom w:val="single" w:color="009EE0" w:sz="2" w:space="0"/>
            </w:tcBorders>
            <w:tcMar>
              <w:top w:w="22" w:type="dxa"/>
              <w:left w:w="28" w:type="dxa"/>
              <w:bottom w:w="22" w:type="dxa"/>
              <w:right w:w="28" w:type="dxa"/>
            </w:tcMar>
            <w:vAlign w:val="bottom"/>
          </w:tcPr>
          <w:p w:rsidRPr="00EF02AC" w:rsidR="00EF02AC" w:rsidP="00E015FC" w:rsidRDefault="00EF02AC" w14:paraId="0E8E6516" w14:textId="77777777">
            <w:pPr>
              <w:pStyle w:val="p-table"/>
              <w:jc w:val="right"/>
              <w:rPr>
                <w:rFonts w:ascii="Times New Roman" w:hAnsi="Times New Roman" w:cs="Times New Roman"/>
                <w:sz w:val="20"/>
              </w:rPr>
            </w:pPr>
            <w:r w:rsidRPr="00EF02AC">
              <w:rPr>
                <w:rFonts w:ascii="Times New Roman" w:hAnsi="Times New Roman" w:cs="Times New Roman"/>
                <w:sz w:val="20"/>
              </w:rPr>
              <w:t>75.938</w:t>
            </w:r>
          </w:p>
        </w:tc>
        <w:tc>
          <w:tcPr>
            <w:tcW w:w="589" w:type="pct"/>
            <w:tcBorders>
              <w:bottom w:val="single" w:color="009EE0" w:sz="2" w:space="0"/>
            </w:tcBorders>
            <w:tcMar>
              <w:top w:w="22" w:type="dxa"/>
              <w:left w:w="28" w:type="dxa"/>
              <w:bottom w:w="22" w:type="dxa"/>
              <w:right w:w="28" w:type="dxa"/>
            </w:tcMar>
            <w:vAlign w:val="bottom"/>
          </w:tcPr>
          <w:p w:rsidRPr="00EF02AC" w:rsidR="00EF02AC" w:rsidP="00E015FC" w:rsidRDefault="00EF02AC" w14:paraId="07C8B56B" w14:textId="77777777">
            <w:pPr>
              <w:pStyle w:val="p-table"/>
              <w:jc w:val="right"/>
              <w:rPr>
                <w:rFonts w:ascii="Times New Roman" w:hAnsi="Times New Roman" w:cs="Times New Roman"/>
                <w:sz w:val="20"/>
              </w:rPr>
            </w:pPr>
            <w:r w:rsidRPr="00EF02AC">
              <w:rPr>
                <w:rFonts w:ascii="Times New Roman" w:hAnsi="Times New Roman" w:cs="Times New Roman"/>
                <w:sz w:val="20"/>
              </w:rPr>
              <w:t>0</w:t>
            </w:r>
          </w:p>
        </w:tc>
      </w:tr>
    </w:tbl>
    <w:p w:rsidR="00EF02AC" w:rsidP="00FE223B" w:rsidRDefault="00EF02AC" w14:paraId="44CC17ED" w14:textId="77777777">
      <w:pPr>
        <w:tabs>
          <w:tab w:val="left" w:pos="284"/>
        </w:tabs>
      </w:pPr>
    </w:p>
    <w:p w:rsidR="00EF02AC" w:rsidP="00EF02AC" w:rsidRDefault="00EF02AC" w14:paraId="18FAC295" w14:textId="77777777">
      <w:pPr>
        <w:tabs>
          <w:tab w:val="left" w:pos="284"/>
        </w:tabs>
      </w:pPr>
    </w:p>
    <w:p w:rsidR="00EF02AC" w:rsidP="00EF02AC" w:rsidRDefault="00EF02AC" w14:paraId="0D93BB9D" w14:textId="77777777">
      <w:pPr>
        <w:tabs>
          <w:tab w:val="left" w:pos="284"/>
        </w:tabs>
      </w:pPr>
    </w:p>
    <w:p w:rsidRPr="00EF02AC" w:rsidR="00EF02AC" w:rsidP="00EF02AC" w:rsidRDefault="00EF02AC" w14:paraId="16E6D8C8" w14:textId="77777777">
      <w:pPr>
        <w:tabs>
          <w:tab w:val="left" w:pos="284"/>
        </w:tabs>
      </w:pPr>
    </w:p>
    <w:p w:rsidR="00EF02AC" w:rsidP="00EF02AC" w:rsidRDefault="00EF02AC" w14:paraId="67079FF3" w14:textId="77777777">
      <w:pPr>
        <w:tabs>
          <w:tab w:val="left" w:pos="284"/>
        </w:tabs>
        <w:rPr>
          <w:b/>
        </w:rPr>
      </w:pPr>
      <w:bookmarkStart w:name="1337320113373185" w:id="0"/>
      <w:r w:rsidRPr="00EF02AC">
        <w:rPr>
          <w:b/>
        </w:rPr>
        <w:lastRenderedPageBreak/>
        <w:t>Toelichting</w:t>
      </w:r>
      <w:bookmarkEnd w:id="0"/>
    </w:p>
    <w:p w:rsidRPr="00EF02AC" w:rsidR="00EF02AC" w:rsidP="00EF02AC" w:rsidRDefault="00EF02AC" w14:paraId="06339652" w14:textId="77777777">
      <w:pPr>
        <w:tabs>
          <w:tab w:val="left" w:pos="284"/>
        </w:tabs>
        <w:rPr>
          <w:b/>
        </w:rPr>
      </w:pPr>
    </w:p>
    <w:p w:rsidRPr="00EF02AC" w:rsidR="00EF02AC" w:rsidP="00EF02AC" w:rsidRDefault="00EF02AC" w14:paraId="2A90149B" w14:textId="77777777">
      <w:pPr>
        <w:tabs>
          <w:tab w:val="left" w:pos="284"/>
        </w:tabs>
        <w:rPr>
          <w:b/>
        </w:rPr>
      </w:pPr>
      <w:r w:rsidRPr="00EF02AC">
        <w:rPr>
          <w:b/>
        </w:rPr>
        <w:t>Algemeen</w:t>
      </w:r>
    </w:p>
    <w:p w:rsidRPr="00EF02AC" w:rsidR="00EF02AC" w:rsidP="00EF02AC" w:rsidRDefault="00EF02AC" w14:paraId="7473444A" w14:textId="77777777">
      <w:pPr>
        <w:tabs>
          <w:tab w:val="left" w:pos="284"/>
        </w:tabs>
      </w:pPr>
    </w:p>
    <w:p w:rsidRPr="00EF02AC" w:rsidR="00EF02AC" w:rsidP="00EF02AC" w:rsidRDefault="00EF02AC" w14:paraId="050FBDC0" w14:textId="77777777">
      <w:pPr>
        <w:tabs>
          <w:tab w:val="left" w:pos="284"/>
        </w:tabs>
      </w:pPr>
      <w:r w:rsidRPr="00EF02AC">
        <w:t>Zoals opgenomen in de Kamerbrief Acties Weerbaarheid Energieschok van 20 april jl. wordt o.a. aangekondigd dat de inruilregeling brandstofauto’s al in Q4 2026 van start gaat, in plaats van 2027. Dit betekent dat de in het Klimaatfonds gereserveerde middelen voor deze maatregel eerder beschikbaar moeten worden gesteld.</w:t>
      </w:r>
    </w:p>
    <w:p w:rsidRPr="00EF02AC" w:rsidR="00EF02AC" w:rsidP="00EF02AC" w:rsidRDefault="00EF02AC" w14:paraId="47EF33C2" w14:textId="77777777">
      <w:pPr>
        <w:tabs>
          <w:tab w:val="left" w:pos="284"/>
        </w:tabs>
      </w:pPr>
      <w:r w:rsidRPr="00EF02AC">
        <w:t xml:space="preserve">Naar aanleiding van de hoge energie- en brandstofprijzen heeft op 22 april 2026 het </w:t>
      </w:r>
      <w:r w:rsidRPr="00EF02AC">
        <w:rPr>
          <w:i/>
        </w:rPr>
        <w:t>debat over de maatregelen van het kabinet inzake de hoge energie-en brandstofprijzen</w:t>
      </w:r>
      <w:r w:rsidRPr="00EF02AC">
        <w:t xml:space="preserve"> plaatsgevonden. Vervolgens is de motie aangenomen voor een ticket van € 49,00 per maand waarmee in de daluren onbeperkt kan worden gereisd met de trein voor een periode van drie maanden. Hiervoor moeten middelen vanuit het Klimaat- en energiefonds en Mobiliteitsfonds overgeheveld worden naar het ministerie van Infrastructuur en Waterstaat (XII).</w:t>
      </w:r>
    </w:p>
    <w:p w:rsidR="00EF02AC" w:rsidP="00EF02AC" w:rsidRDefault="00EF02AC" w14:paraId="3EA17E7B" w14:textId="77777777">
      <w:pPr>
        <w:tabs>
          <w:tab w:val="left" w:pos="284"/>
        </w:tabs>
      </w:pPr>
      <w:r w:rsidRPr="00EF02AC">
        <w:t>Middels deze Nota van Wijziging wordt de overheveling van de middelen naar de IenW-begroting bewerkstelligd, zodat de benodigde middelen tijdig ingezet kunnen worden.</w:t>
      </w:r>
    </w:p>
    <w:p w:rsidRPr="00EF02AC" w:rsidR="00EF02AC" w:rsidP="00EF02AC" w:rsidRDefault="00EF02AC" w14:paraId="07F785DE" w14:textId="77777777">
      <w:pPr>
        <w:tabs>
          <w:tab w:val="left" w:pos="284"/>
        </w:tabs>
      </w:pPr>
    </w:p>
    <w:p w:rsidRPr="00EF02AC" w:rsidR="00EF02AC" w:rsidP="00EF02AC" w:rsidRDefault="00EF02AC" w14:paraId="547E08D4" w14:textId="77777777">
      <w:pPr>
        <w:tabs>
          <w:tab w:val="left" w:pos="284"/>
        </w:tabs>
        <w:rPr>
          <w:b/>
        </w:rPr>
      </w:pPr>
      <w:r w:rsidRPr="00EF02AC">
        <w:rPr>
          <w:b/>
        </w:rPr>
        <w:t>Artikelsgewijze toelichting bij de begrotingsartikelen</w:t>
      </w:r>
    </w:p>
    <w:p w:rsidRPr="00EF02AC" w:rsidR="00EF02AC" w:rsidP="00EF02AC" w:rsidRDefault="00EF02AC" w14:paraId="0225862F" w14:textId="77777777">
      <w:pPr>
        <w:tabs>
          <w:tab w:val="left" w:pos="284"/>
        </w:tabs>
      </w:pPr>
    </w:p>
    <w:p w:rsidRPr="00EF02AC" w:rsidR="00EF02AC" w:rsidP="00EF02AC" w:rsidRDefault="00EF02AC" w14:paraId="74997264" w14:textId="77777777">
      <w:pPr>
        <w:tabs>
          <w:tab w:val="left" w:pos="284"/>
        </w:tabs>
        <w:rPr>
          <w:i/>
        </w:rPr>
      </w:pPr>
      <w:r w:rsidRPr="00EF02AC">
        <w:rPr>
          <w:i/>
        </w:rPr>
        <w:t>Art. 14 Wegen en verkeersveiligheid</w:t>
      </w:r>
    </w:p>
    <w:p w:rsidR="00EF02AC" w:rsidP="00EF02AC" w:rsidRDefault="00EF02AC" w14:paraId="3DC664CF" w14:textId="77777777">
      <w:pPr>
        <w:tabs>
          <w:tab w:val="left" w:pos="284"/>
        </w:tabs>
      </w:pPr>
      <w:r w:rsidRPr="00EF02AC">
        <w:t>Om de inruilregeling brandstofauto's al in Q4 2026 in werking te kunnen laten treden, worden de middelen van de Klimaatfondsbegroting naar artikel 14 overgeheveld. Het betreft in de periode 2026 ‒ 2028 in totaal € 52,4 miljoen op het subsidiebudget. Om de middelen in het juiste ritme te plaatsen, vindt er ook een schuif plaats op de verplichtingen en uitgaven.</w:t>
      </w:r>
    </w:p>
    <w:p w:rsidRPr="00EF02AC" w:rsidR="00EF02AC" w:rsidP="00EF02AC" w:rsidRDefault="00EF02AC" w14:paraId="0992A5FA" w14:textId="77777777">
      <w:pPr>
        <w:tabs>
          <w:tab w:val="left" w:pos="284"/>
        </w:tabs>
      </w:pPr>
    </w:p>
    <w:p w:rsidRPr="00EF02AC" w:rsidR="00EF02AC" w:rsidP="00EF02AC" w:rsidRDefault="00EF02AC" w14:paraId="7F163B21" w14:textId="77777777">
      <w:pPr>
        <w:tabs>
          <w:tab w:val="left" w:pos="284"/>
        </w:tabs>
        <w:rPr>
          <w:i/>
        </w:rPr>
      </w:pPr>
      <w:r w:rsidRPr="00EF02AC">
        <w:rPr>
          <w:i/>
        </w:rPr>
        <w:t>Art. 16 Openbaar Vervoer en Spoor</w:t>
      </w:r>
    </w:p>
    <w:p w:rsidRPr="00EF02AC" w:rsidR="00EF02AC" w:rsidP="00EF02AC" w:rsidRDefault="00EF02AC" w14:paraId="12E74A57" w14:textId="77777777">
      <w:pPr>
        <w:tabs>
          <w:tab w:val="left" w:pos="284"/>
        </w:tabs>
      </w:pPr>
      <w:r w:rsidRPr="00EF02AC">
        <w:t>Tijdens het debat over de hoge energie- en brandstofprijzen is een motie ingediend die de regering oproept deze zomer een ticket in te voeren van € 49,00 per maand waarmee in de daluren onbeperkt kan worden gereisd met de trein, voor een periode van drie maanden. De motie is aangenomen en dient daarom met een Nota van Wijziging te worden verwerkt in de 1e suppletoire begroting van IenW. Ter dekking worden middelen vanuit het Klimaat- en energiefonds, die voorheen bestemd waren voor een algemene reservering voor openbaar vervoer en voor kennisopbouw stralingsbescherming en het onderzoeksprogramma eindberging radioactief afval, alternatief aangewend. Voorts worden ter dekking middelen ingezet vanuit het Mobiliteitsfonds, die voorheen bestemd waren als reservering voor risico's, alternatief ingezet. Deze Nota van Wijziging regelt de ophoging van artikel 16 op begrotingshoofdstuk XII van IenW. Het betreft in het jaar 2026 in totaal € 118 miljoen op het subsidiebudget.</w:t>
      </w:r>
    </w:p>
    <w:p w:rsidRPr="00EF02AC" w:rsidR="00EF02AC" w:rsidP="00EF02AC" w:rsidRDefault="00EF02AC" w14:paraId="4E1BAE11" w14:textId="77777777">
      <w:pPr>
        <w:tabs>
          <w:tab w:val="left" w:pos="284"/>
        </w:tabs>
      </w:pPr>
    </w:p>
    <w:p w:rsidRPr="00EF02AC" w:rsidR="00EF02AC" w:rsidP="00EF02AC" w:rsidRDefault="00EF02AC" w14:paraId="16F1A070" w14:textId="77777777">
      <w:pPr>
        <w:tabs>
          <w:tab w:val="left" w:pos="284"/>
        </w:tabs>
        <w:rPr>
          <w:b/>
        </w:rPr>
      </w:pPr>
      <w:r w:rsidRPr="00EF02AC">
        <w:rPr>
          <w:b/>
        </w:rPr>
        <w:t>Meerjarige doorwerking</w:t>
      </w:r>
    </w:p>
    <w:p w:rsidRPr="00EF02AC" w:rsidR="00EF02AC" w:rsidP="00EF02AC" w:rsidRDefault="00EF02AC" w14:paraId="4EA4AF7F" w14:textId="77777777">
      <w:pPr>
        <w:tabs>
          <w:tab w:val="left" w:pos="284"/>
        </w:tabs>
      </w:pPr>
      <w:r w:rsidRPr="00EF02AC">
        <w:t>In de onderstaande tabellen zijn per artikel de standen eerste suppletoire begroting 2026 vóór nota van wijziging, de mutaties en de standen suppletoire begroting 2026 na nota van wijziging meerjarig opgenomen.</w:t>
      </w:r>
    </w:p>
    <w:p w:rsidR="00EF02AC" w:rsidP="00FE223B" w:rsidRDefault="00EF02AC" w14:paraId="4F3DF0F3" w14:textId="77777777">
      <w:pPr>
        <w:tabs>
          <w:tab w:val="left" w:pos="284"/>
        </w:tabs>
      </w:pPr>
    </w:p>
    <w:tbl>
      <w:tblPr>
        <w:tblW w:w="5000" w:type="pct"/>
        <w:tblCellMar>
          <w:left w:w="10" w:type="dxa"/>
          <w:right w:w="10" w:type="dxa"/>
        </w:tblCellMar>
        <w:tblLook w:val="04A0" w:firstRow="1" w:lastRow="0" w:firstColumn="1" w:lastColumn="0" w:noHBand="0" w:noVBand="1"/>
      </w:tblPr>
      <w:tblGrid>
        <w:gridCol w:w="535"/>
        <w:gridCol w:w="2643"/>
        <w:gridCol w:w="984"/>
        <w:gridCol w:w="982"/>
        <w:gridCol w:w="982"/>
        <w:gridCol w:w="982"/>
        <w:gridCol w:w="982"/>
        <w:gridCol w:w="982"/>
      </w:tblGrid>
      <w:tr w:rsidRPr="00EF02AC" w:rsidR="00EF02AC" w:rsidTr="00EF02AC" w14:paraId="7FD9E5C7" w14:textId="77777777">
        <w:trPr>
          <w:tblHeader/>
        </w:trPr>
        <w:tc>
          <w:tcPr>
            <w:tcW w:w="5000" w:type="pct"/>
            <w:gridSpan w:val="8"/>
            <w:tcMar>
              <w:top w:w="22" w:type="dxa"/>
              <w:left w:w="113" w:type="dxa"/>
              <w:bottom w:w="22" w:type="dxa"/>
            </w:tcMar>
          </w:tcPr>
          <w:p w:rsidRPr="00EF02AC" w:rsidR="00EF02AC" w:rsidP="00E015FC" w:rsidRDefault="00EF02AC" w14:paraId="73257A83" w14:textId="77777777">
            <w:pPr>
              <w:pStyle w:val="kio2-table-title"/>
              <w:rPr>
                <w:rFonts w:ascii="Times New Roman" w:hAnsi="Times New Roman" w:cs="Times New Roman"/>
                <w:sz w:val="20"/>
              </w:rPr>
            </w:pPr>
            <w:r w:rsidRPr="00EF02AC">
              <w:rPr>
                <w:rFonts w:ascii="Times New Roman" w:hAnsi="Times New Roman" w:cs="Times New Roman"/>
                <w:sz w:val="20"/>
              </w:rPr>
              <w:t>Tabel 2 Meerjarige doorwerking verplichtingen (bedragen x € 1.000)</w:t>
            </w:r>
          </w:p>
        </w:tc>
      </w:tr>
      <w:tr w:rsidRPr="00EF02AC" w:rsidR="00EF02AC" w:rsidTr="00EF02AC" w14:paraId="3391BCB5" w14:textId="77777777">
        <w:trPr>
          <w:tblHeader/>
        </w:trPr>
        <w:tc>
          <w:tcPr>
            <w:tcW w:w="289" w:type="pct"/>
            <w:tcBorders>
              <w:top w:val="single" w:color="000000" w:sz="2" w:space="0"/>
              <w:bottom w:val="single" w:color="009EE0" w:sz="2" w:space="0"/>
            </w:tcBorders>
            <w:tcMar>
              <w:top w:w="28" w:type="dxa"/>
              <w:bottom w:w="28" w:type="dxa"/>
              <w:right w:w="28" w:type="dxa"/>
            </w:tcMar>
            <w:vAlign w:val="center"/>
          </w:tcPr>
          <w:p w:rsidRPr="00EF02AC" w:rsidR="00EF02AC" w:rsidP="00E015FC" w:rsidRDefault="00EF02AC" w14:paraId="6550FC9A"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Art.</w:t>
            </w:r>
          </w:p>
        </w:tc>
        <w:tc>
          <w:tcPr>
            <w:tcW w:w="1458"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6EF77CC7"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Omschrijving</w:t>
            </w:r>
          </w:p>
        </w:tc>
        <w:tc>
          <w:tcPr>
            <w:tcW w:w="543"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277AE085"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2026</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30041C78"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2027</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28C4EC61"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2028</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25AD1557"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2029</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7C1864BF"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2030</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4EDDF1CA"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2031</w:t>
            </w:r>
          </w:p>
        </w:tc>
      </w:tr>
      <w:tr w:rsidRPr="00EF02AC" w:rsidR="00EF02AC" w:rsidTr="00EF02AC" w14:paraId="68ACBD40"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9013BED"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3F64DA93"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1B220D66"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468CD49"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3982B15"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FB99BF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EA25788"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504EAB3" w14:textId="77777777">
            <w:pPr>
              <w:pStyle w:val="p-table"/>
              <w:rPr>
                <w:rFonts w:ascii="Times New Roman" w:hAnsi="Times New Roman" w:cs="Times New Roman"/>
                <w:sz w:val="20"/>
              </w:rPr>
            </w:pPr>
          </w:p>
        </w:tc>
      </w:tr>
      <w:tr w:rsidRPr="00EF02AC" w:rsidR="00EF02AC" w:rsidTr="00EF02AC" w14:paraId="4F26E25B"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45E5337D" w14:textId="77777777">
            <w:pPr>
              <w:pStyle w:val="p-table"/>
              <w:jc w:val="right"/>
              <w:rPr>
                <w:rFonts w:ascii="Times New Roman" w:hAnsi="Times New Roman" w:cs="Times New Roman"/>
                <w:sz w:val="20"/>
              </w:rPr>
            </w:pPr>
            <w:r w:rsidRPr="00EF02AC">
              <w:rPr>
                <w:rFonts w:ascii="Times New Roman" w:hAnsi="Times New Roman" w:cs="Times New Roman"/>
                <w:sz w:val="20"/>
              </w:rPr>
              <w:t>14</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4F52A31" w14:textId="77777777">
            <w:pPr>
              <w:pStyle w:val="p-table"/>
              <w:rPr>
                <w:rFonts w:ascii="Times New Roman" w:hAnsi="Times New Roman" w:cs="Times New Roman"/>
                <w:sz w:val="20"/>
              </w:rPr>
            </w:pPr>
            <w:r w:rsidRPr="00EF02AC">
              <w:rPr>
                <w:rFonts w:ascii="Times New Roman" w:hAnsi="Times New Roman" w:cs="Times New Roman"/>
                <w:sz w:val="20"/>
              </w:rPr>
              <w:t>Wegen en verkeersveiligheid</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4C603CD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30BEACA"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B3B0E91"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3AA9995"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2D2B8D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90A6739" w14:textId="77777777">
            <w:pPr>
              <w:pStyle w:val="p-table"/>
              <w:rPr>
                <w:rFonts w:ascii="Times New Roman" w:hAnsi="Times New Roman" w:cs="Times New Roman"/>
                <w:sz w:val="20"/>
              </w:rPr>
            </w:pPr>
          </w:p>
        </w:tc>
      </w:tr>
      <w:tr w:rsidRPr="00EF02AC" w:rsidR="00EF02AC" w:rsidTr="00EF02AC" w14:paraId="7F39DB4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21C69613"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5A7828A6" w14:textId="77777777">
            <w:pPr>
              <w:pStyle w:val="p-table"/>
              <w:rPr>
                <w:rFonts w:ascii="Times New Roman" w:hAnsi="Times New Roman" w:cs="Times New Roman"/>
                <w:sz w:val="20"/>
              </w:rPr>
            </w:pPr>
            <w:r w:rsidRPr="00EF02AC">
              <w:rPr>
                <w:rFonts w:ascii="Times New Roman" w:hAnsi="Times New Roman" w:cs="Times New Roman"/>
                <w:b/>
                <w:sz w:val="20"/>
              </w:rPr>
              <w:t>Stand vóór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4EBC48A9" w14:textId="77777777">
            <w:pPr>
              <w:pStyle w:val="p-table"/>
              <w:jc w:val="right"/>
              <w:rPr>
                <w:rFonts w:ascii="Times New Roman" w:hAnsi="Times New Roman" w:cs="Times New Roman"/>
                <w:sz w:val="20"/>
              </w:rPr>
            </w:pPr>
            <w:r w:rsidRPr="00EF02AC">
              <w:rPr>
                <w:rFonts w:ascii="Times New Roman" w:hAnsi="Times New Roman" w:cs="Times New Roman"/>
                <w:b/>
                <w:sz w:val="20"/>
              </w:rPr>
              <w:t>415.719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83C6BDD" w14:textId="77777777">
            <w:pPr>
              <w:pStyle w:val="p-table"/>
              <w:jc w:val="right"/>
              <w:rPr>
                <w:rFonts w:ascii="Times New Roman" w:hAnsi="Times New Roman" w:cs="Times New Roman"/>
                <w:sz w:val="20"/>
              </w:rPr>
            </w:pPr>
            <w:r w:rsidRPr="00EF02AC">
              <w:rPr>
                <w:rFonts w:ascii="Times New Roman" w:hAnsi="Times New Roman" w:cs="Times New Roman"/>
                <w:b/>
                <w:sz w:val="20"/>
              </w:rPr>
              <w:t>356.795</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102C96A" w14:textId="77777777">
            <w:pPr>
              <w:pStyle w:val="p-table"/>
              <w:jc w:val="right"/>
              <w:rPr>
                <w:rFonts w:ascii="Times New Roman" w:hAnsi="Times New Roman" w:cs="Times New Roman"/>
                <w:sz w:val="20"/>
              </w:rPr>
            </w:pPr>
            <w:r w:rsidRPr="00EF02AC">
              <w:rPr>
                <w:rFonts w:ascii="Times New Roman" w:hAnsi="Times New Roman" w:cs="Times New Roman"/>
                <w:b/>
                <w:sz w:val="20"/>
              </w:rPr>
              <w:t>322.786</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2F5AFF6" w14:textId="77777777">
            <w:pPr>
              <w:pStyle w:val="p-table"/>
              <w:jc w:val="right"/>
              <w:rPr>
                <w:rFonts w:ascii="Times New Roman" w:hAnsi="Times New Roman" w:cs="Times New Roman"/>
                <w:sz w:val="20"/>
              </w:rPr>
            </w:pPr>
            <w:r w:rsidRPr="00EF02AC">
              <w:rPr>
                <w:rFonts w:ascii="Times New Roman" w:hAnsi="Times New Roman" w:cs="Times New Roman"/>
                <w:b/>
                <w:sz w:val="20"/>
              </w:rPr>
              <w:t>257.164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6C6302" w14:textId="77777777">
            <w:pPr>
              <w:pStyle w:val="p-table"/>
              <w:jc w:val="right"/>
              <w:rPr>
                <w:rFonts w:ascii="Times New Roman" w:hAnsi="Times New Roman" w:cs="Times New Roman"/>
                <w:sz w:val="20"/>
              </w:rPr>
            </w:pPr>
            <w:r w:rsidRPr="00EF02AC">
              <w:rPr>
                <w:rFonts w:ascii="Times New Roman" w:hAnsi="Times New Roman" w:cs="Times New Roman"/>
                <w:b/>
                <w:sz w:val="20"/>
              </w:rPr>
              <w:t>211.220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71F1A1E" w14:textId="77777777">
            <w:pPr>
              <w:pStyle w:val="p-table"/>
              <w:jc w:val="right"/>
              <w:rPr>
                <w:rFonts w:ascii="Times New Roman" w:hAnsi="Times New Roman" w:cs="Times New Roman"/>
                <w:sz w:val="20"/>
              </w:rPr>
            </w:pPr>
            <w:r w:rsidRPr="00EF02AC">
              <w:rPr>
                <w:rFonts w:ascii="Times New Roman" w:hAnsi="Times New Roman" w:cs="Times New Roman"/>
                <w:b/>
                <w:sz w:val="20"/>
              </w:rPr>
              <w:t>85.271</w:t>
            </w:r>
          </w:p>
        </w:tc>
      </w:tr>
      <w:tr w:rsidRPr="00EF02AC" w:rsidR="00EF02AC" w:rsidTr="00EF02AC" w14:paraId="3664BCF3" w14:textId="77777777">
        <w:tc>
          <w:tcPr>
            <w:tcW w:w="289" w:type="pct"/>
            <w:tcBorders>
              <w:bottom w:val="single" w:color="009EE0" w:sz="2" w:space="0"/>
            </w:tcBorders>
            <w:tcMar>
              <w:top w:w="22" w:type="dxa"/>
              <w:bottom w:w="22" w:type="dxa"/>
              <w:right w:w="28" w:type="dxa"/>
            </w:tcMar>
          </w:tcPr>
          <w:p w:rsidRPr="00EF02AC" w:rsidR="00EF02AC" w:rsidP="00E015FC" w:rsidRDefault="00EF02AC" w14:paraId="699EC9C0"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BAEAE2F" w14:textId="77777777">
            <w:pPr>
              <w:pStyle w:val="p-table"/>
              <w:rPr>
                <w:rFonts w:ascii="Times New Roman" w:hAnsi="Times New Roman" w:cs="Times New Roman"/>
                <w:sz w:val="20"/>
              </w:rPr>
            </w:pPr>
            <w:r w:rsidRPr="00EF02AC">
              <w:rPr>
                <w:rFonts w:ascii="Times New Roman" w:hAnsi="Times New Roman" w:cs="Times New Roman"/>
                <w:i/>
                <w:sz w:val="20"/>
              </w:rPr>
              <w:t>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475CF5F9"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4553470" w14:textId="77777777">
            <w:pPr>
              <w:pStyle w:val="p-table"/>
              <w:jc w:val="right"/>
              <w:rPr>
                <w:rFonts w:ascii="Times New Roman" w:hAnsi="Times New Roman" w:cs="Times New Roman"/>
                <w:sz w:val="20"/>
              </w:rPr>
            </w:pPr>
            <w:r w:rsidRPr="00EF02AC">
              <w:rPr>
                <w:rFonts w:ascii="Times New Roman" w:hAnsi="Times New Roman" w:cs="Times New Roman"/>
                <w:i/>
                <w:sz w:val="20"/>
              </w:rPr>
              <w:t>26.000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3C98480"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4ED1E35"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7ACACD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66EDEC4" w14:textId="77777777">
            <w:pPr>
              <w:pStyle w:val="p-table"/>
              <w:rPr>
                <w:rFonts w:ascii="Times New Roman" w:hAnsi="Times New Roman" w:cs="Times New Roman"/>
                <w:sz w:val="20"/>
              </w:rPr>
            </w:pPr>
          </w:p>
        </w:tc>
      </w:tr>
      <w:tr w:rsidRPr="00EF02AC" w:rsidR="00EF02AC" w:rsidTr="00EF02AC" w14:paraId="3A50D108" w14:textId="77777777">
        <w:tc>
          <w:tcPr>
            <w:tcW w:w="289" w:type="pct"/>
            <w:tcBorders>
              <w:bottom w:val="single" w:color="009EE0" w:sz="2" w:space="0"/>
            </w:tcBorders>
            <w:tcMar>
              <w:top w:w="22" w:type="dxa"/>
              <w:bottom w:w="22" w:type="dxa"/>
              <w:right w:w="28" w:type="dxa"/>
            </w:tcMar>
          </w:tcPr>
          <w:p w:rsidRPr="00EF02AC" w:rsidR="00EF02AC" w:rsidP="00E015FC" w:rsidRDefault="00EF02AC" w14:paraId="51B19583"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4C19743" w14:textId="77777777">
            <w:pPr>
              <w:pStyle w:val="p-table"/>
              <w:rPr>
                <w:rFonts w:ascii="Times New Roman" w:hAnsi="Times New Roman" w:cs="Times New Roman"/>
                <w:sz w:val="20"/>
              </w:rPr>
            </w:pPr>
            <w:r w:rsidRPr="00EF02AC">
              <w:rPr>
                <w:rFonts w:ascii="Times New Roman" w:hAnsi="Times New Roman" w:cs="Times New Roman"/>
                <w:i/>
                <w:sz w:val="20"/>
              </w:rPr>
              <w:t>Schuif 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1D4A28F" w14:textId="77777777">
            <w:pPr>
              <w:pStyle w:val="p-table"/>
              <w:jc w:val="right"/>
              <w:rPr>
                <w:rFonts w:ascii="Times New Roman" w:hAnsi="Times New Roman" w:cs="Times New Roman"/>
                <w:sz w:val="20"/>
              </w:rPr>
            </w:pPr>
            <w:r w:rsidRPr="00EF02AC">
              <w:rPr>
                <w:rFonts w:ascii="Times New Roman" w:hAnsi="Times New Roman" w:cs="Times New Roman"/>
                <w:i/>
                <w:sz w:val="20"/>
              </w:rPr>
              <w:t>10.000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56D0AC9" w14:textId="77777777">
            <w:pPr>
              <w:pStyle w:val="p-table"/>
              <w:jc w:val="right"/>
              <w:rPr>
                <w:rFonts w:ascii="Times New Roman" w:hAnsi="Times New Roman" w:cs="Times New Roman"/>
                <w:sz w:val="20"/>
              </w:rPr>
            </w:pPr>
            <w:r w:rsidRPr="00EF02AC">
              <w:rPr>
                <w:rFonts w:ascii="Times New Roman" w:hAnsi="Times New Roman" w:cs="Times New Roman"/>
                <w:i/>
                <w:sz w:val="20"/>
              </w:rPr>
              <w:t>15.128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3439BC3" w14:textId="77777777">
            <w:pPr>
              <w:pStyle w:val="p-table"/>
              <w:jc w:val="right"/>
              <w:rPr>
                <w:rFonts w:ascii="Times New Roman" w:hAnsi="Times New Roman" w:cs="Times New Roman"/>
                <w:sz w:val="20"/>
              </w:rPr>
            </w:pPr>
            <w:r w:rsidRPr="00EF02AC">
              <w:rPr>
                <w:rFonts w:ascii="Times New Roman" w:hAnsi="Times New Roman" w:cs="Times New Roman"/>
                <w:i/>
                <w:sz w:val="20"/>
              </w:rPr>
              <w:t>‒ 11.928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3BB3A0A" w14:textId="77777777">
            <w:pPr>
              <w:pStyle w:val="p-table"/>
              <w:jc w:val="right"/>
              <w:rPr>
                <w:rFonts w:ascii="Times New Roman" w:hAnsi="Times New Roman" w:cs="Times New Roman"/>
                <w:sz w:val="20"/>
              </w:rPr>
            </w:pPr>
            <w:r w:rsidRPr="00EF02AC">
              <w:rPr>
                <w:rFonts w:ascii="Times New Roman" w:hAnsi="Times New Roman" w:cs="Times New Roman"/>
                <w:i/>
                <w:sz w:val="20"/>
              </w:rPr>
              <w:t>‒ 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0AE864C"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262FB55" w14:textId="77777777">
            <w:pPr>
              <w:pStyle w:val="p-table"/>
              <w:rPr>
                <w:rFonts w:ascii="Times New Roman" w:hAnsi="Times New Roman" w:cs="Times New Roman"/>
                <w:sz w:val="20"/>
              </w:rPr>
            </w:pPr>
          </w:p>
        </w:tc>
      </w:tr>
      <w:tr w:rsidRPr="00EF02AC" w:rsidR="00EF02AC" w:rsidTr="00EF02AC" w14:paraId="76175545"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97001FD"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90917D5"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1CE426D0" w14:textId="77777777">
            <w:pPr>
              <w:pStyle w:val="p-table"/>
              <w:jc w:val="right"/>
              <w:rPr>
                <w:rFonts w:ascii="Times New Roman" w:hAnsi="Times New Roman" w:cs="Times New Roman"/>
                <w:sz w:val="20"/>
              </w:rPr>
            </w:pPr>
            <w:r w:rsidRPr="00EF02AC">
              <w:rPr>
                <w:rFonts w:ascii="Times New Roman" w:hAnsi="Times New Roman" w:cs="Times New Roman"/>
                <w:b/>
                <w:sz w:val="20"/>
              </w:rPr>
              <w:t>425.719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7B1CAA2" w14:textId="77777777">
            <w:pPr>
              <w:pStyle w:val="p-table"/>
              <w:jc w:val="right"/>
              <w:rPr>
                <w:rFonts w:ascii="Times New Roman" w:hAnsi="Times New Roman" w:cs="Times New Roman"/>
                <w:sz w:val="20"/>
              </w:rPr>
            </w:pPr>
            <w:r w:rsidRPr="00EF02AC">
              <w:rPr>
                <w:rFonts w:ascii="Times New Roman" w:hAnsi="Times New Roman" w:cs="Times New Roman"/>
                <w:b/>
                <w:sz w:val="20"/>
              </w:rPr>
              <w:t>397.923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AB79738" w14:textId="77777777">
            <w:pPr>
              <w:pStyle w:val="p-table"/>
              <w:jc w:val="right"/>
              <w:rPr>
                <w:rFonts w:ascii="Times New Roman" w:hAnsi="Times New Roman" w:cs="Times New Roman"/>
                <w:sz w:val="20"/>
              </w:rPr>
            </w:pPr>
            <w:r w:rsidRPr="00EF02AC">
              <w:rPr>
                <w:rFonts w:ascii="Times New Roman" w:hAnsi="Times New Roman" w:cs="Times New Roman"/>
                <w:b/>
                <w:sz w:val="20"/>
              </w:rPr>
              <w:t>324.058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0312E9C" w14:textId="77777777">
            <w:pPr>
              <w:pStyle w:val="p-table"/>
              <w:jc w:val="right"/>
              <w:rPr>
                <w:rFonts w:ascii="Times New Roman" w:hAnsi="Times New Roman" w:cs="Times New Roman"/>
                <w:sz w:val="20"/>
              </w:rPr>
            </w:pPr>
            <w:r w:rsidRPr="00EF02AC">
              <w:rPr>
                <w:rFonts w:ascii="Times New Roman" w:hAnsi="Times New Roman" w:cs="Times New Roman"/>
                <w:b/>
                <w:sz w:val="20"/>
              </w:rPr>
              <w:t>257.164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9D60CD6" w14:textId="77777777">
            <w:pPr>
              <w:pStyle w:val="p-table"/>
              <w:jc w:val="right"/>
              <w:rPr>
                <w:rFonts w:ascii="Times New Roman" w:hAnsi="Times New Roman" w:cs="Times New Roman"/>
                <w:sz w:val="20"/>
              </w:rPr>
            </w:pPr>
            <w:r w:rsidRPr="00EF02AC">
              <w:rPr>
                <w:rFonts w:ascii="Times New Roman" w:hAnsi="Times New Roman" w:cs="Times New Roman"/>
                <w:b/>
                <w:sz w:val="20"/>
              </w:rPr>
              <w:t>211.220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3B73274" w14:textId="77777777">
            <w:pPr>
              <w:pStyle w:val="p-table"/>
              <w:jc w:val="right"/>
              <w:rPr>
                <w:rFonts w:ascii="Times New Roman" w:hAnsi="Times New Roman" w:cs="Times New Roman"/>
                <w:sz w:val="20"/>
              </w:rPr>
            </w:pPr>
            <w:r w:rsidRPr="00EF02AC">
              <w:rPr>
                <w:rFonts w:ascii="Times New Roman" w:hAnsi="Times New Roman" w:cs="Times New Roman"/>
                <w:b/>
                <w:sz w:val="20"/>
              </w:rPr>
              <w:t>85.271</w:t>
            </w:r>
          </w:p>
        </w:tc>
      </w:tr>
      <w:tr w:rsidRPr="00EF02AC" w:rsidR="00EF02AC" w:rsidTr="00EF02AC" w14:paraId="06CE774D"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82F1CB1"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26CB068"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EB8543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0843C17"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C022455"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938B2E4"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F33786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49F856D" w14:textId="77777777">
            <w:pPr>
              <w:pStyle w:val="p-table"/>
              <w:rPr>
                <w:rFonts w:ascii="Times New Roman" w:hAnsi="Times New Roman" w:cs="Times New Roman"/>
                <w:sz w:val="20"/>
              </w:rPr>
            </w:pPr>
          </w:p>
        </w:tc>
      </w:tr>
      <w:tr w:rsidRPr="00EF02AC" w:rsidR="00EF02AC" w:rsidTr="00EF02AC" w14:paraId="4F4BD91B"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39C36A23" w14:textId="77777777">
            <w:pPr>
              <w:pStyle w:val="p-table"/>
              <w:jc w:val="right"/>
              <w:rPr>
                <w:rFonts w:ascii="Times New Roman" w:hAnsi="Times New Roman" w:cs="Times New Roman"/>
                <w:sz w:val="20"/>
              </w:rPr>
            </w:pPr>
            <w:r w:rsidRPr="00EF02AC">
              <w:rPr>
                <w:rFonts w:ascii="Times New Roman" w:hAnsi="Times New Roman" w:cs="Times New Roman"/>
                <w:sz w:val="20"/>
              </w:rPr>
              <w:t>16</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18CB9E27" w14:textId="77777777">
            <w:pPr>
              <w:pStyle w:val="p-table"/>
              <w:rPr>
                <w:rFonts w:ascii="Times New Roman" w:hAnsi="Times New Roman" w:cs="Times New Roman"/>
                <w:sz w:val="20"/>
              </w:rPr>
            </w:pPr>
            <w:r w:rsidRPr="00EF02AC">
              <w:rPr>
                <w:rFonts w:ascii="Times New Roman" w:hAnsi="Times New Roman" w:cs="Times New Roman"/>
                <w:sz w:val="20"/>
              </w:rPr>
              <w:t>Openbaar Vervoer en Spoor</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67F050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1F1971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C3F3A1C"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0A50056"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50ADDF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CF287AE" w14:textId="77777777">
            <w:pPr>
              <w:pStyle w:val="p-table"/>
              <w:rPr>
                <w:rFonts w:ascii="Times New Roman" w:hAnsi="Times New Roman" w:cs="Times New Roman"/>
                <w:sz w:val="20"/>
              </w:rPr>
            </w:pPr>
          </w:p>
        </w:tc>
      </w:tr>
      <w:tr w:rsidRPr="00EF02AC" w:rsidR="00EF02AC" w:rsidTr="00EF02AC" w14:paraId="4FC2499E" w14:textId="77777777">
        <w:tc>
          <w:tcPr>
            <w:tcW w:w="289" w:type="pct"/>
            <w:tcBorders>
              <w:bottom w:val="single" w:color="009EE0" w:sz="2" w:space="0"/>
            </w:tcBorders>
            <w:tcMar>
              <w:top w:w="22" w:type="dxa"/>
              <w:bottom w:w="22" w:type="dxa"/>
              <w:right w:w="28" w:type="dxa"/>
            </w:tcMar>
          </w:tcPr>
          <w:p w:rsidRPr="00EF02AC" w:rsidR="00EF02AC" w:rsidP="00E015FC" w:rsidRDefault="00EF02AC" w14:paraId="2BD4B1CF"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19B6133D" w14:textId="77777777">
            <w:pPr>
              <w:pStyle w:val="p-table"/>
              <w:rPr>
                <w:rFonts w:ascii="Times New Roman" w:hAnsi="Times New Roman" w:cs="Times New Roman"/>
                <w:sz w:val="20"/>
              </w:rPr>
            </w:pPr>
            <w:r w:rsidRPr="00EF02AC">
              <w:rPr>
                <w:rFonts w:ascii="Times New Roman" w:hAnsi="Times New Roman" w:cs="Times New Roman"/>
                <w:b/>
                <w:sz w:val="20"/>
              </w:rPr>
              <w:t>Stand vóór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790CD81C" w14:textId="77777777">
            <w:pPr>
              <w:pStyle w:val="p-table"/>
              <w:jc w:val="right"/>
              <w:rPr>
                <w:rFonts w:ascii="Times New Roman" w:hAnsi="Times New Roman" w:cs="Times New Roman"/>
                <w:sz w:val="20"/>
              </w:rPr>
            </w:pPr>
            <w:r w:rsidRPr="00EF02AC">
              <w:rPr>
                <w:rFonts w:ascii="Times New Roman" w:hAnsi="Times New Roman" w:cs="Times New Roman"/>
                <w:b/>
                <w:sz w:val="20"/>
              </w:rPr>
              <w:t>249.041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CCB98EA" w14:textId="77777777">
            <w:pPr>
              <w:pStyle w:val="p-table"/>
              <w:jc w:val="right"/>
              <w:rPr>
                <w:rFonts w:ascii="Times New Roman" w:hAnsi="Times New Roman" w:cs="Times New Roman"/>
                <w:sz w:val="20"/>
              </w:rPr>
            </w:pPr>
            <w:r w:rsidRPr="00EF02AC">
              <w:rPr>
                <w:rFonts w:ascii="Times New Roman" w:hAnsi="Times New Roman" w:cs="Times New Roman"/>
                <w:b/>
                <w:sz w:val="20"/>
              </w:rPr>
              <w:t>231.507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9B634D5" w14:textId="77777777">
            <w:pPr>
              <w:pStyle w:val="p-table"/>
              <w:jc w:val="right"/>
              <w:rPr>
                <w:rFonts w:ascii="Times New Roman" w:hAnsi="Times New Roman" w:cs="Times New Roman"/>
                <w:sz w:val="20"/>
              </w:rPr>
            </w:pPr>
            <w:r w:rsidRPr="00EF02AC">
              <w:rPr>
                <w:rFonts w:ascii="Times New Roman" w:hAnsi="Times New Roman" w:cs="Times New Roman"/>
                <w:b/>
                <w:sz w:val="20"/>
              </w:rPr>
              <w:t>5.324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E15918A" w14:textId="77777777">
            <w:pPr>
              <w:pStyle w:val="p-table"/>
              <w:jc w:val="right"/>
              <w:rPr>
                <w:rFonts w:ascii="Times New Roman" w:hAnsi="Times New Roman" w:cs="Times New Roman"/>
                <w:sz w:val="20"/>
              </w:rPr>
            </w:pPr>
            <w:r w:rsidRPr="00EF02AC">
              <w:rPr>
                <w:rFonts w:ascii="Times New Roman" w:hAnsi="Times New Roman" w:cs="Times New Roman"/>
                <w:b/>
                <w:sz w:val="20"/>
              </w:rPr>
              <w:t>13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C7D43E2" w14:textId="77777777">
            <w:pPr>
              <w:pStyle w:val="p-table"/>
              <w:jc w:val="right"/>
              <w:rPr>
                <w:rFonts w:ascii="Times New Roman" w:hAnsi="Times New Roman" w:cs="Times New Roman"/>
                <w:sz w:val="20"/>
              </w:rPr>
            </w:pPr>
            <w:r w:rsidRPr="00EF02AC">
              <w:rPr>
                <w:rFonts w:ascii="Times New Roman" w:hAnsi="Times New Roman" w:cs="Times New Roman"/>
                <w:b/>
                <w:sz w:val="20"/>
              </w:rPr>
              <w:t>1.591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CA20C64" w14:textId="77777777">
            <w:pPr>
              <w:pStyle w:val="p-table"/>
              <w:jc w:val="right"/>
              <w:rPr>
                <w:rFonts w:ascii="Times New Roman" w:hAnsi="Times New Roman" w:cs="Times New Roman"/>
                <w:sz w:val="20"/>
              </w:rPr>
            </w:pPr>
            <w:r w:rsidRPr="00EF02AC">
              <w:rPr>
                <w:rFonts w:ascii="Times New Roman" w:hAnsi="Times New Roman" w:cs="Times New Roman"/>
                <w:b/>
                <w:sz w:val="20"/>
              </w:rPr>
              <w:t>1.394</w:t>
            </w:r>
          </w:p>
        </w:tc>
      </w:tr>
      <w:tr w:rsidRPr="00EF02AC" w:rsidR="00EF02AC" w:rsidTr="00EF02AC" w14:paraId="53A44DF0" w14:textId="77777777">
        <w:tc>
          <w:tcPr>
            <w:tcW w:w="289" w:type="pct"/>
            <w:tcBorders>
              <w:bottom w:val="single" w:color="009EE0" w:sz="2" w:space="0"/>
            </w:tcBorders>
            <w:tcMar>
              <w:top w:w="22" w:type="dxa"/>
              <w:bottom w:w="22" w:type="dxa"/>
              <w:right w:w="28" w:type="dxa"/>
            </w:tcMar>
          </w:tcPr>
          <w:p w:rsidRPr="00EF02AC" w:rsidR="00EF02AC" w:rsidP="00E015FC" w:rsidRDefault="00EF02AC" w14:paraId="6B8F24D0"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D842769" w14:textId="77777777">
            <w:pPr>
              <w:pStyle w:val="p-table"/>
              <w:rPr>
                <w:rFonts w:ascii="Times New Roman" w:hAnsi="Times New Roman" w:cs="Times New Roman"/>
                <w:sz w:val="20"/>
              </w:rPr>
            </w:pPr>
            <w:r w:rsidRPr="00EF02AC">
              <w:rPr>
                <w:rFonts w:ascii="Times New Roman" w:hAnsi="Times New Roman" w:cs="Times New Roman"/>
                <w:i/>
                <w:sz w:val="20"/>
              </w:rPr>
              <w:t>Overboeking MF OV-pas</w:t>
            </w:r>
          </w:p>
        </w:tc>
        <w:tc>
          <w:tcPr>
            <w:tcW w:w="543" w:type="pct"/>
            <w:tcBorders>
              <w:bottom w:val="single" w:color="009EE0" w:sz="2" w:space="0"/>
            </w:tcBorders>
            <w:tcMar>
              <w:top w:w="22" w:type="dxa"/>
              <w:left w:w="28" w:type="dxa"/>
              <w:bottom w:w="22" w:type="dxa"/>
              <w:right w:w="28" w:type="dxa"/>
            </w:tcMar>
            <w:vAlign w:val="bottom"/>
          </w:tcPr>
          <w:p w:rsidRPr="00EF02AC" w:rsidR="00EF02AC" w:rsidP="00E015FC" w:rsidRDefault="00EF02AC" w14:paraId="01E8DE0F" w14:textId="77777777">
            <w:pPr>
              <w:pStyle w:val="p-table"/>
              <w:jc w:val="right"/>
              <w:rPr>
                <w:rFonts w:ascii="Times New Roman" w:hAnsi="Times New Roman" w:cs="Times New Roman"/>
                <w:sz w:val="20"/>
              </w:rPr>
            </w:pPr>
            <w:r w:rsidRPr="00EF02AC">
              <w:rPr>
                <w:rFonts w:ascii="Times New Roman" w:hAnsi="Times New Roman" w:cs="Times New Roman"/>
                <w:i/>
                <w:sz w:val="20"/>
              </w:rPr>
              <w:t>32.000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D9BA31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CD7C2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421F018"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504741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E6E9CE" w14:textId="77777777">
            <w:pPr>
              <w:pStyle w:val="p-table"/>
              <w:rPr>
                <w:rFonts w:ascii="Times New Roman" w:hAnsi="Times New Roman" w:cs="Times New Roman"/>
                <w:sz w:val="20"/>
              </w:rPr>
            </w:pPr>
          </w:p>
        </w:tc>
      </w:tr>
      <w:tr w:rsidRPr="00EF02AC" w:rsidR="00EF02AC" w:rsidTr="00EF02AC" w14:paraId="0683C58E" w14:textId="77777777">
        <w:tc>
          <w:tcPr>
            <w:tcW w:w="289" w:type="pct"/>
            <w:tcBorders>
              <w:bottom w:val="single" w:color="009EE0" w:sz="2" w:space="0"/>
            </w:tcBorders>
            <w:tcMar>
              <w:top w:w="22" w:type="dxa"/>
              <w:bottom w:w="22" w:type="dxa"/>
              <w:right w:w="28" w:type="dxa"/>
            </w:tcMar>
          </w:tcPr>
          <w:p w:rsidRPr="00EF02AC" w:rsidR="00EF02AC" w:rsidP="00E015FC" w:rsidRDefault="00EF02AC" w14:paraId="614EE2AD"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A5AF5AB" w14:textId="77777777">
            <w:pPr>
              <w:pStyle w:val="p-table"/>
              <w:rPr>
                <w:rFonts w:ascii="Times New Roman" w:hAnsi="Times New Roman" w:cs="Times New Roman"/>
                <w:sz w:val="20"/>
              </w:rPr>
            </w:pPr>
            <w:r w:rsidRPr="00EF02AC">
              <w:rPr>
                <w:rFonts w:ascii="Times New Roman" w:hAnsi="Times New Roman" w:cs="Times New Roman"/>
                <w:i/>
                <w:sz w:val="20"/>
              </w:rPr>
              <w:t>Overboeking KEF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7E8F6D65" w14:textId="77777777">
            <w:pPr>
              <w:pStyle w:val="p-table"/>
              <w:jc w:val="right"/>
              <w:rPr>
                <w:rFonts w:ascii="Times New Roman" w:hAnsi="Times New Roman" w:cs="Times New Roman"/>
                <w:sz w:val="20"/>
              </w:rPr>
            </w:pPr>
            <w:r w:rsidRPr="00EF02AC">
              <w:rPr>
                <w:rFonts w:ascii="Times New Roman" w:hAnsi="Times New Roman" w:cs="Times New Roman"/>
                <w:i/>
                <w:sz w:val="20"/>
              </w:rPr>
              <w:t>86.000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F64B87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04D7E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2DAFD9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63ECFA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2B074F5" w14:textId="77777777">
            <w:pPr>
              <w:pStyle w:val="p-table"/>
              <w:rPr>
                <w:rFonts w:ascii="Times New Roman" w:hAnsi="Times New Roman" w:cs="Times New Roman"/>
                <w:sz w:val="20"/>
              </w:rPr>
            </w:pPr>
          </w:p>
        </w:tc>
      </w:tr>
      <w:tr w:rsidRPr="00EF02AC" w:rsidR="00EF02AC" w:rsidTr="00EF02AC" w14:paraId="3D1FBA41" w14:textId="77777777">
        <w:tc>
          <w:tcPr>
            <w:tcW w:w="289" w:type="pct"/>
            <w:tcBorders>
              <w:bottom w:val="single" w:color="009EE0" w:sz="2" w:space="0"/>
            </w:tcBorders>
            <w:tcMar>
              <w:top w:w="22" w:type="dxa"/>
              <w:bottom w:w="22" w:type="dxa"/>
              <w:right w:w="28" w:type="dxa"/>
            </w:tcMar>
          </w:tcPr>
          <w:p w:rsidRPr="00EF02AC" w:rsidR="00EF02AC" w:rsidP="00E015FC" w:rsidRDefault="00EF02AC" w14:paraId="083E974E"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43F4015"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98A6109" w14:textId="77777777">
            <w:pPr>
              <w:pStyle w:val="p-table"/>
              <w:jc w:val="right"/>
              <w:rPr>
                <w:rFonts w:ascii="Times New Roman" w:hAnsi="Times New Roman" w:cs="Times New Roman"/>
                <w:sz w:val="20"/>
              </w:rPr>
            </w:pPr>
            <w:r w:rsidRPr="00EF02AC">
              <w:rPr>
                <w:rFonts w:ascii="Times New Roman" w:hAnsi="Times New Roman" w:cs="Times New Roman"/>
                <w:b/>
                <w:sz w:val="20"/>
              </w:rPr>
              <w:t>367.041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CB97653" w14:textId="77777777">
            <w:pPr>
              <w:pStyle w:val="p-table"/>
              <w:jc w:val="right"/>
              <w:rPr>
                <w:rFonts w:ascii="Times New Roman" w:hAnsi="Times New Roman" w:cs="Times New Roman"/>
                <w:sz w:val="20"/>
              </w:rPr>
            </w:pPr>
            <w:r w:rsidRPr="00EF02AC">
              <w:rPr>
                <w:rFonts w:ascii="Times New Roman" w:hAnsi="Times New Roman" w:cs="Times New Roman"/>
                <w:b/>
                <w:sz w:val="20"/>
              </w:rPr>
              <w:t>231.507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1FD491B" w14:textId="77777777">
            <w:pPr>
              <w:pStyle w:val="p-table"/>
              <w:jc w:val="right"/>
              <w:rPr>
                <w:rFonts w:ascii="Times New Roman" w:hAnsi="Times New Roman" w:cs="Times New Roman"/>
                <w:sz w:val="20"/>
              </w:rPr>
            </w:pPr>
            <w:r w:rsidRPr="00EF02AC">
              <w:rPr>
                <w:rFonts w:ascii="Times New Roman" w:hAnsi="Times New Roman" w:cs="Times New Roman"/>
                <w:b/>
                <w:sz w:val="20"/>
              </w:rPr>
              <w:t>5.324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CEA93DC" w14:textId="77777777">
            <w:pPr>
              <w:pStyle w:val="p-table"/>
              <w:jc w:val="right"/>
              <w:rPr>
                <w:rFonts w:ascii="Times New Roman" w:hAnsi="Times New Roman" w:cs="Times New Roman"/>
                <w:sz w:val="20"/>
              </w:rPr>
            </w:pPr>
            <w:r w:rsidRPr="00EF02AC">
              <w:rPr>
                <w:rFonts w:ascii="Times New Roman" w:hAnsi="Times New Roman" w:cs="Times New Roman"/>
                <w:b/>
                <w:sz w:val="20"/>
              </w:rPr>
              <w:t>13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E372CEB" w14:textId="77777777">
            <w:pPr>
              <w:pStyle w:val="p-table"/>
              <w:jc w:val="right"/>
              <w:rPr>
                <w:rFonts w:ascii="Times New Roman" w:hAnsi="Times New Roman" w:cs="Times New Roman"/>
                <w:sz w:val="20"/>
              </w:rPr>
            </w:pPr>
            <w:r w:rsidRPr="00EF02AC">
              <w:rPr>
                <w:rFonts w:ascii="Times New Roman" w:hAnsi="Times New Roman" w:cs="Times New Roman"/>
                <w:b/>
                <w:sz w:val="20"/>
              </w:rPr>
              <w:t>1.591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5C336F2" w14:textId="77777777">
            <w:pPr>
              <w:pStyle w:val="p-table"/>
              <w:jc w:val="right"/>
              <w:rPr>
                <w:rFonts w:ascii="Times New Roman" w:hAnsi="Times New Roman" w:cs="Times New Roman"/>
                <w:sz w:val="20"/>
              </w:rPr>
            </w:pPr>
            <w:r w:rsidRPr="00EF02AC">
              <w:rPr>
                <w:rFonts w:ascii="Times New Roman" w:hAnsi="Times New Roman" w:cs="Times New Roman"/>
                <w:b/>
                <w:sz w:val="20"/>
              </w:rPr>
              <w:t>1.394</w:t>
            </w:r>
          </w:p>
        </w:tc>
      </w:tr>
      <w:tr w:rsidRPr="00EF02AC" w:rsidR="00EF02AC" w:rsidTr="00EF02AC" w14:paraId="6BF6A067" w14:textId="77777777">
        <w:tc>
          <w:tcPr>
            <w:tcW w:w="289" w:type="pct"/>
            <w:tcBorders>
              <w:bottom w:val="single" w:color="009EE0" w:sz="2" w:space="0"/>
            </w:tcBorders>
            <w:tcMar>
              <w:top w:w="22" w:type="dxa"/>
              <w:bottom w:w="22" w:type="dxa"/>
              <w:right w:w="28" w:type="dxa"/>
            </w:tcMar>
          </w:tcPr>
          <w:p w:rsidRPr="00EF02AC" w:rsidR="00EF02AC" w:rsidP="00E015FC" w:rsidRDefault="00EF02AC" w14:paraId="05392F60"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7DDB2E98"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C976A50"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7D66AE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7CF488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61F2B0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4C1A0C7"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341BCD8" w14:textId="77777777">
            <w:pPr>
              <w:pStyle w:val="p-table"/>
              <w:rPr>
                <w:rFonts w:ascii="Times New Roman" w:hAnsi="Times New Roman" w:cs="Times New Roman"/>
                <w:sz w:val="20"/>
              </w:rPr>
            </w:pPr>
          </w:p>
        </w:tc>
      </w:tr>
      <w:tr w:rsidRPr="00EF02AC" w:rsidR="00EF02AC" w:rsidTr="00EF02AC" w14:paraId="12CDCA9C"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6F748BDF" w14:textId="77777777">
            <w:pPr>
              <w:pStyle w:val="p-table"/>
              <w:rPr>
                <w:rFonts w:ascii="Times New Roman" w:hAnsi="Times New Roman" w:cs="Times New Roman"/>
                <w:sz w:val="20"/>
              </w:rPr>
            </w:pPr>
            <w:r w:rsidRPr="00EF02AC">
              <w:rPr>
                <w:rFonts w:ascii="Times New Roman" w:hAnsi="Times New Roman" w:cs="Times New Roman"/>
                <w:sz w:val="20"/>
              </w:rPr>
              <w:t>Totaal</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526DEF9" w14:textId="77777777">
            <w:pPr>
              <w:pStyle w:val="p-table"/>
              <w:rPr>
                <w:rFonts w:ascii="Times New Roman" w:hAnsi="Times New Roman" w:cs="Times New Roman"/>
                <w:sz w:val="20"/>
              </w:rPr>
            </w:pPr>
            <w:r w:rsidRPr="00EF02AC">
              <w:rPr>
                <w:rFonts w:ascii="Times New Roman" w:hAnsi="Times New Roman" w:cs="Times New Roman"/>
                <w:sz w:val="20"/>
              </w:rPr>
              <w:t>Hoofdstuk XII</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1F44E521"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116E154"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5CF3226"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8C3C575"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97AD15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7BD435A" w14:textId="77777777">
            <w:pPr>
              <w:pStyle w:val="p-table"/>
              <w:rPr>
                <w:rFonts w:ascii="Times New Roman" w:hAnsi="Times New Roman" w:cs="Times New Roman"/>
                <w:sz w:val="20"/>
              </w:rPr>
            </w:pPr>
          </w:p>
        </w:tc>
      </w:tr>
      <w:tr w:rsidRPr="00EF02AC" w:rsidR="00EF02AC" w:rsidTr="00EF02AC" w14:paraId="6C6F282F"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BE28042"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3B5F7005" w14:textId="77777777">
            <w:pPr>
              <w:pStyle w:val="p-table"/>
              <w:rPr>
                <w:rFonts w:ascii="Times New Roman" w:hAnsi="Times New Roman" w:cs="Times New Roman"/>
                <w:sz w:val="20"/>
              </w:rPr>
            </w:pPr>
            <w:r w:rsidRPr="00EF02AC">
              <w:rPr>
                <w:rFonts w:ascii="Times New Roman" w:hAnsi="Times New Roman" w:cs="Times New Roman"/>
                <w:b/>
                <w:sz w:val="20"/>
              </w:rPr>
              <w:t>Stand voor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7593606" w14:textId="77777777">
            <w:pPr>
              <w:pStyle w:val="p-table"/>
              <w:jc w:val="right"/>
              <w:rPr>
                <w:rFonts w:ascii="Times New Roman" w:hAnsi="Times New Roman" w:cs="Times New Roman"/>
                <w:sz w:val="20"/>
              </w:rPr>
            </w:pPr>
            <w:r w:rsidRPr="00EF02AC">
              <w:rPr>
                <w:rFonts w:ascii="Times New Roman" w:hAnsi="Times New Roman" w:cs="Times New Roman"/>
                <w:b/>
                <w:sz w:val="20"/>
              </w:rPr>
              <w:t>4.078.728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47A6597" w14:textId="77777777">
            <w:pPr>
              <w:pStyle w:val="p-table"/>
              <w:jc w:val="right"/>
              <w:rPr>
                <w:rFonts w:ascii="Times New Roman" w:hAnsi="Times New Roman" w:cs="Times New Roman"/>
                <w:sz w:val="20"/>
              </w:rPr>
            </w:pPr>
            <w:r w:rsidRPr="00EF02AC">
              <w:rPr>
                <w:rFonts w:ascii="Times New Roman" w:hAnsi="Times New Roman" w:cs="Times New Roman"/>
                <w:b/>
                <w:sz w:val="20"/>
              </w:rPr>
              <w:t>4.163.258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980A6D" w14:textId="77777777">
            <w:pPr>
              <w:pStyle w:val="p-table"/>
              <w:jc w:val="right"/>
              <w:rPr>
                <w:rFonts w:ascii="Times New Roman" w:hAnsi="Times New Roman" w:cs="Times New Roman"/>
                <w:sz w:val="20"/>
              </w:rPr>
            </w:pPr>
            <w:r w:rsidRPr="00EF02AC">
              <w:rPr>
                <w:rFonts w:ascii="Times New Roman" w:hAnsi="Times New Roman" w:cs="Times New Roman"/>
                <w:b/>
                <w:sz w:val="20"/>
              </w:rPr>
              <w:t>3.641.329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1D4D6C3" w14:textId="77777777">
            <w:pPr>
              <w:pStyle w:val="p-table"/>
              <w:jc w:val="right"/>
              <w:rPr>
                <w:rFonts w:ascii="Times New Roman" w:hAnsi="Times New Roman" w:cs="Times New Roman"/>
                <w:sz w:val="20"/>
              </w:rPr>
            </w:pPr>
            <w:r w:rsidRPr="00EF02AC">
              <w:rPr>
                <w:rFonts w:ascii="Times New Roman" w:hAnsi="Times New Roman" w:cs="Times New Roman"/>
                <w:b/>
                <w:sz w:val="20"/>
              </w:rPr>
              <w:t>3.694.739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D3F9E2D" w14:textId="77777777">
            <w:pPr>
              <w:pStyle w:val="p-table"/>
              <w:jc w:val="right"/>
              <w:rPr>
                <w:rFonts w:ascii="Times New Roman" w:hAnsi="Times New Roman" w:cs="Times New Roman"/>
                <w:sz w:val="20"/>
              </w:rPr>
            </w:pPr>
            <w:r w:rsidRPr="00EF02AC">
              <w:rPr>
                <w:rFonts w:ascii="Times New Roman" w:hAnsi="Times New Roman" w:cs="Times New Roman"/>
                <w:b/>
                <w:sz w:val="20"/>
              </w:rPr>
              <w:t>3.543.553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CA40C0C" w14:textId="77777777">
            <w:pPr>
              <w:pStyle w:val="p-table"/>
              <w:jc w:val="right"/>
              <w:rPr>
                <w:rFonts w:ascii="Times New Roman" w:hAnsi="Times New Roman" w:cs="Times New Roman"/>
                <w:sz w:val="20"/>
              </w:rPr>
            </w:pPr>
            <w:r w:rsidRPr="00EF02AC">
              <w:rPr>
                <w:rFonts w:ascii="Times New Roman" w:hAnsi="Times New Roman" w:cs="Times New Roman"/>
                <w:b/>
                <w:sz w:val="20"/>
              </w:rPr>
              <w:t>3.274.381</w:t>
            </w:r>
          </w:p>
        </w:tc>
      </w:tr>
      <w:tr w:rsidRPr="00EF02AC" w:rsidR="00EF02AC" w:rsidTr="00EF02AC" w14:paraId="66A42030"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F658EC7"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7623644C" w14:textId="77777777">
            <w:pPr>
              <w:pStyle w:val="p-table"/>
              <w:rPr>
                <w:rFonts w:ascii="Times New Roman" w:hAnsi="Times New Roman" w:cs="Times New Roman"/>
                <w:sz w:val="20"/>
              </w:rPr>
            </w:pPr>
            <w:r w:rsidRPr="00EF02AC">
              <w:rPr>
                <w:rFonts w:ascii="Times New Roman" w:hAnsi="Times New Roman" w:cs="Times New Roman"/>
                <w:i/>
                <w:sz w:val="20"/>
              </w:rPr>
              <w:t>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46CBA920"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E2411A9" w14:textId="77777777">
            <w:pPr>
              <w:pStyle w:val="p-table"/>
              <w:jc w:val="right"/>
              <w:rPr>
                <w:rFonts w:ascii="Times New Roman" w:hAnsi="Times New Roman" w:cs="Times New Roman"/>
                <w:sz w:val="20"/>
              </w:rPr>
            </w:pPr>
            <w:r w:rsidRPr="00EF02AC">
              <w:rPr>
                <w:rFonts w:ascii="Times New Roman" w:hAnsi="Times New Roman" w:cs="Times New Roman"/>
                <w:i/>
                <w:sz w:val="20"/>
              </w:rPr>
              <w:t>26.000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8C63C7D"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80B54D1"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5C17B64"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AA77E46"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46D79DC7"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173CCB2"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12809ACA" w14:textId="77777777">
            <w:pPr>
              <w:pStyle w:val="p-table"/>
              <w:rPr>
                <w:rFonts w:ascii="Times New Roman" w:hAnsi="Times New Roman" w:cs="Times New Roman"/>
                <w:sz w:val="20"/>
              </w:rPr>
            </w:pPr>
            <w:r w:rsidRPr="00EF02AC">
              <w:rPr>
                <w:rFonts w:ascii="Times New Roman" w:hAnsi="Times New Roman" w:cs="Times New Roman"/>
                <w:i/>
                <w:sz w:val="20"/>
              </w:rPr>
              <w:t>Schuif 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ABEEDDA" w14:textId="77777777">
            <w:pPr>
              <w:pStyle w:val="p-table"/>
              <w:jc w:val="right"/>
              <w:rPr>
                <w:rFonts w:ascii="Times New Roman" w:hAnsi="Times New Roman" w:cs="Times New Roman"/>
                <w:sz w:val="20"/>
              </w:rPr>
            </w:pPr>
            <w:r w:rsidRPr="00EF02AC">
              <w:rPr>
                <w:rFonts w:ascii="Times New Roman" w:hAnsi="Times New Roman" w:cs="Times New Roman"/>
                <w:i/>
                <w:sz w:val="20"/>
              </w:rPr>
              <w:t>10.000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9B7C66C" w14:textId="77777777">
            <w:pPr>
              <w:pStyle w:val="p-table"/>
              <w:jc w:val="right"/>
              <w:rPr>
                <w:rFonts w:ascii="Times New Roman" w:hAnsi="Times New Roman" w:cs="Times New Roman"/>
                <w:sz w:val="20"/>
              </w:rPr>
            </w:pPr>
            <w:r w:rsidRPr="00EF02AC">
              <w:rPr>
                <w:rFonts w:ascii="Times New Roman" w:hAnsi="Times New Roman" w:cs="Times New Roman"/>
                <w:i/>
                <w:sz w:val="20"/>
              </w:rPr>
              <w:t>15.128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A43EB3C" w14:textId="77777777">
            <w:pPr>
              <w:pStyle w:val="p-table"/>
              <w:jc w:val="right"/>
              <w:rPr>
                <w:rFonts w:ascii="Times New Roman" w:hAnsi="Times New Roman" w:cs="Times New Roman"/>
                <w:sz w:val="20"/>
              </w:rPr>
            </w:pPr>
            <w:r w:rsidRPr="00EF02AC">
              <w:rPr>
                <w:rFonts w:ascii="Times New Roman" w:hAnsi="Times New Roman" w:cs="Times New Roman"/>
                <w:i/>
                <w:sz w:val="20"/>
              </w:rPr>
              <w:t>‒ 11.928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AA43A01" w14:textId="77777777">
            <w:pPr>
              <w:pStyle w:val="p-table"/>
              <w:jc w:val="right"/>
              <w:rPr>
                <w:rFonts w:ascii="Times New Roman" w:hAnsi="Times New Roman" w:cs="Times New Roman"/>
                <w:sz w:val="20"/>
              </w:rPr>
            </w:pPr>
            <w:r w:rsidRPr="00EF02AC">
              <w:rPr>
                <w:rFonts w:ascii="Times New Roman" w:hAnsi="Times New Roman" w:cs="Times New Roman"/>
                <w:i/>
                <w:sz w:val="20"/>
              </w:rPr>
              <w:t>‒ 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9523712"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2176703"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4440E04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58CCC444"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29250E6" w14:textId="77777777">
            <w:pPr>
              <w:pStyle w:val="p-table"/>
              <w:rPr>
                <w:rFonts w:ascii="Times New Roman" w:hAnsi="Times New Roman" w:cs="Times New Roman"/>
                <w:sz w:val="20"/>
              </w:rPr>
            </w:pPr>
            <w:r w:rsidRPr="00EF02AC">
              <w:rPr>
                <w:rFonts w:ascii="Times New Roman" w:hAnsi="Times New Roman" w:cs="Times New Roman"/>
                <w:i/>
                <w:sz w:val="20"/>
              </w:rPr>
              <w:t>Overboeking MF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02366C7D" w14:textId="77777777">
            <w:pPr>
              <w:pStyle w:val="p-table"/>
              <w:jc w:val="right"/>
              <w:rPr>
                <w:rFonts w:ascii="Times New Roman" w:hAnsi="Times New Roman" w:cs="Times New Roman"/>
                <w:sz w:val="20"/>
              </w:rPr>
            </w:pPr>
            <w:r w:rsidRPr="00EF02AC">
              <w:rPr>
                <w:rFonts w:ascii="Times New Roman" w:hAnsi="Times New Roman" w:cs="Times New Roman"/>
                <w:i/>
                <w:sz w:val="20"/>
              </w:rPr>
              <w:t>32.000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CEC9E38"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C7ECDF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7B17F96"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F78700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A6FF618"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204BCE57" w14:textId="77777777">
        <w:tc>
          <w:tcPr>
            <w:tcW w:w="289" w:type="pct"/>
            <w:tcBorders>
              <w:bottom w:val="single" w:color="009EE0" w:sz="2" w:space="0"/>
            </w:tcBorders>
            <w:tcMar>
              <w:top w:w="22" w:type="dxa"/>
              <w:bottom w:w="22" w:type="dxa"/>
              <w:right w:w="28" w:type="dxa"/>
            </w:tcMar>
          </w:tcPr>
          <w:p w:rsidRPr="00EF02AC" w:rsidR="00EF02AC" w:rsidP="00E015FC" w:rsidRDefault="00EF02AC" w14:paraId="07E97477"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225BD31" w14:textId="77777777">
            <w:pPr>
              <w:pStyle w:val="p-table"/>
              <w:rPr>
                <w:rFonts w:ascii="Times New Roman" w:hAnsi="Times New Roman" w:cs="Times New Roman"/>
                <w:sz w:val="20"/>
              </w:rPr>
            </w:pPr>
            <w:r w:rsidRPr="00EF02AC">
              <w:rPr>
                <w:rFonts w:ascii="Times New Roman" w:hAnsi="Times New Roman" w:cs="Times New Roman"/>
                <w:i/>
                <w:sz w:val="20"/>
              </w:rPr>
              <w:t>Overboeking KEF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1CD7D0FA" w14:textId="77777777">
            <w:pPr>
              <w:pStyle w:val="p-table"/>
              <w:jc w:val="right"/>
              <w:rPr>
                <w:rFonts w:ascii="Times New Roman" w:hAnsi="Times New Roman" w:cs="Times New Roman"/>
                <w:sz w:val="20"/>
              </w:rPr>
            </w:pPr>
            <w:r w:rsidRPr="00EF02AC">
              <w:rPr>
                <w:rFonts w:ascii="Times New Roman" w:hAnsi="Times New Roman" w:cs="Times New Roman"/>
                <w:i/>
                <w:sz w:val="20"/>
              </w:rPr>
              <w:t>86.000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E78C7E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A9AEFB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4EC36A5"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4F943FD"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9B217E7"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06754D5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173795C8"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A79D9A5"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F9F6D6D" w14:textId="77777777">
            <w:pPr>
              <w:pStyle w:val="p-table"/>
              <w:jc w:val="right"/>
              <w:rPr>
                <w:rFonts w:ascii="Times New Roman" w:hAnsi="Times New Roman" w:cs="Times New Roman"/>
                <w:sz w:val="20"/>
              </w:rPr>
            </w:pPr>
            <w:r w:rsidRPr="00EF02AC">
              <w:rPr>
                <w:rFonts w:ascii="Times New Roman" w:hAnsi="Times New Roman" w:cs="Times New Roman"/>
                <w:b/>
                <w:sz w:val="20"/>
              </w:rPr>
              <w:t>4.206.728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235CA4F" w14:textId="77777777">
            <w:pPr>
              <w:pStyle w:val="p-table"/>
              <w:jc w:val="right"/>
              <w:rPr>
                <w:rFonts w:ascii="Times New Roman" w:hAnsi="Times New Roman" w:cs="Times New Roman"/>
                <w:sz w:val="20"/>
              </w:rPr>
            </w:pPr>
            <w:r w:rsidRPr="00EF02AC">
              <w:rPr>
                <w:rFonts w:ascii="Times New Roman" w:hAnsi="Times New Roman" w:cs="Times New Roman"/>
                <w:b/>
                <w:sz w:val="20"/>
              </w:rPr>
              <w:t>4.204.386</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49F1F20" w14:textId="77777777">
            <w:pPr>
              <w:pStyle w:val="p-table"/>
              <w:jc w:val="right"/>
              <w:rPr>
                <w:rFonts w:ascii="Times New Roman" w:hAnsi="Times New Roman" w:cs="Times New Roman"/>
                <w:sz w:val="20"/>
              </w:rPr>
            </w:pPr>
            <w:r w:rsidRPr="00EF02AC">
              <w:rPr>
                <w:rFonts w:ascii="Times New Roman" w:hAnsi="Times New Roman" w:cs="Times New Roman"/>
                <w:b/>
                <w:sz w:val="20"/>
              </w:rPr>
              <w:t>3.642.601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779F414" w14:textId="77777777">
            <w:pPr>
              <w:pStyle w:val="p-table"/>
              <w:jc w:val="right"/>
              <w:rPr>
                <w:rFonts w:ascii="Times New Roman" w:hAnsi="Times New Roman" w:cs="Times New Roman"/>
                <w:sz w:val="20"/>
              </w:rPr>
            </w:pPr>
            <w:r w:rsidRPr="00EF02AC">
              <w:rPr>
                <w:rFonts w:ascii="Times New Roman" w:hAnsi="Times New Roman" w:cs="Times New Roman"/>
                <w:b/>
                <w:sz w:val="20"/>
              </w:rPr>
              <w:t>3.694.739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C957ADC" w14:textId="77777777">
            <w:pPr>
              <w:pStyle w:val="p-table"/>
              <w:jc w:val="right"/>
              <w:rPr>
                <w:rFonts w:ascii="Times New Roman" w:hAnsi="Times New Roman" w:cs="Times New Roman"/>
                <w:sz w:val="20"/>
              </w:rPr>
            </w:pPr>
            <w:r w:rsidRPr="00EF02AC">
              <w:rPr>
                <w:rFonts w:ascii="Times New Roman" w:hAnsi="Times New Roman" w:cs="Times New Roman"/>
                <w:b/>
                <w:sz w:val="20"/>
              </w:rPr>
              <w:t>3.543.553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D970A5C" w14:textId="77777777">
            <w:pPr>
              <w:pStyle w:val="p-table"/>
              <w:jc w:val="right"/>
              <w:rPr>
                <w:rFonts w:ascii="Times New Roman" w:hAnsi="Times New Roman" w:cs="Times New Roman"/>
                <w:sz w:val="20"/>
              </w:rPr>
            </w:pPr>
            <w:r w:rsidRPr="00EF02AC">
              <w:rPr>
                <w:rFonts w:ascii="Times New Roman" w:hAnsi="Times New Roman" w:cs="Times New Roman"/>
                <w:b/>
                <w:sz w:val="20"/>
              </w:rPr>
              <w:t>3.274.381</w:t>
            </w:r>
          </w:p>
        </w:tc>
      </w:tr>
    </w:tbl>
    <w:p w:rsidR="00EF02AC" w:rsidP="00FE223B" w:rsidRDefault="00EF02AC" w14:paraId="542B45A1" w14:textId="77777777">
      <w:pPr>
        <w:tabs>
          <w:tab w:val="left" w:pos="284"/>
        </w:tabs>
      </w:pPr>
    </w:p>
    <w:tbl>
      <w:tblPr>
        <w:tblW w:w="5000" w:type="pct"/>
        <w:tblCellMar>
          <w:left w:w="10" w:type="dxa"/>
          <w:right w:w="10" w:type="dxa"/>
        </w:tblCellMar>
        <w:tblLook w:val="04A0" w:firstRow="1" w:lastRow="0" w:firstColumn="1" w:lastColumn="0" w:noHBand="0" w:noVBand="1"/>
      </w:tblPr>
      <w:tblGrid>
        <w:gridCol w:w="535"/>
        <w:gridCol w:w="2643"/>
        <w:gridCol w:w="984"/>
        <w:gridCol w:w="982"/>
        <w:gridCol w:w="982"/>
        <w:gridCol w:w="982"/>
        <w:gridCol w:w="982"/>
        <w:gridCol w:w="982"/>
      </w:tblGrid>
      <w:tr w:rsidRPr="00EF02AC" w:rsidR="00EF02AC" w:rsidTr="00EF02AC" w14:paraId="3CFD992B" w14:textId="77777777">
        <w:trPr>
          <w:tblHeader/>
        </w:trPr>
        <w:tc>
          <w:tcPr>
            <w:tcW w:w="5000" w:type="pct"/>
            <w:gridSpan w:val="8"/>
            <w:tcMar>
              <w:top w:w="22" w:type="dxa"/>
              <w:left w:w="113" w:type="dxa"/>
              <w:bottom w:w="22" w:type="dxa"/>
            </w:tcMar>
          </w:tcPr>
          <w:p w:rsidRPr="00EF02AC" w:rsidR="00EF02AC" w:rsidP="00E015FC" w:rsidRDefault="00EF02AC" w14:paraId="44F31872" w14:textId="77777777">
            <w:pPr>
              <w:pStyle w:val="kio2-table-title"/>
              <w:rPr>
                <w:rFonts w:ascii="Times New Roman" w:hAnsi="Times New Roman" w:cs="Times New Roman"/>
                <w:sz w:val="20"/>
              </w:rPr>
            </w:pPr>
            <w:r w:rsidRPr="00EF02AC">
              <w:rPr>
                <w:rFonts w:ascii="Times New Roman" w:hAnsi="Times New Roman" w:cs="Times New Roman"/>
                <w:sz w:val="20"/>
              </w:rPr>
              <w:t>Tabel 3 Meerjarige doorwerking uitgaven (bedragen x € 1.000)</w:t>
            </w:r>
          </w:p>
        </w:tc>
      </w:tr>
      <w:tr w:rsidRPr="00EF02AC" w:rsidR="00EF02AC" w:rsidTr="00EF02AC" w14:paraId="55686E09" w14:textId="77777777">
        <w:trPr>
          <w:tblHeader/>
        </w:trPr>
        <w:tc>
          <w:tcPr>
            <w:tcW w:w="289" w:type="pct"/>
            <w:tcBorders>
              <w:top w:val="single" w:color="000000" w:sz="2" w:space="0"/>
              <w:bottom w:val="single" w:color="009EE0" w:sz="2" w:space="0"/>
            </w:tcBorders>
            <w:tcMar>
              <w:top w:w="28" w:type="dxa"/>
              <w:bottom w:w="28" w:type="dxa"/>
              <w:right w:w="28" w:type="dxa"/>
            </w:tcMar>
            <w:vAlign w:val="center"/>
          </w:tcPr>
          <w:p w:rsidRPr="00EF02AC" w:rsidR="00EF02AC" w:rsidP="00E015FC" w:rsidRDefault="00EF02AC" w14:paraId="67E9D299"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Art.</w:t>
            </w:r>
          </w:p>
        </w:tc>
        <w:tc>
          <w:tcPr>
            <w:tcW w:w="1458"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10411878" w14:textId="77777777">
            <w:pPr>
              <w:pStyle w:val="p-table"/>
              <w:rPr>
                <w:rFonts w:ascii="Times New Roman" w:hAnsi="Times New Roman" w:cs="Times New Roman"/>
                <w:color w:val="000000"/>
                <w:sz w:val="20"/>
              </w:rPr>
            </w:pPr>
            <w:r w:rsidRPr="00EF02AC">
              <w:rPr>
                <w:rFonts w:ascii="Times New Roman" w:hAnsi="Times New Roman" w:cs="Times New Roman"/>
                <w:color w:val="000000"/>
                <w:sz w:val="20"/>
              </w:rPr>
              <w:t>Omschrijving</w:t>
            </w:r>
          </w:p>
        </w:tc>
        <w:tc>
          <w:tcPr>
            <w:tcW w:w="543"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2C5461C0"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2026</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3C36D865"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2027</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1F1865C6"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2028</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0605108F"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2029</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0B58F733"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2030</w:t>
            </w:r>
          </w:p>
        </w:tc>
        <w:tc>
          <w:tcPr>
            <w:tcW w:w="542" w:type="pct"/>
            <w:tcBorders>
              <w:top w:val="single" w:color="000000" w:sz="2" w:space="0"/>
              <w:bottom w:val="single" w:color="009EE0" w:sz="2" w:space="0"/>
            </w:tcBorders>
            <w:tcMar>
              <w:top w:w="28" w:type="dxa"/>
              <w:left w:w="28" w:type="dxa"/>
              <w:bottom w:w="28" w:type="dxa"/>
              <w:right w:w="28" w:type="dxa"/>
            </w:tcMar>
          </w:tcPr>
          <w:p w:rsidRPr="00EF02AC" w:rsidR="00EF02AC" w:rsidP="00E015FC" w:rsidRDefault="00EF02AC" w14:paraId="6F100A4F" w14:textId="77777777">
            <w:pPr>
              <w:pStyle w:val="p-table"/>
              <w:jc w:val="right"/>
              <w:rPr>
                <w:rFonts w:ascii="Times New Roman" w:hAnsi="Times New Roman" w:cs="Times New Roman"/>
                <w:color w:val="000000"/>
                <w:sz w:val="20"/>
              </w:rPr>
            </w:pPr>
            <w:r w:rsidRPr="00EF02AC">
              <w:rPr>
                <w:rFonts w:ascii="Times New Roman" w:hAnsi="Times New Roman" w:cs="Times New Roman"/>
                <w:color w:val="000000"/>
                <w:sz w:val="20"/>
              </w:rPr>
              <w:t>2031</w:t>
            </w:r>
          </w:p>
        </w:tc>
      </w:tr>
      <w:tr w:rsidRPr="00EF02AC" w:rsidR="00EF02AC" w:rsidTr="00EF02AC" w14:paraId="19528022" w14:textId="77777777">
        <w:tc>
          <w:tcPr>
            <w:tcW w:w="289" w:type="pct"/>
            <w:tcBorders>
              <w:bottom w:val="single" w:color="009EE0" w:sz="2" w:space="0"/>
            </w:tcBorders>
            <w:tcMar>
              <w:top w:w="22" w:type="dxa"/>
              <w:bottom w:w="22" w:type="dxa"/>
              <w:right w:w="28" w:type="dxa"/>
            </w:tcMar>
          </w:tcPr>
          <w:p w:rsidRPr="00EF02AC" w:rsidR="00EF02AC" w:rsidP="00E015FC" w:rsidRDefault="00EF02AC" w14:paraId="22523A7E"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79ACAD7"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1864767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1229830"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735502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3513639"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D99EFD0"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591E6DE" w14:textId="77777777">
            <w:pPr>
              <w:pStyle w:val="p-table"/>
              <w:rPr>
                <w:rFonts w:ascii="Times New Roman" w:hAnsi="Times New Roman" w:cs="Times New Roman"/>
                <w:sz w:val="20"/>
              </w:rPr>
            </w:pPr>
          </w:p>
        </w:tc>
      </w:tr>
      <w:tr w:rsidRPr="00EF02AC" w:rsidR="00EF02AC" w:rsidTr="00EF02AC" w14:paraId="51BCEC44"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0D0A55A5" w14:textId="77777777">
            <w:pPr>
              <w:pStyle w:val="p-table"/>
              <w:jc w:val="right"/>
              <w:rPr>
                <w:rFonts w:ascii="Times New Roman" w:hAnsi="Times New Roman" w:cs="Times New Roman"/>
                <w:sz w:val="20"/>
              </w:rPr>
            </w:pPr>
            <w:r w:rsidRPr="00EF02AC">
              <w:rPr>
                <w:rFonts w:ascii="Times New Roman" w:hAnsi="Times New Roman" w:cs="Times New Roman"/>
                <w:sz w:val="20"/>
              </w:rPr>
              <w:t>14</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08464BE" w14:textId="77777777">
            <w:pPr>
              <w:pStyle w:val="p-table"/>
              <w:rPr>
                <w:rFonts w:ascii="Times New Roman" w:hAnsi="Times New Roman" w:cs="Times New Roman"/>
                <w:sz w:val="20"/>
              </w:rPr>
            </w:pPr>
            <w:r w:rsidRPr="00EF02AC">
              <w:rPr>
                <w:rFonts w:ascii="Times New Roman" w:hAnsi="Times New Roman" w:cs="Times New Roman"/>
                <w:sz w:val="20"/>
              </w:rPr>
              <w:t>Wegen en verkeersveiligheid</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219CA01"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267614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30CB81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A00150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033042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0344EB9" w14:textId="77777777">
            <w:pPr>
              <w:pStyle w:val="p-table"/>
              <w:rPr>
                <w:rFonts w:ascii="Times New Roman" w:hAnsi="Times New Roman" w:cs="Times New Roman"/>
                <w:sz w:val="20"/>
              </w:rPr>
            </w:pPr>
          </w:p>
        </w:tc>
      </w:tr>
      <w:tr w:rsidRPr="00EF02AC" w:rsidR="00EF02AC" w:rsidTr="00EF02AC" w14:paraId="402D77D9" w14:textId="77777777">
        <w:tc>
          <w:tcPr>
            <w:tcW w:w="289" w:type="pct"/>
            <w:tcBorders>
              <w:bottom w:val="single" w:color="009EE0" w:sz="2" w:space="0"/>
            </w:tcBorders>
            <w:tcMar>
              <w:top w:w="22" w:type="dxa"/>
              <w:bottom w:w="22" w:type="dxa"/>
              <w:right w:w="28" w:type="dxa"/>
            </w:tcMar>
          </w:tcPr>
          <w:p w:rsidRPr="00EF02AC" w:rsidR="00EF02AC" w:rsidP="00E015FC" w:rsidRDefault="00EF02AC" w14:paraId="57C0DD78"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1CFD2C99" w14:textId="77777777">
            <w:pPr>
              <w:pStyle w:val="p-table"/>
              <w:rPr>
                <w:rFonts w:ascii="Times New Roman" w:hAnsi="Times New Roman" w:cs="Times New Roman"/>
                <w:sz w:val="20"/>
              </w:rPr>
            </w:pPr>
            <w:r w:rsidRPr="00EF02AC">
              <w:rPr>
                <w:rFonts w:ascii="Times New Roman" w:hAnsi="Times New Roman" w:cs="Times New Roman"/>
                <w:b/>
                <w:sz w:val="20"/>
              </w:rPr>
              <w:t>Stand vóór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7A4A18E" w14:textId="77777777">
            <w:pPr>
              <w:pStyle w:val="p-table"/>
              <w:jc w:val="right"/>
              <w:rPr>
                <w:rFonts w:ascii="Times New Roman" w:hAnsi="Times New Roman" w:cs="Times New Roman"/>
                <w:sz w:val="20"/>
              </w:rPr>
            </w:pPr>
            <w:r w:rsidRPr="00EF02AC">
              <w:rPr>
                <w:rFonts w:ascii="Times New Roman" w:hAnsi="Times New Roman" w:cs="Times New Roman"/>
                <w:b/>
                <w:sz w:val="20"/>
              </w:rPr>
              <w:t>311.812</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1D6925D" w14:textId="77777777">
            <w:pPr>
              <w:pStyle w:val="p-table"/>
              <w:jc w:val="right"/>
              <w:rPr>
                <w:rFonts w:ascii="Times New Roman" w:hAnsi="Times New Roman" w:cs="Times New Roman"/>
                <w:sz w:val="20"/>
              </w:rPr>
            </w:pPr>
            <w:r w:rsidRPr="00EF02AC">
              <w:rPr>
                <w:rFonts w:ascii="Times New Roman" w:hAnsi="Times New Roman" w:cs="Times New Roman"/>
                <w:b/>
                <w:sz w:val="20"/>
              </w:rPr>
              <w:t>451.990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FB9C217" w14:textId="77777777">
            <w:pPr>
              <w:pStyle w:val="p-table"/>
              <w:jc w:val="right"/>
              <w:rPr>
                <w:rFonts w:ascii="Times New Roman" w:hAnsi="Times New Roman" w:cs="Times New Roman"/>
                <w:sz w:val="20"/>
              </w:rPr>
            </w:pPr>
            <w:r w:rsidRPr="00EF02AC">
              <w:rPr>
                <w:rFonts w:ascii="Times New Roman" w:hAnsi="Times New Roman" w:cs="Times New Roman"/>
                <w:b/>
                <w:sz w:val="20"/>
              </w:rPr>
              <w:t>439.158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457D10E" w14:textId="77777777">
            <w:pPr>
              <w:pStyle w:val="p-table"/>
              <w:jc w:val="right"/>
              <w:rPr>
                <w:rFonts w:ascii="Times New Roman" w:hAnsi="Times New Roman" w:cs="Times New Roman"/>
                <w:sz w:val="20"/>
              </w:rPr>
            </w:pPr>
            <w:r w:rsidRPr="00EF02AC">
              <w:rPr>
                <w:rFonts w:ascii="Times New Roman" w:hAnsi="Times New Roman" w:cs="Times New Roman"/>
                <w:b/>
                <w:sz w:val="20"/>
              </w:rPr>
              <w:t>314.904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7FC0B15" w14:textId="77777777">
            <w:pPr>
              <w:pStyle w:val="p-table"/>
              <w:jc w:val="right"/>
              <w:rPr>
                <w:rFonts w:ascii="Times New Roman" w:hAnsi="Times New Roman" w:cs="Times New Roman"/>
                <w:sz w:val="20"/>
              </w:rPr>
            </w:pPr>
            <w:r w:rsidRPr="00EF02AC">
              <w:rPr>
                <w:rFonts w:ascii="Times New Roman" w:hAnsi="Times New Roman" w:cs="Times New Roman"/>
                <w:b/>
                <w:sz w:val="20"/>
              </w:rPr>
              <w:t>320.082</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B420E5A" w14:textId="77777777">
            <w:pPr>
              <w:pStyle w:val="p-table"/>
              <w:jc w:val="right"/>
              <w:rPr>
                <w:rFonts w:ascii="Times New Roman" w:hAnsi="Times New Roman" w:cs="Times New Roman"/>
                <w:sz w:val="20"/>
              </w:rPr>
            </w:pPr>
            <w:r w:rsidRPr="00EF02AC">
              <w:rPr>
                <w:rFonts w:ascii="Times New Roman" w:hAnsi="Times New Roman" w:cs="Times New Roman"/>
                <w:b/>
                <w:sz w:val="20"/>
              </w:rPr>
              <w:t>103.013</w:t>
            </w:r>
          </w:p>
        </w:tc>
      </w:tr>
      <w:tr w:rsidRPr="00EF02AC" w:rsidR="00EF02AC" w:rsidTr="00EF02AC" w14:paraId="7D6C8A43" w14:textId="77777777">
        <w:tc>
          <w:tcPr>
            <w:tcW w:w="289" w:type="pct"/>
            <w:tcBorders>
              <w:bottom w:val="single" w:color="009EE0" w:sz="2" w:space="0"/>
            </w:tcBorders>
            <w:tcMar>
              <w:top w:w="22" w:type="dxa"/>
              <w:bottom w:w="22" w:type="dxa"/>
              <w:right w:w="28" w:type="dxa"/>
            </w:tcMar>
          </w:tcPr>
          <w:p w:rsidRPr="00EF02AC" w:rsidR="00EF02AC" w:rsidP="00E015FC" w:rsidRDefault="00EF02AC" w14:paraId="2B5BA1EA"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755F5EED" w14:textId="77777777">
            <w:pPr>
              <w:pStyle w:val="p-table"/>
              <w:rPr>
                <w:rFonts w:ascii="Times New Roman" w:hAnsi="Times New Roman" w:cs="Times New Roman"/>
                <w:sz w:val="20"/>
              </w:rPr>
            </w:pPr>
            <w:r w:rsidRPr="00EF02AC">
              <w:rPr>
                <w:rFonts w:ascii="Times New Roman" w:hAnsi="Times New Roman" w:cs="Times New Roman"/>
                <w:i/>
                <w:sz w:val="20"/>
              </w:rPr>
              <w:t>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6C9B0E4"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vAlign w:val="bottom"/>
          </w:tcPr>
          <w:p w:rsidRPr="00EF02AC" w:rsidR="00EF02AC" w:rsidP="00E015FC" w:rsidRDefault="00EF02AC" w14:paraId="62941256" w14:textId="77777777">
            <w:pPr>
              <w:pStyle w:val="p-table"/>
              <w:jc w:val="right"/>
              <w:rPr>
                <w:rFonts w:ascii="Times New Roman" w:hAnsi="Times New Roman" w:cs="Times New Roman"/>
                <w:sz w:val="20"/>
              </w:rPr>
            </w:pPr>
            <w:r w:rsidRPr="00EF02AC">
              <w:rPr>
                <w:rFonts w:ascii="Times New Roman" w:hAnsi="Times New Roman" w:cs="Times New Roman"/>
                <w:sz w:val="20"/>
              </w:rPr>
              <w:t>26.000</w:t>
            </w:r>
          </w:p>
        </w:tc>
        <w:tc>
          <w:tcPr>
            <w:tcW w:w="542" w:type="pct"/>
            <w:tcBorders>
              <w:bottom w:val="single" w:color="009EE0" w:sz="2" w:space="0"/>
            </w:tcBorders>
            <w:tcMar>
              <w:top w:w="22" w:type="dxa"/>
              <w:left w:w="28" w:type="dxa"/>
              <w:bottom w:w="22" w:type="dxa"/>
              <w:right w:w="28" w:type="dxa"/>
            </w:tcMar>
            <w:vAlign w:val="bottom"/>
          </w:tcPr>
          <w:p w:rsidRPr="00EF02AC" w:rsidR="00EF02AC" w:rsidP="00E015FC" w:rsidRDefault="00EF02AC" w14:paraId="65906294" w14:textId="77777777">
            <w:pPr>
              <w:pStyle w:val="p-table"/>
              <w:jc w:val="right"/>
              <w:rPr>
                <w:rFonts w:ascii="Times New Roman" w:hAnsi="Times New Roman" w:cs="Times New Roman"/>
                <w:sz w:val="20"/>
              </w:rPr>
            </w:pPr>
            <w:r w:rsidRPr="00EF02AC">
              <w:rPr>
                <w:rFonts w:ascii="Times New Roman" w:hAnsi="Times New Roman" w:cs="Times New Roman"/>
                <w:sz w:val="20"/>
              </w:rPr>
              <w:t>13.200</w:t>
            </w:r>
          </w:p>
        </w:tc>
        <w:tc>
          <w:tcPr>
            <w:tcW w:w="542" w:type="pct"/>
            <w:tcBorders>
              <w:bottom w:val="single" w:color="009EE0" w:sz="2" w:space="0"/>
            </w:tcBorders>
            <w:tcMar>
              <w:top w:w="22" w:type="dxa"/>
              <w:left w:w="28" w:type="dxa"/>
              <w:bottom w:w="22" w:type="dxa"/>
              <w:right w:w="28" w:type="dxa"/>
            </w:tcMar>
            <w:vAlign w:val="bottom"/>
          </w:tcPr>
          <w:p w:rsidRPr="00EF02AC" w:rsidR="00EF02AC" w:rsidP="00E015FC" w:rsidRDefault="00EF02AC" w14:paraId="6F22B2D6" w14:textId="77777777">
            <w:pPr>
              <w:pStyle w:val="p-table"/>
              <w:jc w:val="right"/>
              <w:rPr>
                <w:rFonts w:ascii="Times New Roman" w:hAnsi="Times New Roman" w:cs="Times New Roman"/>
                <w:sz w:val="20"/>
              </w:rPr>
            </w:pPr>
            <w:r w:rsidRPr="00EF02AC">
              <w:rPr>
                <w:rFonts w:ascii="Times New Roman" w:hAnsi="Times New Roman" w:cs="Times New Roman"/>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133AB3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63D016D" w14:textId="77777777">
            <w:pPr>
              <w:pStyle w:val="p-table"/>
              <w:rPr>
                <w:rFonts w:ascii="Times New Roman" w:hAnsi="Times New Roman" w:cs="Times New Roman"/>
                <w:sz w:val="20"/>
              </w:rPr>
            </w:pPr>
          </w:p>
        </w:tc>
      </w:tr>
      <w:tr w:rsidRPr="00EF02AC" w:rsidR="00EF02AC" w:rsidTr="00EF02AC" w14:paraId="677AEA7F"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8011A1C"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D53820E" w14:textId="77777777">
            <w:pPr>
              <w:pStyle w:val="p-table"/>
              <w:rPr>
                <w:rFonts w:ascii="Times New Roman" w:hAnsi="Times New Roman" w:cs="Times New Roman"/>
                <w:sz w:val="20"/>
              </w:rPr>
            </w:pPr>
            <w:r w:rsidRPr="00EF02AC">
              <w:rPr>
                <w:rFonts w:ascii="Times New Roman" w:hAnsi="Times New Roman" w:cs="Times New Roman"/>
                <w:i/>
                <w:sz w:val="20"/>
              </w:rPr>
              <w:t>Schuif 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7B143C7" w14:textId="77777777">
            <w:pPr>
              <w:pStyle w:val="p-table"/>
              <w:jc w:val="right"/>
              <w:rPr>
                <w:rFonts w:ascii="Times New Roman" w:hAnsi="Times New Roman" w:cs="Times New Roman"/>
                <w:sz w:val="20"/>
              </w:rPr>
            </w:pPr>
            <w:r w:rsidRPr="00EF02AC">
              <w:rPr>
                <w:rFonts w:ascii="Times New Roman" w:hAnsi="Times New Roman" w:cs="Times New Roman"/>
                <w:i/>
                <w:sz w:val="20"/>
              </w:rPr>
              <w:t>1.708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6820A54" w14:textId="77777777">
            <w:pPr>
              <w:pStyle w:val="p-table"/>
              <w:jc w:val="right"/>
              <w:rPr>
                <w:rFonts w:ascii="Times New Roman" w:hAnsi="Times New Roman" w:cs="Times New Roman"/>
                <w:sz w:val="20"/>
              </w:rPr>
            </w:pPr>
            <w:r w:rsidRPr="00EF02AC">
              <w:rPr>
                <w:rFonts w:ascii="Times New Roman" w:hAnsi="Times New Roman" w:cs="Times New Roman"/>
                <w:i/>
                <w:sz w:val="20"/>
              </w:rPr>
              <w:t>4.193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5D2F49B" w14:textId="77777777">
            <w:pPr>
              <w:pStyle w:val="p-table"/>
              <w:jc w:val="right"/>
              <w:rPr>
                <w:rFonts w:ascii="Times New Roman" w:hAnsi="Times New Roman" w:cs="Times New Roman"/>
                <w:sz w:val="20"/>
              </w:rPr>
            </w:pPr>
            <w:r w:rsidRPr="00EF02AC">
              <w:rPr>
                <w:rFonts w:ascii="Times New Roman" w:hAnsi="Times New Roman" w:cs="Times New Roman"/>
                <w:i/>
                <w:sz w:val="20"/>
              </w:rPr>
              <w:t>7.299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8FED212" w14:textId="77777777">
            <w:pPr>
              <w:pStyle w:val="p-table"/>
              <w:jc w:val="right"/>
              <w:rPr>
                <w:rFonts w:ascii="Times New Roman" w:hAnsi="Times New Roman" w:cs="Times New Roman"/>
                <w:sz w:val="20"/>
              </w:rPr>
            </w:pPr>
            <w:r w:rsidRPr="00EF02AC">
              <w:rPr>
                <w:rFonts w:ascii="Times New Roman" w:hAnsi="Times New Roman" w:cs="Times New Roman"/>
                <w:i/>
                <w:sz w:val="20"/>
              </w:rPr>
              <w:t>‒ 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2CDEEBC"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14C4EE2" w14:textId="77777777">
            <w:pPr>
              <w:pStyle w:val="p-table"/>
              <w:rPr>
                <w:rFonts w:ascii="Times New Roman" w:hAnsi="Times New Roman" w:cs="Times New Roman"/>
                <w:sz w:val="20"/>
              </w:rPr>
            </w:pPr>
          </w:p>
        </w:tc>
      </w:tr>
      <w:tr w:rsidRPr="00EF02AC" w:rsidR="00EF02AC" w:rsidTr="00EF02AC" w14:paraId="12EC87E0"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1830564"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A72D147"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1D365B0" w14:textId="77777777">
            <w:pPr>
              <w:pStyle w:val="p-table"/>
              <w:jc w:val="right"/>
              <w:rPr>
                <w:rFonts w:ascii="Times New Roman" w:hAnsi="Times New Roman" w:cs="Times New Roman"/>
                <w:sz w:val="20"/>
              </w:rPr>
            </w:pPr>
            <w:r w:rsidRPr="00EF02AC">
              <w:rPr>
                <w:rFonts w:ascii="Times New Roman" w:hAnsi="Times New Roman" w:cs="Times New Roman"/>
                <w:b/>
                <w:sz w:val="20"/>
              </w:rPr>
              <w:t>313.520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5F0E310" w14:textId="77777777">
            <w:pPr>
              <w:pStyle w:val="p-table"/>
              <w:jc w:val="right"/>
              <w:rPr>
                <w:rFonts w:ascii="Times New Roman" w:hAnsi="Times New Roman" w:cs="Times New Roman"/>
                <w:sz w:val="20"/>
              </w:rPr>
            </w:pPr>
            <w:r w:rsidRPr="00EF02AC">
              <w:rPr>
                <w:rFonts w:ascii="Times New Roman" w:hAnsi="Times New Roman" w:cs="Times New Roman"/>
                <w:b/>
                <w:sz w:val="20"/>
              </w:rPr>
              <w:t>482.183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5439349" w14:textId="77777777">
            <w:pPr>
              <w:pStyle w:val="p-table"/>
              <w:jc w:val="right"/>
              <w:rPr>
                <w:rFonts w:ascii="Times New Roman" w:hAnsi="Times New Roman" w:cs="Times New Roman"/>
                <w:sz w:val="20"/>
              </w:rPr>
            </w:pPr>
            <w:r w:rsidRPr="00EF02AC">
              <w:rPr>
                <w:rFonts w:ascii="Times New Roman" w:hAnsi="Times New Roman" w:cs="Times New Roman"/>
                <w:b/>
                <w:sz w:val="20"/>
              </w:rPr>
              <w:t>459.657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C763362" w14:textId="77777777">
            <w:pPr>
              <w:pStyle w:val="p-table"/>
              <w:jc w:val="right"/>
              <w:rPr>
                <w:rFonts w:ascii="Times New Roman" w:hAnsi="Times New Roman" w:cs="Times New Roman"/>
                <w:sz w:val="20"/>
              </w:rPr>
            </w:pPr>
            <w:r w:rsidRPr="00EF02AC">
              <w:rPr>
                <w:rFonts w:ascii="Times New Roman" w:hAnsi="Times New Roman" w:cs="Times New Roman"/>
                <w:b/>
                <w:sz w:val="20"/>
              </w:rPr>
              <w:t>314.904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D9E0499" w14:textId="77777777">
            <w:pPr>
              <w:pStyle w:val="p-table"/>
              <w:jc w:val="right"/>
              <w:rPr>
                <w:rFonts w:ascii="Times New Roman" w:hAnsi="Times New Roman" w:cs="Times New Roman"/>
                <w:sz w:val="20"/>
              </w:rPr>
            </w:pPr>
            <w:r w:rsidRPr="00EF02AC">
              <w:rPr>
                <w:rFonts w:ascii="Times New Roman" w:hAnsi="Times New Roman" w:cs="Times New Roman"/>
                <w:b/>
                <w:sz w:val="20"/>
              </w:rPr>
              <w:t>320.082</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2236528" w14:textId="77777777">
            <w:pPr>
              <w:pStyle w:val="p-table"/>
              <w:jc w:val="right"/>
              <w:rPr>
                <w:rFonts w:ascii="Times New Roman" w:hAnsi="Times New Roman" w:cs="Times New Roman"/>
                <w:sz w:val="20"/>
              </w:rPr>
            </w:pPr>
            <w:r w:rsidRPr="00EF02AC">
              <w:rPr>
                <w:rFonts w:ascii="Times New Roman" w:hAnsi="Times New Roman" w:cs="Times New Roman"/>
                <w:b/>
                <w:sz w:val="20"/>
              </w:rPr>
              <w:t>103.013</w:t>
            </w:r>
          </w:p>
        </w:tc>
      </w:tr>
      <w:tr w:rsidRPr="00EF02AC" w:rsidR="00EF02AC" w:rsidTr="00EF02AC" w14:paraId="1D8A6805" w14:textId="77777777">
        <w:tc>
          <w:tcPr>
            <w:tcW w:w="289" w:type="pct"/>
            <w:tcBorders>
              <w:bottom w:val="single" w:color="009EE0" w:sz="2" w:space="0"/>
            </w:tcBorders>
            <w:tcMar>
              <w:top w:w="22" w:type="dxa"/>
              <w:bottom w:w="22" w:type="dxa"/>
              <w:right w:w="28" w:type="dxa"/>
            </w:tcMar>
          </w:tcPr>
          <w:p w:rsidRPr="00EF02AC" w:rsidR="00EF02AC" w:rsidP="00E015FC" w:rsidRDefault="00EF02AC" w14:paraId="172555C6"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E5845A7"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B74DE66"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D84DAE0"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CCDABE6"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9487F6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D4B8A9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0FF72E" w14:textId="77777777">
            <w:pPr>
              <w:pStyle w:val="p-table"/>
              <w:rPr>
                <w:rFonts w:ascii="Times New Roman" w:hAnsi="Times New Roman" w:cs="Times New Roman"/>
                <w:sz w:val="20"/>
              </w:rPr>
            </w:pPr>
          </w:p>
        </w:tc>
      </w:tr>
      <w:tr w:rsidRPr="00EF02AC" w:rsidR="00EF02AC" w:rsidTr="00EF02AC" w14:paraId="53CD7F47"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61C54628" w14:textId="77777777">
            <w:pPr>
              <w:pStyle w:val="p-table"/>
              <w:jc w:val="right"/>
              <w:rPr>
                <w:rFonts w:ascii="Times New Roman" w:hAnsi="Times New Roman" w:cs="Times New Roman"/>
                <w:sz w:val="20"/>
              </w:rPr>
            </w:pPr>
            <w:r w:rsidRPr="00EF02AC">
              <w:rPr>
                <w:rFonts w:ascii="Times New Roman" w:hAnsi="Times New Roman" w:cs="Times New Roman"/>
                <w:sz w:val="20"/>
              </w:rPr>
              <w:t>16</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8214B2A" w14:textId="77777777">
            <w:pPr>
              <w:pStyle w:val="p-table"/>
              <w:rPr>
                <w:rFonts w:ascii="Times New Roman" w:hAnsi="Times New Roman" w:cs="Times New Roman"/>
                <w:sz w:val="20"/>
              </w:rPr>
            </w:pPr>
            <w:r w:rsidRPr="00EF02AC">
              <w:rPr>
                <w:rFonts w:ascii="Times New Roman" w:hAnsi="Times New Roman" w:cs="Times New Roman"/>
                <w:sz w:val="20"/>
              </w:rPr>
              <w:t>Openbaar Vervoer en Spoor</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04D73E8"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6646978"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52EE06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264D2E0"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0FA98F7"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8CB2168" w14:textId="77777777">
            <w:pPr>
              <w:pStyle w:val="p-table"/>
              <w:rPr>
                <w:rFonts w:ascii="Times New Roman" w:hAnsi="Times New Roman" w:cs="Times New Roman"/>
                <w:sz w:val="20"/>
              </w:rPr>
            </w:pPr>
          </w:p>
        </w:tc>
      </w:tr>
      <w:tr w:rsidRPr="00EF02AC" w:rsidR="00EF02AC" w:rsidTr="00EF02AC" w14:paraId="6D5C62C8" w14:textId="77777777">
        <w:tc>
          <w:tcPr>
            <w:tcW w:w="289" w:type="pct"/>
            <w:tcBorders>
              <w:bottom w:val="single" w:color="009EE0" w:sz="2" w:space="0"/>
            </w:tcBorders>
            <w:tcMar>
              <w:top w:w="22" w:type="dxa"/>
              <w:bottom w:w="22" w:type="dxa"/>
              <w:right w:w="28" w:type="dxa"/>
            </w:tcMar>
          </w:tcPr>
          <w:p w:rsidRPr="00EF02AC" w:rsidR="00EF02AC" w:rsidP="00E015FC" w:rsidRDefault="00EF02AC" w14:paraId="0D98A13C"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336E377D" w14:textId="77777777">
            <w:pPr>
              <w:pStyle w:val="p-table"/>
              <w:rPr>
                <w:rFonts w:ascii="Times New Roman" w:hAnsi="Times New Roman" w:cs="Times New Roman"/>
                <w:sz w:val="20"/>
              </w:rPr>
            </w:pPr>
            <w:r w:rsidRPr="00EF02AC">
              <w:rPr>
                <w:rFonts w:ascii="Times New Roman" w:hAnsi="Times New Roman" w:cs="Times New Roman"/>
                <w:b/>
                <w:sz w:val="20"/>
              </w:rPr>
              <w:t>Stand vóór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26539532" w14:textId="77777777">
            <w:pPr>
              <w:pStyle w:val="p-table"/>
              <w:jc w:val="right"/>
              <w:rPr>
                <w:rFonts w:ascii="Times New Roman" w:hAnsi="Times New Roman" w:cs="Times New Roman"/>
                <w:sz w:val="20"/>
              </w:rPr>
            </w:pPr>
            <w:r w:rsidRPr="00EF02AC">
              <w:rPr>
                <w:rFonts w:ascii="Times New Roman" w:hAnsi="Times New Roman" w:cs="Times New Roman"/>
                <w:b/>
                <w:sz w:val="20"/>
              </w:rPr>
              <w:t>267.961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F8F7062" w14:textId="77777777">
            <w:pPr>
              <w:pStyle w:val="p-table"/>
              <w:jc w:val="right"/>
              <w:rPr>
                <w:rFonts w:ascii="Times New Roman" w:hAnsi="Times New Roman" w:cs="Times New Roman"/>
                <w:sz w:val="20"/>
              </w:rPr>
            </w:pPr>
            <w:r w:rsidRPr="00EF02AC">
              <w:rPr>
                <w:rFonts w:ascii="Times New Roman" w:hAnsi="Times New Roman" w:cs="Times New Roman"/>
                <w:b/>
                <w:sz w:val="20"/>
              </w:rPr>
              <w:t>250.179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CD75BE8" w14:textId="77777777">
            <w:pPr>
              <w:pStyle w:val="p-table"/>
              <w:jc w:val="right"/>
              <w:rPr>
                <w:rFonts w:ascii="Times New Roman" w:hAnsi="Times New Roman" w:cs="Times New Roman"/>
                <w:sz w:val="20"/>
              </w:rPr>
            </w:pPr>
            <w:r w:rsidRPr="00EF02AC">
              <w:rPr>
                <w:rFonts w:ascii="Times New Roman" w:hAnsi="Times New Roman" w:cs="Times New Roman"/>
                <w:b/>
                <w:sz w:val="20"/>
              </w:rPr>
              <w:t>25.507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CEDBA4F" w14:textId="77777777">
            <w:pPr>
              <w:pStyle w:val="p-table"/>
              <w:jc w:val="right"/>
              <w:rPr>
                <w:rFonts w:ascii="Times New Roman" w:hAnsi="Times New Roman" w:cs="Times New Roman"/>
                <w:sz w:val="20"/>
              </w:rPr>
            </w:pPr>
            <w:r w:rsidRPr="00EF02AC">
              <w:rPr>
                <w:rFonts w:ascii="Times New Roman" w:hAnsi="Times New Roman" w:cs="Times New Roman"/>
                <w:b/>
                <w:sz w:val="20"/>
              </w:rPr>
              <w:t>23.831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711393F" w14:textId="77777777">
            <w:pPr>
              <w:pStyle w:val="p-table"/>
              <w:jc w:val="right"/>
              <w:rPr>
                <w:rFonts w:ascii="Times New Roman" w:hAnsi="Times New Roman" w:cs="Times New Roman"/>
                <w:sz w:val="20"/>
              </w:rPr>
            </w:pPr>
            <w:r w:rsidRPr="00EF02AC">
              <w:rPr>
                <w:rFonts w:ascii="Times New Roman" w:hAnsi="Times New Roman" w:cs="Times New Roman"/>
                <w:b/>
                <w:sz w:val="20"/>
              </w:rPr>
              <w:t>25.120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ACE09D8" w14:textId="77777777">
            <w:pPr>
              <w:pStyle w:val="p-table"/>
              <w:jc w:val="right"/>
              <w:rPr>
                <w:rFonts w:ascii="Times New Roman" w:hAnsi="Times New Roman" w:cs="Times New Roman"/>
                <w:sz w:val="20"/>
              </w:rPr>
            </w:pPr>
            <w:r w:rsidRPr="00EF02AC">
              <w:rPr>
                <w:rFonts w:ascii="Times New Roman" w:hAnsi="Times New Roman" w:cs="Times New Roman"/>
                <w:b/>
                <w:sz w:val="20"/>
              </w:rPr>
              <w:t>23.611</w:t>
            </w:r>
          </w:p>
        </w:tc>
      </w:tr>
      <w:tr w:rsidRPr="00EF02AC" w:rsidR="00EF02AC" w:rsidTr="00EF02AC" w14:paraId="5D62ABF4" w14:textId="77777777">
        <w:tc>
          <w:tcPr>
            <w:tcW w:w="289" w:type="pct"/>
            <w:tcBorders>
              <w:bottom w:val="single" w:color="009EE0" w:sz="2" w:space="0"/>
            </w:tcBorders>
            <w:tcMar>
              <w:top w:w="22" w:type="dxa"/>
              <w:bottom w:w="22" w:type="dxa"/>
              <w:right w:w="28" w:type="dxa"/>
            </w:tcMar>
          </w:tcPr>
          <w:p w:rsidRPr="00EF02AC" w:rsidR="00EF02AC" w:rsidP="00E015FC" w:rsidRDefault="00EF02AC" w14:paraId="0C467F28"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788D59C" w14:textId="77777777">
            <w:pPr>
              <w:pStyle w:val="p-table"/>
              <w:rPr>
                <w:rFonts w:ascii="Times New Roman" w:hAnsi="Times New Roman" w:cs="Times New Roman"/>
                <w:sz w:val="20"/>
              </w:rPr>
            </w:pPr>
            <w:r w:rsidRPr="00EF02AC">
              <w:rPr>
                <w:rFonts w:ascii="Times New Roman" w:hAnsi="Times New Roman" w:cs="Times New Roman"/>
                <w:i/>
                <w:sz w:val="20"/>
              </w:rPr>
              <w:t>Overboeking MF OV-pas</w:t>
            </w:r>
          </w:p>
        </w:tc>
        <w:tc>
          <w:tcPr>
            <w:tcW w:w="543" w:type="pct"/>
            <w:tcBorders>
              <w:bottom w:val="single" w:color="009EE0" w:sz="2" w:space="0"/>
            </w:tcBorders>
            <w:tcMar>
              <w:top w:w="22" w:type="dxa"/>
              <w:left w:w="28" w:type="dxa"/>
              <w:bottom w:w="22" w:type="dxa"/>
              <w:right w:w="28" w:type="dxa"/>
            </w:tcMar>
            <w:vAlign w:val="bottom"/>
          </w:tcPr>
          <w:p w:rsidRPr="00EF02AC" w:rsidR="00EF02AC" w:rsidP="00E015FC" w:rsidRDefault="00EF02AC" w14:paraId="27777E5E" w14:textId="77777777">
            <w:pPr>
              <w:pStyle w:val="p-table"/>
              <w:jc w:val="right"/>
              <w:rPr>
                <w:rFonts w:ascii="Times New Roman" w:hAnsi="Times New Roman" w:cs="Times New Roman"/>
                <w:sz w:val="20"/>
              </w:rPr>
            </w:pPr>
            <w:r w:rsidRPr="00EF02AC">
              <w:rPr>
                <w:rFonts w:ascii="Times New Roman" w:hAnsi="Times New Roman" w:cs="Times New Roman"/>
                <w:sz w:val="20"/>
              </w:rPr>
              <w:t>32.000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E379492"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54B764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B04BE48"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004B71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FF176AE" w14:textId="77777777">
            <w:pPr>
              <w:pStyle w:val="p-table"/>
              <w:rPr>
                <w:rFonts w:ascii="Times New Roman" w:hAnsi="Times New Roman" w:cs="Times New Roman"/>
                <w:sz w:val="20"/>
              </w:rPr>
            </w:pPr>
          </w:p>
        </w:tc>
      </w:tr>
      <w:tr w:rsidRPr="00EF02AC" w:rsidR="00EF02AC" w:rsidTr="00EF02AC" w14:paraId="3A360902" w14:textId="77777777">
        <w:tc>
          <w:tcPr>
            <w:tcW w:w="289" w:type="pct"/>
            <w:tcBorders>
              <w:bottom w:val="single" w:color="009EE0" w:sz="2" w:space="0"/>
            </w:tcBorders>
            <w:tcMar>
              <w:top w:w="22" w:type="dxa"/>
              <w:bottom w:w="22" w:type="dxa"/>
              <w:right w:w="28" w:type="dxa"/>
            </w:tcMar>
          </w:tcPr>
          <w:p w:rsidRPr="00EF02AC" w:rsidR="00EF02AC" w:rsidP="00E015FC" w:rsidRDefault="00EF02AC" w14:paraId="2D6B9911"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13DBEA75" w14:textId="77777777">
            <w:pPr>
              <w:pStyle w:val="p-table"/>
              <w:rPr>
                <w:rFonts w:ascii="Times New Roman" w:hAnsi="Times New Roman" w:cs="Times New Roman"/>
                <w:sz w:val="20"/>
              </w:rPr>
            </w:pPr>
            <w:r w:rsidRPr="00EF02AC">
              <w:rPr>
                <w:rFonts w:ascii="Times New Roman" w:hAnsi="Times New Roman" w:cs="Times New Roman"/>
                <w:i/>
                <w:sz w:val="20"/>
              </w:rPr>
              <w:t>Overboeking KEF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76BE56B4" w14:textId="77777777">
            <w:pPr>
              <w:pStyle w:val="p-table"/>
              <w:jc w:val="right"/>
              <w:rPr>
                <w:rFonts w:ascii="Times New Roman" w:hAnsi="Times New Roman" w:cs="Times New Roman"/>
                <w:sz w:val="20"/>
              </w:rPr>
            </w:pPr>
            <w:r w:rsidRPr="00EF02AC">
              <w:rPr>
                <w:rFonts w:ascii="Times New Roman" w:hAnsi="Times New Roman" w:cs="Times New Roman"/>
                <w:i/>
                <w:sz w:val="20"/>
              </w:rPr>
              <w:t>86.000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F112D2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0FF05D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290EC7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CCD6541"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EB25365" w14:textId="77777777">
            <w:pPr>
              <w:pStyle w:val="p-table"/>
              <w:rPr>
                <w:rFonts w:ascii="Times New Roman" w:hAnsi="Times New Roman" w:cs="Times New Roman"/>
                <w:sz w:val="20"/>
              </w:rPr>
            </w:pPr>
          </w:p>
        </w:tc>
      </w:tr>
      <w:tr w:rsidRPr="00EF02AC" w:rsidR="00EF02AC" w:rsidTr="00EF02AC" w14:paraId="1E936D88"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60457DC"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FAB6D5D"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E8F457A" w14:textId="77777777">
            <w:pPr>
              <w:pStyle w:val="p-table"/>
              <w:jc w:val="right"/>
              <w:rPr>
                <w:rFonts w:ascii="Times New Roman" w:hAnsi="Times New Roman" w:cs="Times New Roman"/>
                <w:sz w:val="20"/>
              </w:rPr>
            </w:pPr>
            <w:r w:rsidRPr="00EF02AC">
              <w:rPr>
                <w:rFonts w:ascii="Times New Roman" w:hAnsi="Times New Roman" w:cs="Times New Roman"/>
                <w:b/>
                <w:sz w:val="20"/>
              </w:rPr>
              <w:t>385.961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969381B" w14:textId="77777777">
            <w:pPr>
              <w:pStyle w:val="p-table"/>
              <w:jc w:val="right"/>
              <w:rPr>
                <w:rFonts w:ascii="Times New Roman" w:hAnsi="Times New Roman" w:cs="Times New Roman"/>
                <w:sz w:val="20"/>
              </w:rPr>
            </w:pPr>
            <w:r w:rsidRPr="00EF02AC">
              <w:rPr>
                <w:rFonts w:ascii="Times New Roman" w:hAnsi="Times New Roman" w:cs="Times New Roman"/>
                <w:b/>
                <w:sz w:val="20"/>
              </w:rPr>
              <w:t>250.179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49A3509" w14:textId="77777777">
            <w:pPr>
              <w:pStyle w:val="p-table"/>
              <w:jc w:val="right"/>
              <w:rPr>
                <w:rFonts w:ascii="Times New Roman" w:hAnsi="Times New Roman" w:cs="Times New Roman"/>
                <w:sz w:val="20"/>
              </w:rPr>
            </w:pPr>
            <w:r w:rsidRPr="00EF02AC">
              <w:rPr>
                <w:rFonts w:ascii="Times New Roman" w:hAnsi="Times New Roman" w:cs="Times New Roman"/>
                <w:b/>
                <w:sz w:val="20"/>
              </w:rPr>
              <w:t>25.507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AF149D9" w14:textId="77777777">
            <w:pPr>
              <w:pStyle w:val="p-table"/>
              <w:jc w:val="right"/>
              <w:rPr>
                <w:rFonts w:ascii="Times New Roman" w:hAnsi="Times New Roman" w:cs="Times New Roman"/>
                <w:sz w:val="20"/>
              </w:rPr>
            </w:pPr>
            <w:r w:rsidRPr="00EF02AC">
              <w:rPr>
                <w:rFonts w:ascii="Times New Roman" w:hAnsi="Times New Roman" w:cs="Times New Roman"/>
                <w:b/>
                <w:sz w:val="20"/>
              </w:rPr>
              <w:t>23.831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5AAF0C9" w14:textId="77777777">
            <w:pPr>
              <w:pStyle w:val="p-table"/>
              <w:jc w:val="right"/>
              <w:rPr>
                <w:rFonts w:ascii="Times New Roman" w:hAnsi="Times New Roman" w:cs="Times New Roman"/>
                <w:sz w:val="20"/>
              </w:rPr>
            </w:pPr>
            <w:r w:rsidRPr="00EF02AC">
              <w:rPr>
                <w:rFonts w:ascii="Times New Roman" w:hAnsi="Times New Roman" w:cs="Times New Roman"/>
                <w:b/>
                <w:sz w:val="20"/>
              </w:rPr>
              <w:t>25.120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59E418AC" w14:textId="77777777">
            <w:pPr>
              <w:pStyle w:val="p-table"/>
              <w:jc w:val="right"/>
              <w:rPr>
                <w:rFonts w:ascii="Times New Roman" w:hAnsi="Times New Roman" w:cs="Times New Roman"/>
                <w:sz w:val="20"/>
              </w:rPr>
            </w:pPr>
            <w:r w:rsidRPr="00EF02AC">
              <w:rPr>
                <w:rFonts w:ascii="Times New Roman" w:hAnsi="Times New Roman" w:cs="Times New Roman"/>
                <w:b/>
                <w:sz w:val="20"/>
              </w:rPr>
              <w:t>23.611</w:t>
            </w:r>
          </w:p>
        </w:tc>
      </w:tr>
      <w:tr w:rsidRPr="00EF02AC" w:rsidR="00EF02AC" w:rsidTr="00EF02AC" w14:paraId="4150A79D" w14:textId="77777777">
        <w:tc>
          <w:tcPr>
            <w:tcW w:w="289" w:type="pct"/>
            <w:tcBorders>
              <w:bottom w:val="single" w:color="009EE0" w:sz="2" w:space="0"/>
            </w:tcBorders>
            <w:tcMar>
              <w:top w:w="22" w:type="dxa"/>
              <w:bottom w:w="22" w:type="dxa"/>
              <w:right w:w="28" w:type="dxa"/>
            </w:tcMar>
          </w:tcPr>
          <w:p w:rsidRPr="00EF02AC" w:rsidR="00EF02AC" w:rsidP="00E015FC" w:rsidRDefault="00EF02AC" w14:paraId="18DDB53A"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C7E3C1A"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1D4769A"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ED6E4E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517A45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709840F"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31C3274"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BC8617C" w14:textId="77777777">
            <w:pPr>
              <w:pStyle w:val="p-table"/>
              <w:rPr>
                <w:rFonts w:ascii="Times New Roman" w:hAnsi="Times New Roman" w:cs="Times New Roman"/>
                <w:sz w:val="20"/>
              </w:rPr>
            </w:pPr>
          </w:p>
        </w:tc>
      </w:tr>
      <w:tr w:rsidRPr="00EF02AC" w:rsidR="00EF02AC" w:rsidTr="00EF02AC" w14:paraId="54A1836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E3B1C82"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CC18556" w14:textId="77777777">
            <w:pPr>
              <w:pStyle w:val="p-table"/>
              <w:rPr>
                <w:rFonts w:ascii="Times New Roman" w:hAnsi="Times New Roman" w:cs="Times New Roman"/>
                <w:sz w:val="20"/>
              </w:rPr>
            </w:pP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3725137A"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46903FE"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BCAE47D"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1AC789C"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09BD369"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50A3BB5" w14:textId="77777777">
            <w:pPr>
              <w:pStyle w:val="p-table"/>
              <w:rPr>
                <w:rFonts w:ascii="Times New Roman" w:hAnsi="Times New Roman" w:cs="Times New Roman"/>
                <w:sz w:val="20"/>
              </w:rPr>
            </w:pPr>
          </w:p>
        </w:tc>
      </w:tr>
      <w:tr w:rsidRPr="00EF02AC" w:rsidR="00EF02AC" w:rsidTr="00EF02AC" w14:paraId="44F09917" w14:textId="77777777">
        <w:tc>
          <w:tcPr>
            <w:tcW w:w="289" w:type="pct"/>
            <w:tcBorders>
              <w:bottom w:val="single" w:color="009EE0" w:sz="2" w:space="0"/>
            </w:tcBorders>
            <w:tcMar>
              <w:top w:w="22" w:type="dxa"/>
              <w:bottom w:w="22" w:type="dxa"/>
              <w:right w:w="28" w:type="dxa"/>
            </w:tcMar>
            <w:vAlign w:val="center"/>
          </w:tcPr>
          <w:p w:rsidRPr="00EF02AC" w:rsidR="00EF02AC" w:rsidP="00E015FC" w:rsidRDefault="00EF02AC" w14:paraId="533B7297" w14:textId="77777777">
            <w:pPr>
              <w:pStyle w:val="p-table"/>
              <w:rPr>
                <w:rFonts w:ascii="Times New Roman" w:hAnsi="Times New Roman" w:cs="Times New Roman"/>
                <w:sz w:val="20"/>
              </w:rPr>
            </w:pPr>
            <w:r w:rsidRPr="00EF02AC">
              <w:rPr>
                <w:rFonts w:ascii="Times New Roman" w:hAnsi="Times New Roman" w:cs="Times New Roman"/>
                <w:sz w:val="20"/>
              </w:rPr>
              <w:t>Totaal</w:t>
            </w: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AA7F914" w14:textId="77777777">
            <w:pPr>
              <w:pStyle w:val="p-table"/>
              <w:rPr>
                <w:rFonts w:ascii="Times New Roman" w:hAnsi="Times New Roman" w:cs="Times New Roman"/>
                <w:sz w:val="20"/>
              </w:rPr>
            </w:pPr>
            <w:r w:rsidRPr="00EF02AC">
              <w:rPr>
                <w:rFonts w:ascii="Times New Roman" w:hAnsi="Times New Roman" w:cs="Times New Roman"/>
                <w:sz w:val="20"/>
              </w:rPr>
              <w:t>Hoofdstuk XII</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090B2F2A"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D1D08E5"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DEAFA3B"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A8E7663"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6607C59" w14:textId="77777777">
            <w:pPr>
              <w:pStyle w:val="p-table"/>
              <w:rPr>
                <w:rFonts w:ascii="Times New Roman" w:hAnsi="Times New Roman" w:cs="Times New Roman"/>
                <w:sz w:val="20"/>
              </w:rPr>
            </w:pP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E8F27A4" w14:textId="77777777">
            <w:pPr>
              <w:pStyle w:val="p-table"/>
              <w:rPr>
                <w:rFonts w:ascii="Times New Roman" w:hAnsi="Times New Roman" w:cs="Times New Roman"/>
                <w:sz w:val="20"/>
              </w:rPr>
            </w:pPr>
          </w:p>
        </w:tc>
      </w:tr>
      <w:tr w:rsidRPr="00EF02AC" w:rsidR="00EF02AC" w:rsidTr="00EF02AC" w14:paraId="24AB7934" w14:textId="77777777">
        <w:tc>
          <w:tcPr>
            <w:tcW w:w="289" w:type="pct"/>
            <w:tcBorders>
              <w:bottom w:val="single" w:color="009EE0" w:sz="2" w:space="0"/>
            </w:tcBorders>
            <w:tcMar>
              <w:top w:w="22" w:type="dxa"/>
              <w:bottom w:w="22" w:type="dxa"/>
              <w:right w:w="28" w:type="dxa"/>
            </w:tcMar>
          </w:tcPr>
          <w:p w:rsidRPr="00EF02AC" w:rsidR="00EF02AC" w:rsidP="00E015FC" w:rsidRDefault="00EF02AC" w14:paraId="5D2DF161"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4691F0E7" w14:textId="77777777">
            <w:pPr>
              <w:pStyle w:val="p-table"/>
              <w:rPr>
                <w:rFonts w:ascii="Times New Roman" w:hAnsi="Times New Roman" w:cs="Times New Roman"/>
                <w:sz w:val="20"/>
              </w:rPr>
            </w:pPr>
            <w:r w:rsidRPr="00EF02AC">
              <w:rPr>
                <w:rFonts w:ascii="Times New Roman" w:hAnsi="Times New Roman" w:cs="Times New Roman"/>
                <w:b/>
                <w:sz w:val="20"/>
              </w:rPr>
              <w:t>Stand voor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67D39F83" w14:textId="77777777">
            <w:pPr>
              <w:pStyle w:val="p-table"/>
              <w:jc w:val="right"/>
              <w:rPr>
                <w:rFonts w:ascii="Times New Roman" w:hAnsi="Times New Roman" w:cs="Times New Roman"/>
                <w:sz w:val="20"/>
              </w:rPr>
            </w:pPr>
            <w:r w:rsidRPr="00EF02AC">
              <w:rPr>
                <w:rFonts w:ascii="Times New Roman" w:hAnsi="Times New Roman" w:cs="Times New Roman"/>
                <w:b/>
                <w:sz w:val="20"/>
              </w:rPr>
              <w:t>4.047.777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C9B5D60" w14:textId="77777777">
            <w:pPr>
              <w:pStyle w:val="p-table"/>
              <w:jc w:val="right"/>
              <w:rPr>
                <w:rFonts w:ascii="Times New Roman" w:hAnsi="Times New Roman" w:cs="Times New Roman"/>
                <w:sz w:val="20"/>
              </w:rPr>
            </w:pPr>
            <w:r w:rsidRPr="00EF02AC">
              <w:rPr>
                <w:rFonts w:ascii="Times New Roman" w:hAnsi="Times New Roman" w:cs="Times New Roman"/>
                <w:b/>
                <w:sz w:val="20"/>
              </w:rPr>
              <w:t>4.183.637</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F59FE39" w14:textId="77777777">
            <w:pPr>
              <w:pStyle w:val="p-table"/>
              <w:jc w:val="right"/>
              <w:rPr>
                <w:rFonts w:ascii="Times New Roman" w:hAnsi="Times New Roman" w:cs="Times New Roman"/>
                <w:sz w:val="20"/>
              </w:rPr>
            </w:pPr>
            <w:r w:rsidRPr="00EF02AC">
              <w:rPr>
                <w:rFonts w:ascii="Times New Roman" w:hAnsi="Times New Roman" w:cs="Times New Roman"/>
                <w:b/>
                <w:sz w:val="20"/>
              </w:rPr>
              <w:t>3.950.091</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A7A9C16" w14:textId="77777777">
            <w:pPr>
              <w:pStyle w:val="p-table"/>
              <w:jc w:val="right"/>
              <w:rPr>
                <w:rFonts w:ascii="Times New Roman" w:hAnsi="Times New Roman" w:cs="Times New Roman"/>
                <w:sz w:val="20"/>
              </w:rPr>
            </w:pPr>
            <w:r w:rsidRPr="00EF02AC">
              <w:rPr>
                <w:rFonts w:ascii="Times New Roman" w:hAnsi="Times New Roman" w:cs="Times New Roman"/>
                <w:b/>
                <w:sz w:val="20"/>
              </w:rPr>
              <w:t>3.898.792</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CC2C77E" w14:textId="77777777">
            <w:pPr>
              <w:pStyle w:val="p-table"/>
              <w:jc w:val="right"/>
              <w:rPr>
                <w:rFonts w:ascii="Times New Roman" w:hAnsi="Times New Roman" w:cs="Times New Roman"/>
                <w:sz w:val="20"/>
              </w:rPr>
            </w:pPr>
            <w:r w:rsidRPr="00EF02AC">
              <w:rPr>
                <w:rFonts w:ascii="Times New Roman" w:hAnsi="Times New Roman" w:cs="Times New Roman"/>
                <w:b/>
                <w:sz w:val="20"/>
              </w:rPr>
              <w:t>3.717.344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76BFBE7" w14:textId="77777777">
            <w:pPr>
              <w:pStyle w:val="p-table"/>
              <w:jc w:val="right"/>
              <w:rPr>
                <w:rFonts w:ascii="Times New Roman" w:hAnsi="Times New Roman" w:cs="Times New Roman"/>
                <w:sz w:val="20"/>
              </w:rPr>
            </w:pPr>
            <w:r w:rsidRPr="00EF02AC">
              <w:rPr>
                <w:rFonts w:ascii="Times New Roman" w:hAnsi="Times New Roman" w:cs="Times New Roman"/>
                <w:b/>
                <w:sz w:val="20"/>
              </w:rPr>
              <w:t>3.616.573</w:t>
            </w:r>
          </w:p>
        </w:tc>
      </w:tr>
      <w:tr w:rsidRPr="00EF02AC" w:rsidR="00EF02AC" w:rsidTr="00EF02AC" w14:paraId="44C2505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615580C7"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283A37AC" w14:textId="77777777">
            <w:pPr>
              <w:pStyle w:val="p-table"/>
              <w:rPr>
                <w:rFonts w:ascii="Times New Roman" w:hAnsi="Times New Roman" w:cs="Times New Roman"/>
                <w:sz w:val="20"/>
              </w:rPr>
            </w:pPr>
            <w:r w:rsidRPr="00EF02AC">
              <w:rPr>
                <w:rFonts w:ascii="Times New Roman" w:hAnsi="Times New Roman" w:cs="Times New Roman"/>
                <w:i/>
                <w:sz w:val="20"/>
              </w:rPr>
              <w:t>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C76921B"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BD000BB" w14:textId="77777777">
            <w:pPr>
              <w:pStyle w:val="p-table"/>
              <w:jc w:val="right"/>
              <w:rPr>
                <w:rFonts w:ascii="Times New Roman" w:hAnsi="Times New Roman" w:cs="Times New Roman"/>
                <w:sz w:val="20"/>
              </w:rPr>
            </w:pPr>
            <w:r w:rsidRPr="00EF02AC">
              <w:rPr>
                <w:rFonts w:ascii="Times New Roman" w:hAnsi="Times New Roman" w:cs="Times New Roman"/>
                <w:i/>
                <w:sz w:val="20"/>
              </w:rPr>
              <w:t>26.000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5B8E77E"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1959348" w14:textId="77777777">
            <w:pPr>
              <w:pStyle w:val="p-table"/>
              <w:jc w:val="right"/>
              <w:rPr>
                <w:rFonts w:ascii="Times New Roman" w:hAnsi="Times New Roman" w:cs="Times New Roman"/>
                <w:sz w:val="20"/>
              </w:rPr>
            </w:pPr>
            <w:r w:rsidRPr="00EF02AC">
              <w:rPr>
                <w:rFonts w:ascii="Times New Roman" w:hAnsi="Times New Roman" w:cs="Times New Roman"/>
                <w:i/>
                <w:sz w:val="20"/>
              </w:rPr>
              <w:t>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2400814"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D828F5A"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7C319D82" w14:textId="77777777">
        <w:tc>
          <w:tcPr>
            <w:tcW w:w="289" w:type="pct"/>
            <w:tcBorders>
              <w:bottom w:val="single" w:color="009EE0" w:sz="2" w:space="0"/>
            </w:tcBorders>
            <w:tcMar>
              <w:top w:w="22" w:type="dxa"/>
              <w:bottom w:w="22" w:type="dxa"/>
              <w:right w:w="28" w:type="dxa"/>
            </w:tcMar>
          </w:tcPr>
          <w:p w:rsidRPr="00EF02AC" w:rsidR="00EF02AC" w:rsidP="00E015FC" w:rsidRDefault="00EF02AC" w14:paraId="6D9189C0"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35E6AAA" w14:textId="77777777">
            <w:pPr>
              <w:pStyle w:val="p-table"/>
              <w:rPr>
                <w:rFonts w:ascii="Times New Roman" w:hAnsi="Times New Roman" w:cs="Times New Roman"/>
                <w:sz w:val="20"/>
              </w:rPr>
            </w:pPr>
            <w:r w:rsidRPr="00EF02AC">
              <w:rPr>
                <w:rFonts w:ascii="Times New Roman" w:hAnsi="Times New Roman" w:cs="Times New Roman"/>
                <w:i/>
                <w:sz w:val="20"/>
              </w:rPr>
              <w:t>Schuif inruilregeling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582E9C0D" w14:textId="77777777">
            <w:pPr>
              <w:pStyle w:val="p-table"/>
              <w:jc w:val="right"/>
              <w:rPr>
                <w:rFonts w:ascii="Times New Roman" w:hAnsi="Times New Roman" w:cs="Times New Roman"/>
                <w:sz w:val="20"/>
              </w:rPr>
            </w:pPr>
            <w:r w:rsidRPr="00EF02AC">
              <w:rPr>
                <w:rFonts w:ascii="Times New Roman" w:hAnsi="Times New Roman" w:cs="Times New Roman"/>
                <w:i/>
                <w:sz w:val="20"/>
              </w:rPr>
              <w:t>1.708</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F258394" w14:textId="77777777">
            <w:pPr>
              <w:pStyle w:val="p-table"/>
              <w:jc w:val="right"/>
              <w:rPr>
                <w:rFonts w:ascii="Times New Roman" w:hAnsi="Times New Roman" w:cs="Times New Roman"/>
                <w:sz w:val="20"/>
              </w:rPr>
            </w:pPr>
            <w:r w:rsidRPr="00EF02AC">
              <w:rPr>
                <w:rFonts w:ascii="Times New Roman" w:hAnsi="Times New Roman" w:cs="Times New Roman"/>
                <w:i/>
                <w:sz w:val="20"/>
              </w:rPr>
              <w:t>4.193</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D358AFA" w14:textId="77777777">
            <w:pPr>
              <w:pStyle w:val="p-table"/>
              <w:jc w:val="right"/>
              <w:rPr>
                <w:rFonts w:ascii="Times New Roman" w:hAnsi="Times New Roman" w:cs="Times New Roman"/>
                <w:sz w:val="20"/>
              </w:rPr>
            </w:pPr>
            <w:r w:rsidRPr="00EF02AC">
              <w:rPr>
                <w:rFonts w:ascii="Times New Roman" w:hAnsi="Times New Roman" w:cs="Times New Roman"/>
                <w:i/>
                <w:sz w:val="20"/>
              </w:rPr>
              <w:t>7.299</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A2153DC" w14:textId="77777777">
            <w:pPr>
              <w:pStyle w:val="p-table"/>
              <w:jc w:val="right"/>
              <w:rPr>
                <w:rFonts w:ascii="Times New Roman" w:hAnsi="Times New Roman" w:cs="Times New Roman"/>
                <w:sz w:val="20"/>
              </w:rPr>
            </w:pPr>
            <w:r w:rsidRPr="00EF02AC">
              <w:rPr>
                <w:rFonts w:ascii="Times New Roman" w:hAnsi="Times New Roman" w:cs="Times New Roman"/>
                <w:i/>
                <w:sz w:val="20"/>
              </w:rPr>
              <w:t>‒ 13.200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B9B2438"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9C95794"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5530831E" w14:textId="77777777">
        <w:tc>
          <w:tcPr>
            <w:tcW w:w="289" w:type="pct"/>
            <w:tcBorders>
              <w:bottom w:val="single" w:color="009EE0" w:sz="2" w:space="0"/>
            </w:tcBorders>
            <w:tcMar>
              <w:top w:w="22" w:type="dxa"/>
              <w:bottom w:w="22" w:type="dxa"/>
              <w:right w:w="28" w:type="dxa"/>
            </w:tcMar>
          </w:tcPr>
          <w:p w:rsidRPr="00EF02AC" w:rsidR="00EF02AC" w:rsidP="00E015FC" w:rsidRDefault="00EF02AC" w14:paraId="16746EC7"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0BCA8729" w14:textId="77777777">
            <w:pPr>
              <w:pStyle w:val="p-table"/>
              <w:rPr>
                <w:rFonts w:ascii="Times New Roman" w:hAnsi="Times New Roman" w:cs="Times New Roman"/>
                <w:sz w:val="20"/>
              </w:rPr>
            </w:pPr>
            <w:r w:rsidRPr="00EF02AC">
              <w:rPr>
                <w:rFonts w:ascii="Times New Roman" w:hAnsi="Times New Roman" w:cs="Times New Roman"/>
                <w:i/>
                <w:sz w:val="20"/>
              </w:rPr>
              <w:t>Overboeking MF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73AFF294" w14:textId="77777777">
            <w:pPr>
              <w:pStyle w:val="p-table"/>
              <w:jc w:val="right"/>
              <w:rPr>
                <w:rFonts w:ascii="Times New Roman" w:hAnsi="Times New Roman" w:cs="Times New Roman"/>
                <w:sz w:val="20"/>
              </w:rPr>
            </w:pPr>
            <w:r w:rsidRPr="00EF02AC">
              <w:rPr>
                <w:rFonts w:ascii="Times New Roman" w:hAnsi="Times New Roman" w:cs="Times New Roman"/>
                <w:i/>
                <w:sz w:val="20"/>
              </w:rPr>
              <w:t>32.000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FFA0AEE"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6822D57"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B125D7C"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A995A0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3820963D"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69A86EA2" w14:textId="77777777">
        <w:tc>
          <w:tcPr>
            <w:tcW w:w="289" w:type="pct"/>
            <w:tcBorders>
              <w:bottom w:val="single" w:color="009EE0" w:sz="2" w:space="0"/>
            </w:tcBorders>
            <w:tcMar>
              <w:top w:w="22" w:type="dxa"/>
              <w:bottom w:w="22" w:type="dxa"/>
              <w:right w:w="28" w:type="dxa"/>
            </w:tcMar>
          </w:tcPr>
          <w:p w:rsidRPr="00EF02AC" w:rsidR="00EF02AC" w:rsidP="00E015FC" w:rsidRDefault="00EF02AC" w14:paraId="4122F163"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7493347C" w14:textId="77777777">
            <w:pPr>
              <w:pStyle w:val="p-table"/>
              <w:rPr>
                <w:rFonts w:ascii="Times New Roman" w:hAnsi="Times New Roman" w:cs="Times New Roman"/>
                <w:sz w:val="20"/>
              </w:rPr>
            </w:pPr>
            <w:r w:rsidRPr="00EF02AC">
              <w:rPr>
                <w:rFonts w:ascii="Times New Roman" w:hAnsi="Times New Roman" w:cs="Times New Roman"/>
                <w:i/>
                <w:sz w:val="20"/>
              </w:rPr>
              <w:t>Overboeking KEF OV-pas</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4E516ADD" w14:textId="77777777">
            <w:pPr>
              <w:pStyle w:val="p-table"/>
              <w:jc w:val="right"/>
              <w:rPr>
                <w:rFonts w:ascii="Times New Roman" w:hAnsi="Times New Roman" w:cs="Times New Roman"/>
                <w:sz w:val="20"/>
              </w:rPr>
            </w:pPr>
            <w:r w:rsidRPr="00EF02AC">
              <w:rPr>
                <w:rFonts w:ascii="Times New Roman" w:hAnsi="Times New Roman" w:cs="Times New Roman"/>
                <w:i/>
                <w:sz w:val="20"/>
              </w:rPr>
              <w:t>86.000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47D76D4"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7C4474FC"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948DCCF"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B4BD561"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1745BE76" w14:textId="77777777">
            <w:pPr>
              <w:pStyle w:val="p-table"/>
              <w:jc w:val="right"/>
              <w:rPr>
                <w:rFonts w:ascii="Times New Roman" w:hAnsi="Times New Roman" w:cs="Times New Roman"/>
                <w:sz w:val="20"/>
              </w:rPr>
            </w:pPr>
            <w:r w:rsidRPr="00EF02AC">
              <w:rPr>
                <w:rFonts w:ascii="Times New Roman" w:hAnsi="Times New Roman" w:cs="Times New Roman"/>
                <w:i/>
                <w:sz w:val="20"/>
              </w:rPr>
              <w:t>0</w:t>
            </w:r>
          </w:p>
        </w:tc>
      </w:tr>
      <w:tr w:rsidRPr="00EF02AC" w:rsidR="00EF02AC" w:rsidTr="00EF02AC" w14:paraId="58495FBB" w14:textId="77777777">
        <w:tc>
          <w:tcPr>
            <w:tcW w:w="289" w:type="pct"/>
            <w:tcBorders>
              <w:bottom w:val="single" w:color="009EE0" w:sz="2" w:space="0"/>
            </w:tcBorders>
            <w:tcMar>
              <w:top w:w="22" w:type="dxa"/>
              <w:bottom w:w="22" w:type="dxa"/>
              <w:right w:w="28" w:type="dxa"/>
            </w:tcMar>
          </w:tcPr>
          <w:p w:rsidRPr="00EF02AC" w:rsidR="00EF02AC" w:rsidP="00E015FC" w:rsidRDefault="00EF02AC" w14:paraId="7DA93EC6" w14:textId="77777777">
            <w:pPr>
              <w:pStyle w:val="p-table"/>
              <w:rPr>
                <w:rFonts w:ascii="Times New Roman" w:hAnsi="Times New Roman" w:cs="Times New Roman"/>
                <w:sz w:val="20"/>
              </w:rPr>
            </w:pPr>
          </w:p>
        </w:tc>
        <w:tc>
          <w:tcPr>
            <w:tcW w:w="1458" w:type="pct"/>
            <w:tcBorders>
              <w:bottom w:val="single" w:color="009EE0" w:sz="2" w:space="0"/>
            </w:tcBorders>
            <w:tcMar>
              <w:top w:w="22" w:type="dxa"/>
              <w:left w:w="28" w:type="dxa"/>
              <w:bottom w:w="22" w:type="dxa"/>
              <w:right w:w="28" w:type="dxa"/>
            </w:tcMar>
          </w:tcPr>
          <w:p w:rsidRPr="00EF02AC" w:rsidR="00EF02AC" w:rsidP="00E015FC" w:rsidRDefault="00EF02AC" w14:paraId="60DA30C8" w14:textId="77777777">
            <w:pPr>
              <w:pStyle w:val="p-table"/>
              <w:rPr>
                <w:rFonts w:ascii="Times New Roman" w:hAnsi="Times New Roman" w:cs="Times New Roman"/>
                <w:sz w:val="20"/>
              </w:rPr>
            </w:pPr>
            <w:r w:rsidRPr="00EF02AC">
              <w:rPr>
                <w:rFonts w:ascii="Times New Roman" w:hAnsi="Times New Roman" w:cs="Times New Roman"/>
                <w:b/>
                <w:sz w:val="20"/>
              </w:rPr>
              <w:t>Stand na nota van wijziging</w:t>
            </w:r>
          </w:p>
        </w:tc>
        <w:tc>
          <w:tcPr>
            <w:tcW w:w="543" w:type="pct"/>
            <w:tcBorders>
              <w:bottom w:val="single" w:color="009EE0" w:sz="2" w:space="0"/>
            </w:tcBorders>
            <w:tcMar>
              <w:top w:w="22" w:type="dxa"/>
              <w:left w:w="28" w:type="dxa"/>
              <w:bottom w:w="22" w:type="dxa"/>
              <w:right w:w="28" w:type="dxa"/>
            </w:tcMar>
          </w:tcPr>
          <w:p w:rsidRPr="00EF02AC" w:rsidR="00EF02AC" w:rsidP="00E015FC" w:rsidRDefault="00EF02AC" w14:paraId="2D8E566D" w14:textId="77777777">
            <w:pPr>
              <w:pStyle w:val="p-table"/>
              <w:jc w:val="right"/>
              <w:rPr>
                <w:rFonts w:ascii="Times New Roman" w:hAnsi="Times New Roman" w:cs="Times New Roman"/>
                <w:sz w:val="20"/>
              </w:rPr>
            </w:pPr>
            <w:r w:rsidRPr="00EF02AC">
              <w:rPr>
                <w:rFonts w:ascii="Times New Roman" w:hAnsi="Times New Roman" w:cs="Times New Roman"/>
                <w:b/>
                <w:sz w:val="20"/>
              </w:rPr>
              <w:t>4.167.485</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8967168" w14:textId="77777777">
            <w:pPr>
              <w:pStyle w:val="p-table"/>
              <w:jc w:val="right"/>
              <w:rPr>
                <w:rFonts w:ascii="Times New Roman" w:hAnsi="Times New Roman" w:cs="Times New Roman"/>
                <w:sz w:val="20"/>
              </w:rPr>
            </w:pPr>
            <w:r w:rsidRPr="00EF02AC">
              <w:rPr>
                <w:rFonts w:ascii="Times New Roman" w:hAnsi="Times New Roman" w:cs="Times New Roman"/>
                <w:b/>
                <w:sz w:val="20"/>
              </w:rPr>
              <w:t>4.213.830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4E898C81" w14:textId="77777777">
            <w:pPr>
              <w:pStyle w:val="p-table"/>
              <w:jc w:val="right"/>
              <w:rPr>
                <w:rFonts w:ascii="Times New Roman" w:hAnsi="Times New Roman" w:cs="Times New Roman"/>
                <w:sz w:val="20"/>
              </w:rPr>
            </w:pPr>
            <w:r w:rsidRPr="00EF02AC">
              <w:rPr>
                <w:rFonts w:ascii="Times New Roman" w:hAnsi="Times New Roman" w:cs="Times New Roman"/>
                <w:b/>
                <w:sz w:val="20"/>
              </w:rPr>
              <w:t>3.970.590</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0DE01605" w14:textId="77777777">
            <w:pPr>
              <w:pStyle w:val="p-table"/>
              <w:jc w:val="right"/>
              <w:rPr>
                <w:rFonts w:ascii="Times New Roman" w:hAnsi="Times New Roman" w:cs="Times New Roman"/>
                <w:sz w:val="20"/>
              </w:rPr>
            </w:pPr>
            <w:r w:rsidRPr="00EF02AC">
              <w:rPr>
                <w:rFonts w:ascii="Times New Roman" w:hAnsi="Times New Roman" w:cs="Times New Roman"/>
                <w:b/>
                <w:sz w:val="20"/>
              </w:rPr>
              <w:t>3.898.792</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68B97988" w14:textId="77777777">
            <w:pPr>
              <w:pStyle w:val="p-table"/>
              <w:jc w:val="right"/>
              <w:rPr>
                <w:rFonts w:ascii="Times New Roman" w:hAnsi="Times New Roman" w:cs="Times New Roman"/>
                <w:sz w:val="20"/>
              </w:rPr>
            </w:pPr>
            <w:r w:rsidRPr="00EF02AC">
              <w:rPr>
                <w:rFonts w:ascii="Times New Roman" w:hAnsi="Times New Roman" w:cs="Times New Roman"/>
                <w:b/>
                <w:sz w:val="20"/>
              </w:rPr>
              <w:t>3.717.344</w:t>
            </w:r>
          </w:p>
        </w:tc>
        <w:tc>
          <w:tcPr>
            <w:tcW w:w="542" w:type="pct"/>
            <w:tcBorders>
              <w:bottom w:val="single" w:color="009EE0" w:sz="2" w:space="0"/>
            </w:tcBorders>
            <w:tcMar>
              <w:top w:w="22" w:type="dxa"/>
              <w:left w:w="28" w:type="dxa"/>
              <w:bottom w:w="22" w:type="dxa"/>
              <w:right w:w="28" w:type="dxa"/>
            </w:tcMar>
          </w:tcPr>
          <w:p w:rsidRPr="00EF02AC" w:rsidR="00EF02AC" w:rsidP="00E015FC" w:rsidRDefault="00EF02AC" w14:paraId="2E784DB2" w14:textId="77777777">
            <w:pPr>
              <w:pStyle w:val="p-table"/>
              <w:jc w:val="right"/>
              <w:rPr>
                <w:rFonts w:ascii="Times New Roman" w:hAnsi="Times New Roman" w:cs="Times New Roman"/>
                <w:sz w:val="20"/>
              </w:rPr>
            </w:pPr>
            <w:r w:rsidRPr="00EF02AC">
              <w:rPr>
                <w:rFonts w:ascii="Times New Roman" w:hAnsi="Times New Roman" w:cs="Times New Roman"/>
                <w:b/>
                <w:sz w:val="20"/>
              </w:rPr>
              <w:t>3.616.573</w:t>
            </w:r>
          </w:p>
        </w:tc>
      </w:tr>
    </w:tbl>
    <w:p w:rsidR="00EF02AC" w:rsidP="00FE223B" w:rsidRDefault="00EF02AC" w14:paraId="4AAF5F98" w14:textId="77777777">
      <w:pPr>
        <w:tabs>
          <w:tab w:val="left" w:pos="284"/>
        </w:tabs>
      </w:pPr>
    </w:p>
    <w:p w:rsidRPr="00EF02AC" w:rsidR="00EF02AC" w:rsidP="00EF02AC" w:rsidRDefault="00EF02AC" w14:paraId="1C8CF7D5" w14:textId="77777777">
      <w:pPr>
        <w:tabs>
          <w:tab w:val="left" w:pos="284"/>
        </w:tabs>
      </w:pPr>
      <w:r w:rsidRPr="00EF02AC">
        <w:t>De Minister van Infrastructuur en Waterstaat,</w:t>
      </w:r>
    </w:p>
    <w:p w:rsidRPr="00EF02AC" w:rsidR="00EF02AC" w:rsidP="00EF02AC" w:rsidRDefault="00EF02AC" w14:paraId="6438662E" w14:textId="77777777">
      <w:pPr>
        <w:tabs>
          <w:tab w:val="left" w:pos="284"/>
        </w:tabs>
      </w:pPr>
      <w:r w:rsidRPr="00EF02AC">
        <w:t>V.P.G. Karremans</w:t>
      </w:r>
    </w:p>
    <w:p w:rsidR="00EF02AC" w:rsidP="00FE223B" w:rsidRDefault="00EF02AC" w14:paraId="3FE08506" w14:textId="77777777">
      <w:pPr>
        <w:tabs>
          <w:tab w:val="left" w:pos="284"/>
        </w:tabs>
      </w:pPr>
    </w:p>
    <w:sectPr w:rsidR="00EF02AC">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8393" w14:textId="77777777" w:rsidR="00AB6891" w:rsidRDefault="00AB6891">
      <w:r>
        <w:separator/>
      </w:r>
    </w:p>
  </w:endnote>
  <w:endnote w:type="continuationSeparator" w:id="0">
    <w:p w14:paraId="2859E1C7" w14:textId="77777777" w:rsidR="00AB6891" w:rsidRDefault="00AB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5B2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85851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91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AC4AE2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D537" w14:textId="77777777" w:rsidR="00AB6891" w:rsidRDefault="00AB6891">
      <w:r>
        <w:separator/>
      </w:r>
    </w:p>
  </w:footnote>
  <w:footnote w:type="continuationSeparator" w:id="0">
    <w:p w14:paraId="6F4C4EC3" w14:textId="77777777" w:rsidR="00AB6891" w:rsidRDefault="00AB6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AC"/>
    <w:rsid w:val="003B4752"/>
    <w:rsid w:val="004D5FF9"/>
    <w:rsid w:val="005364C5"/>
    <w:rsid w:val="007C02C8"/>
    <w:rsid w:val="009833D1"/>
    <w:rsid w:val="00AB6891"/>
    <w:rsid w:val="00AE4D7E"/>
    <w:rsid w:val="00C14B1A"/>
    <w:rsid w:val="00EF02AC"/>
    <w:rsid w:val="00FA23E3"/>
    <w:rsid w:val="00FB2388"/>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2DCB"/>
  <w15:docId w15:val="{2B362DA1-F594-478B-B2F6-5EFDA4B0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EF02A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F02AC"/>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1066</ap:Words>
  <ap:Characters>5863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2026-05-27T11:36:00.0000000Z</lastPrinted>
  <dcterms:created xsi:type="dcterms:W3CDTF">2026-05-27T12:19:00.0000000Z</dcterms:created>
  <dcterms:modified xsi:type="dcterms:W3CDTF">2026-05-27T12:19:00.0000000Z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