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64910D0C" w14:textId="77777777"/>
    <w:p w:rsidR="00BF2437" w:rsidP="00BF2437" w:rsidRDefault="00CD377B" w14:paraId="2BAE81D1" w14:textId="77777777">
      <w:r>
        <w:t>Geachte Voorzitter,</w:t>
      </w:r>
    </w:p>
    <w:p w:rsidR="00BF2437" w:rsidP="00BF2437" w:rsidRDefault="00BF2437" w14:paraId="60B6FD73" w14:textId="77777777"/>
    <w:p w:rsidR="00C016A0" w:rsidP="00C016A0" w:rsidRDefault="00C016A0" w14:paraId="70CFB567" w14:textId="77777777">
      <w:pPr>
        <w:rPr>
          <w:szCs w:val="18"/>
        </w:rPr>
      </w:pPr>
      <w:r>
        <w:rPr>
          <w:szCs w:val="18"/>
        </w:rPr>
        <w:t>Op 8 april jl. is uw Kamer geïnformeerd over mijn voorgenomen aanpak voor het 8</w:t>
      </w:r>
      <w:r w:rsidRPr="0089519D">
        <w:rPr>
          <w:szCs w:val="18"/>
          <w:vertAlign w:val="superscript"/>
        </w:rPr>
        <w:t>e</w:t>
      </w:r>
      <w:r>
        <w:rPr>
          <w:szCs w:val="18"/>
        </w:rPr>
        <w:t xml:space="preserve"> actieprogramma Nitraatrichtlijn (hierna 8</w:t>
      </w:r>
      <w:r w:rsidRPr="000E25AE">
        <w:rPr>
          <w:szCs w:val="18"/>
          <w:vertAlign w:val="superscript"/>
        </w:rPr>
        <w:t>e</w:t>
      </w:r>
      <w:r>
        <w:rPr>
          <w:szCs w:val="18"/>
        </w:rPr>
        <w:t xml:space="preserve"> actieprogramma).</w:t>
      </w:r>
      <w:r>
        <w:rPr>
          <w:rStyle w:val="Voetnootmarkering"/>
          <w:szCs w:val="18"/>
        </w:rPr>
        <w:footnoteReference w:id="1"/>
      </w:r>
      <w:r>
        <w:rPr>
          <w:szCs w:val="18"/>
        </w:rPr>
        <w:t xml:space="preserve"> Met deze brief informeer ik u – mede namens de minister van Infrastructuur en Waterstaat – nader over het proces om te komen tot het 8</w:t>
      </w:r>
      <w:r w:rsidRPr="000E25AE">
        <w:rPr>
          <w:szCs w:val="18"/>
          <w:vertAlign w:val="superscript"/>
        </w:rPr>
        <w:t>e</w:t>
      </w:r>
      <w:r>
        <w:rPr>
          <w:szCs w:val="18"/>
        </w:rPr>
        <w:t xml:space="preserve"> actieprogramma en de samenhang van dit actieprogramma met de Ministeriële Taskforce Landbouw, Natuur en Stikstof (hierna: Taskforce). Daarnaast wordt u geïnformeerd over de ontwikkelingen rondom doelsturing op waterkwaliteit waarmee ik invulling geef aan het verzoek van de vaste commissie voor Landbouw, Visserij, Voedselzekerheid en Natuur om een brief over doelsturing en het 8</w:t>
      </w:r>
      <w:r w:rsidRPr="00F42804">
        <w:rPr>
          <w:szCs w:val="18"/>
          <w:vertAlign w:val="superscript"/>
        </w:rPr>
        <w:t>e</w:t>
      </w:r>
      <w:r>
        <w:rPr>
          <w:szCs w:val="18"/>
        </w:rPr>
        <w:t xml:space="preserve"> actieprogramma Nitraatrichtlijn.</w:t>
      </w:r>
      <w:r>
        <w:rPr>
          <w:rStyle w:val="Voetnootmarkering"/>
          <w:szCs w:val="18"/>
        </w:rPr>
        <w:footnoteReference w:id="2"/>
      </w:r>
      <w:r w:rsidRPr="00BE17CB">
        <w:rPr>
          <w:szCs w:val="18"/>
        </w:rPr>
        <w:t xml:space="preserve"> </w:t>
      </w:r>
      <w:r>
        <w:rPr>
          <w:szCs w:val="18"/>
        </w:rPr>
        <w:t>Deze brief is eveneens aan de Eerste Kamer gezonden.</w:t>
      </w:r>
    </w:p>
    <w:p w:rsidR="00C016A0" w:rsidP="00C016A0" w:rsidRDefault="00C016A0" w14:paraId="6B6F13C5" w14:textId="77777777">
      <w:pPr>
        <w:rPr>
          <w:szCs w:val="18"/>
        </w:rPr>
      </w:pPr>
    </w:p>
    <w:p w:rsidR="00C016A0" w:rsidP="00C016A0" w:rsidRDefault="00C016A0" w14:paraId="1F566760" w14:textId="77777777">
      <w:pPr>
        <w:rPr>
          <w:szCs w:val="18"/>
        </w:rPr>
      </w:pPr>
      <w:r>
        <w:rPr>
          <w:szCs w:val="18"/>
        </w:rPr>
        <w:t>Op dit moment worden de doelen voor nutriënten (stikstof en fosfor) in het grond- en oppervlaktewater zoals die volgen uit de Nitraatrichtlijn en Kaderrichtlijn Water nog niet gehaald. Landbouwbronnen vormen hierbij een significante bron van nutriëntenbelasting naast andere oorzaken. De inzet van het nog op te stellen 8</w:t>
      </w:r>
      <w:r w:rsidRPr="00905777">
        <w:rPr>
          <w:szCs w:val="18"/>
          <w:vertAlign w:val="superscript"/>
        </w:rPr>
        <w:t>e</w:t>
      </w:r>
      <w:r>
        <w:rPr>
          <w:szCs w:val="18"/>
        </w:rPr>
        <w:t xml:space="preserve"> actieprogramma is gericht op het behalen van de waterkwaliteitsdoelen voor nutriënten afkomstig uit de landbouw. De inzet in de Taskforce is daar ook mede op gericht via een samenhangende aanpak van de verschillende opgaven. </w:t>
      </w:r>
    </w:p>
    <w:p w:rsidR="00C016A0" w:rsidP="00C016A0" w:rsidRDefault="00C016A0" w14:paraId="50C89CA0" w14:textId="77777777">
      <w:pPr>
        <w:rPr>
          <w:i/>
          <w:iCs/>
          <w:szCs w:val="18"/>
        </w:rPr>
      </w:pPr>
    </w:p>
    <w:p w:rsidRPr="00BE3372" w:rsidR="00C016A0" w:rsidP="00C016A0" w:rsidRDefault="00C016A0" w14:paraId="3B2D7C4B" w14:textId="77777777">
      <w:pPr>
        <w:rPr>
          <w:i/>
          <w:iCs/>
          <w:szCs w:val="18"/>
        </w:rPr>
      </w:pPr>
      <w:r w:rsidRPr="00A95A03">
        <w:rPr>
          <w:i/>
          <w:iCs/>
          <w:szCs w:val="18"/>
        </w:rPr>
        <w:t>Samenhang 8</w:t>
      </w:r>
      <w:r w:rsidRPr="00A95A03">
        <w:rPr>
          <w:i/>
          <w:iCs/>
          <w:szCs w:val="18"/>
          <w:vertAlign w:val="superscript"/>
        </w:rPr>
        <w:t>e</w:t>
      </w:r>
      <w:r w:rsidRPr="00A95A03">
        <w:rPr>
          <w:i/>
          <w:iCs/>
          <w:szCs w:val="18"/>
        </w:rPr>
        <w:t xml:space="preserve"> actieprogramma en Taskforce</w:t>
      </w:r>
    </w:p>
    <w:p w:rsidR="00C016A0" w:rsidP="00C016A0" w:rsidRDefault="00C016A0" w14:paraId="5B061EBD" w14:textId="77777777">
      <w:pPr>
        <w:rPr>
          <w:szCs w:val="18"/>
        </w:rPr>
      </w:pPr>
      <w:r>
        <w:rPr>
          <w:szCs w:val="18"/>
        </w:rPr>
        <w:t>Het kabinet werkt m</w:t>
      </w:r>
      <w:r w:rsidDel="00187C87">
        <w:rPr>
          <w:szCs w:val="18"/>
        </w:rPr>
        <w:t>omenteel binnen de Taskforce aan een aanpak gericht op stikstofreductie en natuurverbetering</w:t>
      </w:r>
      <w:r>
        <w:rPr>
          <w:szCs w:val="18"/>
        </w:rPr>
        <w:t xml:space="preserve"> in samenhang met </w:t>
      </w:r>
      <w:r w:rsidDel="00187C87">
        <w:rPr>
          <w:szCs w:val="18"/>
        </w:rPr>
        <w:t>andere</w:t>
      </w:r>
      <w:r>
        <w:rPr>
          <w:szCs w:val="18"/>
        </w:rPr>
        <w:t xml:space="preserve"> brede milieu</w:t>
      </w:r>
      <w:r w:rsidDel="00187C87">
        <w:rPr>
          <w:szCs w:val="18"/>
        </w:rPr>
        <w:t>opgaven in het landelijk gebied, waaronder</w:t>
      </w:r>
      <w:r>
        <w:rPr>
          <w:szCs w:val="18"/>
        </w:rPr>
        <w:t xml:space="preserve"> ook</w:t>
      </w:r>
      <w:r w:rsidDel="00187C87">
        <w:rPr>
          <w:szCs w:val="18"/>
        </w:rPr>
        <w:t xml:space="preserve"> de</w:t>
      </w:r>
      <w:r>
        <w:rPr>
          <w:szCs w:val="18"/>
        </w:rPr>
        <w:t xml:space="preserve"> opgave voor</w:t>
      </w:r>
      <w:r w:rsidDel="00187C87">
        <w:rPr>
          <w:szCs w:val="18"/>
        </w:rPr>
        <w:t xml:space="preserve"> waterkwaliteit. </w:t>
      </w:r>
      <w:r>
        <w:rPr>
          <w:szCs w:val="18"/>
        </w:rPr>
        <w:t>Zo maakt het 8</w:t>
      </w:r>
      <w:r w:rsidRPr="00A2637C">
        <w:rPr>
          <w:szCs w:val="18"/>
          <w:vertAlign w:val="superscript"/>
        </w:rPr>
        <w:t>e</w:t>
      </w:r>
      <w:r>
        <w:rPr>
          <w:szCs w:val="18"/>
        </w:rPr>
        <w:t xml:space="preserve"> actieprogramma deel uit van pijler zeven van de aanpak en wordt onder andere </w:t>
      </w:r>
      <w:r w:rsidRPr="00187C87">
        <w:rPr>
          <w:szCs w:val="18"/>
        </w:rPr>
        <w:t>uitwerking gegeven aan grondgebondenheid</w:t>
      </w:r>
      <w:r>
        <w:rPr>
          <w:szCs w:val="18"/>
        </w:rPr>
        <w:t xml:space="preserve"> en een gebiedsgerichte aanpak die zich ook richt op beekdalen en grondwaterbeschermingsgebieden.</w:t>
      </w:r>
      <w:r>
        <w:rPr>
          <w:rStyle w:val="Voetnootmarkering"/>
          <w:szCs w:val="18"/>
        </w:rPr>
        <w:footnoteReference w:id="3"/>
      </w:r>
      <w:r>
        <w:rPr>
          <w:szCs w:val="18"/>
        </w:rPr>
        <w:t xml:space="preserve"> Daarmee zal de uitwerking van de maatregelen in de Taskforce ook effect hebben op het verminderen van de uit- en afspoeling van nutriënten uit de landbouw naar het water. Ik zie daarom een nauwe samenhang tussen maatregelen uit de Taskforce en het 8</w:t>
      </w:r>
      <w:r w:rsidRPr="000B49B2">
        <w:rPr>
          <w:szCs w:val="18"/>
          <w:vertAlign w:val="superscript"/>
        </w:rPr>
        <w:t>e</w:t>
      </w:r>
      <w:r>
        <w:rPr>
          <w:szCs w:val="18"/>
        </w:rPr>
        <w:t xml:space="preserve"> actieprogramma om de nutriëntenbelasting van het grond- en oppervlaktewater vanuit de landbouw te verminderen.</w:t>
      </w:r>
    </w:p>
    <w:p w:rsidR="00C016A0" w:rsidP="00C016A0" w:rsidRDefault="00C016A0" w14:paraId="14D61C2B" w14:textId="77777777">
      <w:pPr>
        <w:rPr>
          <w:szCs w:val="18"/>
        </w:rPr>
      </w:pPr>
    </w:p>
    <w:p w:rsidRPr="00FF00B6" w:rsidR="00C016A0" w:rsidP="00C016A0" w:rsidRDefault="00C016A0" w14:paraId="7503597C" w14:textId="77777777">
      <w:pPr>
        <w:rPr>
          <w:i/>
          <w:iCs/>
          <w:szCs w:val="18"/>
        </w:rPr>
      </w:pPr>
      <w:r w:rsidRPr="00FF00B6">
        <w:rPr>
          <w:i/>
          <w:iCs/>
          <w:szCs w:val="18"/>
        </w:rPr>
        <w:t>Tijdpad 8</w:t>
      </w:r>
      <w:r w:rsidRPr="00FF00B6">
        <w:rPr>
          <w:i/>
          <w:iCs/>
          <w:szCs w:val="18"/>
          <w:vertAlign w:val="superscript"/>
        </w:rPr>
        <w:t>e</w:t>
      </w:r>
      <w:r w:rsidRPr="00FF00B6">
        <w:rPr>
          <w:i/>
          <w:iCs/>
          <w:szCs w:val="18"/>
        </w:rPr>
        <w:t xml:space="preserve"> actieprogramma</w:t>
      </w:r>
    </w:p>
    <w:p w:rsidR="00C016A0" w:rsidP="00C016A0" w:rsidRDefault="00C016A0" w14:paraId="1C8CEF46" w14:textId="77777777">
      <w:pPr>
        <w:rPr>
          <w:szCs w:val="18"/>
        </w:rPr>
      </w:pPr>
      <w:r>
        <w:rPr>
          <w:szCs w:val="18"/>
        </w:rPr>
        <w:t>Omdat ik de aanpak vanuit de Taskforce bepalend acht voor de context waarbinnen de maatregelen van het 8</w:t>
      </w:r>
      <w:r w:rsidRPr="00BA54B5">
        <w:rPr>
          <w:szCs w:val="18"/>
          <w:vertAlign w:val="superscript"/>
        </w:rPr>
        <w:t>e</w:t>
      </w:r>
      <w:r>
        <w:rPr>
          <w:szCs w:val="18"/>
        </w:rPr>
        <w:t xml:space="preserve"> actieprogramma worden opgesteld, ben ik voornemens het tijdpad van het 8</w:t>
      </w:r>
      <w:r w:rsidRPr="00732E78">
        <w:rPr>
          <w:szCs w:val="18"/>
          <w:vertAlign w:val="superscript"/>
        </w:rPr>
        <w:t>e</w:t>
      </w:r>
      <w:r>
        <w:rPr>
          <w:szCs w:val="18"/>
        </w:rPr>
        <w:t xml:space="preserve"> actieprogramma aan te laten sluiten op de planning voor de Taskforce. In mijn brief van 27 maart jl. over de samenhangende aanpak Landbouw, Natuur en Stikstof heb ik aangekondigd tot de zomer prioriteit te geven aan uitwerking van verschillende onderdelen van deze aanpak. Om de inzet voor het 8</w:t>
      </w:r>
      <w:r w:rsidRPr="00C76E0B">
        <w:rPr>
          <w:szCs w:val="18"/>
          <w:vertAlign w:val="superscript"/>
        </w:rPr>
        <w:t>e</w:t>
      </w:r>
      <w:r>
        <w:rPr>
          <w:szCs w:val="18"/>
        </w:rPr>
        <w:t xml:space="preserve"> actieprogramma goed af te kunnen stemmen op de aanpak van de Taskforce, zal ik dit najaar uw Kamer informeren over de voortgang van het 8</w:t>
      </w:r>
      <w:r w:rsidRPr="00732E78">
        <w:rPr>
          <w:szCs w:val="18"/>
          <w:vertAlign w:val="superscript"/>
        </w:rPr>
        <w:t>e</w:t>
      </w:r>
      <w:r>
        <w:rPr>
          <w:szCs w:val="18"/>
        </w:rPr>
        <w:t xml:space="preserve"> actieprogramma. In de tussentijd tref ik de benodigde voorbereidingen om te komen tot het 8</w:t>
      </w:r>
      <w:r w:rsidRPr="00453365">
        <w:rPr>
          <w:szCs w:val="18"/>
          <w:vertAlign w:val="superscript"/>
        </w:rPr>
        <w:t>e</w:t>
      </w:r>
      <w:r>
        <w:rPr>
          <w:szCs w:val="18"/>
        </w:rPr>
        <w:t xml:space="preserve"> actieprogramma dat uiterlijk 1 juli 2027 in zal gaan. Daarbij streef ik ernaar om de regelgeving voor de te implementeren maatregelen van het 8</w:t>
      </w:r>
      <w:r w:rsidRPr="00A95A03">
        <w:rPr>
          <w:szCs w:val="18"/>
          <w:vertAlign w:val="superscript"/>
        </w:rPr>
        <w:t>e</w:t>
      </w:r>
      <w:r>
        <w:rPr>
          <w:szCs w:val="18"/>
        </w:rPr>
        <w:t xml:space="preserve"> actieprogramma waar mogelijk tegelijkertijd met het actieprogramma te publiceren, zodat er tijdig duidelijkheid is over de nieuwe maatregelen voor agrariërs. Hiertoe zal uiterlijk in het eerste kwartaal van 2027 een concept 8</w:t>
      </w:r>
      <w:r w:rsidRPr="00192995">
        <w:rPr>
          <w:szCs w:val="18"/>
          <w:vertAlign w:val="superscript"/>
        </w:rPr>
        <w:t>e</w:t>
      </w:r>
      <w:r>
        <w:rPr>
          <w:szCs w:val="18"/>
        </w:rPr>
        <w:t xml:space="preserve"> actieprogramma worden voorgelegd voor advies aan de Commissie voor de Milieueffectrapportage en worden aangeboden voor internetconsultatie. Mocht het noodzakelijk zijn om regelgeving eerder aan te passen, dan zal ik bezien of en in hoeverre dit eerder aangepast zal kunnen worden.</w:t>
      </w:r>
    </w:p>
    <w:p w:rsidR="00C016A0" w:rsidP="00C016A0" w:rsidRDefault="00C016A0" w14:paraId="65C40268" w14:textId="77777777">
      <w:pPr>
        <w:rPr>
          <w:szCs w:val="18"/>
        </w:rPr>
      </w:pPr>
    </w:p>
    <w:p w:rsidR="00C016A0" w:rsidP="00C016A0" w:rsidRDefault="00C016A0" w14:paraId="2B9D2F8B" w14:textId="77777777">
      <w:pPr>
        <w:rPr>
          <w:szCs w:val="18"/>
        </w:rPr>
      </w:pPr>
      <w:r>
        <w:rPr>
          <w:szCs w:val="18"/>
        </w:rPr>
        <w:t>Dit voorziene tijdpad om te komen tot het 8</w:t>
      </w:r>
      <w:r w:rsidRPr="008A2A53">
        <w:rPr>
          <w:szCs w:val="18"/>
          <w:vertAlign w:val="superscript"/>
        </w:rPr>
        <w:t>e</w:t>
      </w:r>
      <w:r>
        <w:rPr>
          <w:szCs w:val="18"/>
        </w:rPr>
        <w:t xml:space="preserve"> actieprogramma Nitraatrichtlijn past bij het tijdpad voor de </w:t>
      </w:r>
      <w:proofErr w:type="spellStart"/>
      <w:r>
        <w:rPr>
          <w:szCs w:val="18"/>
        </w:rPr>
        <w:t>stroomgebiedbeheerplannen</w:t>
      </w:r>
      <w:proofErr w:type="spellEnd"/>
      <w:r>
        <w:rPr>
          <w:szCs w:val="18"/>
        </w:rPr>
        <w:t xml:space="preserve"> 2028-2033, die op grond van de Kaderrichtlijn Water</w:t>
      </w:r>
      <w:r w:rsidRPr="00227C58">
        <w:rPr>
          <w:szCs w:val="18"/>
        </w:rPr>
        <w:t xml:space="preserve"> </w:t>
      </w:r>
      <w:r>
        <w:rPr>
          <w:szCs w:val="18"/>
        </w:rPr>
        <w:t>worden opgesteld door de Minister van Infrastructuur en Waterstaat als onderdeel van het Nationaal Waterplan.  Bij de ontwerp-</w:t>
      </w:r>
      <w:proofErr w:type="spellStart"/>
      <w:r>
        <w:rPr>
          <w:szCs w:val="18"/>
        </w:rPr>
        <w:t>stroomgebiedbeheerplannen</w:t>
      </w:r>
      <w:proofErr w:type="spellEnd"/>
      <w:r>
        <w:rPr>
          <w:szCs w:val="18"/>
        </w:rPr>
        <w:t>, die op 21 december 2026 voor een half jaar ter inzage worden gelegd, zal worden verwezen naar het proces van het 8</w:t>
      </w:r>
      <w:r w:rsidRPr="006948EE">
        <w:rPr>
          <w:szCs w:val="18"/>
          <w:vertAlign w:val="superscript"/>
        </w:rPr>
        <w:t>e</w:t>
      </w:r>
      <w:r>
        <w:rPr>
          <w:szCs w:val="18"/>
        </w:rPr>
        <w:t xml:space="preserve"> actieprogramma waar het gaat om de vermindering van de af- en uitspoeling van nutriënten uit de landbouw. In de definitieve </w:t>
      </w:r>
      <w:proofErr w:type="spellStart"/>
      <w:r>
        <w:rPr>
          <w:szCs w:val="18"/>
        </w:rPr>
        <w:t>stroomgebiedbeheerplannen</w:t>
      </w:r>
      <w:proofErr w:type="spellEnd"/>
      <w:r>
        <w:rPr>
          <w:szCs w:val="18"/>
        </w:rPr>
        <w:t>, die in december 2027 worden vastgesteld, zal verwezen worden naar de concrete inzet van het 8</w:t>
      </w:r>
      <w:r w:rsidRPr="006948EE">
        <w:rPr>
          <w:szCs w:val="18"/>
          <w:vertAlign w:val="superscript"/>
        </w:rPr>
        <w:t>e</w:t>
      </w:r>
      <w:r>
        <w:rPr>
          <w:szCs w:val="18"/>
        </w:rPr>
        <w:t xml:space="preserve"> actieprogramma, inclusief de relevante maatregelen die door de Taskforce worden ingesteld. Het is mijn inzet om de aanpak vanuit de Taskforce en de overige maatregelen genomen in het 8</w:t>
      </w:r>
      <w:r w:rsidRPr="00453365">
        <w:rPr>
          <w:szCs w:val="18"/>
          <w:vertAlign w:val="superscript"/>
        </w:rPr>
        <w:t>e</w:t>
      </w:r>
      <w:r>
        <w:rPr>
          <w:szCs w:val="18"/>
        </w:rPr>
        <w:t xml:space="preserve"> actieprogramma afdoende te laten zijn voor de waterkwaliteitsopgave voor nutriënten vanuit de landbouw. Daarmee komt er voor nutriënten vanuit de landbouw geen restopgave te liggen bij de regio.</w:t>
      </w:r>
    </w:p>
    <w:p w:rsidR="00C016A0" w:rsidP="00C016A0" w:rsidRDefault="00C016A0" w14:paraId="4835A037" w14:textId="77777777">
      <w:pPr>
        <w:rPr>
          <w:szCs w:val="18"/>
        </w:rPr>
      </w:pPr>
    </w:p>
    <w:p w:rsidRPr="00876040" w:rsidR="00C016A0" w:rsidP="00C016A0" w:rsidRDefault="00C016A0" w14:paraId="4C504B13" w14:textId="77777777">
      <w:pPr>
        <w:rPr>
          <w:i/>
          <w:iCs/>
          <w:szCs w:val="18"/>
        </w:rPr>
      </w:pPr>
      <w:r w:rsidRPr="00876040">
        <w:rPr>
          <w:i/>
          <w:iCs/>
          <w:szCs w:val="18"/>
        </w:rPr>
        <w:t>Doelsturing waterkwaliteit</w:t>
      </w:r>
    </w:p>
    <w:p w:rsidR="00C016A0" w:rsidP="00C016A0" w:rsidRDefault="00C016A0" w14:paraId="3F5D03B9" w14:textId="019AB96B">
      <w:pPr>
        <w:rPr>
          <w:szCs w:val="18"/>
        </w:rPr>
      </w:pPr>
      <w:r>
        <w:rPr>
          <w:szCs w:val="18"/>
        </w:rPr>
        <w:t>Als onderdeel van het 8</w:t>
      </w:r>
      <w:r w:rsidRPr="00876040">
        <w:rPr>
          <w:szCs w:val="18"/>
          <w:vertAlign w:val="superscript"/>
        </w:rPr>
        <w:t>e</w:t>
      </w:r>
      <w:r>
        <w:rPr>
          <w:szCs w:val="18"/>
        </w:rPr>
        <w:t xml:space="preserve"> actieprogramma werk ik aan doelsturing op waterkwaliteit</w:t>
      </w:r>
      <w:r w:rsidR="009166D1">
        <w:rPr>
          <w:rStyle w:val="Voetnootmarkering"/>
          <w:szCs w:val="18"/>
        </w:rPr>
        <w:footnoteReference w:id="4"/>
      </w:r>
      <w:r>
        <w:rPr>
          <w:szCs w:val="18"/>
        </w:rPr>
        <w:t xml:space="preserve">. Conform de motie </w:t>
      </w:r>
      <w:proofErr w:type="spellStart"/>
      <w:r>
        <w:rPr>
          <w:szCs w:val="18"/>
        </w:rPr>
        <w:t>Grinwis</w:t>
      </w:r>
      <w:proofErr w:type="spellEnd"/>
      <w:r>
        <w:rPr>
          <w:rStyle w:val="Voetnootmarkering"/>
          <w:szCs w:val="18"/>
        </w:rPr>
        <w:footnoteReference w:id="5"/>
      </w:r>
      <w:r>
        <w:rPr>
          <w:szCs w:val="18"/>
        </w:rPr>
        <w:t xml:space="preserve"> is het mijn inzet om in het najaar te kunnen starten met N-mineraalmetingen. Ik ben daartoe in gesprek met sectorpartijen, waterschappen, provincies, de Rijksdienst voor Ondernemend Nederland (RVO) en de Nederlandse Voedsel- en Warenautoriteit (NVWA). De aankomende periode zal ik mij beraden op de vraag hoe het </w:t>
      </w:r>
      <w:proofErr w:type="spellStart"/>
      <w:r>
        <w:rPr>
          <w:szCs w:val="18"/>
        </w:rPr>
        <w:t>ingroeipad</w:t>
      </w:r>
      <w:proofErr w:type="spellEnd"/>
      <w:r>
        <w:rPr>
          <w:szCs w:val="18"/>
        </w:rPr>
        <w:t xml:space="preserve"> voor doelsturing</w:t>
      </w:r>
      <w:r w:rsidR="009166D1">
        <w:rPr>
          <w:szCs w:val="18"/>
        </w:rPr>
        <w:t xml:space="preserve"> op waterkwaliteit</w:t>
      </w:r>
      <w:r>
        <w:rPr>
          <w:szCs w:val="18"/>
        </w:rPr>
        <w:t xml:space="preserve"> vorm te geven gedurende het 8</w:t>
      </w:r>
      <w:r w:rsidRPr="00C76E0B">
        <w:rPr>
          <w:szCs w:val="18"/>
          <w:vertAlign w:val="superscript"/>
        </w:rPr>
        <w:t>e</w:t>
      </w:r>
      <w:r>
        <w:rPr>
          <w:szCs w:val="18"/>
        </w:rPr>
        <w:t xml:space="preserve"> actieprogramma. Keuzes over de inrichting van </w:t>
      </w:r>
      <w:r w:rsidR="009166D1">
        <w:rPr>
          <w:szCs w:val="18"/>
        </w:rPr>
        <w:t>doelsturing op waterkwaliteit</w:t>
      </w:r>
      <w:r>
        <w:rPr>
          <w:szCs w:val="18"/>
        </w:rPr>
        <w:t xml:space="preserve"> bezie ik daarbij in samenhang met de maatregelen in het nog op te stellen 8</w:t>
      </w:r>
      <w:r w:rsidRPr="00C76E0B">
        <w:rPr>
          <w:szCs w:val="18"/>
          <w:vertAlign w:val="superscript"/>
        </w:rPr>
        <w:t>e</w:t>
      </w:r>
      <w:r>
        <w:rPr>
          <w:szCs w:val="18"/>
        </w:rPr>
        <w:t xml:space="preserve"> actieprogramma.</w:t>
      </w:r>
    </w:p>
    <w:p w:rsidR="00C016A0" w:rsidP="00C016A0" w:rsidRDefault="00C016A0" w14:paraId="6E64B8A8" w14:textId="77777777">
      <w:pPr>
        <w:rPr>
          <w:szCs w:val="18"/>
        </w:rPr>
      </w:pPr>
    </w:p>
    <w:p w:rsidRPr="008A2A53" w:rsidR="00C016A0" w:rsidP="00C016A0" w:rsidRDefault="00C016A0" w14:paraId="290CE6D0" w14:textId="77777777">
      <w:pPr>
        <w:rPr>
          <w:i/>
          <w:iCs/>
          <w:szCs w:val="18"/>
        </w:rPr>
      </w:pPr>
      <w:r w:rsidRPr="008A2A53">
        <w:rPr>
          <w:i/>
          <w:iCs/>
          <w:szCs w:val="18"/>
        </w:rPr>
        <w:t>Tot slot</w:t>
      </w:r>
    </w:p>
    <w:p w:rsidR="00C016A0" w:rsidP="00C016A0" w:rsidRDefault="00C016A0" w14:paraId="6EFF950C" w14:textId="77777777">
      <w:pPr>
        <w:rPr>
          <w:szCs w:val="18"/>
        </w:rPr>
      </w:pPr>
      <w:r>
        <w:rPr>
          <w:szCs w:val="18"/>
        </w:rPr>
        <w:t>Met deze brief heb ik uw Kamer op hoofdlijnen geïnformeerd over het voorziene tijdpad om te komen tot het 8</w:t>
      </w:r>
      <w:r w:rsidRPr="008A2A53">
        <w:rPr>
          <w:szCs w:val="18"/>
          <w:vertAlign w:val="superscript"/>
        </w:rPr>
        <w:t>e</w:t>
      </w:r>
      <w:r>
        <w:rPr>
          <w:szCs w:val="18"/>
        </w:rPr>
        <w:t xml:space="preserve"> actieprogramma Nitraatrichtlijn en de samenhang met de Taskforce. In de voorbereidingen om te komen tot het 8</w:t>
      </w:r>
      <w:r w:rsidRPr="00876040">
        <w:rPr>
          <w:szCs w:val="18"/>
          <w:vertAlign w:val="superscript"/>
        </w:rPr>
        <w:t>e</w:t>
      </w:r>
      <w:r>
        <w:rPr>
          <w:szCs w:val="18"/>
        </w:rPr>
        <w:t xml:space="preserve"> actieprogramma werk ik samen met de medeoverheden, waterschappen en provincies. Daarnaast worden andere belanghebbenden zoals sector- en ketenpartijen, natuur- en milieuorganisaties en drinkwaterbedrijven betrokken bij dit proces. Ik ben voornemens om de aankomende periode gesprekken te voeren met eenieder van hen die concrete ideeën of suggesties heeft voor het nog op te stellen 8</w:t>
      </w:r>
      <w:r w:rsidRPr="00B53611">
        <w:rPr>
          <w:szCs w:val="18"/>
          <w:vertAlign w:val="superscript"/>
        </w:rPr>
        <w:t>e</w:t>
      </w:r>
      <w:r>
        <w:rPr>
          <w:szCs w:val="18"/>
        </w:rPr>
        <w:t xml:space="preserve"> actieprogramma. De Europese Commissie is geïnformeerd over dit tijdpad en de voorbereidingen voor het 8</w:t>
      </w:r>
      <w:r w:rsidRPr="00C76E0B">
        <w:rPr>
          <w:szCs w:val="18"/>
          <w:vertAlign w:val="superscript"/>
        </w:rPr>
        <w:t>e</w:t>
      </w:r>
      <w:r>
        <w:rPr>
          <w:szCs w:val="18"/>
        </w:rPr>
        <w:t xml:space="preserve"> actieprogramma. Tot slot zal ik uw Kamer periodiek informeren over de voortgang van het 8</w:t>
      </w:r>
      <w:r w:rsidRPr="00C76E0B">
        <w:rPr>
          <w:szCs w:val="18"/>
          <w:vertAlign w:val="superscript"/>
        </w:rPr>
        <w:t>e</w:t>
      </w:r>
      <w:r>
        <w:rPr>
          <w:szCs w:val="18"/>
        </w:rPr>
        <w:t xml:space="preserve"> actieprogramma en doelsturing op waterkwaliteit. </w:t>
      </w:r>
    </w:p>
    <w:p w:rsidR="00B22B82" w:rsidP="006F7309" w:rsidRDefault="00C016A0" w14:paraId="67260C67" w14:textId="552AB08B">
      <w:r>
        <w:br/>
      </w:r>
    </w:p>
    <w:p w:rsidR="00BF2437" w:rsidP="00BF2437" w:rsidRDefault="00BF2437" w14:paraId="39B6AD46" w14:textId="77777777"/>
    <w:p w:rsidR="00BF2437" w:rsidP="00BF2437" w:rsidRDefault="00BF2437" w14:paraId="302238D0" w14:textId="77777777"/>
    <w:p w:rsidR="000C5BA9" w:rsidP="00BF2437" w:rsidRDefault="000C5BA9" w14:paraId="19E51C4C" w14:textId="77777777"/>
    <w:p w:rsidRPr="000752D6" w:rsidR="000752D6" w:rsidP="000752D6" w:rsidRDefault="00CD377B" w14:paraId="69F62FFC" w14:textId="77777777">
      <w:proofErr w:type="spellStart"/>
      <w:r w:rsidRPr="00640234">
        <w:t>Jaimi</w:t>
      </w:r>
      <w:proofErr w:type="spellEnd"/>
      <w:r w:rsidRPr="00640234">
        <w:t xml:space="preserve"> van Essen</w:t>
      </w:r>
    </w:p>
    <w:p w:rsidRPr="00006C01" w:rsidR="00481085" w:rsidP="00524FB4" w:rsidRDefault="00CD377B" w14:paraId="249BD3E7" w14:textId="77777777">
      <w:r w:rsidRPr="000752D6">
        <w:t>Minister van Landbouw, Visserij, Voedselzekerheid en Natuur</w:t>
      </w:r>
    </w:p>
    <w:p w:rsidR="005D32D1" w:rsidP="00D15779" w:rsidRDefault="005D32D1" w14:paraId="091D1A57" w14:textId="77777777"/>
    <w:p w:rsidR="006F04AF" w:rsidP="00D15779" w:rsidRDefault="006F04AF" w14:paraId="3C8831C7" w14:textId="77777777"/>
    <w:p w:rsidR="006F04AF" w:rsidP="00D15779" w:rsidRDefault="006F04AF" w14:paraId="4FEA85A5" w14:textId="77777777"/>
    <w:sectPr w:rsidR="006F04AF"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B3D9" w14:textId="77777777" w:rsidR="006138CE" w:rsidRDefault="006138CE">
      <w:r>
        <w:separator/>
      </w:r>
    </w:p>
    <w:p w14:paraId="63264680" w14:textId="77777777" w:rsidR="006138CE" w:rsidRDefault="006138CE"/>
  </w:endnote>
  <w:endnote w:type="continuationSeparator" w:id="0">
    <w:p w14:paraId="0CF24A69" w14:textId="77777777" w:rsidR="006138CE" w:rsidRDefault="006138CE">
      <w:r>
        <w:continuationSeparator/>
      </w:r>
    </w:p>
    <w:p w14:paraId="461D439C" w14:textId="77777777" w:rsidR="006138CE" w:rsidRDefault="0061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8275" w14:textId="77777777" w:rsidR="007F1572" w:rsidRDefault="00CD377B">
    <w:pPr>
      <w:pStyle w:val="Voettekst"/>
    </w:pPr>
    <w:r>
      <w:rPr>
        <w:noProof/>
      </w:rPr>
      <mc:AlternateContent>
        <mc:Choice Requires="wps">
          <w:drawing>
            <wp:anchor distT="0" distB="0" distL="0" distR="0" simplePos="0" relativeHeight="251660288" behindDoc="0" locked="0" layoutInCell="1" allowOverlap="1" wp14:anchorId="6463D726" wp14:editId="6541AA8A">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EE3F1"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63D726"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96EE3F1"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2F31" w14:textId="77777777" w:rsidR="00527BD4" w:rsidRPr="00BC3B53" w:rsidRDefault="00CD377B"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233852E4" wp14:editId="42D0B7BD">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B33F7"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3852E4"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49B33F7"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0393F" w14:paraId="3D50421D" w14:textId="77777777" w:rsidTr="00CA6A25">
      <w:trPr>
        <w:trHeight w:hRule="exact" w:val="240"/>
      </w:trPr>
      <w:tc>
        <w:tcPr>
          <w:tcW w:w="7601" w:type="dxa"/>
        </w:tcPr>
        <w:p w14:paraId="24BE4F48" w14:textId="77777777" w:rsidR="00527BD4" w:rsidRDefault="00527BD4" w:rsidP="003F1F6B">
          <w:pPr>
            <w:pStyle w:val="Huisstijl-Rubricering"/>
          </w:pPr>
        </w:p>
      </w:tc>
      <w:tc>
        <w:tcPr>
          <w:tcW w:w="2156" w:type="dxa"/>
        </w:tcPr>
        <w:p w14:paraId="33F446E3" w14:textId="5E3B1050" w:rsidR="00527BD4" w:rsidRPr="00645414" w:rsidRDefault="00CD377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15C5B">
              <w:t>3</w:t>
            </w:r>
          </w:fldSimple>
        </w:p>
      </w:tc>
    </w:tr>
  </w:tbl>
  <w:p w14:paraId="4B052F9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0393F" w14:paraId="3FBD3124" w14:textId="77777777" w:rsidTr="00CA6A25">
      <w:trPr>
        <w:trHeight w:hRule="exact" w:val="240"/>
      </w:trPr>
      <w:tc>
        <w:tcPr>
          <w:tcW w:w="7601" w:type="dxa"/>
        </w:tcPr>
        <w:p w14:paraId="663E4082" w14:textId="77777777" w:rsidR="00527BD4" w:rsidRDefault="00CD377B" w:rsidP="008C356D">
          <w:pPr>
            <w:pStyle w:val="Huisstijl-Rubricering"/>
          </w:pPr>
          <w:r>
            <mc:AlternateContent>
              <mc:Choice Requires="wps">
                <w:drawing>
                  <wp:anchor distT="0" distB="0" distL="0" distR="0" simplePos="0" relativeHeight="251658240" behindDoc="0" locked="0" layoutInCell="1" allowOverlap="1" wp14:anchorId="2F6FFEE5" wp14:editId="76926663">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75CB2"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6FFEE5"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0A75CB2" w14:textId="77777777" w:rsidR="007F1572" w:rsidRPr="007F1572" w:rsidRDefault="00CD377B"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7D3D9D01" w14:textId="0C899493" w:rsidR="00527BD4" w:rsidRPr="00ED539E" w:rsidRDefault="00CD377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A7105">
              <w:t>3</w:t>
            </w:r>
          </w:fldSimple>
        </w:p>
      </w:tc>
    </w:tr>
  </w:tbl>
  <w:p w14:paraId="5812FCA1" w14:textId="77777777" w:rsidR="00527BD4" w:rsidRPr="00BC3B53" w:rsidRDefault="00527BD4" w:rsidP="008C356D">
    <w:pPr>
      <w:pStyle w:val="Voettekst"/>
      <w:spacing w:line="240" w:lineRule="auto"/>
      <w:rPr>
        <w:sz w:val="2"/>
        <w:szCs w:val="2"/>
      </w:rPr>
    </w:pPr>
  </w:p>
  <w:p w14:paraId="6B72A26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F18F" w14:textId="77777777" w:rsidR="006138CE" w:rsidRDefault="006138CE">
      <w:r>
        <w:separator/>
      </w:r>
    </w:p>
    <w:p w14:paraId="5CFDEA71" w14:textId="77777777" w:rsidR="006138CE" w:rsidRDefault="006138CE"/>
  </w:footnote>
  <w:footnote w:type="continuationSeparator" w:id="0">
    <w:p w14:paraId="716D4BE0" w14:textId="77777777" w:rsidR="006138CE" w:rsidRDefault="006138CE">
      <w:r>
        <w:continuationSeparator/>
      </w:r>
    </w:p>
    <w:p w14:paraId="0904BE26" w14:textId="77777777" w:rsidR="006138CE" w:rsidRDefault="006138CE"/>
  </w:footnote>
  <w:footnote w:id="1">
    <w:p w14:paraId="23386D57" w14:textId="77777777" w:rsidR="00C016A0" w:rsidRDefault="00C016A0" w:rsidP="00C016A0">
      <w:pPr>
        <w:pStyle w:val="Huisstijl-Gegeven"/>
        <w:spacing w:after="0"/>
      </w:pPr>
      <w:r>
        <w:rPr>
          <w:rStyle w:val="Voetnootmarkering"/>
        </w:rPr>
        <w:footnoteRef/>
      </w:r>
      <w:r>
        <w:t xml:space="preserve"> </w:t>
      </w:r>
      <w:bookmarkStart w:id="0" w:name="_Hlk228875361"/>
      <w:r w:rsidRPr="00931940">
        <w:t>Kamerstuk</w:t>
      </w:r>
      <w:r>
        <w:t>ken II 2025/2026,</w:t>
      </w:r>
      <w:r w:rsidRPr="00931940">
        <w:t xml:space="preserve"> 33037, nr. 643</w:t>
      </w:r>
      <w:bookmarkEnd w:id="0"/>
    </w:p>
  </w:footnote>
  <w:footnote w:id="2">
    <w:p w14:paraId="46C77913" w14:textId="77777777" w:rsidR="00C016A0" w:rsidRDefault="00C016A0" w:rsidP="00C016A0">
      <w:pPr>
        <w:pStyle w:val="Voetnoottekst"/>
      </w:pPr>
      <w:r>
        <w:rPr>
          <w:rStyle w:val="Voetnootmarkering"/>
        </w:rPr>
        <w:footnoteRef/>
      </w:r>
      <w:r>
        <w:t xml:space="preserve"> Kamerstukken II 2025/2026, </w:t>
      </w:r>
      <w:r w:rsidRPr="00F85E55">
        <w:t>2026Z07422</w:t>
      </w:r>
      <w:r>
        <w:t>.</w:t>
      </w:r>
    </w:p>
  </w:footnote>
  <w:footnote w:id="3">
    <w:p w14:paraId="6D7C98E7" w14:textId="77777777" w:rsidR="00C016A0" w:rsidRDefault="00C016A0" w:rsidP="00C016A0">
      <w:pPr>
        <w:pStyle w:val="Voetnoottekst"/>
      </w:pPr>
      <w:r>
        <w:rPr>
          <w:rStyle w:val="Voetnootmarkering"/>
        </w:rPr>
        <w:footnoteRef/>
      </w:r>
      <w:r>
        <w:t xml:space="preserve"> </w:t>
      </w:r>
      <w:r w:rsidRPr="00905777">
        <w:t xml:space="preserve">Kamerstukken II 2025/2026, </w:t>
      </w:r>
      <w:r>
        <w:t>36800, nr. XIV-80.</w:t>
      </w:r>
    </w:p>
  </w:footnote>
  <w:footnote w:id="4">
    <w:p w14:paraId="65F2088A" w14:textId="736BCC33" w:rsidR="009166D1" w:rsidRDefault="009166D1">
      <w:pPr>
        <w:pStyle w:val="Voetnoottekst"/>
      </w:pPr>
      <w:r>
        <w:rPr>
          <w:rStyle w:val="Voetnootmarkering"/>
        </w:rPr>
        <w:footnoteRef/>
      </w:r>
      <w:r>
        <w:t xml:space="preserve"> </w:t>
      </w:r>
      <w:r w:rsidRPr="009166D1">
        <w:t>Naast doelsturing op waterkwaliteit wordt binnen het brede doelsturingssysteem onder andere gewerkt aan afrekenbare bedrijfsspecifiek emissienormen op klimaat en stikstof. In de verdere uitwerking wordt zoveel mogelijk gezocht naar synergie.</w:t>
      </w:r>
    </w:p>
  </w:footnote>
  <w:footnote w:id="5">
    <w:p w14:paraId="6002CF4D" w14:textId="77777777" w:rsidR="00C016A0" w:rsidRDefault="00C016A0" w:rsidP="00C016A0">
      <w:pPr>
        <w:pStyle w:val="Voetnoottekst"/>
      </w:pPr>
      <w:r>
        <w:rPr>
          <w:rStyle w:val="Voetnootmarkering"/>
        </w:rPr>
        <w:footnoteRef/>
      </w:r>
      <w:r>
        <w:t xml:space="preserve"> Kamerstukken II, 2025/26, 33037, nr. 634 (motie Grinwis 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0393F" w14:paraId="61780D92" w14:textId="77777777" w:rsidTr="00A50CF6">
      <w:tc>
        <w:tcPr>
          <w:tcW w:w="2156" w:type="dxa"/>
        </w:tcPr>
        <w:p w14:paraId="1514FE9A" w14:textId="0888E066" w:rsidR="00527BD4" w:rsidRPr="005819CE" w:rsidRDefault="00CD377B" w:rsidP="00A50CF6">
          <w:pPr>
            <w:pStyle w:val="Huisstijl-Adres"/>
          </w:pPr>
          <w:r>
            <w:rPr>
              <w:b/>
            </w:rPr>
            <w:t>Directoraat-generaal Agro</w:t>
          </w:r>
        </w:p>
      </w:tc>
    </w:tr>
    <w:tr w:rsidR="0000393F" w14:paraId="7B20A673" w14:textId="77777777" w:rsidTr="00A50CF6">
      <w:trPr>
        <w:trHeight w:hRule="exact" w:val="200"/>
      </w:trPr>
      <w:tc>
        <w:tcPr>
          <w:tcW w:w="2156" w:type="dxa"/>
        </w:tcPr>
        <w:p w14:paraId="55AD79A6" w14:textId="77777777" w:rsidR="00527BD4" w:rsidRPr="005819CE" w:rsidRDefault="00527BD4" w:rsidP="00A50CF6"/>
      </w:tc>
    </w:tr>
    <w:tr w:rsidR="0000393F" w14:paraId="17466BE3" w14:textId="77777777" w:rsidTr="00502512">
      <w:trPr>
        <w:trHeight w:hRule="exact" w:val="774"/>
      </w:trPr>
      <w:tc>
        <w:tcPr>
          <w:tcW w:w="2156" w:type="dxa"/>
        </w:tcPr>
        <w:p w14:paraId="2E9E7F1E" w14:textId="77777777" w:rsidR="00527BD4" w:rsidRDefault="00527BD4" w:rsidP="003A5290">
          <w:pPr>
            <w:pStyle w:val="Huisstijl-Kopje"/>
          </w:pPr>
        </w:p>
        <w:p w14:paraId="117F66C3" w14:textId="0EC71DA7" w:rsidR="00502512" w:rsidRPr="00502512" w:rsidRDefault="00CD377B" w:rsidP="003A5290">
          <w:pPr>
            <w:pStyle w:val="Huisstijl-Kopje"/>
            <w:rPr>
              <w:b w:val="0"/>
            </w:rPr>
          </w:pPr>
          <w:r>
            <w:rPr>
              <w:b w:val="0"/>
            </w:rPr>
            <w:t>DGA-PAV</w:t>
          </w:r>
          <w:r w:rsidRPr="00502512">
            <w:rPr>
              <w:b w:val="0"/>
            </w:rPr>
            <w:t xml:space="preserve"> / </w:t>
          </w:r>
          <w:r w:rsidR="00860018">
            <w:t xml:space="preserve"> </w:t>
          </w:r>
          <w:r w:rsidR="00860018" w:rsidRPr="00860018">
            <w:rPr>
              <w:b w:val="0"/>
            </w:rPr>
            <w:t>106466504</w:t>
          </w:r>
        </w:p>
        <w:p w14:paraId="5F95F78B" w14:textId="77777777" w:rsidR="00527BD4" w:rsidRPr="005819CE" w:rsidRDefault="00527BD4" w:rsidP="00361A56">
          <w:pPr>
            <w:pStyle w:val="Huisstijl-Kopje"/>
          </w:pPr>
        </w:p>
      </w:tc>
    </w:tr>
  </w:tbl>
  <w:p w14:paraId="03A59585" w14:textId="77777777" w:rsidR="00527BD4" w:rsidRPr="00740712" w:rsidRDefault="00527BD4" w:rsidP="004F44C2"/>
  <w:p w14:paraId="0265CF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393F" w14:paraId="5029C701" w14:textId="77777777" w:rsidTr="00751A6A">
      <w:trPr>
        <w:trHeight w:val="2636"/>
      </w:trPr>
      <w:tc>
        <w:tcPr>
          <w:tcW w:w="737" w:type="dxa"/>
        </w:tcPr>
        <w:p w14:paraId="101B0D8D" w14:textId="77777777" w:rsidR="00527BD4" w:rsidRDefault="00527BD4" w:rsidP="00D0609E">
          <w:pPr>
            <w:framePr w:w="6340" w:h="2750" w:hRule="exact" w:hSpace="180" w:wrap="around" w:vAnchor="page" w:hAnchor="text" w:x="3873" w:y="-140"/>
            <w:spacing w:line="240" w:lineRule="auto"/>
          </w:pPr>
        </w:p>
      </w:tc>
      <w:tc>
        <w:tcPr>
          <w:tcW w:w="5156" w:type="dxa"/>
        </w:tcPr>
        <w:p w14:paraId="78E39231" w14:textId="77777777" w:rsidR="003B2E54" w:rsidRDefault="00CD377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C25AF5E" wp14:editId="2CC57D9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6C55F0" w14:textId="77777777" w:rsidR="00527BD4" w:rsidRDefault="00527BD4" w:rsidP="00651CEE">
          <w:pPr>
            <w:framePr w:w="6340" w:h="2750" w:hRule="exact" w:hSpace="180" w:wrap="around" w:vAnchor="page" w:hAnchor="text" w:x="3873" w:y="-140"/>
            <w:spacing w:line="240" w:lineRule="auto"/>
          </w:pPr>
        </w:p>
      </w:tc>
    </w:tr>
  </w:tbl>
  <w:p w14:paraId="6DC46400" w14:textId="77777777" w:rsidR="00527BD4" w:rsidRDefault="00527BD4" w:rsidP="00D0609E">
    <w:pPr>
      <w:framePr w:w="6340" w:h="2750" w:hRule="exact" w:hSpace="180" w:wrap="around" w:vAnchor="page" w:hAnchor="text" w:x="3873" w:y="-140"/>
    </w:pPr>
  </w:p>
  <w:p w14:paraId="223D50C2" w14:textId="379163CE"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0393F" w:rsidRPr="006F7309" w14:paraId="321AFB5A" w14:textId="77777777" w:rsidTr="00A50CF6">
      <w:tc>
        <w:tcPr>
          <w:tcW w:w="2160" w:type="dxa"/>
        </w:tcPr>
        <w:p w14:paraId="254FE697" w14:textId="77777777" w:rsidR="005C07D1" w:rsidRDefault="00CD377B" w:rsidP="00A50CF6">
          <w:pPr>
            <w:pStyle w:val="Huisstijl-Adres"/>
          </w:pPr>
          <w:r>
            <w:rPr>
              <w:b/>
            </w:rPr>
            <w:t>Directoraat-generaal Agro</w:t>
          </w:r>
          <w:r w:rsidR="00527BD4" w:rsidRPr="005819CE">
            <w:rPr>
              <w:b/>
            </w:rPr>
            <w:br/>
          </w:r>
          <w:r>
            <w:t>Directie Plantaardige Agroketens en Voedselkwaliteit</w:t>
          </w:r>
        </w:p>
        <w:p w14:paraId="054DE69B" w14:textId="77777777" w:rsidR="00527BD4" w:rsidRPr="009000E4" w:rsidRDefault="00CD377B" w:rsidP="00A72979">
          <w:pPr>
            <w:pStyle w:val="Huisstijl-Adres"/>
          </w:pPr>
          <w:r>
            <w:rPr>
              <w:b/>
            </w:rPr>
            <w:t>Bezoekadres</w:t>
          </w:r>
          <w:r>
            <w:rPr>
              <w:b/>
            </w:rPr>
            <w:br/>
          </w:r>
          <w:r>
            <w:t>Bezuidenhoutseweg 73</w:t>
          </w:r>
          <w:r w:rsidRPr="005819CE">
            <w:br/>
          </w:r>
          <w:r>
            <w:t>2594 AC Den Haag</w:t>
          </w:r>
        </w:p>
        <w:p w14:paraId="1894812F" w14:textId="77777777" w:rsidR="00EF495B" w:rsidRDefault="00CD377B" w:rsidP="0098788A">
          <w:pPr>
            <w:pStyle w:val="Huisstijl-Adres"/>
          </w:pPr>
          <w:r>
            <w:rPr>
              <w:b/>
            </w:rPr>
            <w:t>Postadres</w:t>
          </w:r>
          <w:r>
            <w:rPr>
              <w:b/>
            </w:rPr>
            <w:br/>
          </w:r>
          <w:r>
            <w:t>Postbus 20401</w:t>
          </w:r>
          <w:r w:rsidRPr="005819CE">
            <w:br/>
            <w:t>2500 E</w:t>
          </w:r>
          <w:r>
            <w:t>K</w:t>
          </w:r>
          <w:r w:rsidRPr="005819CE">
            <w:t xml:space="preserve"> Den Haag</w:t>
          </w:r>
        </w:p>
        <w:p w14:paraId="142C9662" w14:textId="77777777" w:rsidR="00556BEE" w:rsidRPr="005B3814" w:rsidRDefault="00CD377B" w:rsidP="0098788A">
          <w:pPr>
            <w:pStyle w:val="Huisstijl-Adres"/>
          </w:pPr>
          <w:r>
            <w:rPr>
              <w:b/>
            </w:rPr>
            <w:t>Overheidsidentificatienr</w:t>
          </w:r>
          <w:r>
            <w:rPr>
              <w:b/>
            </w:rPr>
            <w:br/>
          </w:r>
          <w:r w:rsidR="00BA129E">
            <w:rPr>
              <w:rFonts w:cs="Agrofont"/>
              <w:iCs/>
            </w:rPr>
            <w:t>00000001858272854000</w:t>
          </w:r>
        </w:p>
        <w:p w14:paraId="0237CF5E" w14:textId="60F355CB" w:rsidR="00527BD4" w:rsidRPr="00A74D2A" w:rsidRDefault="00CD377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0393F" w:rsidRPr="006F7309" w14:paraId="623A155C" w14:textId="77777777" w:rsidTr="00A50CF6">
      <w:trPr>
        <w:trHeight w:hRule="exact" w:val="200"/>
      </w:trPr>
      <w:tc>
        <w:tcPr>
          <w:tcW w:w="2160" w:type="dxa"/>
        </w:tcPr>
        <w:p w14:paraId="502979FF" w14:textId="77777777" w:rsidR="00527BD4" w:rsidRPr="00A72979" w:rsidRDefault="00527BD4" w:rsidP="00A50CF6">
          <w:pPr>
            <w:rPr>
              <w:lang w:val="fr-FR"/>
            </w:rPr>
          </w:pPr>
        </w:p>
      </w:tc>
    </w:tr>
    <w:tr w:rsidR="0000393F" w14:paraId="405E7A1D" w14:textId="77777777" w:rsidTr="00A50CF6">
      <w:tc>
        <w:tcPr>
          <w:tcW w:w="2160" w:type="dxa"/>
        </w:tcPr>
        <w:p w14:paraId="69524F93" w14:textId="77777777" w:rsidR="000C0163" w:rsidRPr="005819CE" w:rsidRDefault="00CD377B" w:rsidP="000C0163">
          <w:pPr>
            <w:pStyle w:val="Huisstijl-Kopje"/>
          </w:pPr>
          <w:r>
            <w:t>Ons kenmerk</w:t>
          </w:r>
        </w:p>
        <w:p w14:paraId="6581D1E7" w14:textId="5C7828DC" w:rsidR="00527BD4" w:rsidRPr="005819CE" w:rsidRDefault="00CD377B" w:rsidP="00A74D2A">
          <w:pPr>
            <w:pStyle w:val="Huisstijl-Gegeven"/>
          </w:pPr>
          <w:r>
            <w:t>DGA-PAV</w:t>
          </w:r>
          <w:r w:rsidR="00926AE2">
            <w:t xml:space="preserve"> / </w:t>
          </w:r>
          <w:r w:rsidR="00860018" w:rsidRPr="00860018">
            <w:rPr>
              <w:rFonts w:ascii="Helvetica" w:hAnsi="Helvetica" w:cs="Helvetica"/>
              <w:color w:val="000000"/>
              <w:sz w:val="21"/>
              <w:szCs w:val="21"/>
              <w:bdr w:val="none" w:sz="0" w:space="0" w:color="auto" w:frame="1"/>
            </w:rPr>
            <w:t xml:space="preserve"> </w:t>
          </w:r>
          <w:r w:rsidR="00860018" w:rsidRPr="00860018">
            <w:t>106466504</w:t>
          </w:r>
        </w:p>
      </w:tc>
    </w:tr>
  </w:tbl>
  <w:p w14:paraId="037F734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0393F" w14:paraId="26980D2E" w14:textId="77777777" w:rsidTr="001B667E">
      <w:trPr>
        <w:trHeight w:val="400"/>
      </w:trPr>
      <w:tc>
        <w:tcPr>
          <w:tcW w:w="7371" w:type="dxa"/>
          <w:gridSpan w:val="2"/>
        </w:tcPr>
        <w:p w14:paraId="4B76C608" w14:textId="77777777" w:rsidR="00527BD4" w:rsidRPr="00BC3B53" w:rsidRDefault="00CD377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0393F" w14:paraId="1E7230F2" w14:textId="77777777" w:rsidTr="001B667E">
      <w:tc>
        <w:tcPr>
          <w:tcW w:w="7371" w:type="dxa"/>
          <w:gridSpan w:val="2"/>
        </w:tcPr>
        <w:p w14:paraId="323E633F" w14:textId="77777777" w:rsidR="00527BD4" w:rsidRPr="00983E8F" w:rsidRDefault="00527BD4" w:rsidP="00A50CF6">
          <w:pPr>
            <w:pStyle w:val="Huisstijl-Rubricering"/>
          </w:pPr>
        </w:p>
      </w:tc>
    </w:tr>
    <w:tr w:rsidR="0000393F" w14:paraId="0258DB29" w14:textId="77777777" w:rsidTr="001B667E">
      <w:trPr>
        <w:trHeight w:hRule="exact" w:val="2440"/>
      </w:trPr>
      <w:tc>
        <w:tcPr>
          <w:tcW w:w="7371" w:type="dxa"/>
          <w:gridSpan w:val="2"/>
        </w:tcPr>
        <w:p w14:paraId="1DCC6B37" w14:textId="77777777" w:rsidR="00527BD4" w:rsidRDefault="00CD377B" w:rsidP="00A50CF6">
          <w:pPr>
            <w:pStyle w:val="Huisstijl-NAW"/>
          </w:pPr>
          <w:r>
            <w:t xml:space="preserve">De Voorzitter van de Tweede Kamer </w:t>
          </w:r>
        </w:p>
        <w:p w14:paraId="4639D267" w14:textId="77777777" w:rsidR="00D87195" w:rsidRDefault="00CD377B" w:rsidP="00D87195">
          <w:pPr>
            <w:pStyle w:val="Huisstijl-NAW"/>
          </w:pPr>
          <w:r>
            <w:t>der Staten-Generaal</w:t>
          </w:r>
        </w:p>
        <w:p w14:paraId="3349A6D0" w14:textId="77777777" w:rsidR="005C769E" w:rsidRDefault="00CD377B" w:rsidP="005C769E">
          <w:pPr>
            <w:rPr>
              <w:szCs w:val="18"/>
            </w:rPr>
          </w:pPr>
          <w:r>
            <w:rPr>
              <w:szCs w:val="18"/>
            </w:rPr>
            <w:t>Prinses Irenestraat 6</w:t>
          </w:r>
        </w:p>
        <w:p w14:paraId="2B915AE5" w14:textId="77777777" w:rsidR="005C769E" w:rsidRDefault="00CD377B" w:rsidP="005C769E">
          <w:pPr>
            <w:pStyle w:val="Huisstijl-NAW"/>
          </w:pPr>
          <w:r>
            <w:t>2595 BD  DEN HAAG</w:t>
          </w:r>
        </w:p>
      </w:tc>
    </w:tr>
    <w:tr w:rsidR="0000393F" w14:paraId="14E0A8E5" w14:textId="77777777" w:rsidTr="001B667E">
      <w:trPr>
        <w:trHeight w:hRule="exact" w:val="400"/>
      </w:trPr>
      <w:tc>
        <w:tcPr>
          <w:tcW w:w="7371" w:type="dxa"/>
          <w:gridSpan w:val="2"/>
        </w:tcPr>
        <w:p w14:paraId="25DC70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0393F" w14:paraId="3BD6E92F" w14:textId="77777777" w:rsidTr="001B667E">
      <w:trPr>
        <w:trHeight w:val="240"/>
      </w:trPr>
      <w:tc>
        <w:tcPr>
          <w:tcW w:w="709" w:type="dxa"/>
        </w:tcPr>
        <w:p w14:paraId="09BC0EB2" w14:textId="77777777" w:rsidR="00527BD4" w:rsidRPr="00C21A01" w:rsidRDefault="00CD377B" w:rsidP="00A50CF6">
          <w:pPr>
            <w:rPr>
              <w:szCs w:val="18"/>
            </w:rPr>
          </w:pPr>
          <w:r>
            <w:rPr>
              <w:szCs w:val="18"/>
            </w:rPr>
            <w:t>Datum</w:t>
          </w:r>
        </w:p>
      </w:tc>
      <w:tc>
        <w:tcPr>
          <w:tcW w:w="6662" w:type="dxa"/>
        </w:tcPr>
        <w:p w14:paraId="0E8C6A4E" w14:textId="72A34B78" w:rsidR="00527BD4" w:rsidRPr="007709EF" w:rsidRDefault="00D77A1A" w:rsidP="00A50CF6">
          <w:r>
            <w:t>22 mei 2026</w:t>
          </w:r>
        </w:p>
      </w:tc>
    </w:tr>
    <w:tr w:rsidR="0000393F" w14:paraId="23C451CA" w14:textId="77777777" w:rsidTr="001B667E">
      <w:trPr>
        <w:trHeight w:val="240"/>
      </w:trPr>
      <w:tc>
        <w:tcPr>
          <w:tcW w:w="709" w:type="dxa"/>
        </w:tcPr>
        <w:p w14:paraId="3EBC886A" w14:textId="77777777" w:rsidR="00527BD4" w:rsidRPr="00C21A01" w:rsidRDefault="00CD377B" w:rsidP="00A50CF6">
          <w:pPr>
            <w:rPr>
              <w:szCs w:val="18"/>
            </w:rPr>
          </w:pPr>
          <w:r>
            <w:rPr>
              <w:szCs w:val="18"/>
            </w:rPr>
            <w:t>Betreft</w:t>
          </w:r>
        </w:p>
      </w:tc>
      <w:tc>
        <w:tcPr>
          <w:tcW w:w="6662" w:type="dxa"/>
        </w:tcPr>
        <w:p w14:paraId="61CA2A44" w14:textId="77777777" w:rsidR="00527BD4" w:rsidRPr="007709EF" w:rsidRDefault="00CD377B" w:rsidP="00A50CF6">
          <w:r>
            <w:t>proces 8e actieprogramma Nitraatrichtlijn</w:t>
          </w:r>
        </w:p>
      </w:tc>
    </w:tr>
  </w:tbl>
  <w:p w14:paraId="3D82791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B4ADB2">
      <w:start w:val="1"/>
      <w:numFmt w:val="bullet"/>
      <w:pStyle w:val="Lijstopsomteken"/>
      <w:lvlText w:val="•"/>
      <w:lvlJc w:val="left"/>
      <w:pPr>
        <w:tabs>
          <w:tab w:val="num" w:pos="227"/>
        </w:tabs>
        <w:ind w:left="227" w:hanging="227"/>
      </w:pPr>
      <w:rPr>
        <w:rFonts w:ascii="Verdana" w:hAnsi="Verdana" w:hint="default"/>
        <w:sz w:val="18"/>
        <w:szCs w:val="18"/>
      </w:rPr>
    </w:lvl>
    <w:lvl w:ilvl="1" w:tplc="FF32BB70" w:tentative="1">
      <w:start w:val="1"/>
      <w:numFmt w:val="bullet"/>
      <w:lvlText w:val="o"/>
      <w:lvlJc w:val="left"/>
      <w:pPr>
        <w:tabs>
          <w:tab w:val="num" w:pos="1440"/>
        </w:tabs>
        <w:ind w:left="1440" w:hanging="360"/>
      </w:pPr>
      <w:rPr>
        <w:rFonts w:ascii="Courier New" w:hAnsi="Courier New" w:cs="Courier New" w:hint="default"/>
      </w:rPr>
    </w:lvl>
    <w:lvl w:ilvl="2" w:tplc="510A85FC" w:tentative="1">
      <w:start w:val="1"/>
      <w:numFmt w:val="bullet"/>
      <w:lvlText w:val=""/>
      <w:lvlJc w:val="left"/>
      <w:pPr>
        <w:tabs>
          <w:tab w:val="num" w:pos="2160"/>
        </w:tabs>
        <w:ind w:left="2160" w:hanging="360"/>
      </w:pPr>
      <w:rPr>
        <w:rFonts w:ascii="Wingdings" w:hAnsi="Wingdings" w:hint="default"/>
      </w:rPr>
    </w:lvl>
    <w:lvl w:ilvl="3" w:tplc="8AC07DD8" w:tentative="1">
      <w:start w:val="1"/>
      <w:numFmt w:val="bullet"/>
      <w:lvlText w:val=""/>
      <w:lvlJc w:val="left"/>
      <w:pPr>
        <w:tabs>
          <w:tab w:val="num" w:pos="2880"/>
        </w:tabs>
        <w:ind w:left="2880" w:hanging="360"/>
      </w:pPr>
      <w:rPr>
        <w:rFonts w:ascii="Symbol" w:hAnsi="Symbol" w:hint="default"/>
      </w:rPr>
    </w:lvl>
    <w:lvl w:ilvl="4" w:tplc="4386D08E" w:tentative="1">
      <w:start w:val="1"/>
      <w:numFmt w:val="bullet"/>
      <w:lvlText w:val="o"/>
      <w:lvlJc w:val="left"/>
      <w:pPr>
        <w:tabs>
          <w:tab w:val="num" w:pos="3600"/>
        </w:tabs>
        <w:ind w:left="3600" w:hanging="360"/>
      </w:pPr>
      <w:rPr>
        <w:rFonts w:ascii="Courier New" w:hAnsi="Courier New" w:cs="Courier New" w:hint="default"/>
      </w:rPr>
    </w:lvl>
    <w:lvl w:ilvl="5" w:tplc="5A4A4A36" w:tentative="1">
      <w:start w:val="1"/>
      <w:numFmt w:val="bullet"/>
      <w:lvlText w:val=""/>
      <w:lvlJc w:val="left"/>
      <w:pPr>
        <w:tabs>
          <w:tab w:val="num" w:pos="4320"/>
        </w:tabs>
        <w:ind w:left="4320" w:hanging="360"/>
      </w:pPr>
      <w:rPr>
        <w:rFonts w:ascii="Wingdings" w:hAnsi="Wingdings" w:hint="default"/>
      </w:rPr>
    </w:lvl>
    <w:lvl w:ilvl="6" w:tplc="92682ECA" w:tentative="1">
      <w:start w:val="1"/>
      <w:numFmt w:val="bullet"/>
      <w:lvlText w:val=""/>
      <w:lvlJc w:val="left"/>
      <w:pPr>
        <w:tabs>
          <w:tab w:val="num" w:pos="5040"/>
        </w:tabs>
        <w:ind w:left="5040" w:hanging="360"/>
      </w:pPr>
      <w:rPr>
        <w:rFonts w:ascii="Symbol" w:hAnsi="Symbol" w:hint="default"/>
      </w:rPr>
    </w:lvl>
    <w:lvl w:ilvl="7" w:tplc="4B926F04" w:tentative="1">
      <w:start w:val="1"/>
      <w:numFmt w:val="bullet"/>
      <w:lvlText w:val="o"/>
      <w:lvlJc w:val="left"/>
      <w:pPr>
        <w:tabs>
          <w:tab w:val="num" w:pos="5760"/>
        </w:tabs>
        <w:ind w:left="5760" w:hanging="360"/>
      </w:pPr>
      <w:rPr>
        <w:rFonts w:ascii="Courier New" w:hAnsi="Courier New" w:cs="Courier New" w:hint="default"/>
      </w:rPr>
    </w:lvl>
    <w:lvl w:ilvl="8" w:tplc="7EFC00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0C81F8A">
      <w:start w:val="1"/>
      <w:numFmt w:val="bullet"/>
      <w:pStyle w:val="Lijstopsomteken2"/>
      <w:lvlText w:val="–"/>
      <w:lvlJc w:val="left"/>
      <w:pPr>
        <w:tabs>
          <w:tab w:val="num" w:pos="227"/>
        </w:tabs>
        <w:ind w:left="227" w:firstLine="0"/>
      </w:pPr>
      <w:rPr>
        <w:rFonts w:ascii="Verdana" w:hAnsi="Verdana" w:hint="default"/>
      </w:rPr>
    </w:lvl>
    <w:lvl w:ilvl="1" w:tplc="38AA6520" w:tentative="1">
      <w:start w:val="1"/>
      <w:numFmt w:val="bullet"/>
      <w:lvlText w:val="o"/>
      <w:lvlJc w:val="left"/>
      <w:pPr>
        <w:tabs>
          <w:tab w:val="num" w:pos="1440"/>
        </w:tabs>
        <w:ind w:left="1440" w:hanging="360"/>
      </w:pPr>
      <w:rPr>
        <w:rFonts w:ascii="Courier New" w:hAnsi="Courier New" w:cs="Courier New" w:hint="default"/>
      </w:rPr>
    </w:lvl>
    <w:lvl w:ilvl="2" w:tplc="DE642AC8" w:tentative="1">
      <w:start w:val="1"/>
      <w:numFmt w:val="bullet"/>
      <w:lvlText w:val=""/>
      <w:lvlJc w:val="left"/>
      <w:pPr>
        <w:tabs>
          <w:tab w:val="num" w:pos="2160"/>
        </w:tabs>
        <w:ind w:left="2160" w:hanging="360"/>
      </w:pPr>
      <w:rPr>
        <w:rFonts w:ascii="Wingdings" w:hAnsi="Wingdings" w:hint="default"/>
      </w:rPr>
    </w:lvl>
    <w:lvl w:ilvl="3" w:tplc="A4583C26" w:tentative="1">
      <w:start w:val="1"/>
      <w:numFmt w:val="bullet"/>
      <w:lvlText w:val=""/>
      <w:lvlJc w:val="left"/>
      <w:pPr>
        <w:tabs>
          <w:tab w:val="num" w:pos="2880"/>
        </w:tabs>
        <w:ind w:left="2880" w:hanging="360"/>
      </w:pPr>
      <w:rPr>
        <w:rFonts w:ascii="Symbol" w:hAnsi="Symbol" w:hint="default"/>
      </w:rPr>
    </w:lvl>
    <w:lvl w:ilvl="4" w:tplc="D10078A2" w:tentative="1">
      <w:start w:val="1"/>
      <w:numFmt w:val="bullet"/>
      <w:lvlText w:val="o"/>
      <w:lvlJc w:val="left"/>
      <w:pPr>
        <w:tabs>
          <w:tab w:val="num" w:pos="3600"/>
        </w:tabs>
        <w:ind w:left="3600" w:hanging="360"/>
      </w:pPr>
      <w:rPr>
        <w:rFonts w:ascii="Courier New" w:hAnsi="Courier New" w:cs="Courier New" w:hint="default"/>
      </w:rPr>
    </w:lvl>
    <w:lvl w:ilvl="5" w:tplc="54CC6770" w:tentative="1">
      <w:start w:val="1"/>
      <w:numFmt w:val="bullet"/>
      <w:lvlText w:val=""/>
      <w:lvlJc w:val="left"/>
      <w:pPr>
        <w:tabs>
          <w:tab w:val="num" w:pos="4320"/>
        </w:tabs>
        <w:ind w:left="4320" w:hanging="360"/>
      </w:pPr>
      <w:rPr>
        <w:rFonts w:ascii="Wingdings" w:hAnsi="Wingdings" w:hint="default"/>
      </w:rPr>
    </w:lvl>
    <w:lvl w:ilvl="6" w:tplc="9CECB26E" w:tentative="1">
      <w:start w:val="1"/>
      <w:numFmt w:val="bullet"/>
      <w:lvlText w:val=""/>
      <w:lvlJc w:val="left"/>
      <w:pPr>
        <w:tabs>
          <w:tab w:val="num" w:pos="5040"/>
        </w:tabs>
        <w:ind w:left="5040" w:hanging="360"/>
      </w:pPr>
      <w:rPr>
        <w:rFonts w:ascii="Symbol" w:hAnsi="Symbol" w:hint="default"/>
      </w:rPr>
    </w:lvl>
    <w:lvl w:ilvl="7" w:tplc="DA4C51DE" w:tentative="1">
      <w:start w:val="1"/>
      <w:numFmt w:val="bullet"/>
      <w:lvlText w:val="o"/>
      <w:lvlJc w:val="left"/>
      <w:pPr>
        <w:tabs>
          <w:tab w:val="num" w:pos="5760"/>
        </w:tabs>
        <w:ind w:left="5760" w:hanging="360"/>
      </w:pPr>
      <w:rPr>
        <w:rFonts w:ascii="Courier New" w:hAnsi="Courier New" w:cs="Courier New" w:hint="default"/>
      </w:rPr>
    </w:lvl>
    <w:lvl w:ilvl="8" w:tplc="319806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1392428">
    <w:abstractNumId w:val="10"/>
  </w:num>
  <w:num w:numId="2" w16cid:durableId="1998456254">
    <w:abstractNumId w:val="7"/>
  </w:num>
  <w:num w:numId="3" w16cid:durableId="646856363">
    <w:abstractNumId w:val="6"/>
  </w:num>
  <w:num w:numId="4" w16cid:durableId="1868367482">
    <w:abstractNumId w:val="5"/>
  </w:num>
  <w:num w:numId="5" w16cid:durableId="1863739575">
    <w:abstractNumId w:val="4"/>
  </w:num>
  <w:num w:numId="6" w16cid:durableId="2026052692">
    <w:abstractNumId w:val="8"/>
  </w:num>
  <w:num w:numId="7" w16cid:durableId="1468234073">
    <w:abstractNumId w:val="3"/>
  </w:num>
  <w:num w:numId="8" w16cid:durableId="1454330272">
    <w:abstractNumId w:val="2"/>
  </w:num>
  <w:num w:numId="9" w16cid:durableId="1142389239">
    <w:abstractNumId w:val="1"/>
  </w:num>
  <w:num w:numId="10" w16cid:durableId="1633244255">
    <w:abstractNumId w:val="0"/>
  </w:num>
  <w:num w:numId="11" w16cid:durableId="2039818033">
    <w:abstractNumId w:val="9"/>
  </w:num>
  <w:num w:numId="12" w16cid:durableId="1579510852">
    <w:abstractNumId w:val="11"/>
  </w:num>
  <w:num w:numId="13" w16cid:durableId="651256239">
    <w:abstractNumId w:val="13"/>
  </w:num>
  <w:num w:numId="14" w16cid:durableId="13283630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93F"/>
    <w:rsid w:val="000049FB"/>
    <w:rsid w:val="00006C01"/>
    <w:rsid w:val="00013862"/>
    <w:rsid w:val="00016012"/>
    <w:rsid w:val="00020189"/>
    <w:rsid w:val="00020EE4"/>
    <w:rsid w:val="00021CD2"/>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5C5B"/>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4E64"/>
    <w:rsid w:val="005C740C"/>
    <w:rsid w:val="005C769E"/>
    <w:rsid w:val="005D32D1"/>
    <w:rsid w:val="005D625B"/>
    <w:rsid w:val="005E5358"/>
    <w:rsid w:val="005F62D3"/>
    <w:rsid w:val="005F6D11"/>
    <w:rsid w:val="00600CF0"/>
    <w:rsid w:val="006048F4"/>
    <w:rsid w:val="0060660A"/>
    <w:rsid w:val="006138CE"/>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309"/>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018"/>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166D1"/>
    <w:rsid w:val="00926AE2"/>
    <w:rsid w:val="00930B13"/>
    <w:rsid w:val="009311C8"/>
    <w:rsid w:val="00933376"/>
    <w:rsid w:val="00933A2F"/>
    <w:rsid w:val="00967600"/>
    <w:rsid w:val="009716D8"/>
    <w:rsid w:val="009718F9"/>
    <w:rsid w:val="00971F42"/>
    <w:rsid w:val="00972FB9"/>
    <w:rsid w:val="00973621"/>
    <w:rsid w:val="00975112"/>
    <w:rsid w:val="00981768"/>
    <w:rsid w:val="00983E8F"/>
    <w:rsid w:val="0098624F"/>
    <w:rsid w:val="0098788A"/>
    <w:rsid w:val="00994FDA"/>
    <w:rsid w:val="009A31BF"/>
    <w:rsid w:val="009A3B71"/>
    <w:rsid w:val="009A61BC"/>
    <w:rsid w:val="009B0138"/>
    <w:rsid w:val="009B0FE9"/>
    <w:rsid w:val="009B173A"/>
    <w:rsid w:val="009C3F20"/>
    <w:rsid w:val="009C7CA1"/>
    <w:rsid w:val="009D043D"/>
    <w:rsid w:val="009F3259"/>
    <w:rsid w:val="00A021A3"/>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4D2A"/>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5A0C"/>
    <w:rsid w:val="00B26CCF"/>
    <w:rsid w:val="00B30FC2"/>
    <w:rsid w:val="00B331A2"/>
    <w:rsid w:val="00B34594"/>
    <w:rsid w:val="00B425F0"/>
    <w:rsid w:val="00B42DFA"/>
    <w:rsid w:val="00B531DD"/>
    <w:rsid w:val="00B55014"/>
    <w:rsid w:val="00B62232"/>
    <w:rsid w:val="00B70BF3"/>
    <w:rsid w:val="00B71DC2"/>
    <w:rsid w:val="00B824BA"/>
    <w:rsid w:val="00B91CFC"/>
    <w:rsid w:val="00B93893"/>
    <w:rsid w:val="00BA129E"/>
    <w:rsid w:val="00BA1397"/>
    <w:rsid w:val="00BA7105"/>
    <w:rsid w:val="00BA7E0A"/>
    <w:rsid w:val="00BB5F1D"/>
    <w:rsid w:val="00BC3B53"/>
    <w:rsid w:val="00BC3B96"/>
    <w:rsid w:val="00BC4AE3"/>
    <w:rsid w:val="00BC5B28"/>
    <w:rsid w:val="00BD2370"/>
    <w:rsid w:val="00BE3F88"/>
    <w:rsid w:val="00BE4756"/>
    <w:rsid w:val="00BE5ED9"/>
    <w:rsid w:val="00BE7B41"/>
    <w:rsid w:val="00BF2437"/>
    <w:rsid w:val="00C016A0"/>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5F28"/>
    <w:rsid w:val="00CC6290"/>
    <w:rsid w:val="00CD233D"/>
    <w:rsid w:val="00CD3499"/>
    <w:rsid w:val="00CD362D"/>
    <w:rsid w:val="00CD377B"/>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D57"/>
    <w:rsid w:val="00D77870"/>
    <w:rsid w:val="00D77A1A"/>
    <w:rsid w:val="00D80977"/>
    <w:rsid w:val="00D80CCE"/>
    <w:rsid w:val="00D86EEA"/>
    <w:rsid w:val="00D87195"/>
    <w:rsid w:val="00D87D03"/>
    <w:rsid w:val="00D9360B"/>
    <w:rsid w:val="00D95C88"/>
    <w:rsid w:val="00D97B2E"/>
    <w:rsid w:val="00DA241E"/>
    <w:rsid w:val="00DB254D"/>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2B4D"/>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77360"/>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8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C016A0"/>
    <w:rPr>
      <w:vertAlign w:val="superscript"/>
    </w:rPr>
  </w:style>
  <w:style w:type="paragraph" w:styleId="Revisie">
    <w:name w:val="Revision"/>
    <w:hidden/>
    <w:uiPriority w:val="99"/>
    <w:semiHidden/>
    <w:rsid w:val="009166D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968</ap:Words>
  <ap:Characters>5326</ap:Characters>
  <ap:DocSecurity>0</ap:DocSecurity>
  <ap:Lines>44</ap:Lines>
  <ap:Paragraphs>12</ap:Paragraphs>
  <ap:ScaleCrop>false</ap:ScaleCrop>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2026-05-22T07:37:00.0000000Z</dcterms:created>
  <dcterms:modified xsi:type="dcterms:W3CDTF">2026-05-22T07:38:00.0000000Z</dcterms:modified>
  <dc:description>------------------------</dc:description>
  <dc:subject/>
  <keywords/>
  <version/>
  <category/>
</coreProperties>
</file>