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6DB" w:rsidP="001076DB" w:rsidRDefault="001076DB" w14:paraId="539275E4" w14:textId="071246A0">
      <w:pPr>
        <w:pStyle w:val="Geenafstand"/>
        <w:rPr>
          <w:rFonts w:ascii="Verdana" w:hAnsi="Verdana"/>
          <w:sz w:val="18"/>
          <w:szCs w:val="18"/>
        </w:rPr>
      </w:pPr>
      <w:r>
        <w:rPr>
          <w:rFonts w:ascii="Verdana" w:hAnsi="Verdana"/>
          <w:sz w:val="18"/>
          <w:szCs w:val="18"/>
        </w:rPr>
        <w:t>AH 1972</w:t>
      </w:r>
    </w:p>
    <w:p w:rsidR="001076DB" w:rsidP="001076DB" w:rsidRDefault="001076DB" w14:paraId="2F006B0C" w14:textId="77777777">
      <w:pPr>
        <w:pStyle w:val="Geenafstand"/>
        <w:rPr>
          <w:rFonts w:ascii="Verdana" w:hAnsi="Verdana"/>
          <w:sz w:val="18"/>
          <w:szCs w:val="18"/>
        </w:rPr>
      </w:pPr>
    </w:p>
    <w:p w:rsidR="001076DB" w:rsidP="001076DB" w:rsidRDefault="001076DB" w14:paraId="5F0FE03F" w14:textId="4244AA32">
      <w:pPr>
        <w:pStyle w:val="Geenafstand"/>
        <w:rPr>
          <w:rFonts w:ascii="Verdana" w:hAnsi="Verdana"/>
          <w:sz w:val="18"/>
          <w:szCs w:val="18"/>
        </w:rPr>
      </w:pPr>
      <w:r>
        <w:rPr>
          <w:rFonts w:ascii="Verdana" w:hAnsi="Verdana"/>
          <w:sz w:val="18"/>
          <w:szCs w:val="18"/>
        </w:rPr>
        <w:t>2026Z06049</w:t>
      </w:r>
    </w:p>
    <w:p w:rsidR="001076DB" w:rsidP="001076DB" w:rsidRDefault="001076DB" w14:paraId="1C850E30" w14:textId="77777777">
      <w:pPr>
        <w:pStyle w:val="Geenafstand"/>
        <w:rPr>
          <w:rFonts w:ascii="Verdana" w:hAnsi="Verdana"/>
          <w:sz w:val="18"/>
          <w:szCs w:val="18"/>
        </w:rPr>
      </w:pPr>
    </w:p>
    <w:p w:rsidR="001076DB" w:rsidP="001076DB" w:rsidRDefault="001076DB" w14:paraId="083F6F45" w14:textId="2DD1CD6E">
      <w:pPr>
        <w:pStyle w:val="Geenafstand"/>
        <w:rPr>
          <w:rFonts w:ascii="Verdana" w:hAnsi="Verdana"/>
          <w:sz w:val="18"/>
          <w:szCs w:val="18"/>
        </w:rPr>
      </w:pPr>
      <w:r w:rsidRPr="001076DB">
        <w:rPr>
          <w:rFonts w:ascii="Verdana" w:hAnsi="Verdana"/>
          <w:sz w:val="24"/>
          <w:szCs w:val="24"/>
        </w:rPr>
        <w:t>Antwoord van minister Vijlbrief (Sociale Zaken en Werkgelegenheid)</w:t>
      </w:r>
      <w:r>
        <w:rPr>
          <w:rFonts w:ascii="Verdana" w:hAnsi="Verdana"/>
          <w:sz w:val="24"/>
          <w:szCs w:val="24"/>
        </w:rPr>
        <w:t xml:space="preserve"> en de</w:t>
      </w:r>
      <w:r w:rsidRPr="001076DB">
        <w:rPr>
          <w:rFonts w:ascii="Verdana" w:hAnsi="Verdana"/>
          <w:sz w:val="24"/>
          <w:szCs w:val="24"/>
        </w:rPr>
        <w:t xml:space="preserve"> minister </w:t>
      </w:r>
      <w:r>
        <w:rPr>
          <w:rFonts w:ascii="Verdana" w:hAnsi="Verdana"/>
          <w:sz w:val="24"/>
          <w:szCs w:val="24"/>
        </w:rPr>
        <w:t xml:space="preserve">van </w:t>
      </w:r>
      <w:r w:rsidRPr="001076DB">
        <w:rPr>
          <w:rFonts w:ascii="Verdana" w:hAnsi="Verdana"/>
          <w:sz w:val="24"/>
          <w:szCs w:val="24"/>
        </w:rPr>
        <w:t>Werk en Participatie</w:t>
      </w:r>
      <w:r>
        <w:rPr>
          <w:rFonts w:ascii="Verdana" w:hAnsi="Verdana"/>
          <w:sz w:val="24"/>
          <w:szCs w:val="24"/>
        </w:rPr>
        <w:t xml:space="preserve">, mede namens de </w:t>
      </w:r>
      <w:r w:rsidRPr="001076DB">
        <w:rPr>
          <w:rFonts w:ascii="Verdana" w:hAnsi="Verdana"/>
          <w:color w:val="000000"/>
          <w:sz w:val="24"/>
          <w:szCs w:val="24"/>
        </w:rPr>
        <w:t>minister van Langdurige Zorg, Jeugd en Sport</w:t>
      </w:r>
      <w:r>
        <w:rPr>
          <w:rFonts w:ascii="Verdana" w:hAnsi="Verdana"/>
          <w:color w:val="000000"/>
          <w:sz w:val="24"/>
          <w:szCs w:val="24"/>
        </w:rPr>
        <w:t xml:space="preserve"> </w:t>
      </w:r>
      <w:r w:rsidRPr="001076DB">
        <w:rPr>
          <w:rFonts w:ascii="Verdana" w:hAnsi="Verdana"/>
          <w:sz w:val="24"/>
          <w:szCs w:val="24"/>
        </w:rPr>
        <w:t>(ontvangen</w:t>
      </w:r>
      <w:r>
        <w:rPr>
          <w:rFonts w:ascii="Verdana" w:hAnsi="Verdana"/>
          <w:sz w:val="24"/>
          <w:szCs w:val="24"/>
        </w:rPr>
        <w:t xml:space="preserve"> 21 mei 2026)</w:t>
      </w:r>
    </w:p>
    <w:p w:rsidR="001076DB" w:rsidP="001076DB" w:rsidRDefault="001076DB" w14:paraId="2797449D" w14:textId="77777777">
      <w:pPr>
        <w:pStyle w:val="Geenafstand"/>
        <w:rPr>
          <w:rFonts w:ascii="Verdana" w:hAnsi="Verdana"/>
          <w:sz w:val="18"/>
          <w:szCs w:val="18"/>
        </w:rPr>
      </w:pPr>
    </w:p>
    <w:p w:rsidR="001076DB" w:rsidP="001076DB" w:rsidRDefault="001076DB" w14:paraId="5BB1F1A6" w14:textId="3826D3D8">
      <w:pPr>
        <w:pStyle w:val="Geenafstand"/>
        <w:rPr>
          <w:rFonts w:ascii="Verdana" w:hAnsi="Verdana"/>
          <w:sz w:val="18"/>
          <w:szCs w:val="18"/>
        </w:rPr>
      </w:pPr>
      <w:r w:rsidRPr="001076DB">
        <w:rPr>
          <w:rFonts w:ascii="Verdana" w:hAnsi="Verdana"/>
          <w:color w:val="000000"/>
          <w:sz w:val="24"/>
          <w:szCs w:val="24"/>
        </w:rPr>
        <w:t xml:space="preserve">Zie ook Aanhangsel Handelingen, vergaderjaar 2025-2026, nr. </w:t>
      </w:r>
      <w:r>
        <w:rPr>
          <w:rFonts w:ascii="Verdana" w:hAnsi="Verdana"/>
          <w:sz w:val="18"/>
          <w:szCs w:val="18"/>
        </w:rPr>
        <w:t>1627</w:t>
      </w:r>
    </w:p>
    <w:p w:rsidR="001076DB" w:rsidP="001076DB" w:rsidRDefault="001076DB" w14:paraId="5D40A996" w14:textId="77777777">
      <w:pPr>
        <w:pStyle w:val="Geenafstand"/>
        <w:rPr>
          <w:rFonts w:ascii="Verdana" w:hAnsi="Verdana"/>
          <w:sz w:val="18"/>
          <w:szCs w:val="18"/>
        </w:rPr>
      </w:pPr>
    </w:p>
    <w:p w:rsidR="001076DB" w:rsidP="001076DB" w:rsidRDefault="001076DB" w14:paraId="4075291D" w14:textId="77777777">
      <w:pPr>
        <w:pStyle w:val="Geenafstand"/>
        <w:rPr>
          <w:rFonts w:ascii="Verdana" w:hAnsi="Verdana"/>
          <w:sz w:val="18"/>
          <w:szCs w:val="18"/>
        </w:rPr>
      </w:pPr>
    </w:p>
    <w:p w:rsidRPr="00D35DFA" w:rsidR="001076DB" w:rsidP="001076DB" w:rsidRDefault="001076DB" w14:paraId="2DC6C98B" w14:textId="77777777">
      <w:pPr>
        <w:pStyle w:val="Geenafstand"/>
        <w:rPr>
          <w:rFonts w:ascii="Verdana" w:hAnsi="Verdana"/>
          <w:sz w:val="18"/>
          <w:szCs w:val="18"/>
        </w:rPr>
      </w:pPr>
    </w:p>
    <w:p w:rsidRPr="006E14A7" w:rsidR="001076DB" w:rsidP="001076DB" w:rsidRDefault="001076DB" w14:paraId="34C1988D" w14:textId="77777777">
      <w:pPr>
        <w:pStyle w:val="Geenafstand"/>
        <w:rPr>
          <w:rFonts w:ascii="Verdana" w:hAnsi="Verdana"/>
          <w:b/>
          <w:bCs/>
          <w:sz w:val="18"/>
          <w:szCs w:val="18"/>
        </w:rPr>
      </w:pPr>
      <w:r w:rsidRPr="006E14A7">
        <w:rPr>
          <w:rFonts w:ascii="Verdana" w:hAnsi="Verdana"/>
          <w:b/>
          <w:bCs/>
          <w:sz w:val="18"/>
          <w:szCs w:val="18"/>
        </w:rPr>
        <w:t>Vraag 1</w:t>
      </w:r>
    </w:p>
    <w:p w:rsidRPr="00D35DFA" w:rsidR="001076DB" w:rsidP="001076DB" w:rsidRDefault="001076DB" w14:paraId="02062235" w14:textId="77777777">
      <w:pPr>
        <w:pStyle w:val="Geenafstand"/>
        <w:rPr>
          <w:rFonts w:ascii="Verdana" w:hAnsi="Verdana"/>
          <w:sz w:val="18"/>
          <w:szCs w:val="18"/>
        </w:rPr>
      </w:pPr>
      <w:r w:rsidRPr="00D35DFA">
        <w:rPr>
          <w:rFonts w:ascii="Verdana" w:hAnsi="Verdana"/>
          <w:sz w:val="18"/>
          <w:szCs w:val="18"/>
        </w:rPr>
        <w:t>Bent u bekend met het NRC-artikel</w:t>
      </w:r>
      <w:r>
        <w:rPr>
          <w:rFonts w:ascii="Verdana" w:hAnsi="Verdana"/>
          <w:sz w:val="18"/>
          <w:szCs w:val="18"/>
        </w:rPr>
        <w:t xml:space="preserve"> </w:t>
      </w:r>
      <w:r w:rsidRPr="00D35DFA">
        <w:rPr>
          <w:rFonts w:ascii="Verdana" w:hAnsi="Verdana"/>
          <w:sz w:val="18"/>
          <w:szCs w:val="18"/>
        </w:rPr>
        <w:t>‘Vrouwen tussen de 31 en 40 jaar verzuimen veel en dat is écht een probleem, vindt de verzekeraar’? 1) G&amp;VW</w:t>
      </w:r>
    </w:p>
    <w:p w:rsidRPr="00D35DFA" w:rsidR="001076DB" w:rsidP="001076DB" w:rsidRDefault="001076DB" w14:paraId="405AFB95" w14:textId="77777777">
      <w:pPr>
        <w:pStyle w:val="Geenafstand"/>
        <w:rPr>
          <w:rFonts w:ascii="Verdana" w:hAnsi="Verdana"/>
          <w:sz w:val="18"/>
          <w:szCs w:val="18"/>
        </w:rPr>
      </w:pPr>
    </w:p>
    <w:p w:rsidRPr="006E14A7" w:rsidR="001076DB" w:rsidP="001076DB" w:rsidRDefault="001076DB" w14:paraId="7D726309" w14:textId="77777777">
      <w:pPr>
        <w:pStyle w:val="Geenafstand"/>
        <w:rPr>
          <w:rFonts w:ascii="Verdana" w:hAnsi="Verdana"/>
          <w:b/>
          <w:bCs/>
          <w:sz w:val="18"/>
          <w:szCs w:val="18"/>
        </w:rPr>
      </w:pPr>
      <w:r w:rsidRPr="006E14A7">
        <w:rPr>
          <w:rFonts w:ascii="Verdana" w:hAnsi="Verdana"/>
          <w:b/>
          <w:bCs/>
          <w:sz w:val="18"/>
          <w:szCs w:val="18"/>
        </w:rPr>
        <w:t>Antwoord 1</w:t>
      </w:r>
    </w:p>
    <w:p w:rsidR="001076DB" w:rsidP="001076DB" w:rsidRDefault="001076DB" w14:paraId="284E544C" w14:textId="77777777">
      <w:pPr>
        <w:pStyle w:val="Geenafstand"/>
        <w:rPr>
          <w:rFonts w:ascii="Verdana" w:hAnsi="Verdana"/>
          <w:sz w:val="18"/>
          <w:szCs w:val="18"/>
        </w:rPr>
      </w:pPr>
      <w:r w:rsidRPr="00D35DFA">
        <w:rPr>
          <w:rFonts w:ascii="Verdana" w:hAnsi="Verdana"/>
          <w:sz w:val="18"/>
          <w:szCs w:val="18"/>
        </w:rPr>
        <w:t xml:space="preserve">Ja, </w:t>
      </w:r>
      <w:r>
        <w:rPr>
          <w:rFonts w:ascii="Verdana" w:hAnsi="Verdana"/>
          <w:sz w:val="18"/>
          <w:szCs w:val="18"/>
        </w:rPr>
        <w:t>d</w:t>
      </w:r>
      <w:r w:rsidRPr="00D35DFA">
        <w:rPr>
          <w:rFonts w:ascii="Verdana" w:hAnsi="Verdana"/>
          <w:sz w:val="18"/>
          <w:szCs w:val="18"/>
        </w:rPr>
        <w:t xml:space="preserve">it is mij bekend. </w:t>
      </w:r>
      <w:r w:rsidRPr="00D35DFA">
        <w:rPr>
          <w:rFonts w:ascii="Verdana" w:hAnsi="Verdana"/>
          <w:sz w:val="18"/>
          <w:szCs w:val="18"/>
        </w:rPr>
        <w:br/>
      </w:r>
    </w:p>
    <w:p w:rsidRPr="006E14A7" w:rsidR="001076DB" w:rsidP="001076DB" w:rsidRDefault="001076DB" w14:paraId="60049D2E" w14:textId="77777777">
      <w:pPr>
        <w:pStyle w:val="Geenafstand"/>
        <w:rPr>
          <w:rFonts w:ascii="Verdana" w:hAnsi="Verdana"/>
          <w:b/>
          <w:bCs/>
          <w:sz w:val="18"/>
          <w:szCs w:val="18"/>
        </w:rPr>
      </w:pPr>
      <w:r w:rsidRPr="006E14A7">
        <w:rPr>
          <w:rFonts w:ascii="Verdana" w:hAnsi="Verdana"/>
          <w:b/>
          <w:bCs/>
          <w:sz w:val="18"/>
          <w:szCs w:val="18"/>
        </w:rPr>
        <w:t>Vraag 2</w:t>
      </w:r>
    </w:p>
    <w:p w:rsidR="001076DB" w:rsidP="001076DB" w:rsidRDefault="001076DB" w14:paraId="2C0EE90B" w14:textId="77777777">
      <w:pPr>
        <w:pStyle w:val="Geenafstand"/>
        <w:rPr>
          <w:rFonts w:ascii="Verdana" w:hAnsi="Verdana"/>
          <w:sz w:val="18"/>
          <w:szCs w:val="18"/>
        </w:rPr>
      </w:pPr>
      <w:r w:rsidRPr="00D35DFA">
        <w:rPr>
          <w:rFonts w:ascii="Verdana" w:hAnsi="Verdana"/>
          <w:sz w:val="18"/>
          <w:szCs w:val="18"/>
        </w:rPr>
        <w:t>Herkent u het beeld van hoge uitval onder (jonge) vrouwen? Welke verklaringen ziet u voor de hoge uitval?</w:t>
      </w:r>
    </w:p>
    <w:p w:rsidR="001076DB" w:rsidP="001076DB" w:rsidRDefault="001076DB" w14:paraId="530F2416" w14:textId="77777777">
      <w:pPr>
        <w:pStyle w:val="Geenafstand"/>
        <w:rPr>
          <w:rFonts w:ascii="Verdana" w:hAnsi="Verdana"/>
          <w:sz w:val="18"/>
          <w:szCs w:val="18"/>
        </w:rPr>
      </w:pPr>
    </w:p>
    <w:p w:rsidRPr="00BC71A4" w:rsidR="001076DB" w:rsidP="001076DB" w:rsidRDefault="001076DB" w14:paraId="06E838B6" w14:textId="77777777">
      <w:pPr>
        <w:pStyle w:val="Geenafstand"/>
        <w:rPr>
          <w:rFonts w:ascii="Verdana" w:hAnsi="Verdana"/>
          <w:b/>
          <w:bCs/>
          <w:sz w:val="18"/>
          <w:szCs w:val="18"/>
        </w:rPr>
      </w:pPr>
      <w:r w:rsidRPr="00BC71A4">
        <w:rPr>
          <w:rFonts w:ascii="Verdana" w:hAnsi="Verdana"/>
          <w:b/>
          <w:bCs/>
          <w:sz w:val="18"/>
          <w:szCs w:val="18"/>
        </w:rPr>
        <w:t>Antwoord 2</w:t>
      </w:r>
    </w:p>
    <w:p w:rsidRPr="00BC71A4" w:rsidR="001076DB" w:rsidP="001076DB" w:rsidRDefault="001076DB" w14:paraId="15D453FE" w14:textId="77777777">
      <w:pPr>
        <w:pStyle w:val="Geenafstand"/>
        <w:rPr>
          <w:rFonts w:ascii="Verdana" w:hAnsi="Verdana"/>
          <w:sz w:val="18"/>
          <w:szCs w:val="18"/>
        </w:rPr>
      </w:pPr>
      <w:r w:rsidRPr="00BC71A4">
        <w:rPr>
          <w:rFonts w:ascii="Verdana" w:hAnsi="Verdana"/>
          <w:sz w:val="18"/>
          <w:szCs w:val="18"/>
        </w:rPr>
        <w:t>Dit beeld herken ik. Uit de Nationale Enquête Arbeidsomstandigheden (NEA</w:t>
      </w:r>
      <w:r>
        <w:rPr>
          <w:rFonts w:ascii="Verdana" w:hAnsi="Verdana"/>
          <w:sz w:val="18"/>
          <w:szCs w:val="18"/>
        </w:rPr>
        <w:t xml:space="preserve"> 2023-2024</w:t>
      </w:r>
      <w:r w:rsidRPr="00BC71A4">
        <w:rPr>
          <w:rFonts w:ascii="Verdana" w:hAnsi="Verdana"/>
          <w:sz w:val="18"/>
          <w:szCs w:val="18"/>
        </w:rPr>
        <w:t>)</w:t>
      </w:r>
      <w:r>
        <w:rPr>
          <w:rStyle w:val="Voetnootmarkering"/>
          <w:rFonts w:ascii="Verdana" w:hAnsi="Verdana"/>
          <w:sz w:val="18"/>
          <w:szCs w:val="18"/>
        </w:rPr>
        <w:footnoteReference w:id="1"/>
      </w:r>
      <w:r w:rsidRPr="00BC71A4">
        <w:rPr>
          <w:rFonts w:ascii="Verdana" w:hAnsi="Verdana"/>
          <w:sz w:val="18"/>
          <w:szCs w:val="18"/>
        </w:rPr>
        <w:t xml:space="preserve"> van het CBS en TNO blijkt dat ruim 60% van de vrouwelijke werknemers in de leeftijdscategorie 31-40 jaar</w:t>
      </w:r>
      <w:r>
        <w:rPr>
          <w:rFonts w:ascii="Verdana" w:hAnsi="Verdana"/>
          <w:sz w:val="18"/>
          <w:szCs w:val="18"/>
        </w:rPr>
        <w:t xml:space="preserve"> aangeeft</w:t>
      </w:r>
      <w:r w:rsidRPr="00BC71A4">
        <w:rPr>
          <w:rFonts w:ascii="Verdana" w:hAnsi="Verdana"/>
          <w:sz w:val="18"/>
          <w:szCs w:val="18"/>
        </w:rPr>
        <w:t xml:space="preserve"> wel eens </w:t>
      </w:r>
      <w:r>
        <w:rPr>
          <w:rFonts w:ascii="Verdana" w:hAnsi="Verdana"/>
          <w:sz w:val="18"/>
          <w:szCs w:val="18"/>
        </w:rPr>
        <w:t xml:space="preserve">te hebben </w:t>
      </w:r>
      <w:r w:rsidRPr="00BC71A4">
        <w:rPr>
          <w:rFonts w:ascii="Verdana" w:hAnsi="Verdana"/>
          <w:sz w:val="18"/>
          <w:szCs w:val="18"/>
        </w:rPr>
        <w:t>verzuimd in de afgelopen 12 maanden</w:t>
      </w:r>
      <w:r>
        <w:rPr>
          <w:rFonts w:ascii="Verdana" w:hAnsi="Verdana"/>
          <w:sz w:val="18"/>
          <w:szCs w:val="18"/>
        </w:rPr>
        <w:t>.</w:t>
      </w:r>
      <w:r w:rsidRPr="00BC71A4" w:rsidDel="001A4911">
        <w:rPr>
          <w:rFonts w:ascii="Verdana" w:hAnsi="Verdana"/>
          <w:sz w:val="18"/>
          <w:szCs w:val="18"/>
        </w:rPr>
        <w:t xml:space="preserve"> </w:t>
      </w:r>
      <w:r w:rsidRPr="00BC71A4">
        <w:rPr>
          <w:rFonts w:ascii="Verdana" w:hAnsi="Verdana"/>
          <w:sz w:val="18"/>
          <w:szCs w:val="18"/>
        </w:rPr>
        <w:t>Voor alle vrouwelijke werknemers is dit gemiddeld 55%</w:t>
      </w:r>
      <w:r w:rsidRPr="00BC71A4">
        <w:rPr>
          <w:rStyle w:val="Voetnootmarkering"/>
          <w:rFonts w:ascii="Verdana" w:hAnsi="Verdana"/>
          <w:sz w:val="18"/>
          <w:szCs w:val="18"/>
        </w:rPr>
        <w:footnoteReference w:id="2"/>
      </w:r>
      <w:r w:rsidRPr="00BC71A4">
        <w:rPr>
          <w:rFonts w:ascii="Verdana" w:hAnsi="Verdana"/>
          <w:sz w:val="18"/>
          <w:szCs w:val="18"/>
        </w:rPr>
        <w:t xml:space="preserve">. Vrouwen van 31-40 jaar geven aan langer te </w:t>
      </w:r>
      <w:r>
        <w:rPr>
          <w:rFonts w:ascii="Verdana" w:hAnsi="Verdana"/>
          <w:sz w:val="18"/>
          <w:szCs w:val="18"/>
        </w:rPr>
        <w:t xml:space="preserve">hebben </w:t>
      </w:r>
      <w:r w:rsidRPr="00BC71A4">
        <w:rPr>
          <w:rFonts w:ascii="Verdana" w:hAnsi="Verdana"/>
          <w:sz w:val="18"/>
          <w:szCs w:val="18"/>
        </w:rPr>
        <w:t>verzuim</w:t>
      </w:r>
      <w:r>
        <w:rPr>
          <w:rFonts w:ascii="Verdana" w:hAnsi="Verdana"/>
          <w:sz w:val="18"/>
          <w:szCs w:val="18"/>
        </w:rPr>
        <w:t>d</w:t>
      </w:r>
      <w:r w:rsidRPr="00BC71A4">
        <w:rPr>
          <w:rFonts w:ascii="Verdana" w:hAnsi="Verdana"/>
          <w:sz w:val="18"/>
          <w:szCs w:val="18"/>
        </w:rPr>
        <w:t xml:space="preserve"> (11 werkdagen ten opzichte van 9 werkdagen gemiddeld). Het ziekteverzuimpercentage (het aantal verzuimde dagen per 100 werkdagen) laat hetzelfde beeld zien. Die ligt voor vrouwen van 31-40 jaar hoger dan gemiddeld voor alle vrouwen (6,7% versus 5,7%).</w:t>
      </w:r>
    </w:p>
    <w:p w:rsidR="001076DB" w:rsidP="001076DB" w:rsidRDefault="001076DB" w14:paraId="0DA701C1" w14:textId="77777777"/>
    <w:tbl>
      <w:tblPr>
        <w:tblStyle w:val="Tabelraster"/>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503"/>
        <w:gridCol w:w="1105"/>
        <w:gridCol w:w="990"/>
        <w:gridCol w:w="990"/>
        <w:gridCol w:w="990"/>
        <w:gridCol w:w="933"/>
      </w:tblGrid>
      <w:tr w:rsidRPr="00781D4A" w:rsidR="001076DB" w:rsidTr="008439ED" w14:paraId="1071C8A5" w14:textId="77777777">
        <w:tc>
          <w:tcPr>
            <w:tcW w:w="2508" w:type="dxa"/>
          </w:tcPr>
          <w:p w:rsidRPr="00781D4A" w:rsidR="001076DB" w:rsidP="008439ED" w:rsidRDefault="001076DB" w14:paraId="5AFB11B8" w14:textId="77777777">
            <w:pPr>
              <w:rPr>
                <w:b/>
                <w:bCs/>
                <w:sz w:val="16"/>
                <w:szCs w:val="16"/>
              </w:rPr>
            </w:pPr>
            <w:r w:rsidRPr="00781D4A">
              <w:rPr>
                <w:b/>
                <w:bCs/>
                <w:sz w:val="16"/>
                <w:szCs w:val="16"/>
              </w:rPr>
              <w:t>NEA 2023-2024 alleen vrouwelijke werknemers</w:t>
            </w:r>
          </w:p>
        </w:tc>
        <w:tc>
          <w:tcPr>
            <w:tcW w:w="1108" w:type="dxa"/>
          </w:tcPr>
          <w:p w:rsidRPr="00781D4A" w:rsidR="001076DB" w:rsidP="008439ED" w:rsidRDefault="001076DB" w14:paraId="6CE39A0E" w14:textId="77777777">
            <w:pPr>
              <w:rPr>
                <w:b/>
                <w:bCs/>
                <w:sz w:val="16"/>
                <w:szCs w:val="16"/>
              </w:rPr>
            </w:pPr>
            <w:r w:rsidRPr="00781D4A">
              <w:rPr>
                <w:b/>
                <w:bCs/>
                <w:sz w:val="16"/>
                <w:szCs w:val="16"/>
              </w:rPr>
              <w:t>Totaal</w:t>
            </w:r>
          </w:p>
        </w:tc>
        <w:tc>
          <w:tcPr>
            <w:tcW w:w="993" w:type="dxa"/>
          </w:tcPr>
          <w:p w:rsidRPr="00781D4A" w:rsidR="001076DB" w:rsidP="008439ED" w:rsidRDefault="001076DB" w14:paraId="7299FF99" w14:textId="77777777">
            <w:pPr>
              <w:rPr>
                <w:b/>
                <w:bCs/>
                <w:sz w:val="16"/>
                <w:szCs w:val="16"/>
              </w:rPr>
            </w:pPr>
            <w:r w:rsidRPr="00781D4A">
              <w:rPr>
                <w:b/>
                <w:bCs/>
                <w:sz w:val="16"/>
                <w:szCs w:val="16"/>
              </w:rPr>
              <w:t>21-30</w:t>
            </w:r>
          </w:p>
        </w:tc>
        <w:tc>
          <w:tcPr>
            <w:tcW w:w="993" w:type="dxa"/>
          </w:tcPr>
          <w:p w:rsidRPr="00781D4A" w:rsidR="001076DB" w:rsidP="008439ED" w:rsidRDefault="001076DB" w14:paraId="18EF7BCF" w14:textId="77777777">
            <w:pPr>
              <w:rPr>
                <w:b/>
                <w:bCs/>
                <w:sz w:val="16"/>
                <w:szCs w:val="16"/>
              </w:rPr>
            </w:pPr>
            <w:r w:rsidRPr="00781D4A">
              <w:rPr>
                <w:b/>
                <w:bCs/>
                <w:sz w:val="16"/>
                <w:szCs w:val="16"/>
              </w:rPr>
              <w:t>31-40</w:t>
            </w:r>
          </w:p>
        </w:tc>
        <w:tc>
          <w:tcPr>
            <w:tcW w:w="993" w:type="dxa"/>
          </w:tcPr>
          <w:p w:rsidRPr="00781D4A" w:rsidR="001076DB" w:rsidP="008439ED" w:rsidRDefault="001076DB" w14:paraId="366D64FA" w14:textId="77777777">
            <w:pPr>
              <w:rPr>
                <w:b/>
                <w:bCs/>
                <w:sz w:val="16"/>
                <w:szCs w:val="16"/>
              </w:rPr>
            </w:pPr>
            <w:r w:rsidRPr="00781D4A">
              <w:rPr>
                <w:b/>
                <w:bCs/>
                <w:sz w:val="16"/>
                <w:szCs w:val="16"/>
              </w:rPr>
              <w:t>41-50</w:t>
            </w:r>
          </w:p>
        </w:tc>
        <w:tc>
          <w:tcPr>
            <w:tcW w:w="936" w:type="dxa"/>
          </w:tcPr>
          <w:p w:rsidRPr="00781D4A" w:rsidR="001076DB" w:rsidP="008439ED" w:rsidRDefault="001076DB" w14:paraId="1DC7AE2D" w14:textId="77777777">
            <w:pPr>
              <w:rPr>
                <w:b/>
                <w:bCs/>
                <w:sz w:val="16"/>
                <w:szCs w:val="16"/>
              </w:rPr>
            </w:pPr>
            <w:r w:rsidRPr="00781D4A">
              <w:rPr>
                <w:b/>
                <w:bCs/>
                <w:sz w:val="16"/>
                <w:szCs w:val="16"/>
              </w:rPr>
              <w:t>50+</w:t>
            </w:r>
          </w:p>
        </w:tc>
      </w:tr>
      <w:tr w:rsidRPr="00781D4A" w:rsidR="001076DB" w:rsidTr="008439ED" w14:paraId="6DFFC266" w14:textId="77777777">
        <w:tc>
          <w:tcPr>
            <w:tcW w:w="2508" w:type="dxa"/>
          </w:tcPr>
          <w:p w:rsidRPr="000533D2" w:rsidR="001076DB" w:rsidP="008439ED" w:rsidRDefault="001076DB" w14:paraId="782B22AD" w14:textId="77777777">
            <w:pPr>
              <w:rPr>
                <w:sz w:val="16"/>
                <w:szCs w:val="16"/>
              </w:rPr>
            </w:pPr>
            <w:r w:rsidRPr="000533D2">
              <w:rPr>
                <w:sz w:val="16"/>
                <w:szCs w:val="16"/>
              </w:rPr>
              <w:t xml:space="preserve">Weleens </w:t>
            </w:r>
            <w:r>
              <w:rPr>
                <w:sz w:val="16"/>
                <w:szCs w:val="16"/>
              </w:rPr>
              <w:t xml:space="preserve">verzuimd </w:t>
            </w:r>
            <w:r w:rsidRPr="000533D2">
              <w:rPr>
                <w:sz w:val="16"/>
                <w:szCs w:val="16"/>
              </w:rPr>
              <w:t>afgelopen 12 maanden</w:t>
            </w:r>
          </w:p>
        </w:tc>
        <w:tc>
          <w:tcPr>
            <w:tcW w:w="1108" w:type="dxa"/>
          </w:tcPr>
          <w:p w:rsidRPr="00781D4A" w:rsidR="001076DB" w:rsidP="008439ED" w:rsidRDefault="001076DB" w14:paraId="29DE44A7" w14:textId="77777777">
            <w:pPr>
              <w:rPr>
                <w:sz w:val="16"/>
                <w:szCs w:val="16"/>
              </w:rPr>
            </w:pPr>
            <w:r w:rsidRPr="00781D4A">
              <w:rPr>
                <w:sz w:val="16"/>
                <w:szCs w:val="16"/>
              </w:rPr>
              <w:t>54,6</w:t>
            </w:r>
          </w:p>
        </w:tc>
        <w:tc>
          <w:tcPr>
            <w:tcW w:w="993" w:type="dxa"/>
          </w:tcPr>
          <w:p w:rsidRPr="00781D4A" w:rsidR="001076DB" w:rsidP="008439ED" w:rsidRDefault="001076DB" w14:paraId="4EFC939B" w14:textId="77777777">
            <w:pPr>
              <w:rPr>
                <w:sz w:val="16"/>
                <w:szCs w:val="16"/>
              </w:rPr>
            </w:pPr>
            <w:r w:rsidRPr="00781D4A">
              <w:rPr>
                <w:sz w:val="16"/>
                <w:szCs w:val="16"/>
              </w:rPr>
              <w:t>59,9</w:t>
            </w:r>
          </w:p>
        </w:tc>
        <w:tc>
          <w:tcPr>
            <w:tcW w:w="993" w:type="dxa"/>
          </w:tcPr>
          <w:p w:rsidRPr="00781D4A" w:rsidR="001076DB" w:rsidP="008439ED" w:rsidRDefault="001076DB" w14:paraId="4AB79273" w14:textId="77777777">
            <w:pPr>
              <w:rPr>
                <w:sz w:val="16"/>
                <w:szCs w:val="16"/>
              </w:rPr>
            </w:pPr>
            <w:r w:rsidRPr="00781D4A">
              <w:rPr>
                <w:sz w:val="16"/>
                <w:szCs w:val="16"/>
              </w:rPr>
              <w:t>61,0</w:t>
            </w:r>
          </w:p>
        </w:tc>
        <w:tc>
          <w:tcPr>
            <w:tcW w:w="993" w:type="dxa"/>
          </w:tcPr>
          <w:p w:rsidRPr="00781D4A" w:rsidR="001076DB" w:rsidP="008439ED" w:rsidRDefault="001076DB" w14:paraId="7F7A2A41" w14:textId="77777777">
            <w:pPr>
              <w:rPr>
                <w:sz w:val="16"/>
                <w:szCs w:val="16"/>
              </w:rPr>
            </w:pPr>
            <w:r w:rsidRPr="00781D4A">
              <w:rPr>
                <w:sz w:val="16"/>
                <w:szCs w:val="16"/>
              </w:rPr>
              <w:t>52,5</w:t>
            </w:r>
          </w:p>
        </w:tc>
        <w:tc>
          <w:tcPr>
            <w:tcW w:w="936" w:type="dxa"/>
          </w:tcPr>
          <w:p w:rsidRPr="00781D4A" w:rsidR="001076DB" w:rsidP="008439ED" w:rsidRDefault="001076DB" w14:paraId="0CB3EFB6" w14:textId="77777777">
            <w:pPr>
              <w:rPr>
                <w:sz w:val="16"/>
                <w:szCs w:val="16"/>
              </w:rPr>
            </w:pPr>
            <w:r w:rsidRPr="00781D4A">
              <w:rPr>
                <w:sz w:val="16"/>
                <w:szCs w:val="16"/>
              </w:rPr>
              <w:t>49,6</w:t>
            </w:r>
          </w:p>
        </w:tc>
      </w:tr>
      <w:tr w:rsidRPr="00781D4A" w:rsidR="001076DB" w:rsidTr="008439ED" w14:paraId="24878626" w14:textId="77777777">
        <w:tc>
          <w:tcPr>
            <w:tcW w:w="2508" w:type="dxa"/>
          </w:tcPr>
          <w:p w:rsidRPr="000533D2" w:rsidR="001076DB" w:rsidP="008439ED" w:rsidRDefault="001076DB" w14:paraId="07D1C67C" w14:textId="77777777">
            <w:pPr>
              <w:rPr>
                <w:sz w:val="16"/>
                <w:szCs w:val="16"/>
              </w:rPr>
            </w:pPr>
            <w:r w:rsidRPr="000533D2">
              <w:rPr>
                <w:sz w:val="16"/>
                <w:szCs w:val="16"/>
              </w:rPr>
              <w:t>Hoe vaak verzuimd afgelopen 12 maanden</w:t>
            </w:r>
          </w:p>
        </w:tc>
        <w:tc>
          <w:tcPr>
            <w:tcW w:w="1108" w:type="dxa"/>
          </w:tcPr>
          <w:p w:rsidRPr="00781D4A" w:rsidR="001076DB" w:rsidP="008439ED" w:rsidRDefault="001076DB" w14:paraId="15B8273D" w14:textId="77777777">
            <w:pPr>
              <w:rPr>
                <w:sz w:val="16"/>
                <w:szCs w:val="16"/>
              </w:rPr>
            </w:pPr>
            <w:r w:rsidRPr="00781D4A">
              <w:rPr>
                <w:sz w:val="16"/>
                <w:szCs w:val="16"/>
              </w:rPr>
              <w:t>1,6</w:t>
            </w:r>
          </w:p>
        </w:tc>
        <w:tc>
          <w:tcPr>
            <w:tcW w:w="993" w:type="dxa"/>
          </w:tcPr>
          <w:p w:rsidRPr="00781D4A" w:rsidR="001076DB" w:rsidP="008439ED" w:rsidRDefault="001076DB" w14:paraId="54C61EBC" w14:textId="77777777">
            <w:pPr>
              <w:rPr>
                <w:sz w:val="16"/>
                <w:szCs w:val="16"/>
              </w:rPr>
            </w:pPr>
            <w:r w:rsidRPr="00781D4A">
              <w:rPr>
                <w:sz w:val="16"/>
                <w:szCs w:val="16"/>
              </w:rPr>
              <w:t>1,79</w:t>
            </w:r>
          </w:p>
        </w:tc>
        <w:tc>
          <w:tcPr>
            <w:tcW w:w="993" w:type="dxa"/>
          </w:tcPr>
          <w:p w:rsidRPr="00781D4A" w:rsidR="001076DB" w:rsidP="008439ED" w:rsidRDefault="001076DB" w14:paraId="4F95E864" w14:textId="77777777">
            <w:pPr>
              <w:rPr>
                <w:sz w:val="16"/>
                <w:szCs w:val="16"/>
              </w:rPr>
            </w:pPr>
            <w:r w:rsidRPr="00781D4A">
              <w:rPr>
                <w:sz w:val="16"/>
                <w:szCs w:val="16"/>
              </w:rPr>
              <w:t>1,78</w:t>
            </w:r>
          </w:p>
        </w:tc>
        <w:tc>
          <w:tcPr>
            <w:tcW w:w="993" w:type="dxa"/>
          </w:tcPr>
          <w:p w:rsidRPr="00781D4A" w:rsidR="001076DB" w:rsidP="008439ED" w:rsidRDefault="001076DB" w14:paraId="450112DA" w14:textId="77777777">
            <w:pPr>
              <w:rPr>
                <w:sz w:val="16"/>
                <w:szCs w:val="16"/>
              </w:rPr>
            </w:pPr>
            <w:r w:rsidRPr="00781D4A">
              <w:rPr>
                <w:sz w:val="16"/>
                <w:szCs w:val="16"/>
              </w:rPr>
              <w:t>1,41</w:t>
            </w:r>
          </w:p>
        </w:tc>
        <w:tc>
          <w:tcPr>
            <w:tcW w:w="936" w:type="dxa"/>
          </w:tcPr>
          <w:p w:rsidRPr="00781D4A" w:rsidR="001076DB" w:rsidP="008439ED" w:rsidRDefault="001076DB" w14:paraId="553D1CD2" w14:textId="77777777">
            <w:pPr>
              <w:rPr>
                <w:sz w:val="16"/>
                <w:szCs w:val="16"/>
              </w:rPr>
            </w:pPr>
            <w:r w:rsidRPr="00781D4A">
              <w:rPr>
                <w:sz w:val="16"/>
                <w:szCs w:val="16"/>
              </w:rPr>
              <w:t>1,47</w:t>
            </w:r>
          </w:p>
        </w:tc>
      </w:tr>
      <w:tr w:rsidRPr="00781D4A" w:rsidR="001076DB" w:rsidTr="008439ED" w14:paraId="6206FBE2" w14:textId="77777777">
        <w:tc>
          <w:tcPr>
            <w:tcW w:w="2508" w:type="dxa"/>
          </w:tcPr>
          <w:p w:rsidRPr="000533D2" w:rsidR="001076DB" w:rsidP="008439ED" w:rsidRDefault="001076DB" w14:paraId="7E321BD2" w14:textId="77777777">
            <w:pPr>
              <w:rPr>
                <w:sz w:val="16"/>
                <w:szCs w:val="16"/>
              </w:rPr>
            </w:pPr>
            <w:r w:rsidRPr="000533D2">
              <w:rPr>
                <w:sz w:val="16"/>
                <w:szCs w:val="16"/>
              </w:rPr>
              <w:t>Hoeveel werkdagen verzuimd afgelopen 12 maanden</w:t>
            </w:r>
          </w:p>
        </w:tc>
        <w:tc>
          <w:tcPr>
            <w:tcW w:w="1108" w:type="dxa"/>
          </w:tcPr>
          <w:p w:rsidRPr="00781D4A" w:rsidR="001076DB" w:rsidP="008439ED" w:rsidRDefault="001076DB" w14:paraId="63623415" w14:textId="77777777">
            <w:pPr>
              <w:rPr>
                <w:sz w:val="16"/>
                <w:szCs w:val="16"/>
              </w:rPr>
            </w:pPr>
            <w:r w:rsidRPr="00781D4A">
              <w:rPr>
                <w:sz w:val="16"/>
                <w:szCs w:val="16"/>
              </w:rPr>
              <w:t>9,2</w:t>
            </w:r>
          </w:p>
        </w:tc>
        <w:tc>
          <w:tcPr>
            <w:tcW w:w="993" w:type="dxa"/>
          </w:tcPr>
          <w:p w:rsidRPr="00781D4A" w:rsidR="001076DB" w:rsidP="008439ED" w:rsidRDefault="001076DB" w14:paraId="4974FFF1" w14:textId="77777777">
            <w:pPr>
              <w:rPr>
                <w:sz w:val="16"/>
                <w:szCs w:val="16"/>
              </w:rPr>
            </w:pPr>
            <w:r w:rsidRPr="00781D4A">
              <w:rPr>
                <w:sz w:val="16"/>
                <w:szCs w:val="16"/>
              </w:rPr>
              <w:t>7,95</w:t>
            </w:r>
          </w:p>
        </w:tc>
        <w:tc>
          <w:tcPr>
            <w:tcW w:w="993" w:type="dxa"/>
          </w:tcPr>
          <w:p w:rsidRPr="00781D4A" w:rsidR="001076DB" w:rsidP="008439ED" w:rsidRDefault="001076DB" w14:paraId="288B9320" w14:textId="77777777">
            <w:pPr>
              <w:rPr>
                <w:sz w:val="16"/>
                <w:szCs w:val="16"/>
              </w:rPr>
            </w:pPr>
            <w:r w:rsidRPr="00781D4A">
              <w:rPr>
                <w:sz w:val="16"/>
                <w:szCs w:val="16"/>
              </w:rPr>
              <w:t>11,1</w:t>
            </w:r>
          </w:p>
        </w:tc>
        <w:tc>
          <w:tcPr>
            <w:tcW w:w="993" w:type="dxa"/>
          </w:tcPr>
          <w:p w:rsidRPr="00781D4A" w:rsidR="001076DB" w:rsidP="008439ED" w:rsidRDefault="001076DB" w14:paraId="0D97EC8C" w14:textId="77777777">
            <w:pPr>
              <w:rPr>
                <w:sz w:val="16"/>
                <w:szCs w:val="16"/>
              </w:rPr>
            </w:pPr>
            <w:r w:rsidRPr="00781D4A">
              <w:rPr>
                <w:sz w:val="16"/>
                <w:szCs w:val="16"/>
              </w:rPr>
              <w:t>9,38</w:t>
            </w:r>
          </w:p>
        </w:tc>
        <w:tc>
          <w:tcPr>
            <w:tcW w:w="936" w:type="dxa"/>
          </w:tcPr>
          <w:p w:rsidRPr="00781D4A" w:rsidR="001076DB" w:rsidP="008439ED" w:rsidRDefault="001076DB" w14:paraId="185A79FF" w14:textId="77777777">
            <w:pPr>
              <w:rPr>
                <w:sz w:val="16"/>
                <w:szCs w:val="16"/>
              </w:rPr>
            </w:pPr>
            <w:r w:rsidRPr="00781D4A">
              <w:rPr>
                <w:sz w:val="16"/>
                <w:szCs w:val="16"/>
              </w:rPr>
              <w:t>10,8</w:t>
            </w:r>
          </w:p>
        </w:tc>
      </w:tr>
      <w:tr w:rsidRPr="00781D4A" w:rsidR="001076DB" w:rsidTr="008439ED" w14:paraId="4E5DD042" w14:textId="77777777">
        <w:tc>
          <w:tcPr>
            <w:tcW w:w="2508" w:type="dxa"/>
          </w:tcPr>
          <w:p w:rsidRPr="000533D2" w:rsidR="001076DB" w:rsidP="008439ED" w:rsidRDefault="001076DB" w14:paraId="40F9FB8C" w14:textId="77777777">
            <w:pPr>
              <w:rPr>
                <w:sz w:val="16"/>
                <w:szCs w:val="16"/>
              </w:rPr>
            </w:pPr>
            <w:r w:rsidRPr="000533D2">
              <w:rPr>
                <w:sz w:val="16"/>
                <w:szCs w:val="16"/>
              </w:rPr>
              <w:t xml:space="preserve">Ziekteverzuimpercentage </w:t>
            </w:r>
          </w:p>
        </w:tc>
        <w:tc>
          <w:tcPr>
            <w:tcW w:w="1108" w:type="dxa"/>
          </w:tcPr>
          <w:p w:rsidRPr="00781D4A" w:rsidR="001076DB" w:rsidP="008439ED" w:rsidRDefault="001076DB" w14:paraId="5133F9A8" w14:textId="77777777">
            <w:pPr>
              <w:rPr>
                <w:sz w:val="16"/>
                <w:szCs w:val="16"/>
              </w:rPr>
            </w:pPr>
            <w:r w:rsidRPr="00781D4A">
              <w:rPr>
                <w:sz w:val="16"/>
                <w:szCs w:val="16"/>
              </w:rPr>
              <w:t>5,73</w:t>
            </w:r>
          </w:p>
        </w:tc>
        <w:tc>
          <w:tcPr>
            <w:tcW w:w="993" w:type="dxa"/>
          </w:tcPr>
          <w:p w:rsidRPr="00781D4A" w:rsidR="001076DB" w:rsidP="008439ED" w:rsidRDefault="001076DB" w14:paraId="51FD8D07" w14:textId="77777777">
            <w:pPr>
              <w:rPr>
                <w:sz w:val="16"/>
                <w:szCs w:val="16"/>
              </w:rPr>
            </w:pPr>
            <w:r w:rsidRPr="00781D4A">
              <w:rPr>
                <w:sz w:val="16"/>
                <w:szCs w:val="16"/>
              </w:rPr>
              <w:t>4,75</w:t>
            </w:r>
          </w:p>
        </w:tc>
        <w:tc>
          <w:tcPr>
            <w:tcW w:w="993" w:type="dxa"/>
          </w:tcPr>
          <w:p w:rsidRPr="00781D4A" w:rsidR="001076DB" w:rsidP="008439ED" w:rsidRDefault="001076DB" w14:paraId="07182E12" w14:textId="77777777">
            <w:pPr>
              <w:rPr>
                <w:sz w:val="16"/>
                <w:szCs w:val="16"/>
              </w:rPr>
            </w:pPr>
            <w:r w:rsidRPr="00781D4A">
              <w:rPr>
                <w:sz w:val="16"/>
                <w:szCs w:val="16"/>
              </w:rPr>
              <w:t>6,72</w:t>
            </w:r>
          </w:p>
        </w:tc>
        <w:tc>
          <w:tcPr>
            <w:tcW w:w="993" w:type="dxa"/>
          </w:tcPr>
          <w:p w:rsidRPr="00781D4A" w:rsidR="001076DB" w:rsidP="008439ED" w:rsidRDefault="001076DB" w14:paraId="45AC2AED" w14:textId="77777777">
            <w:pPr>
              <w:rPr>
                <w:sz w:val="16"/>
                <w:szCs w:val="16"/>
              </w:rPr>
            </w:pPr>
            <w:r w:rsidRPr="00781D4A">
              <w:rPr>
                <w:sz w:val="16"/>
                <w:szCs w:val="16"/>
              </w:rPr>
              <w:t>5.70</w:t>
            </w:r>
          </w:p>
        </w:tc>
        <w:tc>
          <w:tcPr>
            <w:tcW w:w="936" w:type="dxa"/>
          </w:tcPr>
          <w:p w:rsidRPr="00781D4A" w:rsidR="001076DB" w:rsidP="008439ED" w:rsidRDefault="001076DB" w14:paraId="78F79D63" w14:textId="77777777">
            <w:pPr>
              <w:rPr>
                <w:sz w:val="16"/>
                <w:szCs w:val="16"/>
              </w:rPr>
            </w:pPr>
            <w:r w:rsidRPr="00781D4A">
              <w:rPr>
                <w:sz w:val="16"/>
                <w:szCs w:val="16"/>
              </w:rPr>
              <w:t>6,72</w:t>
            </w:r>
          </w:p>
        </w:tc>
      </w:tr>
    </w:tbl>
    <w:p w:rsidRPr="00781D4A" w:rsidR="001076DB" w:rsidP="001076DB" w:rsidRDefault="001076DB" w14:paraId="000B4008" w14:textId="77777777">
      <w:pPr>
        <w:rPr>
          <w:sz w:val="16"/>
          <w:szCs w:val="16"/>
        </w:rPr>
      </w:pPr>
      <w:r>
        <w:rPr>
          <w:sz w:val="16"/>
          <w:szCs w:val="16"/>
        </w:rPr>
        <w:t>Bron: b</w:t>
      </w:r>
      <w:r w:rsidRPr="00781D4A">
        <w:rPr>
          <w:sz w:val="16"/>
          <w:szCs w:val="16"/>
        </w:rPr>
        <w:t>ewerking cijfers</w:t>
      </w:r>
      <w:r>
        <w:rPr>
          <w:sz w:val="16"/>
          <w:szCs w:val="16"/>
        </w:rPr>
        <w:t xml:space="preserve"> NEA</w:t>
      </w:r>
      <w:r w:rsidRPr="00781D4A">
        <w:rPr>
          <w:sz w:val="16"/>
          <w:szCs w:val="16"/>
        </w:rPr>
        <w:t xml:space="preserve"> </w:t>
      </w:r>
      <w:r>
        <w:rPr>
          <w:sz w:val="16"/>
          <w:szCs w:val="16"/>
        </w:rPr>
        <w:t>2023-2024</w:t>
      </w:r>
    </w:p>
    <w:p w:rsidRPr="00D35DFA" w:rsidR="001076DB" w:rsidP="001076DB" w:rsidRDefault="001076DB" w14:paraId="4AA43465" w14:textId="77777777"/>
    <w:p w:rsidR="001076DB" w:rsidP="001076DB" w:rsidRDefault="001076DB" w14:paraId="187AD718" w14:textId="77777777">
      <w:r w:rsidRPr="00D35DFA">
        <w:t>Als specifieke redenen voor het verzuim noemen vrouw</w:t>
      </w:r>
      <w:r>
        <w:t>elijke werknemers</w:t>
      </w:r>
      <w:r w:rsidRPr="00D35DFA">
        <w:t xml:space="preserve"> van 31-40 jaar vaker dan gemiddeld een te hoge werkdruk en emotioneel te zwaar werk als </w:t>
      </w:r>
      <w:r w:rsidRPr="00D35DFA">
        <w:lastRenderedPageBreak/>
        <w:t>reden.</w:t>
      </w:r>
      <w:r w:rsidRPr="000533D2">
        <w:t xml:space="preserve"> </w:t>
      </w:r>
      <w:r w:rsidRPr="00D35DFA">
        <w:t xml:space="preserve">Vrouwen van 31-40 jaar geven </w:t>
      </w:r>
      <w:r>
        <w:t xml:space="preserve">ook </w:t>
      </w:r>
      <w:r w:rsidRPr="00D35DFA">
        <w:t>vaker dan gemiddeld aan een werk-privé disbalans te ervaren.</w:t>
      </w:r>
    </w:p>
    <w:p w:rsidR="001076DB" w:rsidP="001076DB" w:rsidRDefault="001076DB" w14:paraId="3B9A7103" w14:textId="77777777">
      <w:pPr>
        <w:pStyle w:val="Geenafstand"/>
        <w:rPr>
          <w:rFonts w:ascii="Verdana" w:hAnsi="Verdana"/>
          <w:sz w:val="18"/>
          <w:szCs w:val="18"/>
        </w:rPr>
      </w:pPr>
    </w:p>
    <w:p w:rsidR="001076DB" w:rsidP="001076DB" w:rsidRDefault="001076DB" w14:paraId="2EEE49E5" w14:textId="77777777">
      <w:pPr>
        <w:spacing w:line="240" w:lineRule="auto"/>
        <w:rPr>
          <w:b/>
          <w:bCs/>
        </w:rPr>
      </w:pPr>
      <w:r>
        <w:rPr>
          <w:b/>
          <w:bCs/>
        </w:rPr>
        <w:br w:type="page"/>
      </w:r>
    </w:p>
    <w:p w:rsidRPr="006E14A7" w:rsidR="001076DB" w:rsidP="001076DB" w:rsidRDefault="001076DB" w14:paraId="0695ACD0" w14:textId="77777777">
      <w:pPr>
        <w:pStyle w:val="Geenafstand"/>
        <w:rPr>
          <w:rFonts w:ascii="Verdana" w:hAnsi="Verdana"/>
          <w:b/>
          <w:bCs/>
          <w:sz w:val="18"/>
          <w:szCs w:val="18"/>
        </w:rPr>
      </w:pPr>
      <w:r w:rsidRPr="006E14A7">
        <w:rPr>
          <w:rFonts w:ascii="Verdana" w:hAnsi="Verdana"/>
          <w:b/>
          <w:bCs/>
          <w:sz w:val="18"/>
          <w:szCs w:val="18"/>
        </w:rPr>
        <w:lastRenderedPageBreak/>
        <w:t>Vraag 3</w:t>
      </w:r>
    </w:p>
    <w:p w:rsidRPr="00D35DFA" w:rsidR="001076DB" w:rsidP="001076DB" w:rsidRDefault="001076DB" w14:paraId="37135A24" w14:textId="77777777">
      <w:pPr>
        <w:pStyle w:val="Geenafstand"/>
        <w:rPr>
          <w:rFonts w:ascii="Verdana" w:hAnsi="Verdana"/>
          <w:sz w:val="18"/>
          <w:szCs w:val="18"/>
        </w:rPr>
      </w:pPr>
      <w:r w:rsidRPr="00D35DFA">
        <w:rPr>
          <w:rFonts w:ascii="Verdana" w:hAnsi="Verdana"/>
          <w:sz w:val="18"/>
          <w:szCs w:val="18"/>
        </w:rPr>
        <w:t>Kunt u beschrijven uit welke inkomensgroepen deze vrouwen afkomstig zijn, in welke sectoren zij werkzaam waren en wat voor soort banen zij hadden?</w:t>
      </w:r>
    </w:p>
    <w:p w:rsidRPr="00D35DFA" w:rsidR="001076DB" w:rsidP="001076DB" w:rsidRDefault="001076DB" w14:paraId="7C75E1DA" w14:textId="77777777"/>
    <w:p w:rsidRPr="006E14A7" w:rsidR="001076DB" w:rsidP="001076DB" w:rsidRDefault="001076DB" w14:paraId="51667309" w14:textId="77777777">
      <w:pPr>
        <w:spacing w:line="240" w:lineRule="auto"/>
        <w:rPr>
          <w:b/>
          <w:bCs/>
        </w:rPr>
      </w:pPr>
      <w:r w:rsidRPr="006E14A7">
        <w:rPr>
          <w:b/>
          <w:bCs/>
        </w:rPr>
        <w:t>Antwoord 3</w:t>
      </w:r>
    </w:p>
    <w:p w:rsidR="001076DB" w:rsidP="001076DB" w:rsidRDefault="001076DB" w14:paraId="6258106F" w14:textId="77777777">
      <w:r>
        <w:t>Volgens de NEA werken v</w:t>
      </w:r>
      <w:r w:rsidRPr="00D35DFA">
        <w:t xml:space="preserve">rouwen in de leeftijdscategorie 31-40 </w:t>
      </w:r>
      <w:r>
        <w:t>het mees</w:t>
      </w:r>
      <w:r w:rsidRPr="00D35DFA">
        <w:t xml:space="preserve">t in de zorg, zakelijke dienstverlening, onderwijs en handel. Ze werken vaak in banen met een gemiddeld inkomen, </w:t>
      </w:r>
      <w:r>
        <w:t xml:space="preserve">op vaste contracten en met </w:t>
      </w:r>
      <w:r w:rsidRPr="00D35DFA">
        <w:t xml:space="preserve">hoge </w:t>
      </w:r>
      <w:r>
        <w:t>taak</w:t>
      </w:r>
      <w:r w:rsidRPr="00D35DFA">
        <w:t>eisen</w:t>
      </w:r>
      <w:r w:rsidRPr="00D35DFA">
        <w:rPr>
          <w:rStyle w:val="Voetnootmarkering"/>
        </w:rPr>
        <w:footnoteReference w:id="3"/>
      </w:r>
      <w:r>
        <w:t xml:space="preserve">. </w:t>
      </w:r>
    </w:p>
    <w:p w:rsidR="001076DB" w:rsidP="001076DB" w:rsidRDefault="001076DB" w14:paraId="677B6F4D" w14:textId="77777777"/>
    <w:p w:rsidRPr="006E14A7" w:rsidR="001076DB" w:rsidP="001076DB" w:rsidRDefault="001076DB" w14:paraId="0569DC48" w14:textId="77777777">
      <w:pPr>
        <w:pStyle w:val="Geenafstand"/>
        <w:rPr>
          <w:rFonts w:ascii="Verdana" w:hAnsi="Verdana"/>
          <w:b/>
          <w:bCs/>
          <w:sz w:val="18"/>
          <w:szCs w:val="18"/>
        </w:rPr>
      </w:pPr>
      <w:r w:rsidRPr="006E14A7">
        <w:rPr>
          <w:rFonts w:ascii="Verdana" w:hAnsi="Verdana"/>
          <w:b/>
          <w:bCs/>
          <w:sz w:val="18"/>
          <w:szCs w:val="18"/>
        </w:rPr>
        <w:t>Vraag 4</w:t>
      </w:r>
    </w:p>
    <w:p w:rsidR="001076DB" w:rsidP="001076DB" w:rsidRDefault="001076DB" w14:paraId="49345A92" w14:textId="77777777">
      <w:pPr>
        <w:pStyle w:val="Geenafstand"/>
        <w:rPr>
          <w:rFonts w:ascii="Verdana" w:hAnsi="Verdana"/>
          <w:sz w:val="18"/>
          <w:szCs w:val="18"/>
        </w:rPr>
      </w:pPr>
      <w:r w:rsidRPr="00D35DFA">
        <w:rPr>
          <w:rFonts w:ascii="Verdana" w:hAnsi="Verdana"/>
          <w:sz w:val="18"/>
          <w:szCs w:val="18"/>
        </w:rPr>
        <w:t xml:space="preserve">Welk aandeel van deze groep stroomt in </w:t>
      </w:r>
      <w:proofErr w:type="spellStart"/>
      <w:r w:rsidRPr="00D35DFA">
        <w:rPr>
          <w:rFonts w:ascii="Verdana" w:hAnsi="Verdana"/>
          <w:sz w:val="18"/>
          <w:szCs w:val="18"/>
        </w:rPr>
        <w:t>in</w:t>
      </w:r>
      <w:proofErr w:type="spellEnd"/>
      <w:r w:rsidRPr="00D35DFA">
        <w:rPr>
          <w:rFonts w:ascii="Verdana" w:hAnsi="Verdana"/>
          <w:sz w:val="18"/>
          <w:szCs w:val="18"/>
        </w:rPr>
        <w:t xml:space="preserve"> de WIA of de Ziektewet? </w:t>
      </w:r>
    </w:p>
    <w:p w:rsidR="001076DB" w:rsidP="001076DB" w:rsidRDefault="001076DB" w14:paraId="78837784" w14:textId="77777777">
      <w:pPr>
        <w:pStyle w:val="Geenafstand"/>
        <w:rPr>
          <w:rFonts w:ascii="Verdana" w:hAnsi="Verdana"/>
          <w:sz w:val="18"/>
          <w:szCs w:val="18"/>
        </w:rPr>
      </w:pPr>
    </w:p>
    <w:p w:rsidRPr="006E14A7" w:rsidR="001076DB" w:rsidP="001076DB" w:rsidRDefault="001076DB" w14:paraId="668CF30B" w14:textId="77777777">
      <w:pPr>
        <w:pStyle w:val="Geenafstand"/>
        <w:rPr>
          <w:rFonts w:ascii="Verdana" w:hAnsi="Verdana"/>
          <w:b/>
          <w:bCs/>
          <w:sz w:val="18"/>
          <w:szCs w:val="18"/>
        </w:rPr>
      </w:pPr>
      <w:r w:rsidRPr="006E14A7">
        <w:rPr>
          <w:rFonts w:ascii="Verdana" w:hAnsi="Verdana"/>
          <w:b/>
          <w:bCs/>
          <w:sz w:val="18"/>
          <w:szCs w:val="18"/>
        </w:rPr>
        <w:t>Antwoord 4</w:t>
      </w:r>
    </w:p>
    <w:p w:rsidRPr="00D902F2" w:rsidR="001076DB" w:rsidP="001076DB" w:rsidRDefault="001076DB" w14:paraId="4854E302" w14:textId="77777777">
      <w:pPr>
        <w:pStyle w:val="Geenafstand"/>
        <w:rPr>
          <w:rFonts w:ascii="Verdana" w:hAnsi="Verdana"/>
          <w:sz w:val="18"/>
          <w:szCs w:val="18"/>
        </w:rPr>
      </w:pPr>
      <w:r w:rsidRPr="00D902F2">
        <w:rPr>
          <w:rFonts w:ascii="Verdana" w:hAnsi="Verdana"/>
          <w:sz w:val="18"/>
          <w:szCs w:val="18"/>
        </w:rPr>
        <w:t xml:space="preserve">Er zijn geen cijfers beschikbaar van het aandeel </w:t>
      </w:r>
      <w:r>
        <w:rPr>
          <w:rFonts w:ascii="Verdana" w:hAnsi="Verdana"/>
          <w:sz w:val="18"/>
          <w:szCs w:val="18"/>
        </w:rPr>
        <w:t xml:space="preserve">vrouwen </w:t>
      </w:r>
      <w:r w:rsidRPr="00D902F2">
        <w:rPr>
          <w:rFonts w:ascii="Verdana" w:hAnsi="Verdana"/>
          <w:sz w:val="18"/>
          <w:szCs w:val="18"/>
        </w:rPr>
        <w:t>van de</w:t>
      </w:r>
      <w:r>
        <w:rPr>
          <w:rFonts w:ascii="Verdana" w:hAnsi="Verdana"/>
          <w:sz w:val="18"/>
          <w:szCs w:val="18"/>
        </w:rPr>
        <w:t>ze</w:t>
      </w:r>
      <w:r w:rsidRPr="00D902F2">
        <w:rPr>
          <w:rFonts w:ascii="Verdana" w:hAnsi="Verdana"/>
          <w:sz w:val="18"/>
          <w:szCs w:val="18"/>
        </w:rPr>
        <w:t xml:space="preserve"> groep die </w:t>
      </w:r>
      <w:r>
        <w:rPr>
          <w:rFonts w:ascii="Verdana" w:hAnsi="Verdana"/>
          <w:sz w:val="18"/>
          <w:szCs w:val="18"/>
        </w:rPr>
        <w:t>v</w:t>
      </w:r>
      <w:r w:rsidRPr="00D902F2">
        <w:rPr>
          <w:rFonts w:ascii="Verdana" w:hAnsi="Verdana"/>
          <w:sz w:val="18"/>
          <w:szCs w:val="18"/>
        </w:rPr>
        <w:t xml:space="preserve">erzuimt en vervolgens instroomt in de WIA of de Ziektewet. </w:t>
      </w:r>
    </w:p>
    <w:p w:rsidRPr="00D902F2" w:rsidR="001076DB" w:rsidP="001076DB" w:rsidRDefault="001076DB" w14:paraId="7B95A0C9" w14:textId="77777777">
      <w:pPr>
        <w:pStyle w:val="Geenafstand"/>
        <w:rPr>
          <w:rFonts w:ascii="Verdana" w:hAnsi="Verdana"/>
          <w:sz w:val="18"/>
          <w:szCs w:val="18"/>
        </w:rPr>
      </w:pPr>
    </w:p>
    <w:p w:rsidRPr="00D902F2" w:rsidR="001076DB" w:rsidP="001076DB" w:rsidRDefault="001076DB" w14:paraId="36462FCA" w14:textId="77777777">
      <w:pPr>
        <w:pStyle w:val="Geenafstand"/>
        <w:rPr>
          <w:rFonts w:ascii="Verdana" w:hAnsi="Verdana"/>
          <w:sz w:val="18"/>
          <w:szCs w:val="18"/>
        </w:rPr>
      </w:pPr>
      <w:r w:rsidRPr="00D902F2">
        <w:rPr>
          <w:rFonts w:ascii="Verdana" w:hAnsi="Verdana"/>
          <w:sz w:val="18"/>
          <w:szCs w:val="18"/>
        </w:rPr>
        <w:t xml:space="preserve">Onderstaande tabel toont over een periode van </w:t>
      </w:r>
      <w:r>
        <w:rPr>
          <w:rFonts w:ascii="Verdana" w:hAnsi="Verdana"/>
          <w:sz w:val="18"/>
          <w:szCs w:val="18"/>
        </w:rPr>
        <w:t xml:space="preserve">vijf </w:t>
      </w:r>
      <w:r w:rsidRPr="00D902F2">
        <w:rPr>
          <w:rFonts w:ascii="Verdana" w:hAnsi="Verdana"/>
          <w:sz w:val="18"/>
          <w:szCs w:val="18"/>
        </w:rPr>
        <w:t xml:space="preserve">jaar (2021-2025) de totale instroom aan personen in de WIA, de instroom van het aantal vrouwen in de leeftijdsgroep 30 tot 40 </w:t>
      </w:r>
      <w:r>
        <w:rPr>
          <w:rFonts w:ascii="Verdana" w:hAnsi="Verdana"/>
          <w:sz w:val="18"/>
          <w:szCs w:val="18"/>
        </w:rPr>
        <w:t xml:space="preserve">jaar </w:t>
      </w:r>
      <w:r w:rsidRPr="00D902F2">
        <w:rPr>
          <w:rFonts w:ascii="Verdana" w:hAnsi="Verdana"/>
          <w:sz w:val="18"/>
          <w:szCs w:val="18"/>
        </w:rPr>
        <w:t>(30 t/m 39) in de WIA en dit aandeel uitgedrukt als percentage van de totale instroom</w:t>
      </w:r>
      <w:r>
        <w:rPr>
          <w:rFonts w:ascii="Verdana" w:hAnsi="Verdana"/>
          <w:sz w:val="18"/>
          <w:szCs w:val="18"/>
        </w:rPr>
        <w:t xml:space="preserve"> van vrouwen</w:t>
      </w:r>
      <w:r w:rsidRPr="00D902F2">
        <w:rPr>
          <w:rFonts w:ascii="Verdana" w:hAnsi="Verdana"/>
          <w:sz w:val="18"/>
          <w:szCs w:val="18"/>
        </w:rPr>
        <w:t xml:space="preserve">.  </w:t>
      </w:r>
    </w:p>
    <w:p w:rsidRPr="00D902F2" w:rsidR="001076DB" w:rsidP="001076DB" w:rsidRDefault="001076DB" w14:paraId="3DA41A18" w14:textId="77777777">
      <w:pPr>
        <w:pStyle w:val="Geenafstand"/>
        <w:rPr>
          <w:rFonts w:ascii="Verdana" w:hAnsi="Verdana"/>
          <w:sz w:val="18"/>
          <w:szCs w:val="18"/>
        </w:rPr>
      </w:pPr>
    </w:p>
    <w:p w:rsidRPr="00D902F2" w:rsidR="001076DB" w:rsidP="001076DB" w:rsidRDefault="001076DB" w14:paraId="5B89F005" w14:textId="77777777">
      <w:pPr>
        <w:pStyle w:val="Geenafstand"/>
        <w:rPr>
          <w:rFonts w:ascii="Verdana" w:hAnsi="Verdana"/>
          <w:sz w:val="18"/>
          <w:szCs w:val="18"/>
        </w:rPr>
      </w:pPr>
      <w:r w:rsidRPr="00D902F2">
        <w:rPr>
          <w:rFonts w:ascii="Verdana" w:hAnsi="Verdana"/>
          <w:sz w:val="18"/>
          <w:szCs w:val="18"/>
        </w:rPr>
        <w:t>Daarnaast is in onderstaande tabel de instroom v</w:t>
      </w:r>
      <w:r>
        <w:rPr>
          <w:rFonts w:ascii="Verdana" w:hAnsi="Verdana"/>
          <w:sz w:val="18"/>
          <w:szCs w:val="18"/>
        </w:rPr>
        <w:t>an</w:t>
      </w:r>
      <w:r w:rsidRPr="00D902F2">
        <w:rPr>
          <w:rFonts w:ascii="Verdana" w:hAnsi="Verdana"/>
          <w:sz w:val="18"/>
          <w:szCs w:val="18"/>
        </w:rPr>
        <w:t xml:space="preserve"> vrouwen in de leeftijdsgroepen 30 t/m 39 jaar ook uitgedrukt als percentage van het aantal verzekerden in dezelfde leeftijdsgroep. Per duizend verzekerde vrouwen in de groep 30 t/m</w:t>
      </w:r>
      <w:r>
        <w:rPr>
          <w:rFonts w:ascii="Verdana" w:hAnsi="Verdana"/>
          <w:sz w:val="18"/>
          <w:szCs w:val="18"/>
        </w:rPr>
        <w:t xml:space="preserve"> </w:t>
      </w:r>
      <w:r w:rsidRPr="00D902F2">
        <w:rPr>
          <w:rFonts w:ascii="Verdana" w:hAnsi="Verdana"/>
          <w:sz w:val="18"/>
          <w:szCs w:val="18"/>
        </w:rPr>
        <w:t>39 jaar kregen in 202</w:t>
      </w:r>
      <w:r>
        <w:rPr>
          <w:rFonts w:ascii="Verdana" w:hAnsi="Verdana"/>
          <w:sz w:val="18"/>
          <w:szCs w:val="18"/>
        </w:rPr>
        <w:t>5</w:t>
      </w:r>
      <w:r w:rsidRPr="00D902F2">
        <w:rPr>
          <w:rFonts w:ascii="Verdana" w:hAnsi="Verdana"/>
          <w:sz w:val="18"/>
          <w:szCs w:val="18"/>
        </w:rPr>
        <w:t xml:space="preserve"> </w:t>
      </w:r>
      <w:r>
        <w:rPr>
          <w:rFonts w:ascii="Verdana" w:hAnsi="Verdana"/>
          <w:sz w:val="18"/>
          <w:szCs w:val="18"/>
        </w:rPr>
        <w:t xml:space="preserve">negen </w:t>
      </w:r>
      <w:r w:rsidRPr="00D902F2">
        <w:rPr>
          <w:rFonts w:ascii="Verdana" w:hAnsi="Verdana"/>
          <w:sz w:val="18"/>
          <w:szCs w:val="18"/>
        </w:rPr>
        <w:t>vrouwen een nieuwe WIA-uitkering toegekend.</w:t>
      </w:r>
      <w:r>
        <w:rPr>
          <w:rFonts w:ascii="Verdana" w:hAnsi="Verdana"/>
          <w:sz w:val="18"/>
          <w:szCs w:val="18"/>
        </w:rPr>
        <w:t xml:space="preserve"> </w:t>
      </w:r>
    </w:p>
    <w:p w:rsidR="001076DB" w:rsidP="001076DB" w:rsidRDefault="001076DB" w14:paraId="55C9DFD5" w14:textId="77777777">
      <w:pPr>
        <w:pStyle w:val="Geenafstand"/>
      </w:pPr>
    </w:p>
    <w:tbl>
      <w:tblPr>
        <w:tblW w:w="7920" w:type="dxa"/>
        <w:tblCellMar>
          <w:left w:w="70" w:type="dxa"/>
          <w:right w:w="70" w:type="dxa"/>
        </w:tblCellMar>
        <w:tblLook w:val="04A0" w:firstRow="1" w:lastRow="0" w:firstColumn="1" w:lastColumn="0" w:noHBand="0" w:noVBand="1"/>
      </w:tblPr>
      <w:tblGrid>
        <w:gridCol w:w="4167"/>
        <w:gridCol w:w="692"/>
        <w:gridCol w:w="692"/>
        <w:gridCol w:w="692"/>
        <w:gridCol w:w="692"/>
        <w:gridCol w:w="985"/>
      </w:tblGrid>
      <w:tr w:rsidRPr="009C5A20" w:rsidR="001076DB" w:rsidTr="008439ED" w14:paraId="2ED8816D" w14:textId="77777777">
        <w:trPr>
          <w:trHeight w:val="480"/>
        </w:trPr>
        <w:tc>
          <w:tcPr>
            <w:tcW w:w="4167" w:type="dxa"/>
            <w:tcBorders>
              <w:top w:val="single" w:color="0078D2" w:sz="4" w:space="0"/>
              <w:left w:val="nil"/>
              <w:bottom w:val="single" w:color="0078D2" w:sz="4" w:space="0"/>
              <w:right w:val="nil"/>
            </w:tcBorders>
            <w:shd w:val="clear" w:color="000000" w:fill="0078D2"/>
            <w:hideMark/>
          </w:tcPr>
          <w:p w:rsidRPr="009C5A20" w:rsidR="001076DB" w:rsidP="008439ED" w:rsidRDefault="001076DB" w14:paraId="3C9CDD6C" w14:textId="77777777">
            <w:pPr>
              <w:spacing w:line="240" w:lineRule="auto"/>
              <w:rPr>
                <w:rFonts w:ascii="UWV Werk" w:hAnsi="UWV Werk" w:eastAsia="Times New Roman" w:cs="Times New Roman"/>
                <w:b/>
                <w:bCs/>
                <w:color w:val="FFFFFF"/>
                <w:sz w:val="16"/>
                <w:szCs w:val="16"/>
              </w:rPr>
            </w:pPr>
            <w:r w:rsidRPr="009C5A20">
              <w:rPr>
                <w:rFonts w:ascii="UWV Werk" w:hAnsi="UWV Werk" w:eastAsia="Times New Roman" w:cs="Times New Roman"/>
                <w:b/>
                <w:bCs/>
                <w:color w:val="FFFFFF"/>
                <w:sz w:val="16"/>
                <w:szCs w:val="16"/>
              </w:rPr>
              <w:t>WIA</w:t>
            </w:r>
          </w:p>
        </w:tc>
        <w:tc>
          <w:tcPr>
            <w:tcW w:w="692" w:type="dxa"/>
            <w:tcBorders>
              <w:top w:val="single" w:color="0078D2" w:sz="4" w:space="0"/>
              <w:left w:val="nil"/>
              <w:bottom w:val="single" w:color="0078D2" w:sz="4" w:space="0"/>
              <w:right w:val="nil"/>
            </w:tcBorders>
            <w:shd w:val="clear" w:color="000000" w:fill="0078D2"/>
            <w:hideMark/>
          </w:tcPr>
          <w:p w:rsidRPr="009C5A20" w:rsidR="001076DB" w:rsidP="008439ED" w:rsidRDefault="001076DB" w14:paraId="68E7596A" w14:textId="77777777">
            <w:pPr>
              <w:spacing w:line="240" w:lineRule="auto"/>
              <w:jc w:val="right"/>
              <w:rPr>
                <w:rFonts w:ascii="UWV Werk" w:hAnsi="UWV Werk" w:eastAsia="Times New Roman" w:cs="Times New Roman"/>
                <w:b/>
                <w:bCs/>
                <w:color w:val="FFFFFF"/>
                <w:sz w:val="16"/>
                <w:szCs w:val="16"/>
              </w:rPr>
            </w:pPr>
            <w:r w:rsidRPr="009C5A20">
              <w:rPr>
                <w:rFonts w:ascii="UWV Werk" w:hAnsi="UWV Werk" w:eastAsia="Times New Roman" w:cs="Times New Roman"/>
                <w:b/>
                <w:bCs/>
                <w:color w:val="FFFFFF"/>
                <w:sz w:val="16"/>
                <w:szCs w:val="16"/>
              </w:rPr>
              <w:t>2021</w:t>
            </w:r>
          </w:p>
        </w:tc>
        <w:tc>
          <w:tcPr>
            <w:tcW w:w="692" w:type="dxa"/>
            <w:tcBorders>
              <w:top w:val="single" w:color="0078D2" w:sz="4" w:space="0"/>
              <w:left w:val="nil"/>
              <w:bottom w:val="single" w:color="0078D2" w:sz="4" w:space="0"/>
              <w:right w:val="nil"/>
            </w:tcBorders>
            <w:shd w:val="clear" w:color="000000" w:fill="0078D2"/>
            <w:hideMark/>
          </w:tcPr>
          <w:p w:rsidRPr="009C5A20" w:rsidR="001076DB" w:rsidP="008439ED" w:rsidRDefault="001076DB" w14:paraId="0E5E27E7" w14:textId="77777777">
            <w:pPr>
              <w:spacing w:line="240" w:lineRule="auto"/>
              <w:jc w:val="right"/>
              <w:rPr>
                <w:rFonts w:ascii="UWV Werk" w:hAnsi="UWV Werk" w:eastAsia="Times New Roman" w:cs="Times New Roman"/>
                <w:b/>
                <w:bCs/>
                <w:color w:val="FFFFFF"/>
                <w:sz w:val="16"/>
                <w:szCs w:val="16"/>
              </w:rPr>
            </w:pPr>
            <w:r w:rsidRPr="009C5A20">
              <w:rPr>
                <w:rFonts w:ascii="UWV Werk" w:hAnsi="UWV Werk" w:eastAsia="Times New Roman" w:cs="Times New Roman"/>
                <w:b/>
                <w:bCs/>
                <w:color w:val="FFFFFF"/>
                <w:sz w:val="16"/>
                <w:szCs w:val="16"/>
              </w:rPr>
              <w:t>2022</w:t>
            </w:r>
          </w:p>
        </w:tc>
        <w:tc>
          <w:tcPr>
            <w:tcW w:w="692" w:type="dxa"/>
            <w:tcBorders>
              <w:top w:val="single" w:color="0078D2" w:sz="4" w:space="0"/>
              <w:left w:val="nil"/>
              <w:bottom w:val="single" w:color="0078D2" w:sz="4" w:space="0"/>
              <w:right w:val="nil"/>
            </w:tcBorders>
            <w:shd w:val="clear" w:color="000000" w:fill="0078D2"/>
            <w:hideMark/>
          </w:tcPr>
          <w:p w:rsidRPr="009C5A20" w:rsidR="001076DB" w:rsidP="008439ED" w:rsidRDefault="001076DB" w14:paraId="4D2D8E14" w14:textId="77777777">
            <w:pPr>
              <w:spacing w:line="240" w:lineRule="auto"/>
              <w:jc w:val="right"/>
              <w:rPr>
                <w:rFonts w:ascii="UWV Werk" w:hAnsi="UWV Werk" w:eastAsia="Times New Roman" w:cs="Times New Roman"/>
                <w:b/>
                <w:bCs/>
                <w:color w:val="FFFFFF"/>
                <w:sz w:val="16"/>
                <w:szCs w:val="16"/>
              </w:rPr>
            </w:pPr>
            <w:r w:rsidRPr="009C5A20">
              <w:rPr>
                <w:rFonts w:ascii="UWV Werk" w:hAnsi="UWV Werk" w:eastAsia="Times New Roman" w:cs="Times New Roman"/>
                <w:b/>
                <w:bCs/>
                <w:color w:val="FFFFFF"/>
                <w:sz w:val="16"/>
                <w:szCs w:val="16"/>
              </w:rPr>
              <w:t>2023</w:t>
            </w:r>
          </w:p>
        </w:tc>
        <w:tc>
          <w:tcPr>
            <w:tcW w:w="692" w:type="dxa"/>
            <w:tcBorders>
              <w:top w:val="single" w:color="0078D2" w:sz="4" w:space="0"/>
              <w:left w:val="nil"/>
              <w:bottom w:val="single" w:color="0078D2" w:sz="4" w:space="0"/>
              <w:right w:val="nil"/>
            </w:tcBorders>
            <w:shd w:val="clear" w:color="000000" w:fill="0078D2"/>
            <w:hideMark/>
          </w:tcPr>
          <w:p w:rsidRPr="009C5A20" w:rsidR="001076DB" w:rsidP="008439ED" w:rsidRDefault="001076DB" w14:paraId="67B061D7" w14:textId="77777777">
            <w:pPr>
              <w:spacing w:line="240" w:lineRule="auto"/>
              <w:jc w:val="right"/>
              <w:rPr>
                <w:rFonts w:ascii="UWV Werk" w:hAnsi="UWV Werk" w:eastAsia="Times New Roman" w:cs="Times New Roman"/>
                <w:b/>
                <w:bCs/>
                <w:color w:val="FFFFFF"/>
                <w:sz w:val="16"/>
                <w:szCs w:val="16"/>
              </w:rPr>
            </w:pPr>
            <w:r w:rsidRPr="009C5A20">
              <w:rPr>
                <w:rFonts w:ascii="UWV Werk" w:hAnsi="UWV Werk" w:eastAsia="Times New Roman" w:cs="Times New Roman"/>
                <w:b/>
                <w:bCs/>
                <w:color w:val="FFFFFF"/>
                <w:sz w:val="16"/>
                <w:szCs w:val="16"/>
              </w:rPr>
              <w:t>2024</w:t>
            </w:r>
          </w:p>
        </w:tc>
        <w:tc>
          <w:tcPr>
            <w:tcW w:w="985" w:type="dxa"/>
            <w:tcBorders>
              <w:top w:val="single" w:color="0078D2" w:sz="4" w:space="0"/>
              <w:left w:val="nil"/>
              <w:bottom w:val="single" w:color="0078D2" w:sz="4" w:space="0"/>
              <w:right w:val="nil"/>
            </w:tcBorders>
            <w:shd w:val="clear" w:color="000000" w:fill="0078D2"/>
            <w:hideMark/>
          </w:tcPr>
          <w:p w:rsidRPr="009C5A20" w:rsidR="001076DB" w:rsidP="008439ED" w:rsidRDefault="001076DB" w14:paraId="74A6675E" w14:textId="77777777">
            <w:pPr>
              <w:spacing w:line="240" w:lineRule="auto"/>
              <w:jc w:val="right"/>
              <w:rPr>
                <w:rFonts w:ascii="UWV Werk" w:hAnsi="UWV Werk" w:eastAsia="Times New Roman" w:cs="Times New Roman"/>
                <w:b/>
                <w:bCs/>
                <w:color w:val="FFFFFF"/>
                <w:sz w:val="16"/>
                <w:szCs w:val="16"/>
              </w:rPr>
            </w:pPr>
            <w:r w:rsidRPr="009C5A20">
              <w:rPr>
                <w:rFonts w:ascii="UWV Werk" w:hAnsi="UWV Werk" w:eastAsia="Times New Roman" w:cs="Times New Roman"/>
                <w:b/>
                <w:bCs/>
                <w:color w:val="FFFFFF"/>
                <w:sz w:val="16"/>
                <w:szCs w:val="16"/>
              </w:rPr>
              <w:t>2025</w:t>
            </w:r>
          </w:p>
        </w:tc>
      </w:tr>
      <w:tr w:rsidRPr="009C5A20" w:rsidR="001076DB" w:rsidTr="008439ED" w14:paraId="63AD3CB6" w14:textId="77777777">
        <w:trPr>
          <w:trHeight w:val="240"/>
        </w:trPr>
        <w:tc>
          <w:tcPr>
            <w:tcW w:w="4167" w:type="dxa"/>
            <w:tcBorders>
              <w:top w:val="nil"/>
              <w:left w:val="nil"/>
              <w:bottom w:val="single" w:color="0078D2" w:sz="4" w:space="0"/>
              <w:right w:val="nil"/>
            </w:tcBorders>
            <w:shd w:val="clear" w:color="000000" w:fill="FFFFFF"/>
            <w:vAlign w:val="center"/>
            <w:hideMark/>
          </w:tcPr>
          <w:p w:rsidRPr="009C5A20" w:rsidR="001076DB" w:rsidP="008439ED" w:rsidRDefault="001076DB" w14:paraId="42EA0B3D" w14:textId="77777777">
            <w:pPr>
              <w:spacing w:line="240" w:lineRule="auto"/>
              <w:rPr>
                <w:rFonts w:ascii="UWV Werk" w:hAnsi="UWV Werk" w:eastAsia="Times New Roman" w:cs="Times New Roman"/>
                <w:b/>
                <w:bCs/>
                <w:color w:val="003282"/>
                <w:sz w:val="16"/>
                <w:szCs w:val="16"/>
              </w:rPr>
            </w:pPr>
            <w:r w:rsidRPr="009C5A20">
              <w:rPr>
                <w:rFonts w:ascii="UWV Werk" w:hAnsi="UWV Werk" w:eastAsia="Times New Roman" w:cs="Times New Roman"/>
                <w:b/>
                <w:bCs/>
                <w:color w:val="003282"/>
                <w:sz w:val="16"/>
                <w:szCs w:val="16"/>
              </w:rPr>
              <w:t xml:space="preserve">Totale instroom </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27BDF86E"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55.599</w:t>
            </w:r>
          </w:p>
        </w:tc>
        <w:tc>
          <w:tcPr>
            <w:tcW w:w="692" w:type="dxa"/>
            <w:tcBorders>
              <w:top w:val="nil"/>
              <w:left w:val="nil"/>
              <w:bottom w:val="single" w:color="0078D2" w:sz="4" w:space="0"/>
              <w:right w:val="nil"/>
            </w:tcBorders>
            <w:shd w:val="clear" w:color="000000" w:fill="FFFFFF"/>
            <w:vAlign w:val="center"/>
            <w:hideMark/>
          </w:tcPr>
          <w:p w:rsidRPr="009C5A20" w:rsidR="001076DB" w:rsidP="008439ED" w:rsidRDefault="001076DB" w14:paraId="3DF06290"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54.769</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4A01F68B"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59.581</w:t>
            </w:r>
          </w:p>
        </w:tc>
        <w:tc>
          <w:tcPr>
            <w:tcW w:w="692" w:type="dxa"/>
            <w:tcBorders>
              <w:top w:val="nil"/>
              <w:left w:val="nil"/>
              <w:bottom w:val="single" w:color="0078D2" w:sz="4" w:space="0"/>
              <w:right w:val="nil"/>
            </w:tcBorders>
            <w:shd w:val="clear" w:color="000000" w:fill="FFFFFF"/>
            <w:vAlign w:val="center"/>
            <w:hideMark/>
          </w:tcPr>
          <w:p w:rsidRPr="009C5A20" w:rsidR="001076DB" w:rsidP="008439ED" w:rsidRDefault="001076DB" w14:paraId="485C103B"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68.984</w:t>
            </w:r>
          </w:p>
        </w:tc>
        <w:tc>
          <w:tcPr>
            <w:tcW w:w="985" w:type="dxa"/>
            <w:tcBorders>
              <w:top w:val="nil"/>
              <w:left w:val="nil"/>
              <w:bottom w:val="single" w:color="0078D2" w:sz="4" w:space="0"/>
              <w:right w:val="nil"/>
            </w:tcBorders>
            <w:shd w:val="clear" w:color="000000" w:fill="F5F5F5"/>
            <w:vAlign w:val="center"/>
            <w:hideMark/>
          </w:tcPr>
          <w:p w:rsidRPr="009C5A20" w:rsidR="001076DB" w:rsidP="008439ED" w:rsidRDefault="001076DB" w14:paraId="0EE78A31"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71.239</w:t>
            </w:r>
          </w:p>
        </w:tc>
      </w:tr>
      <w:tr w:rsidRPr="009C5A20" w:rsidR="001076DB" w:rsidTr="008439ED" w14:paraId="613AF363" w14:textId="77777777">
        <w:trPr>
          <w:trHeight w:val="240"/>
        </w:trPr>
        <w:tc>
          <w:tcPr>
            <w:tcW w:w="4167" w:type="dxa"/>
            <w:tcBorders>
              <w:top w:val="nil"/>
              <w:left w:val="nil"/>
              <w:bottom w:val="single" w:color="0078D2" w:sz="4" w:space="0"/>
              <w:right w:val="nil"/>
            </w:tcBorders>
            <w:shd w:val="clear" w:color="000000" w:fill="FFFFFF"/>
            <w:vAlign w:val="center"/>
            <w:hideMark/>
          </w:tcPr>
          <w:p w:rsidRPr="009C5A20" w:rsidR="001076DB" w:rsidP="008439ED" w:rsidRDefault="001076DB" w14:paraId="07FEF3D4" w14:textId="77777777">
            <w:pPr>
              <w:spacing w:line="240" w:lineRule="auto"/>
              <w:rPr>
                <w:rFonts w:ascii="UWV Werk" w:hAnsi="UWV Werk" w:eastAsia="Times New Roman" w:cs="Times New Roman"/>
                <w:b/>
                <w:bCs/>
                <w:color w:val="003282"/>
                <w:sz w:val="16"/>
                <w:szCs w:val="16"/>
              </w:rPr>
            </w:pPr>
            <w:r w:rsidRPr="009C5A20">
              <w:rPr>
                <w:rFonts w:ascii="UWV Werk" w:hAnsi="UWV Werk" w:eastAsia="Times New Roman" w:cs="Times New Roman"/>
                <w:b/>
                <w:bCs/>
                <w:color w:val="003282"/>
                <w:sz w:val="16"/>
                <w:szCs w:val="16"/>
              </w:rPr>
              <w:t>W</w:t>
            </w:r>
            <w:r>
              <w:rPr>
                <w:rFonts w:ascii="UWV Werk" w:hAnsi="UWV Werk" w:eastAsia="Times New Roman" w:cs="Times New Roman"/>
                <w:b/>
                <w:bCs/>
                <w:color w:val="003282"/>
                <w:sz w:val="16"/>
                <w:szCs w:val="16"/>
              </w:rPr>
              <w:t>aarvan</w:t>
            </w:r>
            <w:r w:rsidRPr="009C5A20">
              <w:rPr>
                <w:rFonts w:ascii="UWV Werk" w:hAnsi="UWV Werk" w:eastAsia="Times New Roman" w:cs="Times New Roman"/>
                <w:b/>
                <w:bCs/>
                <w:color w:val="003282"/>
                <w:sz w:val="16"/>
                <w:szCs w:val="16"/>
              </w:rPr>
              <w:t xml:space="preserve"> vrouwen 30</w:t>
            </w:r>
            <w:r>
              <w:rPr>
                <w:rFonts w:ascii="UWV Werk" w:hAnsi="UWV Werk" w:eastAsia="Times New Roman" w:cs="Times New Roman"/>
                <w:b/>
                <w:bCs/>
                <w:color w:val="003282"/>
                <w:sz w:val="16"/>
                <w:szCs w:val="16"/>
              </w:rPr>
              <w:t>-39</w:t>
            </w:r>
            <w:r w:rsidRPr="009C5A20">
              <w:rPr>
                <w:rFonts w:ascii="UWV Werk" w:hAnsi="UWV Werk" w:eastAsia="Times New Roman" w:cs="Times New Roman"/>
                <w:b/>
                <w:bCs/>
                <w:color w:val="003282"/>
                <w:sz w:val="16"/>
                <w:szCs w:val="16"/>
              </w:rPr>
              <w:t xml:space="preserve"> jaar </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5ADCBA18"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6.214</w:t>
            </w:r>
          </w:p>
        </w:tc>
        <w:tc>
          <w:tcPr>
            <w:tcW w:w="692" w:type="dxa"/>
            <w:tcBorders>
              <w:top w:val="nil"/>
              <w:left w:val="nil"/>
              <w:bottom w:val="single" w:color="0078D2" w:sz="4" w:space="0"/>
              <w:right w:val="nil"/>
            </w:tcBorders>
            <w:shd w:val="clear" w:color="000000" w:fill="FFFFFF"/>
            <w:vAlign w:val="center"/>
            <w:hideMark/>
          </w:tcPr>
          <w:p w:rsidRPr="009C5A20" w:rsidR="001076DB" w:rsidP="008439ED" w:rsidRDefault="001076DB" w14:paraId="60DC1FC1"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6.303</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77BB24AC"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6.867</w:t>
            </w:r>
          </w:p>
        </w:tc>
        <w:tc>
          <w:tcPr>
            <w:tcW w:w="692" w:type="dxa"/>
            <w:tcBorders>
              <w:top w:val="nil"/>
              <w:left w:val="nil"/>
              <w:bottom w:val="single" w:color="0078D2" w:sz="4" w:space="0"/>
              <w:right w:val="nil"/>
            </w:tcBorders>
            <w:shd w:val="clear" w:color="000000" w:fill="FFFFFF"/>
            <w:vAlign w:val="center"/>
            <w:hideMark/>
          </w:tcPr>
          <w:p w:rsidRPr="009C5A20" w:rsidR="001076DB" w:rsidP="008439ED" w:rsidRDefault="001076DB" w14:paraId="617ADA76"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8.676</w:t>
            </w:r>
          </w:p>
        </w:tc>
        <w:tc>
          <w:tcPr>
            <w:tcW w:w="985" w:type="dxa"/>
            <w:tcBorders>
              <w:top w:val="nil"/>
              <w:left w:val="nil"/>
              <w:bottom w:val="single" w:color="0078D2" w:sz="4" w:space="0"/>
              <w:right w:val="nil"/>
            </w:tcBorders>
            <w:shd w:val="clear" w:color="000000" w:fill="F5F5F5"/>
            <w:vAlign w:val="center"/>
            <w:hideMark/>
          </w:tcPr>
          <w:p w:rsidRPr="009C5A20" w:rsidR="001076DB" w:rsidP="008439ED" w:rsidRDefault="001076DB" w14:paraId="411BC3FF"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9.513</w:t>
            </w:r>
          </w:p>
        </w:tc>
      </w:tr>
      <w:tr w:rsidRPr="009C5A20" w:rsidR="001076DB" w:rsidTr="008439ED" w14:paraId="66F3170E" w14:textId="77777777">
        <w:trPr>
          <w:trHeight w:val="240"/>
        </w:trPr>
        <w:tc>
          <w:tcPr>
            <w:tcW w:w="4167" w:type="dxa"/>
            <w:tcBorders>
              <w:top w:val="nil"/>
              <w:left w:val="nil"/>
              <w:bottom w:val="single" w:color="0078D2" w:sz="4" w:space="0"/>
              <w:right w:val="nil"/>
            </w:tcBorders>
            <w:shd w:val="clear" w:color="000000" w:fill="FFFFFF"/>
            <w:vAlign w:val="center"/>
            <w:hideMark/>
          </w:tcPr>
          <w:p w:rsidRPr="009C5A20" w:rsidR="001076DB" w:rsidP="008439ED" w:rsidRDefault="001076DB" w14:paraId="2D98106E" w14:textId="77777777">
            <w:pPr>
              <w:spacing w:line="240" w:lineRule="auto"/>
              <w:rPr>
                <w:rFonts w:ascii="UWV Werk" w:hAnsi="UWV Werk" w:eastAsia="Times New Roman" w:cs="Times New Roman"/>
                <w:b/>
                <w:bCs/>
                <w:color w:val="003282"/>
                <w:sz w:val="16"/>
                <w:szCs w:val="16"/>
              </w:rPr>
            </w:pPr>
            <w:r w:rsidRPr="009C5A20">
              <w:rPr>
                <w:rFonts w:ascii="UWV Werk" w:hAnsi="UWV Werk" w:eastAsia="Times New Roman" w:cs="Times New Roman"/>
                <w:b/>
                <w:bCs/>
                <w:color w:val="003282"/>
                <w:sz w:val="16"/>
                <w:szCs w:val="16"/>
              </w:rPr>
              <w:t>Instroom Vrouwen 30</w:t>
            </w:r>
            <w:r>
              <w:rPr>
                <w:rFonts w:ascii="UWV Werk" w:hAnsi="UWV Werk" w:eastAsia="Times New Roman" w:cs="Times New Roman"/>
                <w:b/>
                <w:bCs/>
                <w:color w:val="003282"/>
                <w:sz w:val="16"/>
                <w:szCs w:val="16"/>
              </w:rPr>
              <w:t>-39</w:t>
            </w:r>
            <w:r w:rsidRPr="009C5A20">
              <w:rPr>
                <w:rFonts w:ascii="UWV Werk" w:hAnsi="UWV Werk" w:eastAsia="Times New Roman" w:cs="Times New Roman"/>
                <w:b/>
                <w:bCs/>
                <w:color w:val="003282"/>
                <w:sz w:val="16"/>
                <w:szCs w:val="16"/>
              </w:rPr>
              <w:t xml:space="preserve"> jaar als % van totale instroom</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3DBB2247"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11%</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4F1EE139"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12%</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6EB322F8"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12%</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69516712"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13%</w:t>
            </w:r>
          </w:p>
        </w:tc>
        <w:tc>
          <w:tcPr>
            <w:tcW w:w="985" w:type="dxa"/>
            <w:tcBorders>
              <w:top w:val="nil"/>
              <w:left w:val="nil"/>
              <w:bottom w:val="single" w:color="0078D2" w:sz="4" w:space="0"/>
              <w:right w:val="nil"/>
            </w:tcBorders>
            <w:shd w:val="clear" w:color="000000" w:fill="F5F5F5"/>
            <w:vAlign w:val="center"/>
            <w:hideMark/>
          </w:tcPr>
          <w:p w:rsidRPr="009C5A20" w:rsidR="001076DB" w:rsidP="008439ED" w:rsidRDefault="001076DB" w14:paraId="72EC1BCA"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13%</w:t>
            </w:r>
          </w:p>
        </w:tc>
      </w:tr>
      <w:tr w:rsidRPr="009C5A20" w:rsidR="001076DB" w:rsidTr="008439ED" w14:paraId="4D40722C" w14:textId="77777777">
        <w:trPr>
          <w:trHeight w:val="240"/>
        </w:trPr>
        <w:tc>
          <w:tcPr>
            <w:tcW w:w="4167" w:type="dxa"/>
            <w:tcBorders>
              <w:top w:val="nil"/>
              <w:left w:val="nil"/>
              <w:bottom w:val="single" w:color="0078D2" w:sz="4" w:space="0"/>
              <w:right w:val="nil"/>
            </w:tcBorders>
            <w:shd w:val="clear" w:color="000000" w:fill="FFFFFF"/>
            <w:vAlign w:val="center"/>
            <w:hideMark/>
          </w:tcPr>
          <w:p w:rsidRPr="009C5A20" w:rsidR="001076DB" w:rsidP="008439ED" w:rsidRDefault="001076DB" w14:paraId="16C86BE6" w14:textId="77777777">
            <w:pPr>
              <w:spacing w:line="240" w:lineRule="auto"/>
              <w:rPr>
                <w:rFonts w:ascii="UWV Werk" w:hAnsi="UWV Werk" w:eastAsia="Times New Roman" w:cs="Times New Roman"/>
                <w:b/>
                <w:bCs/>
                <w:color w:val="003282"/>
                <w:sz w:val="16"/>
                <w:szCs w:val="16"/>
              </w:rPr>
            </w:pPr>
            <w:r w:rsidRPr="009C5A20">
              <w:rPr>
                <w:rFonts w:ascii="UWV Werk" w:hAnsi="UWV Werk" w:eastAsia="Times New Roman" w:cs="Times New Roman"/>
                <w:b/>
                <w:bCs/>
                <w:color w:val="003282"/>
                <w:sz w:val="16"/>
                <w:szCs w:val="16"/>
              </w:rPr>
              <w:t> </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21E01B0B"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 </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2D7A2939"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 </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428C3A56"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 </w:t>
            </w:r>
          </w:p>
        </w:tc>
        <w:tc>
          <w:tcPr>
            <w:tcW w:w="692" w:type="dxa"/>
            <w:tcBorders>
              <w:top w:val="nil"/>
              <w:left w:val="nil"/>
              <w:bottom w:val="single" w:color="0078D2" w:sz="4" w:space="0"/>
              <w:right w:val="nil"/>
            </w:tcBorders>
            <w:shd w:val="clear" w:color="000000" w:fill="F5F5F5"/>
            <w:vAlign w:val="center"/>
            <w:hideMark/>
          </w:tcPr>
          <w:p w:rsidRPr="009C5A20" w:rsidR="001076DB" w:rsidP="008439ED" w:rsidRDefault="001076DB" w14:paraId="18A6CBC9"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 </w:t>
            </w:r>
          </w:p>
        </w:tc>
        <w:tc>
          <w:tcPr>
            <w:tcW w:w="985" w:type="dxa"/>
            <w:tcBorders>
              <w:top w:val="nil"/>
              <w:left w:val="nil"/>
              <w:bottom w:val="single" w:color="0078D2" w:sz="4" w:space="0"/>
              <w:right w:val="nil"/>
            </w:tcBorders>
            <w:shd w:val="clear" w:color="000000" w:fill="F5F5F5"/>
            <w:vAlign w:val="center"/>
            <w:hideMark/>
          </w:tcPr>
          <w:p w:rsidRPr="009C5A20" w:rsidR="001076DB" w:rsidP="008439ED" w:rsidRDefault="001076DB" w14:paraId="51E4AFFE" w14:textId="77777777">
            <w:pPr>
              <w:spacing w:line="240" w:lineRule="auto"/>
              <w:jc w:val="right"/>
              <w:rPr>
                <w:rFonts w:ascii="UWV Werk" w:hAnsi="UWV Werk" w:eastAsia="Times New Roman" w:cs="Times New Roman"/>
                <w:sz w:val="16"/>
                <w:szCs w:val="16"/>
              </w:rPr>
            </w:pPr>
            <w:r w:rsidRPr="009C5A20">
              <w:rPr>
                <w:rFonts w:ascii="UWV Werk" w:hAnsi="UWV Werk" w:eastAsia="Times New Roman" w:cs="Times New Roman"/>
                <w:sz w:val="16"/>
                <w:szCs w:val="16"/>
              </w:rPr>
              <w:t> </w:t>
            </w:r>
          </w:p>
        </w:tc>
      </w:tr>
      <w:tr w:rsidRPr="009C5A20" w:rsidR="001076DB" w:rsidTr="008439ED" w14:paraId="7B65C502" w14:textId="77777777">
        <w:trPr>
          <w:trHeight w:val="240"/>
        </w:trPr>
        <w:tc>
          <w:tcPr>
            <w:tcW w:w="4167" w:type="dxa"/>
            <w:tcBorders>
              <w:top w:val="nil"/>
              <w:left w:val="nil"/>
              <w:bottom w:val="single" w:color="0078D2" w:sz="4" w:space="0"/>
              <w:right w:val="nil"/>
            </w:tcBorders>
            <w:shd w:val="clear" w:color="000000" w:fill="FFFFFF"/>
            <w:vAlign w:val="center"/>
            <w:hideMark/>
          </w:tcPr>
          <w:p w:rsidRPr="00520366" w:rsidR="001076DB" w:rsidP="008439ED" w:rsidRDefault="001076DB" w14:paraId="3C68E617" w14:textId="77777777">
            <w:pPr>
              <w:spacing w:line="240" w:lineRule="auto"/>
              <w:rPr>
                <w:rFonts w:ascii="UWV Werk" w:hAnsi="UWV Werk" w:eastAsia="Times New Roman" w:cs="Times New Roman"/>
                <w:b/>
                <w:bCs/>
                <w:sz w:val="16"/>
                <w:szCs w:val="16"/>
              </w:rPr>
            </w:pPr>
            <w:r w:rsidRPr="00520366">
              <w:rPr>
                <w:rFonts w:ascii="UWV Werk" w:hAnsi="UWV Werk" w:eastAsia="Times New Roman" w:cs="Times New Roman"/>
                <w:b/>
                <w:bCs/>
                <w:sz w:val="16"/>
                <w:szCs w:val="16"/>
              </w:rPr>
              <w:t>Instroom Vrouwen 3</w:t>
            </w:r>
            <w:r>
              <w:rPr>
                <w:rFonts w:ascii="UWV Werk" w:hAnsi="UWV Werk" w:eastAsia="Times New Roman" w:cs="Times New Roman"/>
                <w:b/>
                <w:bCs/>
                <w:sz w:val="16"/>
                <w:szCs w:val="16"/>
              </w:rPr>
              <w:t>0</w:t>
            </w:r>
            <w:r w:rsidRPr="00520366">
              <w:rPr>
                <w:rFonts w:ascii="UWV Werk" w:hAnsi="UWV Werk" w:eastAsia="Times New Roman" w:cs="Times New Roman"/>
                <w:b/>
                <w:bCs/>
                <w:sz w:val="16"/>
                <w:szCs w:val="16"/>
              </w:rPr>
              <w:t>-39 jaar als % van verzekerden</w:t>
            </w:r>
          </w:p>
        </w:tc>
        <w:tc>
          <w:tcPr>
            <w:tcW w:w="692" w:type="dxa"/>
            <w:tcBorders>
              <w:top w:val="nil"/>
              <w:left w:val="nil"/>
              <w:bottom w:val="single" w:color="0078D2" w:sz="4" w:space="0"/>
              <w:right w:val="nil"/>
            </w:tcBorders>
            <w:shd w:val="clear" w:color="000000" w:fill="F5F5F5"/>
            <w:vAlign w:val="center"/>
            <w:hideMark/>
          </w:tcPr>
          <w:p w:rsidRPr="00520366" w:rsidR="001076DB" w:rsidP="008439ED" w:rsidRDefault="001076DB" w14:paraId="1F4FCD9C" w14:textId="77777777">
            <w:pPr>
              <w:spacing w:line="240" w:lineRule="auto"/>
              <w:jc w:val="right"/>
              <w:rPr>
                <w:rFonts w:ascii="UWV Werk" w:hAnsi="UWV Werk" w:eastAsia="Times New Roman" w:cs="Times New Roman"/>
                <w:sz w:val="16"/>
                <w:szCs w:val="16"/>
              </w:rPr>
            </w:pPr>
            <w:r w:rsidRPr="00520366">
              <w:rPr>
                <w:rFonts w:ascii="UWV Werk" w:hAnsi="UWV Werk" w:eastAsia="Times New Roman" w:cs="Times New Roman"/>
                <w:sz w:val="16"/>
                <w:szCs w:val="16"/>
              </w:rPr>
              <w:t>0,7%</w:t>
            </w:r>
          </w:p>
        </w:tc>
        <w:tc>
          <w:tcPr>
            <w:tcW w:w="692" w:type="dxa"/>
            <w:tcBorders>
              <w:top w:val="nil"/>
              <w:left w:val="nil"/>
              <w:bottom w:val="single" w:color="0078D2" w:sz="4" w:space="0"/>
              <w:right w:val="nil"/>
            </w:tcBorders>
            <w:shd w:val="clear" w:color="000000" w:fill="F5F5F5"/>
            <w:vAlign w:val="center"/>
            <w:hideMark/>
          </w:tcPr>
          <w:p w:rsidRPr="00520366" w:rsidR="001076DB" w:rsidP="008439ED" w:rsidRDefault="001076DB" w14:paraId="538F9790" w14:textId="77777777">
            <w:pPr>
              <w:spacing w:line="240" w:lineRule="auto"/>
              <w:jc w:val="right"/>
              <w:rPr>
                <w:rFonts w:ascii="UWV Werk" w:hAnsi="UWV Werk" w:eastAsia="Times New Roman" w:cs="Times New Roman"/>
                <w:sz w:val="16"/>
                <w:szCs w:val="16"/>
              </w:rPr>
            </w:pPr>
            <w:r w:rsidRPr="00520366">
              <w:rPr>
                <w:rFonts w:ascii="UWV Werk" w:hAnsi="UWV Werk" w:eastAsia="Times New Roman" w:cs="Times New Roman"/>
                <w:sz w:val="16"/>
                <w:szCs w:val="16"/>
              </w:rPr>
              <w:t>0,</w:t>
            </w:r>
            <w:r>
              <w:rPr>
                <w:rFonts w:ascii="UWV Werk" w:hAnsi="UWV Werk" w:eastAsia="Times New Roman" w:cs="Times New Roman"/>
                <w:sz w:val="16"/>
                <w:szCs w:val="16"/>
              </w:rPr>
              <w:t>6</w:t>
            </w:r>
            <w:r w:rsidRPr="00520366">
              <w:rPr>
                <w:rFonts w:ascii="UWV Werk" w:hAnsi="UWV Werk" w:eastAsia="Times New Roman" w:cs="Times New Roman"/>
                <w:sz w:val="16"/>
                <w:szCs w:val="16"/>
              </w:rPr>
              <w:t>%</w:t>
            </w:r>
          </w:p>
        </w:tc>
        <w:tc>
          <w:tcPr>
            <w:tcW w:w="692" w:type="dxa"/>
            <w:tcBorders>
              <w:top w:val="nil"/>
              <w:left w:val="nil"/>
              <w:bottom w:val="single" w:color="0078D2" w:sz="4" w:space="0"/>
              <w:right w:val="nil"/>
            </w:tcBorders>
            <w:shd w:val="clear" w:color="000000" w:fill="F5F5F5"/>
            <w:vAlign w:val="center"/>
            <w:hideMark/>
          </w:tcPr>
          <w:p w:rsidRPr="00520366" w:rsidR="001076DB" w:rsidP="008439ED" w:rsidRDefault="001076DB" w14:paraId="46B64A80" w14:textId="77777777">
            <w:pPr>
              <w:spacing w:line="240" w:lineRule="auto"/>
              <w:jc w:val="right"/>
              <w:rPr>
                <w:rFonts w:ascii="UWV Werk" w:hAnsi="UWV Werk" w:eastAsia="Times New Roman" w:cs="Times New Roman"/>
                <w:sz w:val="16"/>
                <w:szCs w:val="16"/>
              </w:rPr>
            </w:pPr>
            <w:r w:rsidRPr="00520366">
              <w:rPr>
                <w:rFonts w:ascii="UWV Werk" w:hAnsi="UWV Werk" w:eastAsia="Times New Roman" w:cs="Times New Roman"/>
                <w:sz w:val="16"/>
                <w:szCs w:val="16"/>
              </w:rPr>
              <w:t>0,7%</w:t>
            </w:r>
          </w:p>
        </w:tc>
        <w:tc>
          <w:tcPr>
            <w:tcW w:w="692" w:type="dxa"/>
            <w:tcBorders>
              <w:top w:val="nil"/>
              <w:left w:val="nil"/>
              <w:bottom w:val="single" w:color="0078D2" w:sz="4" w:space="0"/>
              <w:right w:val="nil"/>
            </w:tcBorders>
            <w:shd w:val="clear" w:color="000000" w:fill="F5F5F5"/>
            <w:vAlign w:val="center"/>
            <w:hideMark/>
          </w:tcPr>
          <w:p w:rsidRPr="00520366" w:rsidR="001076DB" w:rsidP="008439ED" w:rsidRDefault="001076DB" w14:paraId="5A54EC83" w14:textId="77777777">
            <w:pPr>
              <w:spacing w:line="240" w:lineRule="auto"/>
              <w:jc w:val="right"/>
              <w:rPr>
                <w:rFonts w:ascii="UWV Werk" w:hAnsi="UWV Werk" w:eastAsia="Times New Roman" w:cs="Times New Roman"/>
                <w:sz w:val="16"/>
                <w:szCs w:val="16"/>
              </w:rPr>
            </w:pPr>
            <w:r w:rsidRPr="00520366">
              <w:rPr>
                <w:rFonts w:ascii="UWV Werk" w:hAnsi="UWV Werk" w:eastAsia="Times New Roman" w:cs="Times New Roman"/>
                <w:sz w:val="16"/>
                <w:szCs w:val="16"/>
              </w:rPr>
              <w:t>0,9%</w:t>
            </w:r>
          </w:p>
        </w:tc>
        <w:tc>
          <w:tcPr>
            <w:tcW w:w="985" w:type="dxa"/>
            <w:tcBorders>
              <w:top w:val="nil"/>
              <w:left w:val="nil"/>
              <w:bottom w:val="single" w:color="0078D2" w:sz="4" w:space="0"/>
              <w:right w:val="nil"/>
            </w:tcBorders>
            <w:shd w:val="clear" w:color="000000" w:fill="F5F5F5"/>
            <w:vAlign w:val="center"/>
            <w:hideMark/>
          </w:tcPr>
          <w:p w:rsidRPr="00DC728E" w:rsidR="001076DB" w:rsidP="008439ED" w:rsidRDefault="001076DB" w14:paraId="07023988" w14:textId="77777777">
            <w:pPr>
              <w:spacing w:line="240" w:lineRule="auto"/>
              <w:jc w:val="right"/>
              <w:rPr>
                <w:rFonts w:ascii="UWV Werk" w:hAnsi="UWV Werk" w:eastAsia="Times New Roman" w:cs="Times New Roman"/>
                <w:color w:val="FF0000"/>
                <w:sz w:val="16"/>
                <w:szCs w:val="16"/>
              </w:rPr>
            </w:pPr>
            <w:r w:rsidRPr="006A4300">
              <w:rPr>
                <w:rFonts w:ascii="UWV Werk" w:hAnsi="UWV Werk" w:eastAsia="Times New Roman" w:cs="Times New Roman"/>
                <w:sz w:val="16"/>
                <w:szCs w:val="16"/>
              </w:rPr>
              <w:t>0,9%</w:t>
            </w:r>
            <w:r w:rsidRPr="00DC728E">
              <w:rPr>
                <w:rFonts w:ascii="UWV Werk" w:hAnsi="UWV Werk" w:eastAsia="Times New Roman" w:cs="Times New Roman"/>
                <w:color w:val="FF0000"/>
                <w:sz w:val="16"/>
                <w:szCs w:val="16"/>
              </w:rPr>
              <w:t> </w:t>
            </w:r>
          </w:p>
        </w:tc>
      </w:tr>
    </w:tbl>
    <w:p w:rsidRPr="0056285B" w:rsidR="001076DB" w:rsidP="001076DB" w:rsidRDefault="001076DB" w14:paraId="0A43DD2F" w14:textId="77777777">
      <w:pPr>
        <w:pStyle w:val="Geenafstand"/>
        <w:rPr>
          <w:rFonts w:ascii="Verdana" w:hAnsi="Verdana"/>
          <w:sz w:val="16"/>
          <w:szCs w:val="16"/>
        </w:rPr>
      </w:pPr>
      <w:r w:rsidRPr="0056285B">
        <w:rPr>
          <w:rFonts w:ascii="Verdana" w:hAnsi="Verdana"/>
          <w:sz w:val="16"/>
          <w:szCs w:val="16"/>
        </w:rPr>
        <w:t>Bron: UWV</w:t>
      </w:r>
    </w:p>
    <w:p w:rsidR="001076DB" w:rsidP="001076DB" w:rsidRDefault="001076DB" w14:paraId="68890680" w14:textId="77777777">
      <w:pPr>
        <w:pStyle w:val="Geenafstand"/>
        <w:rPr>
          <w:rFonts w:ascii="Verdana" w:hAnsi="Verdana"/>
          <w:sz w:val="18"/>
          <w:szCs w:val="18"/>
        </w:rPr>
      </w:pPr>
    </w:p>
    <w:p w:rsidR="001076DB" w:rsidP="001076DB" w:rsidRDefault="001076DB" w14:paraId="6BCB3FB4" w14:textId="77777777">
      <w:pPr>
        <w:pStyle w:val="Geenafstand"/>
        <w:rPr>
          <w:rFonts w:ascii="Verdana" w:hAnsi="Verdana"/>
          <w:sz w:val="18"/>
          <w:szCs w:val="18"/>
        </w:rPr>
      </w:pPr>
      <w:r w:rsidRPr="00D902F2">
        <w:rPr>
          <w:rFonts w:ascii="Verdana" w:hAnsi="Verdana"/>
          <w:sz w:val="18"/>
          <w:szCs w:val="18"/>
        </w:rPr>
        <w:t>Onderstaande tabel toont over de periode 2021-2025 de totale instroom in de Ziektewet, de instroom van het aantal vrouwen in de Ziektewet in de leeftijdsgroep 30 t/m 39 jaar en dit aandeel vrouwen uitgedrukt als percentage van de totale instroom.</w:t>
      </w:r>
    </w:p>
    <w:p w:rsidRPr="00D902F2" w:rsidR="001076DB" w:rsidP="001076DB" w:rsidRDefault="001076DB" w14:paraId="6F57C91C" w14:textId="77777777">
      <w:pPr>
        <w:pStyle w:val="Geenafstand"/>
        <w:rPr>
          <w:rFonts w:ascii="Verdana" w:hAnsi="Verdana"/>
          <w:sz w:val="18"/>
          <w:szCs w:val="18"/>
        </w:rPr>
      </w:pPr>
    </w:p>
    <w:tbl>
      <w:tblPr>
        <w:tblW w:w="7920" w:type="dxa"/>
        <w:tblCellMar>
          <w:left w:w="70" w:type="dxa"/>
          <w:right w:w="70" w:type="dxa"/>
        </w:tblCellMar>
        <w:tblLook w:val="04A0" w:firstRow="1" w:lastRow="0" w:firstColumn="1" w:lastColumn="0" w:noHBand="0" w:noVBand="1"/>
      </w:tblPr>
      <w:tblGrid>
        <w:gridCol w:w="4420"/>
        <w:gridCol w:w="700"/>
        <w:gridCol w:w="700"/>
        <w:gridCol w:w="700"/>
        <w:gridCol w:w="700"/>
        <w:gridCol w:w="700"/>
      </w:tblGrid>
      <w:tr w:rsidRPr="00D43387" w:rsidR="001076DB" w:rsidTr="008439ED" w14:paraId="44C790EE" w14:textId="77777777">
        <w:trPr>
          <w:trHeight w:val="240"/>
        </w:trPr>
        <w:tc>
          <w:tcPr>
            <w:tcW w:w="4420" w:type="dxa"/>
            <w:tcBorders>
              <w:top w:val="single" w:color="0078D2" w:sz="4" w:space="0"/>
              <w:left w:val="nil"/>
              <w:bottom w:val="single" w:color="0078D2" w:sz="4" w:space="0"/>
              <w:right w:val="nil"/>
            </w:tcBorders>
            <w:shd w:val="clear" w:color="000000" w:fill="0078D2"/>
            <w:hideMark/>
          </w:tcPr>
          <w:p w:rsidRPr="00D43387" w:rsidR="001076DB" w:rsidP="008439ED" w:rsidRDefault="001076DB" w14:paraId="15CB2698" w14:textId="77777777">
            <w:pPr>
              <w:spacing w:line="240" w:lineRule="auto"/>
              <w:rPr>
                <w:rFonts w:ascii="UWV Werk" w:hAnsi="UWV Werk" w:eastAsia="Times New Roman" w:cs="Times New Roman"/>
                <w:b/>
                <w:bCs/>
                <w:color w:val="FFFFFF"/>
                <w:sz w:val="16"/>
                <w:szCs w:val="16"/>
              </w:rPr>
            </w:pPr>
            <w:r w:rsidRPr="00D43387">
              <w:rPr>
                <w:rFonts w:ascii="UWV Werk" w:hAnsi="UWV Werk" w:eastAsia="Times New Roman" w:cs="Times New Roman"/>
                <w:b/>
                <w:bCs/>
                <w:color w:val="FFFFFF"/>
                <w:sz w:val="16"/>
                <w:szCs w:val="16"/>
              </w:rPr>
              <w:t>Z</w:t>
            </w:r>
            <w:r>
              <w:rPr>
                <w:rFonts w:ascii="UWV Werk" w:hAnsi="UWV Werk" w:eastAsia="Times New Roman" w:cs="Times New Roman"/>
                <w:b/>
                <w:bCs/>
                <w:color w:val="FFFFFF"/>
                <w:sz w:val="16"/>
                <w:szCs w:val="16"/>
              </w:rPr>
              <w:t>iektewet</w:t>
            </w:r>
          </w:p>
        </w:tc>
        <w:tc>
          <w:tcPr>
            <w:tcW w:w="700" w:type="dxa"/>
            <w:tcBorders>
              <w:top w:val="single" w:color="0078D2" w:sz="4" w:space="0"/>
              <w:left w:val="nil"/>
              <w:bottom w:val="single" w:color="0078D2" w:sz="4" w:space="0"/>
              <w:right w:val="nil"/>
            </w:tcBorders>
            <w:shd w:val="clear" w:color="000000" w:fill="0078D2"/>
            <w:hideMark/>
          </w:tcPr>
          <w:p w:rsidRPr="00D43387" w:rsidR="001076DB" w:rsidP="008439ED" w:rsidRDefault="001076DB" w14:paraId="2D944C98" w14:textId="77777777">
            <w:pPr>
              <w:spacing w:line="240" w:lineRule="auto"/>
              <w:jc w:val="right"/>
              <w:rPr>
                <w:rFonts w:ascii="UWV Werk" w:hAnsi="UWV Werk" w:eastAsia="Times New Roman" w:cs="Times New Roman"/>
                <w:b/>
                <w:bCs/>
                <w:color w:val="FFFFFF"/>
                <w:sz w:val="16"/>
                <w:szCs w:val="16"/>
              </w:rPr>
            </w:pPr>
            <w:r w:rsidRPr="00D43387">
              <w:rPr>
                <w:rFonts w:ascii="UWV Werk" w:hAnsi="UWV Werk" w:eastAsia="Times New Roman" w:cs="Times New Roman"/>
                <w:b/>
                <w:bCs/>
                <w:color w:val="FFFFFF"/>
                <w:sz w:val="16"/>
                <w:szCs w:val="16"/>
              </w:rPr>
              <w:t>2021</w:t>
            </w:r>
          </w:p>
        </w:tc>
        <w:tc>
          <w:tcPr>
            <w:tcW w:w="700" w:type="dxa"/>
            <w:tcBorders>
              <w:top w:val="single" w:color="0078D2" w:sz="4" w:space="0"/>
              <w:left w:val="nil"/>
              <w:bottom w:val="single" w:color="0078D2" w:sz="4" w:space="0"/>
              <w:right w:val="nil"/>
            </w:tcBorders>
            <w:shd w:val="clear" w:color="000000" w:fill="0078D2"/>
            <w:hideMark/>
          </w:tcPr>
          <w:p w:rsidRPr="00D43387" w:rsidR="001076DB" w:rsidP="008439ED" w:rsidRDefault="001076DB" w14:paraId="2D4B1F9D" w14:textId="77777777">
            <w:pPr>
              <w:spacing w:line="240" w:lineRule="auto"/>
              <w:jc w:val="right"/>
              <w:rPr>
                <w:rFonts w:ascii="UWV Werk" w:hAnsi="UWV Werk" w:eastAsia="Times New Roman" w:cs="Times New Roman"/>
                <w:b/>
                <w:bCs/>
                <w:color w:val="FFFFFF"/>
                <w:sz w:val="16"/>
                <w:szCs w:val="16"/>
              </w:rPr>
            </w:pPr>
            <w:r w:rsidRPr="00D43387">
              <w:rPr>
                <w:rFonts w:ascii="UWV Werk" w:hAnsi="UWV Werk" w:eastAsia="Times New Roman" w:cs="Times New Roman"/>
                <w:b/>
                <w:bCs/>
                <w:color w:val="FFFFFF"/>
                <w:sz w:val="16"/>
                <w:szCs w:val="16"/>
              </w:rPr>
              <w:t>2022</w:t>
            </w:r>
          </w:p>
        </w:tc>
        <w:tc>
          <w:tcPr>
            <w:tcW w:w="700" w:type="dxa"/>
            <w:tcBorders>
              <w:top w:val="single" w:color="0078D2" w:sz="4" w:space="0"/>
              <w:left w:val="nil"/>
              <w:bottom w:val="single" w:color="0078D2" w:sz="4" w:space="0"/>
              <w:right w:val="nil"/>
            </w:tcBorders>
            <w:shd w:val="clear" w:color="000000" w:fill="0078D2"/>
            <w:hideMark/>
          </w:tcPr>
          <w:p w:rsidRPr="00D43387" w:rsidR="001076DB" w:rsidP="008439ED" w:rsidRDefault="001076DB" w14:paraId="36088CF2" w14:textId="77777777">
            <w:pPr>
              <w:spacing w:line="240" w:lineRule="auto"/>
              <w:jc w:val="right"/>
              <w:rPr>
                <w:rFonts w:ascii="UWV Werk" w:hAnsi="UWV Werk" w:eastAsia="Times New Roman" w:cs="Times New Roman"/>
                <w:b/>
                <w:bCs/>
                <w:color w:val="FFFFFF"/>
                <w:sz w:val="16"/>
                <w:szCs w:val="16"/>
              </w:rPr>
            </w:pPr>
            <w:r w:rsidRPr="00D43387">
              <w:rPr>
                <w:rFonts w:ascii="UWV Werk" w:hAnsi="UWV Werk" w:eastAsia="Times New Roman" w:cs="Times New Roman"/>
                <w:b/>
                <w:bCs/>
                <w:color w:val="FFFFFF"/>
                <w:sz w:val="16"/>
                <w:szCs w:val="16"/>
              </w:rPr>
              <w:t>2023</w:t>
            </w:r>
          </w:p>
        </w:tc>
        <w:tc>
          <w:tcPr>
            <w:tcW w:w="700" w:type="dxa"/>
            <w:tcBorders>
              <w:top w:val="single" w:color="0078D2" w:sz="4" w:space="0"/>
              <w:left w:val="nil"/>
              <w:bottom w:val="single" w:color="0078D2" w:sz="4" w:space="0"/>
              <w:right w:val="nil"/>
            </w:tcBorders>
            <w:shd w:val="clear" w:color="000000" w:fill="0078D2"/>
            <w:hideMark/>
          </w:tcPr>
          <w:p w:rsidRPr="00D43387" w:rsidR="001076DB" w:rsidP="008439ED" w:rsidRDefault="001076DB" w14:paraId="011401A0" w14:textId="77777777">
            <w:pPr>
              <w:spacing w:line="240" w:lineRule="auto"/>
              <w:jc w:val="right"/>
              <w:rPr>
                <w:rFonts w:ascii="UWV Werk" w:hAnsi="UWV Werk" w:eastAsia="Times New Roman" w:cs="Times New Roman"/>
                <w:b/>
                <w:bCs/>
                <w:color w:val="FFFFFF"/>
                <w:sz w:val="16"/>
                <w:szCs w:val="16"/>
              </w:rPr>
            </w:pPr>
            <w:r w:rsidRPr="00D43387">
              <w:rPr>
                <w:rFonts w:ascii="UWV Werk" w:hAnsi="UWV Werk" w:eastAsia="Times New Roman" w:cs="Times New Roman"/>
                <w:b/>
                <w:bCs/>
                <w:color w:val="FFFFFF"/>
                <w:sz w:val="16"/>
                <w:szCs w:val="16"/>
              </w:rPr>
              <w:t>2024</w:t>
            </w:r>
          </w:p>
        </w:tc>
        <w:tc>
          <w:tcPr>
            <w:tcW w:w="700" w:type="dxa"/>
            <w:tcBorders>
              <w:top w:val="single" w:color="0078D2" w:sz="4" w:space="0"/>
              <w:left w:val="nil"/>
              <w:bottom w:val="single" w:color="0078D2" w:sz="4" w:space="0"/>
              <w:right w:val="nil"/>
            </w:tcBorders>
            <w:shd w:val="clear" w:color="000000" w:fill="0078D2"/>
            <w:hideMark/>
          </w:tcPr>
          <w:p w:rsidRPr="00D43387" w:rsidR="001076DB" w:rsidP="008439ED" w:rsidRDefault="001076DB" w14:paraId="778F0534" w14:textId="77777777">
            <w:pPr>
              <w:spacing w:line="240" w:lineRule="auto"/>
              <w:jc w:val="right"/>
              <w:rPr>
                <w:rFonts w:ascii="UWV Werk" w:hAnsi="UWV Werk" w:eastAsia="Times New Roman" w:cs="Times New Roman"/>
                <w:b/>
                <w:bCs/>
                <w:color w:val="FFFFFF"/>
                <w:sz w:val="16"/>
                <w:szCs w:val="16"/>
              </w:rPr>
            </w:pPr>
            <w:r w:rsidRPr="00D43387">
              <w:rPr>
                <w:rFonts w:ascii="UWV Werk" w:hAnsi="UWV Werk" w:eastAsia="Times New Roman" w:cs="Times New Roman"/>
                <w:b/>
                <w:bCs/>
                <w:color w:val="FFFFFF"/>
                <w:sz w:val="16"/>
                <w:szCs w:val="16"/>
              </w:rPr>
              <w:t>2025</w:t>
            </w:r>
          </w:p>
        </w:tc>
      </w:tr>
      <w:tr w:rsidRPr="00D43387" w:rsidR="001076DB" w:rsidTr="008439ED" w14:paraId="5923A5D2" w14:textId="77777777">
        <w:trPr>
          <w:trHeight w:val="240"/>
        </w:trPr>
        <w:tc>
          <w:tcPr>
            <w:tcW w:w="4420" w:type="dxa"/>
            <w:tcBorders>
              <w:top w:val="nil"/>
              <w:left w:val="nil"/>
              <w:bottom w:val="single" w:color="0078D2" w:sz="4" w:space="0"/>
              <w:right w:val="nil"/>
            </w:tcBorders>
            <w:shd w:val="clear" w:color="000000" w:fill="FFFFFF"/>
            <w:vAlign w:val="center"/>
            <w:hideMark/>
          </w:tcPr>
          <w:p w:rsidRPr="00D43387" w:rsidR="001076DB" w:rsidP="008439ED" w:rsidRDefault="001076DB" w14:paraId="370FD533" w14:textId="77777777">
            <w:pPr>
              <w:spacing w:line="240" w:lineRule="auto"/>
              <w:rPr>
                <w:rFonts w:ascii="UWV Werk" w:hAnsi="UWV Werk" w:eastAsia="Times New Roman" w:cs="Times New Roman"/>
                <w:b/>
                <w:bCs/>
                <w:color w:val="003282"/>
                <w:sz w:val="16"/>
                <w:szCs w:val="16"/>
              </w:rPr>
            </w:pPr>
            <w:r w:rsidRPr="00D43387">
              <w:rPr>
                <w:rFonts w:ascii="UWV Werk" w:hAnsi="UWV Werk" w:eastAsia="Times New Roman" w:cs="Times New Roman"/>
                <w:b/>
                <w:bCs/>
                <w:color w:val="003282"/>
                <w:sz w:val="16"/>
                <w:szCs w:val="16"/>
              </w:rPr>
              <w:t>Totaal aantal toegekende ZW-uitkeringen</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7572DE17"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346.101</w:t>
            </w:r>
          </w:p>
        </w:tc>
        <w:tc>
          <w:tcPr>
            <w:tcW w:w="700" w:type="dxa"/>
            <w:tcBorders>
              <w:top w:val="nil"/>
              <w:left w:val="nil"/>
              <w:bottom w:val="single" w:color="0078D2" w:sz="4" w:space="0"/>
              <w:right w:val="nil"/>
            </w:tcBorders>
            <w:shd w:val="clear" w:color="000000" w:fill="FFFFFF"/>
            <w:vAlign w:val="center"/>
            <w:hideMark/>
          </w:tcPr>
          <w:p w:rsidRPr="00D43387" w:rsidR="001076DB" w:rsidP="008439ED" w:rsidRDefault="001076DB" w14:paraId="52BF0D05"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393.697</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06634B9E"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311.855</w:t>
            </w:r>
          </w:p>
        </w:tc>
        <w:tc>
          <w:tcPr>
            <w:tcW w:w="700" w:type="dxa"/>
            <w:tcBorders>
              <w:top w:val="nil"/>
              <w:left w:val="nil"/>
              <w:bottom w:val="single" w:color="0078D2" w:sz="4" w:space="0"/>
              <w:right w:val="nil"/>
            </w:tcBorders>
            <w:shd w:val="clear" w:color="000000" w:fill="FFFFFF"/>
            <w:vAlign w:val="center"/>
            <w:hideMark/>
          </w:tcPr>
          <w:p w:rsidRPr="00D43387" w:rsidR="001076DB" w:rsidP="008439ED" w:rsidRDefault="001076DB" w14:paraId="2A5894DD"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324.241</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2353990F"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343.907</w:t>
            </w:r>
          </w:p>
        </w:tc>
      </w:tr>
      <w:tr w:rsidRPr="00D43387" w:rsidR="001076DB" w:rsidTr="008439ED" w14:paraId="0D074B5F" w14:textId="77777777">
        <w:trPr>
          <w:trHeight w:val="240"/>
        </w:trPr>
        <w:tc>
          <w:tcPr>
            <w:tcW w:w="4420" w:type="dxa"/>
            <w:tcBorders>
              <w:top w:val="nil"/>
              <w:left w:val="nil"/>
              <w:bottom w:val="single" w:color="0078D2" w:sz="4" w:space="0"/>
              <w:right w:val="nil"/>
            </w:tcBorders>
            <w:shd w:val="clear" w:color="000000" w:fill="FFFFFF"/>
            <w:vAlign w:val="center"/>
            <w:hideMark/>
          </w:tcPr>
          <w:p w:rsidRPr="00D43387" w:rsidR="001076DB" w:rsidP="008439ED" w:rsidRDefault="001076DB" w14:paraId="479D4D2B" w14:textId="77777777">
            <w:pPr>
              <w:spacing w:line="240" w:lineRule="auto"/>
              <w:rPr>
                <w:rFonts w:ascii="UWV Werk" w:hAnsi="UWV Werk" w:eastAsia="Times New Roman" w:cs="Times New Roman"/>
                <w:b/>
                <w:bCs/>
                <w:color w:val="003282"/>
                <w:sz w:val="16"/>
                <w:szCs w:val="16"/>
              </w:rPr>
            </w:pPr>
            <w:r w:rsidRPr="00D43387">
              <w:rPr>
                <w:rFonts w:ascii="UWV Werk" w:hAnsi="UWV Werk" w:eastAsia="Times New Roman" w:cs="Times New Roman"/>
                <w:b/>
                <w:bCs/>
                <w:color w:val="003282"/>
                <w:sz w:val="16"/>
                <w:szCs w:val="16"/>
              </w:rPr>
              <w:lastRenderedPageBreak/>
              <w:t>W</w:t>
            </w:r>
            <w:r>
              <w:rPr>
                <w:rFonts w:ascii="UWV Werk" w:hAnsi="UWV Werk" w:eastAsia="Times New Roman" w:cs="Times New Roman"/>
                <w:b/>
                <w:bCs/>
                <w:color w:val="003282"/>
                <w:sz w:val="16"/>
                <w:szCs w:val="16"/>
              </w:rPr>
              <w:t>aarvan</w:t>
            </w:r>
            <w:r w:rsidRPr="00D43387">
              <w:rPr>
                <w:rFonts w:ascii="UWV Werk" w:hAnsi="UWV Werk" w:eastAsia="Times New Roman" w:cs="Times New Roman"/>
                <w:b/>
                <w:bCs/>
                <w:color w:val="003282"/>
                <w:sz w:val="16"/>
                <w:szCs w:val="16"/>
              </w:rPr>
              <w:t xml:space="preserve"> vrouwen 30 </w:t>
            </w:r>
            <w:r>
              <w:rPr>
                <w:rFonts w:ascii="UWV Werk" w:hAnsi="UWV Werk" w:eastAsia="Times New Roman" w:cs="Times New Roman"/>
                <w:b/>
                <w:bCs/>
                <w:color w:val="003282"/>
                <w:sz w:val="16"/>
                <w:szCs w:val="16"/>
              </w:rPr>
              <w:t>-</w:t>
            </w:r>
            <w:r w:rsidRPr="00D43387">
              <w:rPr>
                <w:rFonts w:ascii="UWV Werk" w:hAnsi="UWV Werk" w:eastAsia="Times New Roman" w:cs="Times New Roman"/>
                <w:b/>
                <w:bCs/>
                <w:color w:val="003282"/>
                <w:sz w:val="16"/>
                <w:szCs w:val="16"/>
              </w:rPr>
              <w:t xml:space="preserve"> </w:t>
            </w:r>
            <w:r>
              <w:rPr>
                <w:rFonts w:ascii="UWV Werk" w:hAnsi="UWV Werk" w:eastAsia="Times New Roman" w:cs="Times New Roman"/>
                <w:b/>
                <w:bCs/>
                <w:color w:val="003282"/>
                <w:sz w:val="16"/>
                <w:szCs w:val="16"/>
              </w:rPr>
              <w:t xml:space="preserve">39 </w:t>
            </w:r>
            <w:r w:rsidRPr="00D43387">
              <w:rPr>
                <w:rFonts w:ascii="UWV Werk" w:hAnsi="UWV Werk" w:eastAsia="Times New Roman" w:cs="Times New Roman"/>
                <w:b/>
                <w:bCs/>
                <w:color w:val="003282"/>
                <w:sz w:val="16"/>
                <w:szCs w:val="16"/>
              </w:rPr>
              <w:t xml:space="preserve">jaar </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78A64954"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68.224</w:t>
            </w:r>
          </w:p>
        </w:tc>
        <w:tc>
          <w:tcPr>
            <w:tcW w:w="700" w:type="dxa"/>
            <w:tcBorders>
              <w:top w:val="nil"/>
              <w:left w:val="nil"/>
              <w:bottom w:val="single" w:color="0078D2" w:sz="4" w:space="0"/>
              <w:right w:val="nil"/>
            </w:tcBorders>
            <w:shd w:val="clear" w:color="000000" w:fill="FFFFFF"/>
            <w:vAlign w:val="center"/>
            <w:hideMark/>
          </w:tcPr>
          <w:p w:rsidRPr="00D43387" w:rsidR="001076DB" w:rsidP="008439ED" w:rsidRDefault="001076DB" w14:paraId="1E580C23"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72.848</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32D64E7E"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68.572</w:t>
            </w:r>
          </w:p>
        </w:tc>
        <w:tc>
          <w:tcPr>
            <w:tcW w:w="700" w:type="dxa"/>
            <w:tcBorders>
              <w:top w:val="nil"/>
              <w:left w:val="nil"/>
              <w:bottom w:val="single" w:color="0078D2" w:sz="4" w:space="0"/>
              <w:right w:val="nil"/>
            </w:tcBorders>
            <w:shd w:val="clear" w:color="000000" w:fill="FFFFFF"/>
            <w:vAlign w:val="center"/>
            <w:hideMark/>
          </w:tcPr>
          <w:p w:rsidRPr="00D43387" w:rsidR="001076DB" w:rsidP="008439ED" w:rsidRDefault="001076DB" w14:paraId="628DFEF4"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73.633</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7C7AC5E8"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77.744</w:t>
            </w:r>
          </w:p>
        </w:tc>
      </w:tr>
      <w:tr w:rsidRPr="00D43387" w:rsidR="001076DB" w:rsidTr="008439ED" w14:paraId="40E8F2B2" w14:textId="77777777">
        <w:trPr>
          <w:trHeight w:val="240"/>
        </w:trPr>
        <w:tc>
          <w:tcPr>
            <w:tcW w:w="4420" w:type="dxa"/>
            <w:tcBorders>
              <w:top w:val="nil"/>
              <w:left w:val="nil"/>
              <w:bottom w:val="single" w:color="0078D2" w:sz="4" w:space="0"/>
              <w:right w:val="nil"/>
            </w:tcBorders>
            <w:shd w:val="clear" w:color="000000" w:fill="FFFFFF"/>
            <w:vAlign w:val="center"/>
            <w:hideMark/>
          </w:tcPr>
          <w:p w:rsidRPr="00D43387" w:rsidR="001076DB" w:rsidP="008439ED" w:rsidRDefault="001076DB" w14:paraId="6BE3392D" w14:textId="77777777">
            <w:pPr>
              <w:spacing w:line="240" w:lineRule="auto"/>
              <w:rPr>
                <w:rFonts w:ascii="UWV Werk" w:hAnsi="UWV Werk" w:eastAsia="Times New Roman" w:cs="Times New Roman"/>
                <w:b/>
                <w:bCs/>
                <w:color w:val="003282"/>
                <w:sz w:val="16"/>
                <w:szCs w:val="16"/>
              </w:rPr>
            </w:pPr>
            <w:r w:rsidRPr="00D43387">
              <w:rPr>
                <w:rFonts w:ascii="UWV Werk" w:hAnsi="UWV Werk" w:eastAsia="Times New Roman" w:cs="Times New Roman"/>
                <w:b/>
                <w:bCs/>
                <w:color w:val="003282"/>
                <w:sz w:val="16"/>
                <w:szCs w:val="16"/>
              </w:rPr>
              <w:t xml:space="preserve">Instroom Vrouwen 30 </w:t>
            </w:r>
            <w:r>
              <w:rPr>
                <w:rFonts w:ascii="UWV Werk" w:hAnsi="UWV Werk" w:eastAsia="Times New Roman" w:cs="Times New Roman"/>
                <w:b/>
                <w:bCs/>
                <w:color w:val="003282"/>
                <w:sz w:val="16"/>
                <w:szCs w:val="16"/>
              </w:rPr>
              <w:t>-39</w:t>
            </w:r>
            <w:r w:rsidRPr="00D43387">
              <w:rPr>
                <w:rFonts w:ascii="UWV Werk" w:hAnsi="UWV Werk" w:eastAsia="Times New Roman" w:cs="Times New Roman"/>
                <w:b/>
                <w:bCs/>
                <w:color w:val="003282"/>
                <w:sz w:val="16"/>
                <w:szCs w:val="16"/>
              </w:rPr>
              <w:t xml:space="preserve"> jaar als % van totale instroom</w:t>
            </w:r>
            <w:r>
              <w:rPr>
                <w:rFonts w:ascii="UWV Werk" w:hAnsi="UWV Werk" w:eastAsia="Times New Roman" w:cs="Times New Roman"/>
                <w:b/>
                <w:bCs/>
                <w:color w:val="003282"/>
                <w:sz w:val="16"/>
                <w:szCs w:val="16"/>
              </w:rPr>
              <w:t xml:space="preserve"> ZW</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07155FFF"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20%</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5A107BCC"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19%</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456A29DC"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22%</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14D4B437"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23%</w:t>
            </w:r>
          </w:p>
        </w:tc>
        <w:tc>
          <w:tcPr>
            <w:tcW w:w="700" w:type="dxa"/>
            <w:tcBorders>
              <w:top w:val="nil"/>
              <w:left w:val="nil"/>
              <w:bottom w:val="single" w:color="0078D2" w:sz="4" w:space="0"/>
              <w:right w:val="nil"/>
            </w:tcBorders>
            <w:shd w:val="clear" w:color="000000" w:fill="F5F5F5"/>
            <w:vAlign w:val="center"/>
            <w:hideMark/>
          </w:tcPr>
          <w:p w:rsidRPr="00D43387" w:rsidR="001076DB" w:rsidP="008439ED" w:rsidRDefault="001076DB" w14:paraId="3F126CE9" w14:textId="77777777">
            <w:pPr>
              <w:spacing w:line="240" w:lineRule="auto"/>
              <w:jc w:val="right"/>
              <w:rPr>
                <w:rFonts w:ascii="UWV Werk" w:hAnsi="UWV Werk" w:eastAsia="Times New Roman" w:cs="Times New Roman"/>
                <w:sz w:val="16"/>
                <w:szCs w:val="16"/>
              </w:rPr>
            </w:pPr>
            <w:r w:rsidRPr="00D43387">
              <w:rPr>
                <w:rFonts w:ascii="UWV Werk" w:hAnsi="UWV Werk" w:eastAsia="Times New Roman" w:cs="Times New Roman"/>
                <w:sz w:val="16"/>
                <w:szCs w:val="16"/>
              </w:rPr>
              <w:t>23%</w:t>
            </w:r>
          </w:p>
        </w:tc>
      </w:tr>
    </w:tbl>
    <w:p w:rsidRPr="0056285B" w:rsidR="001076DB" w:rsidP="001076DB" w:rsidRDefault="001076DB" w14:paraId="43B37E84" w14:textId="77777777">
      <w:pPr>
        <w:pStyle w:val="Geenafstand"/>
        <w:rPr>
          <w:rFonts w:ascii="Verdana" w:hAnsi="Verdana"/>
          <w:sz w:val="16"/>
          <w:szCs w:val="16"/>
        </w:rPr>
      </w:pPr>
      <w:r w:rsidRPr="0056285B">
        <w:rPr>
          <w:rFonts w:ascii="Verdana" w:hAnsi="Verdana"/>
          <w:sz w:val="16"/>
          <w:szCs w:val="16"/>
        </w:rPr>
        <w:t xml:space="preserve">Bron UWV </w:t>
      </w:r>
    </w:p>
    <w:p w:rsidR="001076DB" w:rsidP="001076DB" w:rsidRDefault="001076DB" w14:paraId="58095E5A" w14:textId="77777777">
      <w:pPr>
        <w:pStyle w:val="Geenafstand"/>
        <w:rPr>
          <w:rFonts w:ascii="Verdana" w:hAnsi="Verdana"/>
          <w:sz w:val="18"/>
          <w:szCs w:val="18"/>
        </w:rPr>
      </w:pPr>
    </w:p>
    <w:p w:rsidR="001076DB" w:rsidP="001076DB" w:rsidRDefault="001076DB" w14:paraId="7A7578B6" w14:textId="77777777">
      <w:pPr>
        <w:pStyle w:val="Geenafstand"/>
        <w:rPr>
          <w:rFonts w:ascii="Verdana" w:hAnsi="Verdana"/>
          <w:sz w:val="18"/>
          <w:szCs w:val="18"/>
        </w:rPr>
      </w:pPr>
      <w:r>
        <w:rPr>
          <w:rFonts w:ascii="Verdana" w:hAnsi="Verdana"/>
          <w:sz w:val="18"/>
          <w:szCs w:val="18"/>
        </w:rPr>
        <w:t xml:space="preserve">Voor de Ziektewet wordt de instroom van het aantal vrouwen niet uitgedrukt als percentage van het aantal verzekerden in dezelfde leeftijdsgroep. </w:t>
      </w:r>
      <w:r w:rsidRPr="006C6E0A">
        <w:rPr>
          <w:rFonts w:ascii="Verdana" w:hAnsi="Verdana"/>
          <w:sz w:val="18"/>
          <w:szCs w:val="18"/>
        </w:rPr>
        <w:t xml:space="preserve">De instroom in de Ziektewet is </w:t>
      </w:r>
      <w:r>
        <w:rPr>
          <w:rFonts w:ascii="Verdana" w:hAnsi="Verdana"/>
          <w:sz w:val="18"/>
          <w:szCs w:val="18"/>
        </w:rPr>
        <w:t xml:space="preserve">namelijk </w:t>
      </w:r>
      <w:r w:rsidRPr="006C6E0A">
        <w:rPr>
          <w:rFonts w:ascii="Verdana" w:hAnsi="Verdana"/>
          <w:sz w:val="18"/>
          <w:szCs w:val="18"/>
        </w:rPr>
        <w:t xml:space="preserve">niet representatief voor </w:t>
      </w:r>
      <w:r>
        <w:rPr>
          <w:rFonts w:ascii="Verdana" w:hAnsi="Verdana"/>
          <w:sz w:val="18"/>
          <w:szCs w:val="18"/>
        </w:rPr>
        <w:t xml:space="preserve">alle verzekerden maar </w:t>
      </w:r>
      <w:r w:rsidRPr="006C6E0A">
        <w:rPr>
          <w:rFonts w:ascii="Verdana" w:hAnsi="Verdana"/>
          <w:sz w:val="18"/>
          <w:szCs w:val="18"/>
        </w:rPr>
        <w:t>beperkt zich tot specifieke groepen, waaronder vrouwen die ziek zijn als gevolg van zwangerschap of bevalling.</w:t>
      </w:r>
    </w:p>
    <w:p w:rsidR="001076DB" w:rsidP="001076DB" w:rsidRDefault="001076DB" w14:paraId="07A4CC0A" w14:textId="77777777">
      <w:pPr>
        <w:pStyle w:val="Geenafstand"/>
        <w:rPr>
          <w:rFonts w:ascii="Verdana" w:hAnsi="Verdana"/>
          <w:sz w:val="18"/>
          <w:szCs w:val="18"/>
        </w:rPr>
      </w:pPr>
    </w:p>
    <w:p w:rsidRPr="006E14A7" w:rsidR="001076DB" w:rsidP="001076DB" w:rsidRDefault="001076DB" w14:paraId="58346117" w14:textId="77777777">
      <w:pPr>
        <w:pStyle w:val="Geenafstand"/>
        <w:rPr>
          <w:rFonts w:ascii="Verdana" w:hAnsi="Verdana"/>
          <w:b/>
          <w:bCs/>
          <w:sz w:val="18"/>
          <w:szCs w:val="18"/>
        </w:rPr>
      </w:pPr>
      <w:r w:rsidRPr="006E14A7">
        <w:rPr>
          <w:rFonts w:ascii="Verdana" w:hAnsi="Verdana"/>
          <w:b/>
          <w:bCs/>
          <w:sz w:val="18"/>
          <w:szCs w:val="18"/>
        </w:rPr>
        <w:t>Vraag 5</w:t>
      </w:r>
    </w:p>
    <w:p w:rsidRPr="00D35DFA" w:rsidR="001076DB" w:rsidP="001076DB" w:rsidRDefault="001076DB" w14:paraId="6C7D97CE" w14:textId="77777777">
      <w:pPr>
        <w:pStyle w:val="Geenafstand"/>
        <w:rPr>
          <w:rFonts w:ascii="Verdana" w:hAnsi="Verdana"/>
          <w:sz w:val="18"/>
          <w:szCs w:val="18"/>
        </w:rPr>
      </w:pPr>
      <w:r w:rsidRPr="00D35DFA">
        <w:rPr>
          <w:rFonts w:ascii="Verdana" w:hAnsi="Verdana"/>
          <w:sz w:val="18"/>
          <w:szCs w:val="18"/>
        </w:rPr>
        <w:t>Kunt u uitsplitsen per leeftijdscategorie hoe vaak uitval voorkomt en hoelang de uitval duurt bij vrouwen ten opzichte van mannen?</w:t>
      </w:r>
    </w:p>
    <w:p w:rsidRPr="00D35DFA" w:rsidR="001076DB" w:rsidP="001076DB" w:rsidRDefault="001076DB" w14:paraId="29359B9E" w14:textId="77777777"/>
    <w:p w:rsidRPr="006E14A7" w:rsidR="001076DB" w:rsidP="001076DB" w:rsidRDefault="001076DB" w14:paraId="089FD7E4" w14:textId="77777777">
      <w:pPr>
        <w:rPr>
          <w:b/>
          <w:bCs/>
        </w:rPr>
      </w:pPr>
      <w:r w:rsidRPr="006E14A7">
        <w:rPr>
          <w:b/>
          <w:bCs/>
        </w:rPr>
        <w:t>Antwoord 5</w:t>
      </w:r>
    </w:p>
    <w:p w:rsidR="001076DB" w:rsidP="001076DB" w:rsidRDefault="001076DB" w14:paraId="7729F0FC" w14:textId="77777777">
      <w:r w:rsidRPr="00D35DFA">
        <w:t>Uit onderstaande tabel blijkt dat in alle leeftijdscategorieën het aandeel dat heeft verzuimd, de verzuimfrequentie en het ziekteverzuimpercentage hoger ligt bij vrou</w:t>
      </w:r>
      <w:r>
        <w:t xml:space="preserve">wen </w:t>
      </w:r>
      <w:r w:rsidRPr="00D35DFA">
        <w:t>dan bij mannen. Vooral het ziekteverzuimpercentage voor vrouwen van 31-40 jaar ligt aanmerkelijk hoger dan bij mannen</w:t>
      </w:r>
      <w:r>
        <w:t>. Bij mannen is het kortdurend verzuim in deze leeftijdsgroep het hoogste</w:t>
      </w:r>
      <w:r w:rsidRPr="00D35DFA">
        <w:t>.</w:t>
      </w:r>
    </w:p>
    <w:p w:rsidR="001076DB" w:rsidP="001076DB" w:rsidRDefault="001076DB" w14:paraId="1F0EE55E" w14:textId="77777777"/>
    <w:tbl>
      <w:tblPr>
        <w:tblStyle w:val="Tabelraster"/>
        <w:tblW w:w="753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506"/>
        <w:gridCol w:w="1506"/>
        <w:gridCol w:w="1506"/>
        <w:gridCol w:w="1506"/>
        <w:gridCol w:w="1506"/>
      </w:tblGrid>
      <w:tr w:rsidRPr="00BC71A4" w:rsidR="001076DB" w:rsidTr="008439ED" w14:paraId="52B57B13" w14:textId="77777777">
        <w:tc>
          <w:tcPr>
            <w:tcW w:w="1506" w:type="dxa"/>
          </w:tcPr>
          <w:p w:rsidRPr="00BC71A4" w:rsidR="001076DB" w:rsidP="008439ED" w:rsidRDefault="001076DB" w14:paraId="1981F754" w14:textId="77777777">
            <w:pPr>
              <w:rPr>
                <w:b/>
                <w:bCs/>
                <w:sz w:val="16"/>
                <w:szCs w:val="16"/>
              </w:rPr>
            </w:pPr>
            <w:r w:rsidRPr="00BC71A4">
              <w:rPr>
                <w:b/>
                <w:bCs/>
                <w:sz w:val="16"/>
                <w:szCs w:val="16"/>
              </w:rPr>
              <w:t>NEA 2023-2024</w:t>
            </w:r>
          </w:p>
        </w:tc>
        <w:tc>
          <w:tcPr>
            <w:tcW w:w="1506" w:type="dxa"/>
          </w:tcPr>
          <w:p w:rsidRPr="00BC71A4" w:rsidR="001076DB" w:rsidP="008439ED" w:rsidRDefault="001076DB" w14:paraId="29FA237D" w14:textId="77777777">
            <w:pPr>
              <w:rPr>
                <w:sz w:val="16"/>
                <w:szCs w:val="16"/>
              </w:rPr>
            </w:pPr>
            <w:r w:rsidRPr="00BC71A4">
              <w:rPr>
                <w:b/>
                <w:bCs/>
                <w:sz w:val="16"/>
                <w:szCs w:val="16"/>
              </w:rPr>
              <w:t>Verzuim afgelopen 12 maanden (%)</w:t>
            </w:r>
          </w:p>
        </w:tc>
        <w:tc>
          <w:tcPr>
            <w:tcW w:w="1506" w:type="dxa"/>
          </w:tcPr>
          <w:p w:rsidRPr="00BC71A4" w:rsidR="001076DB" w:rsidP="008439ED" w:rsidRDefault="001076DB" w14:paraId="7C30414E" w14:textId="77777777">
            <w:pPr>
              <w:rPr>
                <w:sz w:val="16"/>
                <w:szCs w:val="16"/>
              </w:rPr>
            </w:pPr>
            <w:r w:rsidRPr="00BC71A4">
              <w:rPr>
                <w:b/>
                <w:bCs/>
                <w:sz w:val="16"/>
                <w:szCs w:val="16"/>
              </w:rPr>
              <w:t>Frequentie verzuim (gemiddelde)</w:t>
            </w:r>
          </w:p>
        </w:tc>
        <w:tc>
          <w:tcPr>
            <w:tcW w:w="1506" w:type="dxa"/>
          </w:tcPr>
          <w:p w:rsidRPr="00BC71A4" w:rsidR="001076DB" w:rsidP="008439ED" w:rsidRDefault="001076DB" w14:paraId="624657CD" w14:textId="77777777">
            <w:pPr>
              <w:rPr>
                <w:sz w:val="16"/>
                <w:szCs w:val="16"/>
              </w:rPr>
            </w:pPr>
            <w:r w:rsidRPr="00BC71A4">
              <w:rPr>
                <w:b/>
                <w:bCs/>
                <w:sz w:val="16"/>
                <w:szCs w:val="16"/>
              </w:rPr>
              <w:t>Aantal werkdagen verzuimd (gemiddelde)</w:t>
            </w:r>
          </w:p>
        </w:tc>
        <w:tc>
          <w:tcPr>
            <w:tcW w:w="1506" w:type="dxa"/>
          </w:tcPr>
          <w:p w:rsidRPr="00BC71A4" w:rsidR="001076DB" w:rsidP="008439ED" w:rsidRDefault="001076DB" w14:paraId="3FA34716" w14:textId="77777777">
            <w:pPr>
              <w:pStyle w:val="Geenafstand"/>
              <w:rPr>
                <w:rFonts w:ascii="Verdana" w:hAnsi="Verdana"/>
                <w:b/>
                <w:bCs/>
                <w:sz w:val="16"/>
                <w:szCs w:val="16"/>
              </w:rPr>
            </w:pPr>
            <w:r w:rsidRPr="00BC71A4">
              <w:rPr>
                <w:rFonts w:ascii="Verdana" w:hAnsi="Verdana"/>
                <w:b/>
                <w:bCs/>
                <w:sz w:val="16"/>
                <w:szCs w:val="16"/>
              </w:rPr>
              <w:t>Ziekteverzuim</w:t>
            </w:r>
          </w:p>
          <w:p w:rsidRPr="00BC71A4" w:rsidR="001076DB" w:rsidP="008439ED" w:rsidRDefault="001076DB" w14:paraId="75EAFB3E" w14:textId="77777777">
            <w:pPr>
              <w:rPr>
                <w:sz w:val="16"/>
                <w:szCs w:val="16"/>
              </w:rPr>
            </w:pPr>
            <w:r w:rsidRPr="00BC71A4">
              <w:rPr>
                <w:b/>
                <w:bCs/>
                <w:sz w:val="16"/>
                <w:szCs w:val="16"/>
              </w:rPr>
              <w:t>percentage</w:t>
            </w:r>
          </w:p>
        </w:tc>
      </w:tr>
      <w:tr w:rsidRPr="00BC71A4" w:rsidR="001076DB" w:rsidTr="008439ED" w14:paraId="063A1ADD" w14:textId="77777777">
        <w:tc>
          <w:tcPr>
            <w:tcW w:w="1506" w:type="dxa"/>
          </w:tcPr>
          <w:p w:rsidRPr="00BC71A4" w:rsidR="001076DB" w:rsidP="008439ED" w:rsidRDefault="001076DB" w14:paraId="173F63FE" w14:textId="77777777">
            <w:pPr>
              <w:rPr>
                <w:sz w:val="16"/>
                <w:szCs w:val="16"/>
              </w:rPr>
            </w:pPr>
            <w:r w:rsidRPr="00BC71A4">
              <w:rPr>
                <w:sz w:val="16"/>
                <w:szCs w:val="16"/>
              </w:rPr>
              <w:t>Man (21-30)</w:t>
            </w:r>
          </w:p>
        </w:tc>
        <w:tc>
          <w:tcPr>
            <w:tcW w:w="1506" w:type="dxa"/>
          </w:tcPr>
          <w:p w:rsidRPr="00BC71A4" w:rsidR="001076DB" w:rsidP="008439ED" w:rsidRDefault="001076DB" w14:paraId="75EBC3D0" w14:textId="77777777">
            <w:pPr>
              <w:rPr>
                <w:sz w:val="16"/>
                <w:szCs w:val="16"/>
              </w:rPr>
            </w:pPr>
            <w:r w:rsidRPr="00BC71A4">
              <w:rPr>
                <w:sz w:val="16"/>
                <w:szCs w:val="16"/>
              </w:rPr>
              <w:t>51,7</w:t>
            </w:r>
          </w:p>
        </w:tc>
        <w:tc>
          <w:tcPr>
            <w:tcW w:w="1506" w:type="dxa"/>
          </w:tcPr>
          <w:p w:rsidRPr="00BC71A4" w:rsidR="001076DB" w:rsidP="008439ED" w:rsidRDefault="001076DB" w14:paraId="70C3F9C5" w14:textId="77777777">
            <w:pPr>
              <w:rPr>
                <w:sz w:val="16"/>
                <w:szCs w:val="16"/>
              </w:rPr>
            </w:pPr>
            <w:r w:rsidRPr="00BC71A4">
              <w:rPr>
                <w:sz w:val="16"/>
                <w:szCs w:val="16"/>
              </w:rPr>
              <w:t>1,35</w:t>
            </w:r>
          </w:p>
        </w:tc>
        <w:tc>
          <w:tcPr>
            <w:tcW w:w="1506" w:type="dxa"/>
          </w:tcPr>
          <w:p w:rsidRPr="00BC71A4" w:rsidR="001076DB" w:rsidP="008439ED" w:rsidRDefault="001076DB" w14:paraId="2951FA79" w14:textId="77777777">
            <w:pPr>
              <w:rPr>
                <w:sz w:val="16"/>
                <w:szCs w:val="16"/>
              </w:rPr>
            </w:pPr>
            <w:r w:rsidRPr="00BC71A4">
              <w:rPr>
                <w:sz w:val="16"/>
                <w:szCs w:val="16"/>
              </w:rPr>
              <w:t>4,99</w:t>
            </w:r>
          </w:p>
        </w:tc>
        <w:tc>
          <w:tcPr>
            <w:tcW w:w="1506" w:type="dxa"/>
          </w:tcPr>
          <w:p w:rsidRPr="00BC71A4" w:rsidR="001076DB" w:rsidP="008439ED" w:rsidRDefault="001076DB" w14:paraId="4902A9D5" w14:textId="77777777">
            <w:pPr>
              <w:rPr>
                <w:sz w:val="16"/>
                <w:szCs w:val="16"/>
              </w:rPr>
            </w:pPr>
            <w:r w:rsidRPr="00BC71A4">
              <w:rPr>
                <w:sz w:val="16"/>
                <w:szCs w:val="16"/>
              </w:rPr>
              <w:t>2,72</w:t>
            </w:r>
          </w:p>
        </w:tc>
      </w:tr>
      <w:tr w:rsidRPr="00BC71A4" w:rsidR="001076DB" w:rsidTr="008439ED" w14:paraId="778F3217" w14:textId="77777777">
        <w:tc>
          <w:tcPr>
            <w:tcW w:w="1506" w:type="dxa"/>
          </w:tcPr>
          <w:p w:rsidRPr="00BC71A4" w:rsidR="001076DB" w:rsidP="008439ED" w:rsidRDefault="001076DB" w14:paraId="7E253286" w14:textId="77777777">
            <w:pPr>
              <w:rPr>
                <w:sz w:val="16"/>
                <w:szCs w:val="16"/>
              </w:rPr>
            </w:pPr>
            <w:r w:rsidRPr="00BC71A4">
              <w:rPr>
                <w:sz w:val="16"/>
                <w:szCs w:val="16"/>
              </w:rPr>
              <w:t>Vrouw (21-30)</w:t>
            </w:r>
          </w:p>
        </w:tc>
        <w:tc>
          <w:tcPr>
            <w:tcW w:w="1506" w:type="dxa"/>
          </w:tcPr>
          <w:p w:rsidRPr="00BC71A4" w:rsidR="001076DB" w:rsidP="008439ED" w:rsidRDefault="001076DB" w14:paraId="74103F41" w14:textId="77777777">
            <w:pPr>
              <w:rPr>
                <w:sz w:val="16"/>
                <w:szCs w:val="16"/>
              </w:rPr>
            </w:pPr>
            <w:r w:rsidRPr="00BC71A4">
              <w:rPr>
                <w:sz w:val="16"/>
                <w:szCs w:val="16"/>
              </w:rPr>
              <w:t>59,9</w:t>
            </w:r>
          </w:p>
        </w:tc>
        <w:tc>
          <w:tcPr>
            <w:tcW w:w="1506" w:type="dxa"/>
          </w:tcPr>
          <w:p w:rsidRPr="00BC71A4" w:rsidR="001076DB" w:rsidP="008439ED" w:rsidRDefault="001076DB" w14:paraId="2E579521" w14:textId="77777777">
            <w:pPr>
              <w:rPr>
                <w:sz w:val="16"/>
                <w:szCs w:val="16"/>
              </w:rPr>
            </w:pPr>
            <w:r w:rsidRPr="00BC71A4">
              <w:rPr>
                <w:sz w:val="16"/>
                <w:szCs w:val="16"/>
              </w:rPr>
              <w:t>1,79</w:t>
            </w:r>
          </w:p>
        </w:tc>
        <w:tc>
          <w:tcPr>
            <w:tcW w:w="1506" w:type="dxa"/>
          </w:tcPr>
          <w:p w:rsidRPr="00BC71A4" w:rsidR="001076DB" w:rsidP="008439ED" w:rsidRDefault="001076DB" w14:paraId="7100D7D8" w14:textId="77777777">
            <w:pPr>
              <w:rPr>
                <w:sz w:val="16"/>
                <w:szCs w:val="16"/>
              </w:rPr>
            </w:pPr>
            <w:r w:rsidRPr="00BC71A4">
              <w:rPr>
                <w:sz w:val="16"/>
                <w:szCs w:val="16"/>
              </w:rPr>
              <w:t>7,95</w:t>
            </w:r>
          </w:p>
        </w:tc>
        <w:tc>
          <w:tcPr>
            <w:tcW w:w="1506" w:type="dxa"/>
          </w:tcPr>
          <w:p w:rsidRPr="00BC71A4" w:rsidR="001076DB" w:rsidP="008439ED" w:rsidRDefault="001076DB" w14:paraId="486576E6" w14:textId="77777777">
            <w:pPr>
              <w:rPr>
                <w:sz w:val="16"/>
                <w:szCs w:val="16"/>
              </w:rPr>
            </w:pPr>
            <w:r w:rsidRPr="00BC71A4">
              <w:rPr>
                <w:sz w:val="16"/>
                <w:szCs w:val="16"/>
              </w:rPr>
              <w:t>4,75</w:t>
            </w:r>
          </w:p>
        </w:tc>
      </w:tr>
      <w:tr w:rsidRPr="00BC71A4" w:rsidR="001076DB" w:rsidTr="008439ED" w14:paraId="26F66D69" w14:textId="77777777">
        <w:tc>
          <w:tcPr>
            <w:tcW w:w="1506" w:type="dxa"/>
          </w:tcPr>
          <w:p w:rsidRPr="00BC71A4" w:rsidR="001076DB" w:rsidP="008439ED" w:rsidRDefault="001076DB" w14:paraId="4B8182B5" w14:textId="77777777">
            <w:pPr>
              <w:rPr>
                <w:sz w:val="16"/>
                <w:szCs w:val="16"/>
              </w:rPr>
            </w:pPr>
            <w:r w:rsidRPr="00BC71A4">
              <w:rPr>
                <w:sz w:val="16"/>
                <w:szCs w:val="16"/>
              </w:rPr>
              <w:t>Man (31-40)</w:t>
            </w:r>
          </w:p>
        </w:tc>
        <w:tc>
          <w:tcPr>
            <w:tcW w:w="1506" w:type="dxa"/>
          </w:tcPr>
          <w:p w:rsidRPr="00BC71A4" w:rsidR="001076DB" w:rsidP="008439ED" w:rsidRDefault="001076DB" w14:paraId="42803863" w14:textId="77777777">
            <w:pPr>
              <w:rPr>
                <w:sz w:val="16"/>
                <w:szCs w:val="16"/>
              </w:rPr>
            </w:pPr>
            <w:r w:rsidRPr="00330367">
              <w:rPr>
                <w:sz w:val="16"/>
                <w:szCs w:val="16"/>
              </w:rPr>
              <w:t>54,2</w:t>
            </w:r>
          </w:p>
        </w:tc>
        <w:tc>
          <w:tcPr>
            <w:tcW w:w="1506" w:type="dxa"/>
          </w:tcPr>
          <w:p w:rsidRPr="00BC71A4" w:rsidR="001076DB" w:rsidP="008439ED" w:rsidRDefault="001076DB" w14:paraId="4C00179D" w14:textId="77777777">
            <w:pPr>
              <w:rPr>
                <w:sz w:val="16"/>
                <w:szCs w:val="16"/>
              </w:rPr>
            </w:pPr>
            <w:r w:rsidRPr="00BC71A4">
              <w:rPr>
                <w:sz w:val="16"/>
                <w:szCs w:val="16"/>
              </w:rPr>
              <w:t>1,33</w:t>
            </w:r>
          </w:p>
        </w:tc>
        <w:tc>
          <w:tcPr>
            <w:tcW w:w="1506" w:type="dxa"/>
          </w:tcPr>
          <w:p w:rsidRPr="00BC71A4" w:rsidR="001076DB" w:rsidP="008439ED" w:rsidRDefault="001076DB" w14:paraId="3A96C038" w14:textId="77777777">
            <w:pPr>
              <w:rPr>
                <w:sz w:val="16"/>
                <w:szCs w:val="16"/>
              </w:rPr>
            </w:pPr>
            <w:r w:rsidRPr="00BC71A4">
              <w:rPr>
                <w:sz w:val="16"/>
                <w:szCs w:val="16"/>
              </w:rPr>
              <w:t>7,13</w:t>
            </w:r>
          </w:p>
        </w:tc>
        <w:tc>
          <w:tcPr>
            <w:tcW w:w="1506" w:type="dxa"/>
          </w:tcPr>
          <w:p w:rsidRPr="00BC71A4" w:rsidR="001076DB" w:rsidP="008439ED" w:rsidRDefault="001076DB" w14:paraId="44590A8C" w14:textId="77777777">
            <w:pPr>
              <w:rPr>
                <w:sz w:val="16"/>
                <w:szCs w:val="16"/>
              </w:rPr>
            </w:pPr>
            <w:r w:rsidRPr="00BC71A4">
              <w:rPr>
                <w:sz w:val="16"/>
                <w:szCs w:val="16"/>
              </w:rPr>
              <w:t>3,59</w:t>
            </w:r>
          </w:p>
        </w:tc>
      </w:tr>
      <w:tr w:rsidRPr="00BC71A4" w:rsidR="001076DB" w:rsidTr="008439ED" w14:paraId="6B47FC92" w14:textId="77777777">
        <w:tc>
          <w:tcPr>
            <w:tcW w:w="1506" w:type="dxa"/>
          </w:tcPr>
          <w:p w:rsidRPr="00BC71A4" w:rsidR="001076DB" w:rsidP="008439ED" w:rsidRDefault="001076DB" w14:paraId="56D012BC" w14:textId="77777777">
            <w:pPr>
              <w:rPr>
                <w:sz w:val="16"/>
                <w:szCs w:val="16"/>
              </w:rPr>
            </w:pPr>
            <w:r w:rsidRPr="00BC71A4">
              <w:rPr>
                <w:sz w:val="16"/>
                <w:szCs w:val="16"/>
              </w:rPr>
              <w:t>Vrouw (31-40)</w:t>
            </w:r>
          </w:p>
        </w:tc>
        <w:tc>
          <w:tcPr>
            <w:tcW w:w="1506" w:type="dxa"/>
          </w:tcPr>
          <w:p w:rsidRPr="00BC71A4" w:rsidR="001076DB" w:rsidP="008439ED" w:rsidRDefault="001076DB" w14:paraId="076B9BFA" w14:textId="77777777">
            <w:pPr>
              <w:rPr>
                <w:sz w:val="16"/>
                <w:szCs w:val="16"/>
              </w:rPr>
            </w:pPr>
            <w:r w:rsidRPr="00BC71A4">
              <w:rPr>
                <w:sz w:val="16"/>
                <w:szCs w:val="16"/>
              </w:rPr>
              <w:t>61,0</w:t>
            </w:r>
          </w:p>
        </w:tc>
        <w:tc>
          <w:tcPr>
            <w:tcW w:w="1506" w:type="dxa"/>
          </w:tcPr>
          <w:p w:rsidRPr="00BC71A4" w:rsidR="001076DB" w:rsidP="008439ED" w:rsidRDefault="001076DB" w14:paraId="464B8BF4" w14:textId="77777777">
            <w:pPr>
              <w:rPr>
                <w:sz w:val="16"/>
                <w:szCs w:val="16"/>
              </w:rPr>
            </w:pPr>
            <w:r w:rsidRPr="00BC71A4">
              <w:rPr>
                <w:sz w:val="16"/>
                <w:szCs w:val="16"/>
              </w:rPr>
              <w:t>1,78</w:t>
            </w:r>
          </w:p>
        </w:tc>
        <w:tc>
          <w:tcPr>
            <w:tcW w:w="1506" w:type="dxa"/>
          </w:tcPr>
          <w:p w:rsidRPr="00BC71A4" w:rsidR="001076DB" w:rsidP="008439ED" w:rsidRDefault="001076DB" w14:paraId="5B44EA14" w14:textId="77777777">
            <w:pPr>
              <w:rPr>
                <w:sz w:val="16"/>
                <w:szCs w:val="16"/>
              </w:rPr>
            </w:pPr>
            <w:r w:rsidRPr="00BC71A4">
              <w:rPr>
                <w:sz w:val="16"/>
                <w:szCs w:val="16"/>
              </w:rPr>
              <w:t>11,1</w:t>
            </w:r>
          </w:p>
        </w:tc>
        <w:tc>
          <w:tcPr>
            <w:tcW w:w="1506" w:type="dxa"/>
          </w:tcPr>
          <w:p w:rsidRPr="00BC71A4" w:rsidR="001076DB" w:rsidP="008439ED" w:rsidRDefault="001076DB" w14:paraId="7DD4E451" w14:textId="77777777">
            <w:pPr>
              <w:rPr>
                <w:sz w:val="16"/>
                <w:szCs w:val="16"/>
              </w:rPr>
            </w:pPr>
            <w:r w:rsidRPr="00BC71A4">
              <w:rPr>
                <w:sz w:val="16"/>
                <w:szCs w:val="16"/>
              </w:rPr>
              <w:t>6,72</w:t>
            </w:r>
          </w:p>
        </w:tc>
      </w:tr>
      <w:tr w:rsidRPr="00BC71A4" w:rsidR="001076DB" w:rsidTr="008439ED" w14:paraId="1C12AB71" w14:textId="77777777">
        <w:tc>
          <w:tcPr>
            <w:tcW w:w="1506" w:type="dxa"/>
          </w:tcPr>
          <w:p w:rsidRPr="00BC71A4" w:rsidR="001076DB" w:rsidP="008439ED" w:rsidRDefault="001076DB" w14:paraId="43B164B3" w14:textId="77777777">
            <w:pPr>
              <w:rPr>
                <w:sz w:val="16"/>
                <w:szCs w:val="16"/>
              </w:rPr>
            </w:pPr>
            <w:r w:rsidRPr="00BC71A4">
              <w:rPr>
                <w:sz w:val="16"/>
                <w:szCs w:val="16"/>
              </w:rPr>
              <w:t>Man (41-50)</w:t>
            </w:r>
          </w:p>
        </w:tc>
        <w:tc>
          <w:tcPr>
            <w:tcW w:w="1506" w:type="dxa"/>
          </w:tcPr>
          <w:p w:rsidRPr="00BC71A4" w:rsidR="001076DB" w:rsidP="008439ED" w:rsidRDefault="001076DB" w14:paraId="07710404" w14:textId="77777777">
            <w:pPr>
              <w:rPr>
                <w:sz w:val="16"/>
                <w:szCs w:val="16"/>
              </w:rPr>
            </w:pPr>
            <w:r w:rsidRPr="00BC71A4">
              <w:rPr>
                <w:sz w:val="16"/>
                <w:szCs w:val="16"/>
              </w:rPr>
              <w:t>47,5</w:t>
            </w:r>
          </w:p>
        </w:tc>
        <w:tc>
          <w:tcPr>
            <w:tcW w:w="1506" w:type="dxa"/>
          </w:tcPr>
          <w:p w:rsidRPr="00BC71A4" w:rsidR="001076DB" w:rsidP="008439ED" w:rsidRDefault="001076DB" w14:paraId="15B3D0E4" w14:textId="77777777">
            <w:pPr>
              <w:rPr>
                <w:sz w:val="16"/>
                <w:szCs w:val="16"/>
              </w:rPr>
            </w:pPr>
            <w:r w:rsidRPr="00BC71A4">
              <w:rPr>
                <w:sz w:val="16"/>
                <w:szCs w:val="16"/>
              </w:rPr>
              <w:t>1,16</w:t>
            </w:r>
          </w:p>
        </w:tc>
        <w:tc>
          <w:tcPr>
            <w:tcW w:w="1506" w:type="dxa"/>
          </w:tcPr>
          <w:p w:rsidRPr="00BC71A4" w:rsidR="001076DB" w:rsidP="008439ED" w:rsidRDefault="001076DB" w14:paraId="2E618096" w14:textId="77777777">
            <w:pPr>
              <w:rPr>
                <w:sz w:val="16"/>
                <w:szCs w:val="16"/>
              </w:rPr>
            </w:pPr>
            <w:r w:rsidRPr="00BC71A4">
              <w:rPr>
                <w:sz w:val="16"/>
                <w:szCs w:val="16"/>
              </w:rPr>
              <w:t>7,83</w:t>
            </w:r>
          </w:p>
        </w:tc>
        <w:tc>
          <w:tcPr>
            <w:tcW w:w="1506" w:type="dxa"/>
          </w:tcPr>
          <w:p w:rsidRPr="00BC71A4" w:rsidR="001076DB" w:rsidP="008439ED" w:rsidRDefault="001076DB" w14:paraId="6D8ED873" w14:textId="77777777">
            <w:pPr>
              <w:rPr>
                <w:sz w:val="16"/>
                <w:szCs w:val="16"/>
              </w:rPr>
            </w:pPr>
            <w:r w:rsidRPr="00BC71A4">
              <w:rPr>
                <w:sz w:val="16"/>
                <w:szCs w:val="16"/>
              </w:rPr>
              <w:t>3,92</w:t>
            </w:r>
          </w:p>
        </w:tc>
      </w:tr>
      <w:tr w:rsidRPr="00BC71A4" w:rsidR="001076DB" w:rsidTr="008439ED" w14:paraId="1A723D0F" w14:textId="77777777">
        <w:tc>
          <w:tcPr>
            <w:tcW w:w="1506" w:type="dxa"/>
          </w:tcPr>
          <w:p w:rsidRPr="00BC71A4" w:rsidR="001076DB" w:rsidP="008439ED" w:rsidRDefault="001076DB" w14:paraId="1347C4AD" w14:textId="77777777">
            <w:pPr>
              <w:rPr>
                <w:sz w:val="16"/>
                <w:szCs w:val="16"/>
              </w:rPr>
            </w:pPr>
            <w:r w:rsidRPr="00BC71A4">
              <w:rPr>
                <w:sz w:val="16"/>
                <w:szCs w:val="16"/>
              </w:rPr>
              <w:t>Vrouw (41-50)</w:t>
            </w:r>
          </w:p>
        </w:tc>
        <w:tc>
          <w:tcPr>
            <w:tcW w:w="1506" w:type="dxa"/>
          </w:tcPr>
          <w:p w:rsidRPr="00BC71A4" w:rsidR="001076DB" w:rsidP="008439ED" w:rsidRDefault="001076DB" w14:paraId="4350E449" w14:textId="77777777">
            <w:pPr>
              <w:rPr>
                <w:sz w:val="16"/>
                <w:szCs w:val="16"/>
              </w:rPr>
            </w:pPr>
            <w:r w:rsidRPr="00BC71A4">
              <w:rPr>
                <w:sz w:val="16"/>
                <w:szCs w:val="16"/>
              </w:rPr>
              <w:t>52,5</w:t>
            </w:r>
          </w:p>
        </w:tc>
        <w:tc>
          <w:tcPr>
            <w:tcW w:w="1506" w:type="dxa"/>
          </w:tcPr>
          <w:p w:rsidRPr="00BC71A4" w:rsidR="001076DB" w:rsidP="008439ED" w:rsidRDefault="001076DB" w14:paraId="11528A48" w14:textId="77777777">
            <w:pPr>
              <w:rPr>
                <w:sz w:val="16"/>
                <w:szCs w:val="16"/>
              </w:rPr>
            </w:pPr>
            <w:r w:rsidRPr="00BC71A4">
              <w:rPr>
                <w:sz w:val="16"/>
                <w:szCs w:val="16"/>
              </w:rPr>
              <w:t>1,41</w:t>
            </w:r>
          </w:p>
        </w:tc>
        <w:tc>
          <w:tcPr>
            <w:tcW w:w="1506" w:type="dxa"/>
          </w:tcPr>
          <w:p w:rsidRPr="00BC71A4" w:rsidR="001076DB" w:rsidP="008439ED" w:rsidRDefault="001076DB" w14:paraId="268FA3C1" w14:textId="77777777">
            <w:pPr>
              <w:rPr>
                <w:sz w:val="16"/>
                <w:szCs w:val="16"/>
              </w:rPr>
            </w:pPr>
            <w:r w:rsidRPr="00BC71A4">
              <w:rPr>
                <w:sz w:val="16"/>
                <w:szCs w:val="16"/>
              </w:rPr>
              <w:t>9,38</w:t>
            </w:r>
          </w:p>
        </w:tc>
        <w:tc>
          <w:tcPr>
            <w:tcW w:w="1506" w:type="dxa"/>
          </w:tcPr>
          <w:p w:rsidRPr="00BC71A4" w:rsidR="001076DB" w:rsidP="008439ED" w:rsidRDefault="001076DB" w14:paraId="6F89F468" w14:textId="77777777">
            <w:pPr>
              <w:rPr>
                <w:sz w:val="16"/>
                <w:szCs w:val="16"/>
              </w:rPr>
            </w:pPr>
            <w:r w:rsidRPr="00BC71A4">
              <w:rPr>
                <w:sz w:val="16"/>
                <w:szCs w:val="16"/>
              </w:rPr>
              <w:t>5,70</w:t>
            </w:r>
          </w:p>
        </w:tc>
      </w:tr>
      <w:tr w:rsidRPr="00BC71A4" w:rsidR="001076DB" w:rsidTr="008439ED" w14:paraId="36563830" w14:textId="77777777">
        <w:tc>
          <w:tcPr>
            <w:tcW w:w="1506" w:type="dxa"/>
          </w:tcPr>
          <w:p w:rsidRPr="00BC71A4" w:rsidR="001076DB" w:rsidP="008439ED" w:rsidRDefault="001076DB" w14:paraId="2B9D24EB" w14:textId="77777777">
            <w:pPr>
              <w:rPr>
                <w:sz w:val="16"/>
                <w:szCs w:val="16"/>
              </w:rPr>
            </w:pPr>
            <w:r w:rsidRPr="00BC71A4">
              <w:rPr>
                <w:sz w:val="16"/>
                <w:szCs w:val="16"/>
              </w:rPr>
              <w:t>Man (50+)</w:t>
            </w:r>
          </w:p>
        </w:tc>
        <w:tc>
          <w:tcPr>
            <w:tcW w:w="1506" w:type="dxa"/>
          </w:tcPr>
          <w:p w:rsidRPr="00BC71A4" w:rsidR="001076DB" w:rsidP="008439ED" w:rsidRDefault="001076DB" w14:paraId="469E1540" w14:textId="77777777">
            <w:pPr>
              <w:rPr>
                <w:sz w:val="16"/>
                <w:szCs w:val="16"/>
              </w:rPr>
            </w:pPr>
            <w:r w:rsidRPr="00BC71A4">
              <w:rPr>
                <w:sz w:val="16"/>
                <w:szCs w:val="16"/>
              </w:rPr>
              <w:t>42,7</w:t>
            </w:r>
          </w:p>
        </w:tc>
        <w:tc>
          <w:tcPr>
            <w:tcW w:w="1506" w:type="dxa"/>
          </w:tcPr>
          <w:p w:rsidRPr="00BC71A4" w:rsidR="001076DB" w:rsidP="008439ED" w:rsidRDefault="001076DB" w14:paraId="39A215D6" w14:textId="77777777">
            <w:pPr>
              <w:rPr>
                <w:sz w:val="16"/>
                <w:szCs w:val="16"/>
              </w:rPr>
            </w:pPr>
            <w:r w:rsidRPr="00BC71A4">
              <w:rPr>
                <w:sz w:val="16"/>
                <w:szCs w:val="16"/>
              </w:rPr>
              <w:t>1,21</w:t>
            </w:r>
          </w:p>
        </w:tc>
        <w:tc>
          <w:tcPr>
            <w:tcW w:w="1506" w:type="dxa"/>
          </w:tcPr>
          <w:p w:rsidRPr="00BC71A4" w:rsidR="001076DB" w:rsidP="008439ED" w:rsidRDefault="001076DB" w14:paraId="1A2C8790" w14:textId="77777777">
            <w:pPr>
              <w:rPr>
                <w:sz w:val="16"/>
                <w:szCs w:val="16"/>
              </w:rPr>
            </w:pPr>
            <w:r w:rsidRPr="00BC71A4">
              <w:rPr>
                <w:sz w:val="16"/>
                <w:szCs w:val="16"/>
              </w:rPr>
              <w:t>10,3</w:t>
            </w:r>
          </w:p>
        </w:tc>
        <w:tc>
          <w:tcPr>
            <w:tcW w:w="1506" w:type="dxa"/>
          </w:tcPr>
          <w:p w:rsidRPr="00BC71A4" w:rsidR="001076DB" w:rsidP="008439ED" w:rsidRDefault="001076DB" w14:paraId="39596A77" w14:textId="77777777">
            <w:pPr>
              <w:rPr>
                <w:sz w:val="16"/>
                <w:szCs w:val="16"/>
              </w:rPr>
            </w:pPr>
            <w:r w:rsidRPr="00BC71A4">
              <w:rPr>
                <w:sz w:val="16"/>
                <w:szCs w:val="16"/>
              </w:rPr>
              <w:t>5,32</w:t>
            </w:r>
          </w:p>
        </w:tc>
      </w:tr>
      <w:tr w:rsidRPr="00BC71A4" w:rsidR="001076DB" w:rsidTr="008439ED" w14:paraId="0529C1C1" w14:textId="77777777">
        <w:tc>
          <w:tcPr>
            <w:tcW w:w="1506" w:type="dxa"/>
          </w:tcPr>
          <w:p w:rsidRPr="00BC71A4" w:rsidR="001076DB" w:rsidP="008439ED" w:rsidRDefault="001076DB" w14:paraId="24B664ED" w14:textId="77777777">
            <w:pPr>
              <w:rPr>
                <w:sz w:val="16"/>
                <w:szCs w:val="16"/>
              </w:rPr>
            </w:pPr>
            <w:r w:rsidRPr="00BC71A4">
              <w:rPr>
                <w:sz w:val="16"/>
                <w:szCs w:val="16"/>
              </w:rPr>
              <w:t>Vrouw (50+)</w:t>
            </w:r>
          </w:p>
        </w:tc>
        <w:tc>
          <w:tcPr>
            <w:tcW w:w="1506" w:type="dxa"/>
          </w:tcPr>
          <w:p w:rsidRPr="00BC71A4" w:rsidR="001076DB" w:rsidP="008439ED" w:rsidRDefault="001076DB" w14:paraId="044AA9A0" w14:textId="77777777">
            <w:pPr>
              <w:rPr>
                <w:sz w:val="16"/>
                <w:szCs w:val="16"/>
              </w:rPr>
            </w:pPr>
            <w:r w:rsidRPr="00BC71A4">
              <w:rPr>
                <w:sz w:val="16"/>
                <w:szCs w:val="16"/>
              </w:rPr>
              <w:t>49,6</w:t>
            </w:r>
          </w:p>
        </w:tc>
        <w:tc>
          <w:tcPr>
            <w:tcW w:w="1506" w:type="dxa"/>
          </w:tcPr>
          <w:p w:rsidRPr="00BC71A4" w:rsidR="001076DB" w:rsidP="008439ED" w:rsidRDefault="001076DB" w14:paraId="3F5A0437" w14:textId="77777777">
            <w:pPr>
              <w:rPr>
                <w:sz w:val="16"/>
                <w:szCs w:val="16"/>
              </w:rPr>
            </w:pPr>
            <w:r w:rsidRPr="00BC71A4">
              <w:rPr>
                <w:sz w:val="16"/>
                <w:szCs w:val="16"/>
              </w:rPr>
              <w:t>1,47</w:t>
            </w:r>
          </w:p>
        </w:tc>
        <w:tc>
          <w:tcPr>
            <w:tcW w:w="1506" w:type="dxa"/>
          </w:tcPr>
          <w:p w:rsidRPr="00BC71A4" w:rsidR="001076DB" w:rsidP="008439ED" w:rsidRDefault="001076DB" w14:paraId="7B608872" w14:textId="77777777">
            <w:pPr>
              <w:rPr>
                <w:sz w:val="16"/>
                <w:szCs w:val="16"/>
              </w:rPr>
            </w:pPr>
            <w:r w:rsidRPr="00BC71A4">
              <w:rPr>
                <w:sz w:val="16"/>
                <w:szCs w:val="16"/>
              </w:rPr>
              <w:t>10,8</w:t>
            </w:r>
          </w:p>
        </w:tc>
        <w:tc>
          <w:tcPr>
            <w:tcW w:w="1506" w:type="dxa"/>
          </w:tcPr>
          <w:p w:rsidRPr="00BC71A4" w:rsidR="001076DB" w:rsidP="008439ED" w:rsidRDefault="001076DB" w14:paraId="415F6EC8" w14:textId="77777777">
            <w:pPr>
              <w:rPr>
                <w:sz w:val="16"/>
                <w:szCs w:val="16"/>
              </w:rPr>
            </w:pPr>
            <w:r w:rsidRPr="00BC71A4">
              <w:rPr>
                <w:sz w:val="16"/>
                <w:szCs w:val="16"/>
              </w:rPr>
              <w:t>6,72</w:t>
            </w:r>
          </w:p>
        </w:tc>
      </w:tr>
    </w:tbl>
    <w:p w:rsidR="001076DB" w:rsidP="001076DB" w:rsidRDefault="001076DB" w14:paraId="2DFACD73" w14:textId="77777777">
      <w:pPr>
        <w:rPr>
          <w:sz w:val="16"/>
          <w:szCs w:val="16"/>
        </w:rPr>
      </w:pPr>
      <w:r w:rsidRPr="00BC71A4">
        <w:rPr>
          <w:sz w:val="16"/>
          <w:szCs w:val="16"/>
        </w:rPr>
        <w:t>Bron: bewerking cijfers NEA 2023-202</w:t>
      </w:r>
    </w:p>
    <w:p w:rsidR="001076DB" w:rsidP="001076DB" w:rsidRDefault="001076DB" w14:paraId="09A8816F" w14:textId="77777777">
      <w:pPr>
        <w:spacing w:line="240" w:lineRule="auto"/>
        <w:rPr>
          <w:b/>
          <w:bCs/>
        </w:rPr>
      </w:pPr>
    </w:p>
    <w:p w:rsidRPr="00BC71A4" w:rsidR="001076DB" w:rsidP="001076DB" w:rsidRDefault="001076DB" w14:paraId="207A2BD5" w14:textId="77777777">
      <w:pPr>
        <w:spacing w:line="240" w:lineRule="auto"/>
        <w:rPr>
          <w:sz w:val="16"/>
          <w:szCs w:val="16"/>
        </w:rPr>
      </w:pPr>
      <w:r w:rsidRPr="006E14A7">
        <w:rPr>
          <w:b/>
          <w:bCs/>
        </w:rPr>
        <w:t>Vraag 6</w:t>
      </w:r>
    </w:p>
    <w:p w:rsidR="001076DB" w:rsidP="001076DB" w:rsidRDefault="001076DB" w14:paraId="09F0602D" w14:textId="77777777">
      <w:pPr>
        <w:pStyle w:val="Geenafstand"/>
        <w:rPr>
          <w:rFonts w:ascii="Verdana" w:hAnsi="Verdana"/>
          <w:sz w:val="18"/>
          <w:szCs w:val="18"/>
        </w:rPr>
      </w:pPr>
      <w:r w:rsidRPr="00D35DFA">
        <w:rPr>
          <w:rFonts w:ascii="Verdana" w:hAnsi="Verdana"/>
          <w:sz w:val="18"/>
          <w:szCs w:val="18"/>
        </w:rPr>
        <w:t xml:space="preserve">Kunt u uitsplitsen vanuit welke contractvorm (vast, tijdelijk of uitzendkracht) deze vrouwen in de WIA instromen? </w:t>
      </w:r>
    </w:p>
    <w:p w:rsidR="001076DB" w:rsidP="001076DB" w:rsidRDefault="001076DB" w14:paraId="65A650FF" w14:textId="77777777">
      <w:pPr>
        <w:pStyle w:val="Geenafstand"/>
        <w:rPr>
          <w:rFonts w:ascii="Verdana" w:hAnsi="Verdana"/>
          <w:sz w:val="18"/>
          <w:szCs w:val="18"/>
        </w:rPr>
      </w:pPr>
    </w:p>
    <w:p w:rsidRPr="006E14A7" w:rsidR="001076DB" w:rsidP="001076DB" w:rsidRDefault="001076DB" w14:paraId="387E3EBF" w14:textId="77777777">
      <w:pPr>
        <w:rPr>
          <w:b/>
          <w:bCs/>
        </w:rPr>
      </w:pPr>
      <w:r w:rsidRPr="006E14A7">
        <w:rPr>
          <w:b/>
          <w:bCs/>
        </w:rPr>
        <w:t>Antwoord 6</w:t>
      </w:r>
    </w:p>
    <w:p w:rsidR="001076DB" w:rsidP="001076DB" w:rsidRDefault="001076DB" w14:paraId="5E3A05BE" w14:textId="77777777">
      <w:r w:rsidRPr="00D902F2">
        <w:t xml:space="preserve">Onderstaande tabel toont over de periode van 2021-2025 de instroom in de WIA van vrouwen in de leeftijdsgroep 30 t/m 39 jaar naar type contractvorm. </w:t>
      </w:r>
    </w:p>
    <w:p w:rsidRPr="00D902F2" w:rsidR="001076DB" w:rsidP="001076DB" w:rsidRDefault="001076DB" w14:paraId="72FB3A7D" w14:textId="77777777">
      <w:r>
        <w:t>Er is zowel een toename van vrouwen met een vast contract en een tijdelijk en oproepcontract.</w:t>
      </w:r>
    </w:p>
    <w:p w:rsidR="001076DB" w:rsidP="001076DB" w:rsidRDefault="001076DB" w14:paraId="2AFFBFE7" w14:textId="77777777">
      <w:pPr>
        <w:pStyle w:val="Geenafstand"/>
        <w:rPr>
          <w:rFonts w:ascii="Verdana" w:hAnsi="Verdana"/>
          <w:sz w:val="18"/>
          <w:szCs w:val="18"/>
        </w:rPr>
      </w:pPr>
    </w:p>
    <w:tbl>
      <w:tblPr>
        <w:tblW w:w="7920" w:type="dxa"/>
        <w:tblCellMar>
          <w:left w:w="70" w:type="dxa"/>
          <w:right w:w="70" w:type="dxa"/>
        </w:tblCellMar>
        <w:tblLook w:val="04A0" w:firstRow="1" w:lastRow="0" w:firstColumn="1" w:lastColumn="0" w:noHBand="0" w:noVBand="1"/>
      </w:tblPr>
      <w:tblGrid>
        <w:gridCol w:w="4420"/>
        <w:gridCol w:w="700"/>
        <w:gridCol w:w="700"/>
        <w:gridCol w:w="700"/>
        <w:gridCol w:w="700"/>
        <w:gridCol w:w="700"/>
      </w:tblGrid>
      <w:tr w:rsidRPr="00127E48" w:rsidR="001076DB" w:rsidTr="008439ED" w14:paraId="1CAAE15C" w14:textId="77777777">
        <w:trPr>
          <w:trHeight w:val="240"/>
        </w:trPr>
        <w:tc>
          <w:tcPr>
            <w:tcW w:w="4420" w:type="dxa"/>
            <w:tcBorders>
              <w:top w:val="single" w:color="0078D2" w:sz="4" w:space="0"/>
              <w:left w:val="nil"/>
              <w:bottom w:val="single" w:color="0078D2" w:sz="4" w:space="0"/>
              <w:right w:val="nil"/>
            </w:tcBorders>
            <w:shd w:val="clear" w:color="000000" w:fill="0078D2"/>
            <w:hideMark/>
          </w:tcPr>
          <w:p w:rsidRPr="00127E48" w:rsidR="001076DB" w:rsidP="008439ED" w:rsidRDefault="001076DB" w14:paraId="3071C960" w14:textId="77777777">
            <w:pPr>
              <w:spacing w:line="240" w:lineRule="auto"/>
              <w:rPr>
                <w:rFonts w:ascii="UWV Werk" w:hAnsi="UWV Werk" w:eastAsia="Times New Roman" w:cs="Times New Roman"/>
                <w:b/>
                <w:bCs/>
                <w:color w:val="FFFFFF"/>
                <w:sz w:val="16"/>
                <w:szCs w:val="16"/>
              </w:rPr>
            </w:pPr>
            <w:r w:rsidRPr="00127E48">
              <w:rPr>
                <w:rFonts w:ascii="UWV Werk" w:hAnsi="UWV Werk" w:eastAsia="Times New Roman" w:cs="Times New Roman"/>
                <w:b/>
                <w:bCs/>
                <w:color w:val="FFFFFF"/>
                <w:sz w:val="16"/>
                <w:szCs w:val="16"/>
              </w:rPr>
              <w:lastRenderedPageBreak/>
              <w:t xml:space="preserve">Instroom </w:t>
            </w:r>
            <w:r>
              <w:rPr>
                <w:rFonts w:ascii="UWV Werk" w:hAnsi="UWV Werk" w:eastAsia="Times New Roman" w:cs="Times New Roman"/>
                <w:b/>
                <w:bCs/>
                <w:color w:val="FFFFFF"/>
                <w:sz w:val="16"/>
                <w:szCs w:val="16"/>
              </w:rPr>
              <w:t xml:space="preserve">in </w:t>
            </w:r>
            <w:r w:rsidRPr="00127E48">
              <w:rPr>
                <w:rFonts w:ascii="UWV Werk" w:hAnsi="UWV Werk" w:eastAsia="Times New Roman" w:cs="Times New Roman"/>
                <w:b/>
                <w:bCs/>
                <w:color w:val="FFFFFF"/>
                <w:sz w:val="16"/>
                <w:szCs w:val="16"/>
              </w:rPr>
              <w:t xml:space="preserve">WIA </w:t>
            </w:r>
            <w:r>
              <w:rPr>
                <w:rFonts w:ascii="UWV Werk" w:hAnsi="UWV Werk" w:eastAsia="Times New Roman" w:cs="Times New Roman"/>
                <w:b/>
                <w:bCs/>
                <w:color w:val="FFFFFF"/>
                <w:sz w:val="16"/>
                <w:szCs w:val="16"/>
              </w:rPr>
              <w:t xml:space="preserve">van </w:t>
            </w:r>
            <w:r w:rsidRPr="00127E48">
              <w:rPr>
                <w:rFonts w:ascii="UWV Werk" w:hAnsi="UWV Werk" w:eastAsia="Times New Roman" w:cs="Times New Roman"/>
                <w:b/>
                <w:bCs/>
                <w:color w:val="FFFFFF"/>
                <w:sz w:val="16"/>
                <w:szCs w:val="16"/>
              </w:rPr>
              <w:t>vrouwen 30-39 jaar naar type contract</w:t>
            </w:r>
          </w:p>
        </w:tc>
        <w:tc>
          <w:tcPr>
            <w:tcW w:w="700" w:type="dxa"/>
            <w:tcBorders>
              <w:top w:val="single" w:color="0078D2" w:sz="4" w:space="0"/>
              <w:left w:val="nil"/>
              <w:bottom w:val="single" w:color="0078D2" w:sz="4" w:space="0"/>
              <w:right w:val="nil"/>
            </w:tcBorders>
            <w:shd w:val="clear" w:color="000000" w:fill="0078D2"/>
            <w:hideMark/>
          </w:tcPr>
          <w:p w:rsidRPr="00127E48" w:rsidR="001076DB" w:rsidP="008439ED" w:rsidRDefault="001076DB" w14:paraId="18473428" w14:textId="77777777">
            <w:pPr>
              <w:spacing w:line="240" w:lineRule="auto"/>
              <w:jc w:val="right"/>
              <w:rPr>
                <w:rFonts w:ascii="UWV Werk" w:hAnsi="UWV Werk" w:eastAsia="Times New Roman" w:cs="Times New Roman"/>
                <w:b/>
                <w:bCs/>
                <w:color w:val="FFFFFF"/>
                <w:sz w:val="16"/>
                <w:szCs w:val="16"/>
              </w:rPr>
            </w:pPr>
            <w:r w:rsidRPr="00127E48">
              <w:rPr>
                <w:rFonts w:ascii="UWV Werk" w:hAnsi="UWV Werk" w:eastAsia="Times New Roman" w:cs="Times New Roman"/>
                <w:b/>
                <w:bCs/>
                <w:color w:val="FFFFFF"/>
                <w:sz w:val="16"/>
                <w:szCs w:val="16"/>
              </w:rPr>
              <w:t>2021</w:t>
            </w:r>
          </w:p>
        </w:tc>
        <w:tc>
          <w:tcPr>
            <w:tcW w:w="700" w:type="dxa"/>
            <w:tcBorders>
              <w:top w:val="single" w:color="0078D2" w:sz="4" w:space="0"/>
              <w:left w:val="nil"/>
              <w:bottom w:val="single" w:color="0078D2" w:sz="4" w:space="0"/>
              <w:right w:val="nil"/>
            </w:tcBorders>
            <w:shd w:val="clear" w:color="000000" w:fill="0078D2"/>
            <w:hideMark/>
          </w:tcPr>
          <w:p w:rsidRPr="00127E48" w:rsidR="001076DB" w:rsidP="008439ED" w:rsidRDefault="001076DB" w14:paraId="7EA8928F" w14:textId="77777777">
            <w:pPr>
              <w:spacing w:line="240" w:lineRule="auto"/>
              <w:jc w:val="right"/>
              <w:rPr>
                <w:rFonts w:ascii="UWV Werk" w:hAnsi="UWV Werk" w:eastAsia="Times New Roman" w:cs="Times New Roman"/>
                <w:b/>
                <w:bCs/>
                <w:color w:val="FFFFFF"/>
                <w:sz w:val="16"/>
                <w:szCs w:val="16"/>
              </w:rPr>
            </w:pPr>
            <w:r w:rsidRPr="00127E48">
              <w:rPr>
                <w:rFonts w:ascii="UWV Werk" w:hAnsi="UWV Werk" w:eastAsia="Times New Roman" w:cs="Times New Roman"/>
                <w:b/>
                <w:bCs/>
                <w:color w:val="FFFFFF"/>
                <w:sz w:val="16"/>
                <w:szCs w:val="16"/>
              </w:rPr>
              <w:t>2022</w:t>
            </w:r>
          </w:p>
        </w:tc>
        <w:tc>
          <w:tcPr>
            <w:tcW w:w="700" w:type="dxa"/>
            <w:tcBorders>
              <w:top w:val="single" w:color="0078D2" w:sz="4" w:space="0"/>
              <w:left w:val="nil"/>
              <w:bottom w:val="single" w:color="0078D2" w:sz="4" w:space="0"/>
              <w:right w:val="nil"/>
            </w:tcBorders>
            <w:shd w:val="clear" w:color="000000" w:fill="0078D2"/>
            <w:hideMark/>
          </w:tcPr>
          <w:p w:rsidRPr="00127E48" w:rsidR="001076DB" w:rsidP="008439ED" w:rsidRDefault="001076DB" w14:paraId="240B6259" w14:textId="77777777">
            <w:pPr>
              <w:spacing w:line="240" w:lineRule="auto"/>
              <w:jc w:val="right"/>
              <w:rPr>
                <w:rFonts w:ascii="UWV Werk" w:hAnsi="UWV Werk" w:eastAsia="Times New Roman" w:cs="Times New Roman"/>
                <w:b/>
                <w:bCs/>
                <w:color w:val="FFFFFF"/>
                <w:sz w:val="16"/>
                <w:szCs w:val="16"/>
              </w:rPr>
            </w:pPr>
            <w:r w:rsidRPr="00127E48">
              <w:rPr>
                <w:rFonts w:ascii="UWV Werk" w:hAnsi="UWV Werk" w:eastAsia="Times New Roman" w:cs="Times New Roman"/>
                <w:b/>
                <w:bCs/>
                <w:color w:val="FFFFFF"/>
                <w:sz w:val="16"/>
                <w:szCs w:val="16"/>
              </w:rPr>
              <w:t>2023</w:t>
            </w:r>
          </w:p>
        </w:tc>
        <w:tc>
          <w:tcPr>
            <w:tcW w:w="700" w:type="dxa"/>
            <w:tcBorders>
              <w:top w:val="single" w:color="0078D2" w:sz="4" w:space="0"/>
              <w:left w:val="nil"/>
              <w:bottom w:val="single" w:color="0078D2" w:sz="4" w:space="0"/>
              <w:right w:val="nil"/>
            </w:tcBorders>
            <w:shd w:val="clear" w:color="000000" w:fill="0078D2"/>
            <w:hideMark/>
          </w:tcPr>
          <w:p w:rsidRPr="00127E48" w:rsidR="001076DB" w:rsidP="008439ED" w:rsidRDefault="001076DB" w14:paraId="63C8C779" w14:textId="77777777">
            <w:pPr>
              <w:spacing w:line="240" w:lineRule="auto"/>
              <w:jc w:val="right"/>
              <w:rPr>
                <w:rFonts w:ascii="UWV Werk" w:hAnsi="UWV Werk" w:eastAsia="Times New Roman" w:cs="Times New Roman"/>
                <w:b/>
                <w:bCs/>
                <w:color w:val="FFFFFF"/>
                <w:sz w:val="16"/>
                <w:szCs w:val="16"/>
              </w:rPr>
            </w:pPr>
            <w:r w:rsidRPr="00127E48">
              <w:rPr>
                <w:rFonts w:ascii="UWV Werk" w:hAnsi="UWV Werk" w:eastAsia="Times New Roman" w:cs="Times New Roman"/>
                <w:b/>
                <w:bCs/>
                <w:color w:val="FFFFFF"/>
                <w:sz w:val="16"/>
                <w:szCs w:val="16"/>
              </w:rPr>
              <w:t>2024</w:t>
            </w:r>
          </w:p>
        </w:tc>
        <w:tc>
          <w:tcPr>
            <w:tcW w:w="700" w:type="dxa"/>
            <w:tcBorders>
              <w:top w:val="single" w:color="0078D2" w:sz="4" w:space="0"/>
              <w:left w:val="nil"/>
              <w:bottom w:val="single" w:color="0078D2" w:sz="4" w:space="0"/>
              <w:right w:val="nil"/>
            </w:tcBorders>
            <w:shd w:val="clear" w:color="000000" w:fill="0078D2"/>
            <w:hideMark/>
          </w:tcPr>
          <w:p w:rsidRPr="00127E48" w:rsidR="001076DB" w:rsidP="008439ED" w:rsidRDefault="001076DB" w14:paraId="28995050" w14:textId="77777777">
            <w:pPr>
              <w:spacing w:line="240" w:lineRule="auto"/>
              <w:jc w:val="right"/>
              <w:rPr>
                <w:rFonts w:ascii="UWV Werk" w:hAnsi="UWV Werk" w:eastAsia="Times New Roman" w:cs="Times New Roman"/>
                <w:b/>
                <w:bCs/>
                <w:color w:val="FFFFFF"/>
                <w:sz w:val="16"/>
                <w:szCs w:val="16"/>
              </w:rPr>
            </w:pPr>
            <w:r w:rsidRPr="00127E48">
              <w:rPr>
                <w:rFonts w:ascii="UWV Werk" w:hAnsi="UWV Werk" w:eastAsia="Times New Roman" w:cs="Times New Roman"/>
                <w:b/>
                <w:bCs/>
                <w:color w:val="FFFFFF"/>
                <w:sz w:val="16"/>
                <w:szCs w:val="16"/>
              </w:rPr>
              <w:t>2025</w:t>
            </w:r>
          </w:p>
        </w:tc>
      </w:tr>
      <w:tr w:rsidRPr="00127E48" w:rsidR="001076DB" w:rsidTr="008439ED" w14:paraId="37C70B74" w14:textId="77777777">
        <w:trPr>
          <w:trHeight w:val="240"/>
        </w:trPr>
        <w:tc>
          <w:tcPr>
            <w:tcW w:w="4420" w:type="dxa"/>
            <w:tcBorders>
              <w:top w:val="nil"/>
              <w:left w:val="nil"/>
              <w:bottom w:val="single" w:color="0078D2" w:sz="4" w:space="0"/>
              <w:right w:val="nil"/>
            </w:tcBorders>
            <w:shd w:val="clear" w:color="000000" w:fill="FFFFFF"/>
            <w:vAlign w:val="center"/>
            <w:hideMark/>
          </w:tcPr>
          <w:p w:rsidRPr="00127E48" w:rsidR="001076DB" w:rsidP="008439ED" w:rsidRDefault="001076DB" w14:paraId="62944728" w14:textId="77777777">
            <w:pPr>
              <w:spacing w:line="240" w:lineRule="auto"/>
              <w:rPr>
                <w:rFonts w:ascii="UWV Werk" w:hAnsi="UWV Werk" w:eastAsia="Times New Roman" w:cs="Times New Roman"/>
                <w:b/>
                <w:bCs/>
                <w:color w:val="003282"/>
                <w:sz w:val="16"/>
                <w:szCs w:val="16"/>
              </w:rPr>
            </w:pPr>
            <w:r w:rsidRPr="00127E48">
              <w:rPr>
                <w:rFonts w:ascii="UWV Werk" w:hAnsi="UWV Werk" w:eastAsia="Times New Roman" w:cs="Times New Roman"/>
                <w:b/>
                <w:bCs/>
                <w:color w:val="003282"/>
                <w:sz w:val="16"/>
                <w:szCs w:val="16"/>
              </w:rPr>
              <w:t>vast contract</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6D7AC755"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2.651</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1A3E071C"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2.744</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58A38121"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3.346</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139DC587"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4.262</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26AF8D28"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4.504</w:t>
            </w:r>
          </w:p>
        </w:tc>
      </w:tr>
      <w:tr w:rsidRPr="00127E48" w:rsidR="001076DB" w:rsidTr="008439ED" w14:paraId="184D6E26" w14:textId="77777777">
        <w:trPr>
          <w:trHeight w:val="240"/>
        </w:trPr>
        <w:tc>
          <w:tcPr>
            <w:tcW w:w="4420" w:type="dxa"/>
            <w:tcBorders>
              <w:top w:val="nil"/>
              <w:left w:val="nil"/>
              <w:bottom w:val="single" w:color="0078D2" w:sz="4" w:space="0"/>
              <w:right w:val="nil"/>
            </w:tcBorders>
            <w:shd w:val="clear" w:color="000000" w:fill="FFFFFF"/>
            <w:vAlign w:val="center"/>
            <w:hideMark/>
          </w:tcPr>
          <w:p w:rsidRPr="00127E48" w:rsidR="001076DB" w:rsidP="008439ED" w:rsidRDefault="001076DB" w14:paraId="6A0F2566" w14:textId="77777777">
            <w:pPr>
              <w:spacing w:line="240" w:lineRule="auto"/>
              <w:rPr>
                <w:rFonts w:ascii="UWV Werk" w:hAnsi="UWV Werk" w:eastAsia="Times New Roman" w:cs="Times New Roman"/>
                <w:b/>
                <w:bCs/>
                <w:color w:val="003282"/>
                <w:sz w:val="16"/>
                <w:szCs w:val="16"/>
              </w:rPr>
            </w:pPr>
            <w:r w:rsidRPr="00127E48">
              <w:rPr>
                <w:rFonts w:ascii="UWV Werk" w:hAnsi="UWV Werk" w:eastAsia="Times New Roman" w:cs="Times New Roman"/>
                <w:b/>
                <w:bCs/>
                <w:color w:val="003282"/>
                <w:sz w:val="16"/>
                <w:szCs w:val="16"/>
              </w:rPr>
              <w:t>tijdelijk en oproepcontract</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621AA619"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2.281</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33630A70"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2.386</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7994401A"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2.293</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476C2858"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3.004</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1B549E66"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3.545</w:t>
            </w:r>
          </w:p>
        </w:tc>
      </w:tr>
      <w:tr w:rsidRPr="00127E48" w:rsidR="001076DB" w:rsidTr="008439ED" w14:paraId="3B80FD96" w14:textId="77777777">
        <w:trPr>
          <w:trHeight w:val="240"/>
        </w:trPr>
        <w:tc>
          <w:tcPr>
            <w:tcW w:w="4420" w:type="dxa"/>
            <w:tcBorders>
              <w:top w:val="nil"/>
              <w:left w:val="nil"/>
              <w:bottom w:val="single" w:color="0078D2" w:sz="4" w:space="0"/>
              <w:right w:val="nil"/>
            </w:tcBorders>
            <w:shd w:val="clear" w:color="000000" w:fill="FFFFFF"/>
            <w:vAlign w:val="center"/>
            <w:hideMark/>
          </w:tcPr>
          <w:p w:rsidRPr="00127E48" w:rsidR="001076DB" w:rsidP="008439ED" w:rsidRDefault="001076DB" w14:paraId="6D875908" w14:textId="77777777">
            <w:pPr>
              <w:spacing w:line="240" w:lineRule="auto"/>
              <w:rPr>
                <w:rFonts w:ascii="UWV Werk" w:hAnsi="UWV Werk" w:eastAsia="Times New Roman" w:cs="Times New Roman"/>
                <w:b/>
                <w:bCs/>
                <w:color w:val="003282"/>
                <w:sz w:val="16"/>
                <w:szCs w:val="16"/>
              </w:rPr>
            </w:pPr>
            <w:r w:rsidRPr="00127E48">
              <w:rPr>
                <w:rFonts w:ascii="UWV Werk" w:hAnsi="UWV Werk" w:eastAsia="Times New Roman" w:cs="Times New Roman"/>
                <w:b/>
                <w:bCs/>
                <w:color w:val="003282"/>
                <w:sz w:val="16"/>
                <w:szCs w:val="16"/>
              </w:rPr>
              <w:t>Uitzendcontract</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7C6F6EB4"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603</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59F6F7AF"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529</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7288DDFF"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534</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07B96F49"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619</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6FEEE981"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531</w:t>
            </w:r>
          </w:p>
        </w:tc>
      </w:tr>
      <w:tr w:rsidRPr="00127E48" w:rsidR="001076DB" w:rsidTr="008439ED" w14:paraId="0B867FB4" w14:textId="77777777">
        <w:trPr>
          <w:trHeight w:val="240"/>
        </w:trPr>
        <w:tc>
          <w:tcPr>
            <w:tcW w:w="4420" w:type="dxa"/>
            <w:tcBorders>
              <w:top w:val="nil"/>
              <w:left w:val="nil"/>
              <w:bottom w:val="single" w:color="0078D2" w:sz="4" w:space="0"/>
              <w:right w:val="nil"/>
            </w:tcBorders>
            <w:shd w:val="clear" w:color="000000" w:fill="FFFFFF"/>
            <w:vAlign w:val="center"/>
            <w:hideMark/>
          </w:tcPr>
          <w:p w:rsidRPr="00127E48" w:rsidR="001076DB" w:rsidP="008439ED" w:rsidRDefault="001076DB" w14:paraId="5E8D49EB" w14:textId="77777777">
            <w:pPr>
              <w:spacing w:line="240" w:lineRule="auto"/>
              <w:rPr>
                <w:rFonts w:ascii="UWV Werk" w:hAnsi="UWV Werk" w:eastAsia="Times New Roman" w:cs="Times New Roman"/>
                <w:b/>
                <w:bCs/>
                <w:color w:val="003282"/>
                <w:sz w:val="16"/>
                <w:szCs w:val="16"/>
              </w:rPr>
            </w:pPr>
            <w:r w:rsidRPr="00127E48">
              <w:rPr>
                <w:rFonts w:ascii="UWV Werk" w:hAnsi="UWV Werk" w:eastAsia="Times New Roman" w:cs="Times New Roman"/>
                <w:b/>
                <w:bCs/>
                <w:color w:val="003282"/>
                <w:sz w:val="16"/>
                <w:szCs w:val="16"/>
              </w:rPr>
              <w:t>Onbekend</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6D59A1D2"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679</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22A1F33F"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644</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39FD7867"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694</w:t>
            </w:r>
          </w:p>
        </w:tc>
        <w:tc>
          <w:tcPr>
            <w:tcW w:w="700" w:type="dxa"/>
            <w:tcBorders>
              <w:top w:val="nil"/>
              <w:left w:val="nil"/>
              <w:bottom w:val="single" w:color="0078D2" w:sz="4" w:space="0"/>
              <w:right w:val="nil"/>
            </w:tcBorders>
            <w:shd w:val="clear" w:color="000000" w:fill="FFFFFF"/>
            <w:vAlign w:val="center"/>
            <w:hideMark/>
          </w:tcPr>
          <w:p w:rsidRPr="00127E48" w:rsidR="001076DB" w:rsidP="008439ED" w:rsidRDefault="001076DB" w14:paraId="4C00C9F4"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791</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55507ADE"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933</w:t>
            </w:r>
          </w:p>
        </w:tc>
      </w:tr>
      <w:tr w:rsidRPr="00127E48" w:rsidR="001076DB" w:rsidTr="008439ED" w14:paraId="14E86A41" w14:textId="77777777">
        <w:trPr>
          <w:trHeight w:val="240"/>
        </w:trPr>
        <w:tc>
          <w:tcPr>
            <w:tcW w:w="4420" w:type="dxa"/>
            <w:tcBorders>
              <w:top w:val="nil"/>
              <w:left w:val="nil"/>
              <w:bottom w:val="single" w:color="0078D2" w:sz="4" w:space="0"/>
              <w:right w:val="nil"/>
            </w:tcBorders>
            <w:shd w:val="clear" w:color="000000" w:fill="FFFFFF"/>
            <w:vAlign w:val="center"/>
            <w:hideMark/>
          </w:tcPr>
          <w:p w:rsidRPr="00127E48" w:rsidR="001076DB" w:rsidP="008439ED" w:rsidRDefault="001076DB" w14:paraId="41DDC2D4" w14:textId="77777777">
            <w:pPr>
              <w:spacing w:line="240" w:lineRule="auto"/>
              <w:rPr>
                <w:rFonts w:ascii="UWV Werk" w:hAnsi="UWV Werk" w:eastAsia="Times New Roman" w:cs="Times New Roman"/>
                <w:b/>
                <w:bCs/>
                <w:color w:val="003282"/>
                <w:sz w:val="16"/>
                <w:szCs w:val="16"/>
              </w:rPr>
            </w:pPr>
            <w:r w:rsidRPr="00127E48">
              <w:rPr>
                <w:rFonts w:ascii="UWV Werk" w:hAnsi="UWV Werk" w:eastAsia="Times New Roman" w:cs="Times New Roman"/>
                <w:b/>
                <w:bCs/>
                <w:color w:val="003282"/>
                <w:sz w:val="16"/>
                <w:szCs w:val="16"/>
              </w:rPr>
              <w:t>Totaal</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73881FD2"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 xml:space="preserve">    6.214 </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4839AF34"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 xml:space="preserve">    6.303 </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680337BA"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 xml:space="preserve">    6.867 </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5E7DD29B"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 xml:space="preserve">    8.676 </w:t>
            </w:r>
          </w:p>
        </w:tc>
        <w:tc>
          <w:tcPr>
            <w:tcW w:w="700" w:type="dxa"/>
            <w:tcBorders>
              <w:top w:val="nil"/>
              <w:left w:val="nil"/>
              <w:bottom w:val="single" w:color="0078D2" w:sz="4" w:space="0"/>
              <w:right w:val="nil"/>
            </w:tcBorders>
            <w:shd w:val="clear" w:color="000000" w:fill="F5F5F5"/>
            <w:vAlign w:val="center"/>
            <w:hideMark/>
          </w:tcPr>
          <w:p w:rsidRPr="00127E48" w:rsidR="001076DB" w:rsidP="008439ED" w:rsidRDefault="001076DB" w14:paraId="1C055DB3" w14:textId="77777777">
            <w:pPr>
              <w:spacing w:line="240" w:lineRule="auto"/>
              <w:jc w:val="right"/>
              <w:rPr>
                <w:rFonts w:ascii="UWV Werk" w:hAnsi="UWV Werk" w:eastAsia="Times New Roman" w:cs="Times New Roman"/>
                <w:sz w:val="16"/>
                <w:szCs w:val="16"/>
              </w:rPr>
            </w:pPr>
            <w:r w:rsidRPr="00127E48">
              <w:rPr>
                <w:rFonts w:ascii="UWV Werk" w:hAnsi="UWV Werk" w:eastAsia="Times New Roman" w:cs="Times New Roman"/>
                <w:sz w:val="16"/>
                <w:szCs w:val="16"/>
              </w:rPr>
              <w:t xml:space="preserve">    9.513 </w:t>
            </w:r>
          </w:p>
        </w:tc>
      </w:tr>
    </w:tbl>
    <w:p w:rsidRPr="0056285B" w:rsidR="001076DB" w:rsidP="001076DB" w:rsidRDefault="001076DB" w14:paraId="33410B5E" w14:textId="77777777">
      <w:pPr>
        <w:pStyle w:val="Geenafstand"/>
        <w:rPr>
          <w:rFonts w:ascii="Verdana" w:hAnsi="Verdana"/>
          <w:sz w:val="16"/>
          <w:szCs w:val="16"/>
        </w:rPr>
      </w:pPr>
      <w:r w:rsidRPr="0056285B">
        <w:rPr>
          <w:rFonts w:ascii="Verdana" w:hAnsi="Verdana"/>
          <w:sz w:val="16"/>
          <w:szCs w:val="16"/>
        </w:rPr>
        <w:t xml:space="preserve">Bron UWV </w:t>
      </w:r>
    </w:p>
    <w:p w:rsidR="001076DB" w:rsidP="001076DB" w:rsidRDefault="001076DB" w14:paraId="615DE120" w14:textId="77777777">
      <w:pPr>
        <w:pStyle w:val="Geenafstand"/>
        <w:rPr>
          <w:rFonts w:ascii="Verdana" w:hAnsi="Verdana"/>
          <w:b/>
          <w:bCs/>
          <w:sz w:val="18"/>
          <w:szCs w:val="18"/>
        </w:rPr>
      </w:pPr>
    </w:p>
    <w:p w:rsidRPr="006E14A7" w:rsidR="001076DB" w:rsidP="001076DB" w:rsidRDefault="001076DB" w14:paraId="69926981" w14:textId="77777777">
      <w:pPr>
        <w:pStyle w:val="Geenafstand"/>
        <w:rPr>
          <w:rFonts w:ascii="Verdana" w:hAnsi="Verdana"/>
          <w:b/>
          <w:bCs/>
          <w:sz w:val="18"/>
          <w:szCs w:val="18"/>
        </w:rPr>
      </w:pPr>
      <w:r w:rsidRPr="006E14A7">
        <w:rPr>
          <w:rFonts w:ascii="Verdana" w:hAnsi="Verdana"/>
          <w:b/>
          <w:bCs/>
          <w:sz w:val="18"/>
          <w:szCs w:val="18"/>
        </w:rPr>
        <w:t>Vraag 7</w:t>
      </w:r>
    </w:p>
    <w:p w:rsidRPr="00D35DFA" w:rsidR="001076DB" w:rsidP="001076DB" w:rsidRDefault="001076DB" w14:paraId="30E674BF" w14:textId="77777777">
      <w:pPr>
        <w:pStyle w:val="Geenafstand"/>
        <w:rPr>
          <w:rFonts w:ascii="Verdana" w:hAnsi="Verdana"/>
          <w:sz w:val="18"/>
          <w:szCs w:val="18"/>
        </w:rPr>
      </w:pPr>
      <w:r w:rsidRPr="00D35DFA">
        <w:rPr>
          <w:rFonts w:ascii="Verdana" w:hAnsi="Verdana"/>
          <w:sz w:val="18"/>
          <w:szCs w:val="18"/>
        </w:rPr>
        <w:t xml:space="preserve">Kunt u aangeven welk deel van deze vrouwen een inkomen heeft dat ligt tussen de 80 en de 100% van het huidige maximumdagloon? </w:t>
      </w:r>
    </w:p>
    <w:p w:rsidRPr="00D35DFA" w:rsidR="001076DB" w:rsidP="001076DB" w:rsidRDefault="001076DB" w14:paraId="14199908" w14:textId="77777777">
      <w:pPr>
        <w:pStyle w:val="Geenafstand"/>
        <w:rPr>
          <w:rFonts w:ascii="Verdana" w:hAnsi="Verdana"/>
          <w:sz w:val="18"/>
          <w:szCs w:val="18"/>
        </w:rPr>
      </w:pPr>
    </w:p>
    <w:p w:rsidR="001076DB" w:rsidP="001076DB" w:rsidRDefault="001076DB" w14:paraId="351092FC" w14:textId="77777777">
      <w:pPr>
        <w:pStyle w:val="Geenafstand"/>
        <w:rPr>
          <w:rFonts w:ascii="Verdana" w:hAnsi="Verdana"/>
          <w:b/>
          <w:bCs/>
          <w:sz w:val="18"/>
          <w:szCs w:val="18"/>
        </w:rPr>
      </w:pPr>
      <w:r w:rsidRPr="006E14A7">
        <w:rPr>
          <w:rFonts w:ascii="Verdana" w:hAnsi="Verdana"/>
          <w:b/>
          <w:bCs/>
          <w:sz w:val="18"/>
          <w:szCs w:val="18"/>
        </w:rPr>
        <w:t>Antwoord 7</w:t>
      </w:r>
    </w:p>
    <w:p w:rsidRPr="00B92A4C" w:rsidR="001076DB" w:rsidP="001076DB" w:rsidRDefault="001076DB" w14:paraId="57E3A789" w14:textId="77777777">
      <w:pPr>
        <w:pStyle w:val="Geenafstand"/>
        <w:rPr>
          <w:rFonts w:ascii="Verdana" w:hAnsi="Verdana"/>
          <w:b/>
          <w:bCs/>
          <w:sz w:val="18"/>
          <w:szCs w:val="18"/>
        </w:rPr>
      </w:pPr>
      <w:r w:rsidRPr="006E14A7">
        <w:rPr>
          <w:rFonts w:ascii="Verdana" w:hAnsi="Verdana"/>
          <w:sz w:val="18"/>
          <w:szCs w:val="18"/>
        </w:rPr>
        <w:t>O</w:t>
      </w:r>
      <w:r w:rsidRPr="00D902F2">
        <w:rPr>
          <w:rFonts w:ascii="Verdana" w:hAnsi="Verdana"/>
          <w:sz w:val="18"/>
          <w:szCs w:val="18"/>
        </w:rPr>
        <w:t xml:space="preserve">nderstaande </w:t>
      </w:r>
      <w:r>
        <w:rPr>
          <w:rFonts w:ascii="Verdana" w:hAnsi="Verdana"/>
          <w:sz w:val="18"/>
          <w:szCs w:val="18"/>
        </w:rPr>
        <w:t xml:space="preserve">twee </w:t>
      </w:r>
      <w:r w:rsidRPr="00D902F2">
        <w:rPr>
          <w:rFonts w:ascii="Verdana" w:hAnsi="Verdana"/>
          <w:sz w:val="18"/>
          <w:szCs w:val="18"/>
        </w:rPr>
        <w:t>tabel</w:t>
      </w:r>
      <w:r>
        <w:rPr>
          <w:rFonts w:ascii="Verdana" w:hAnsi="Verdana"/>
          <w:sz w:val="18"/>
          <w:szCs w:val="18"/>
        </w:rPr>
        <w:t>len</w:t>
      </w:r>
      <w:r w:rsidRPr="00D902F2">
        <w:rPr>
          <w:rFonts w:ascii="Verdana" w:hAnsi="Verdana"/>
          <w:sz w:val="18"/>
          <w:szCs w:val="18"/>
        </w:rPr>
        <w:t xml:space="preserve"> </w:t>
      </w:r>
      <w:r>
        <w:rPr>
          <w:rFonts w:ascii="Verdana" w:hAnsi="Verdana"/>
          <w:sz w:val="18"/>
          <w:szCs w:val="18"/>
        </w:rPr>
        <w:t>tonen</w:t>
      </w:r>
      <w:r w:rsidRPr="00D902F2">
        <w:rPr>
          <w:rFonts w:ascii="Verdana" w:hAnsi="Verdana"/>
          <w:sz w:val="18"/>
          <w:szCs w:val="18"/>
        </w:rPr>
        <w:t xml:space="preserve"> over de periode 2021-2025 het percentuele aandeel van vrouwen in de leeftijdsgroep 30 t/m 39 jaar die zijn ingestroomd in de WIA </w:t>
      </w:r>
      <w:r>
        <w:rPr>
          <w:rFonts w:ascii="Verdana" w:hAnsi="Verdana"/>
          <w:sz w:val="18"/>
          <w:szCs w:val="18"/>
        </w:rPr>
        <w:t xml:space="preserve">en Ziektewet </w:t>
      </w:r>
      <w:r w:rsidRPr="00D902F2">
        <w:rPr>
          <w:rFonts w:ascii="Verdana" w:hAnsi="Verdana"/>
          <w:sz w:val="18"/>
          <w:szCs w:val="18"/>
        </w:rPr>
        <w:t>met een dagloon tussen 80-100 van het maximumdagloon</w:t>
      </w:r>
      <w:r>
        <w:rPr>
          <w:rFonts w:ascii="Verdana" w:hAnsi="Verdana"/>
          <w:sz w:val="18"/>
          <w:szCs w:val="18"/>
        </w:rPr>
        <w:t xml:space="preserve">. Deze instroom ligt hoger dan met </w:t>
      </w:r>
      <w:r w:rsidRPr="00D902F2">
        <w:rPr>
          <w:rFonts w:ascii="Verdana" w:hAnsi="Verdana"/>
          <w:sz w:val="18"/>
          <w:szCs w:val="18"/>
        </w:rPr>
        <w:t>een dagloon boven de 100% van het maximumdagloon.</w:t>
      </w:r>
      <w:r>
        <w:rPr>
          <w:rFonts w:ascii="Verdana" w:hAnsi="Verdana"/>
          <w:sz w:val="18"/>
          <w:szCs w:val="18"/>
        </w:rPr>
        <w:t xml:space="preserve"> </w:t>
      </w:r>
      <w:r>
        <w:br w:type="page"/>
      </w:r>
    </w:p>
    <w:tbl>
      <w:tblPr>
        <w:tblW w:w="5000" w:type="pct"/>
        <w:tblCellMar>
          <w:left w:w="70" w:type="dxa"/>
          <w:right w:w="70" w:type="dxa"/>
        </w:tblCellMar>
        <w:tblLook w:val="04A0" w:firstRow="1" w:lastRow="0" w:firstColumn="1" w:lastColumn="0" w:noHBand="0" w:noVBand="1"/>
      </w:tblPr>
      <w:tblGrid>
        <w:gridCol w:w="4207"/>
        <w:gridCol w:w="666"/>
        <w:gridCol w:w="667"/>
        <w:gridCol w:w="667"/>
        <w:gridCol w:w="667"/>
        <w:gridCol w:w="667"/>
      </w:tblGrid>
      <w:tr w:rsidRPr="00367A96" w:rsidR="001076DB" w:rsidTr="008439ED" w14:paraId="72E3CF5F" w14:textId="77777777">
        <w:trPr>
          <w:trHeight w:val="240"/>
        </w:trPr>
        <w:tc>
          <w:tcPr>
            <w:tcW w:w="2790" w:type="pct"/>
            <w:tcBorders>
              <w:top w:val="single" w:color="0078D2" w:sz="4" w:space="0"/>
              <w:left w:val="nil"/>
              <w:bottom w:val="single" w:color="0078D2" w:sz="4" w:space="0"/>
              <w:right w:val="nil"/>
            </w:tcBorders>
            <w:shd w:val="clear" w:color="000000" w:fill="0078D2"/>
            <w:hideMark/>
          </w:tcPr>
          <w:p w:rsidRPr="00367A96" w:rsidR="001076DB" w:rsidP="008439ED" w:rsidRDefault="001076DB" w14:paraId="539F1261" w14:textId="77777777">
            <w:pPr>
              <w:spacing w:line="240" w:lineRule="auto"/>
              <w:rPr>
                <w:rFonts w:ascii="UWV Werk" w:hAnsi="UWV Werk" w:eastAsia="Times New Roman" w:cs="Times New Roman"/>
                <w:b/>
                <w:bCs/>
                <w:color w:val="FFFFFF"/>
                <w:sz w:val="16"/>
                <w:szCs w:val="16"/>
              </w:rPr>
            </w:pPr>
            <w:r w:rsidRPr="00367A96">
              <w:rPr>
                <w:rFonts w:ascii="UWV Werk" w:hAnsi="UWV Werk" w:eastAsia="Times New Roman" w:cs="Times New Roman"/>
                <w:b/>
                <w:bCs/>
                <w:color w:val="FFFFFF"/>
                <w:sz w:val="16"/>
                <w:szCs w:val="16"/>
              </w:rPr>
              <w:lastRenderedPageBreak/>
              <w:t>Instroom WIA met dagloon &gt; 80% max. dagloon</w:t>
            </w:r>
          </w:p>
        </w:tc>
        <w:tc>
          <w:tcPr>
            <w:tcW w:w="442" w:type="pct"/>
            <w:tcBorders>
              <w:top w:val="single" w:color="0078D2" w:sz="4" w:space="0"/>
              <w:left w:val="nil"/>
              <w:bottom w:val="single" w:color="0078D2" w:sz="4" w:space="0"/>
              <w:right w:val="nil"/>
            </w:tcBorders>
            <w:shd w:val="clear" w:color="000000" w:fill="0078D2"/>
            <w:hideMark/>
          </w:tcPr>
          <w:p w:rsidRPr="00367A96" w:rsidR="001076DB" w:rsidP="008439ED" w:rsidRDefault="001076DB" w14:paraId="1890E463" w14:textId="77777777">
            <w:pPr>
              <w:spacing w:line="240" w:lineRule="auto"/>
              <w:jc w:val="right"/>
              <w:rPr>
                <w:rFonts w:ascii="UWV Werk" w:hAnsi="UWV Werk" w:eastAsia="Times New Roman" w:cs="Times New Roman"/>
                <w:b/>
                <w:bCs/>
                <w:color w:val="FFFFFF"/>
                <w:sz w:val="16"/>
                <w:szCs w:val="16"/>
              </w:rPr>
            </w:pPr>
            <w:r w:rsidRPr="00367A96">
              <w:rPr>
                <w:rFonts w:ascii="UWV Werk" w:hAnsi="UWV Werk" w:eastAsia="Times New Roman" w:cs="Times New Roman"/>
                <w:b/>
                <w:bCs/>
                <w:color w:val="FFFFFF"/>
                <w:sz w:val="16"/>
                <w:szCs w:val="16"/>
              </w:rPr>
              <w:t>2021</w:t>
            </w:r>
          </w:p>
        </w:tc>
        <w:tc>
          <w:tcPr>
            <w:tcW w:w="442" w:type="pct"/>
            <w:tcBorders>
              <w:top w:val="single" w:color="0078D2" w:sz="4" w:space="0"/>
              <w:left w:val="nil"/>
              <w:bottom w:val="single" w:color="0078D2" w:sz="4" w:space="0"/>
              <w:right w:val="nil"/>
            </w:tcBorders>
            <w:shd w:val="clear" w:color="000000" w:fill="0078D2"/>
            <w:hideMark/>
          </w:tcPr>
          <w:p w:rsidRPr="00367A96" w:rsidR="001076DB" w:rsidP="008439ED" w:rsidRDefault="001076DB" w14:paraId="099678F1" w14:textId="77777777">
            <w:pPr>
              <w:spacing w:line="240" w:lineRule="auto"/>
              <w:jc w:val="right"/>
              <w:rPr>
                <w:rFonts w:ascii="UWV Werk" w:hAnsi="UWV Werk" w:eastAsia="Times New Roman" w:cs="Times New Roman"/>
                <w:b/>
                <w:bCs/>
                <w:color w:val="FFFFFF"/>
                <w:sz w:val="16"/>
                <w:szCs w:val="16"/>
              </w:rPr>
            </w:pPr>
            <w:r w:rsidRPr="00367A96">
              <w:rPr>
                <w:rFonts w:ascii="UWV Werk" w:hAnsi="UWV Werk" w:eastAsia="Times New Roman" w:cs="Times New Roman"/>
                <w:b/>
                <w:bCs/>
                <w:color w:val="FFFFFF"/>
                <w:sz w:val="16"/>
                <w:szCs w:val="16"/>
              </w:rPr>
              <w:t>2022</w:t>
            </w:r>
          </w:p>
        </w:tc>
        <w:tc>
          <w:tcPr>
            <w:tcW w:w="442" w:type="pct"/>
            <w:tcBorders>
              <w:top w:val="single" w:color="0078D2" w:sz="4" w:space="0"/>
              <w:left w:val="nil"/>
              <w:bottom w:val="single" w:color="0078D2" w:sz="4" w:space="0"/>
              <w:right w:val="nil"/>
            </w:tcBorders>
            <w:shd w:val="clear" w:color="000000" w:fill="0078D2"/>
            <w:hideMark/>
          </w:tcPr>
          <w:p w:rsidRPr="00367A96" w:rsidR="001076DB" w:rsidP="008439ED" w:rsidRDefault="001076DB" w14:paraId="6CAA7A42" w14:textId="77777777">
            <w:pPr>
              <w:spacing w:line="240" w:lineRule="auto"/>
              <w:jc w:val="right"/>
              <w:rPr>
                <w:rFonts w:ascii="UWV Werk" w:hAnsi="UWV Werk" w:eastAsia="Times New Roman" w:cs="Times New Roman"/>
                <w:b/>
                <w:bCs/>
                <w:color w:val="FFFFFF"/>
                <w:sz w:val="16"/>
                <w:szCs w:val="16"/>
              </w:rPr>
            </w:pPr>
            <w:r w:rsidRPr="00367A96">
              <w:rPr>
                <w:rFonts w:ascii="UWV Werk" w:hAnsi="UWV Werk" w:eastAsia="Times New Roman" w:cs="Times New Roman"/>
                <w:b/>
                <w:bCs/>
                <w:color w:val="FFFFFF"/>
                <w:sz w:val="16"/>
                <w:szCs w:val="16"/>
              </w:rPr>
              <w:t>2023</w:t>
            </w:r>
          </w:p>
        </w:tc>
        <w:tc>
          <w:tcPr>
            <w:tcW w:w="442" w:type="pct"/>
            <w:tcBorders>
              <w:top w:val="single" w:color="0078D2" w:sz="4" w:space="0"/>
              <w:left w:val="nil"/>
              <w:bottom w:val="single" w:color="0078D2" w:sz="4" w:space="0"/>
              <w:right w:val="nil"/>
            </w:tcBorders>
            <w:shd w:val="clear" w:color="000000" w:fill="0078D2"/>
            <w:hideMark/>
          </w:tcPr>
          <w:p w:rsidRPr="00367A96" w:rsidR="001076DB" w:rsidP="008439ED" w:rsidRDefault="001076DB" w14:paraId="63212578" w14:textId="77777777">
            <w:pPr>
              <w:spacing w:line="240" w:lineRule="auto"/>
              <w:jc w:val="right"/>
              <w:rPr>
                <w:rFonts w:ascii="UWV Werk" w:hAnsi="UWV Werk" w:eastAsia="Times New Roman" w:cs="Times New Roman"/>
                <w:b/>
                <w:bCs/>
                <w:color w:val="FFFFFF"/>
                <w:sz w:val="16"/>
                <w:szCs w:val="16"/>
              </w:rPr>
            </w:pPr>
            <w:r w:rsidRPr="00367A96">
              <w:rPr>
                <w:rFonts w:ascii="UWV Werk" w:hAnsi="UWV Werk" w:eastAsia="Times New Roman" w:cs="Times New Roman"/>
                <w:b/>
                <w:bCs/>
                <w:color w:val="FFFFFF"/>
                <w:sz w:val="16"/>
                <w:szCs w:val="16"/>
              </w:rPr>
              <w:t>2024</w:t>
            </w:r>
          </w:p>
        </w:tc>
        <w:tc>
          <w:tcPr>
            <w:tcW w:w="442" w:type="pct"/>
            <w:tcBorders>
              <w:top w:val="single" w:color="0078D2" w:sz="4" w:space="0"/>
              <w:left w:val="nil"/>
              <w:bottom w:val="single" w:color="0078D2" w:sz="4" w:space="0"/>
              <w:right w:val="nil"/>
            </w:tcBorders>
            <w:shd w:val="clear" w:color="000000" w:fill="0078D2"/>
            <w:hideMark/>
          </w:tcPr>
          <w:p w:rsidRPr="00367A96" w:rsidR="001076DB" w:rsidP="008439ED" w:rsidRDefault="001076DB" w14:paraId="09A7513A" w14:textId="77777777">
            <w:pPr>
              <w:spacing w:line="240" w:lineRule="auto"/>
              <w:jc w:val="right"/>
              <w:rPr>
                <w:rFonts w:ascii="UWV Werk" w:hAnsi="UWV Werk" w:eastAsia="Times New Roman" w:cs="Times New Roman"/>
                <w:b/>
                <w:bCs/>
                <w:color w:val="FFFFFF"/>
                <w:sz w:val="16"/>
                <w:szCs w:val="16"/>
              </w:rPr>
            </w:pPr>
            <w:r w:rsidRPr="00367A96">
              <w:rPr>
                <w:rFonts w:ascii="UWV Werk" w:hAnsi="UWV Werk" w:eastAsia="Times New Roman" w:cs="Times New Roman"/>
                <w:b/>
                <w:bCs/>
                <w:color w:val="FFFFFF"/>
                <w:sz w:val="16"/>
                <w:szCs w:val="16"/>
              </w:rPr>
              <w:t>2025</w:t>
            </w:r>
          </w:p>
        </w:tc>
      </w:tr>
      <w:tr w:rsidRPr="00367A96" w:rsidR="001076DB" w:rsidTr="008439ED" w14:paraId="7C30A7EA" w14:textId="77777777">
        <w:trPr>
          <w:trHeight w:val="240"/>
        </w:trPr>
        <w:tc>
          <w:tcPr>
            <w:tcW w:w="2790" w:type="pct"/>
            <w:tcBorders>
              <w:top w:val="nil"/>
              <w:left w:val="nil"/>
              <w:bottom w:val="single" w:color="0078D2" w:sz="4" w:space="0"/>
              <w:right w:val="nil"/>
            </w:tcBorders>
            <w:shd w:val="clear" w:color="000000" w:fill="FFFFFF"/>
            <w:vAlign w:val="center"/>
            <w:hideMark/>
          </w:tcPr>
          <w:p w:rsidRPr="00367A96" w:rsidR="001076DB" w:rsidP="008439ED" w:rsidRDefault="001076DB" w14:paraId="28975D49" w14:textId="77777777">
            <w:pPr>
              <w:spacing w:line="240" w:lineRule="auto"/>
              <w:rPr>
                <w:rFonts w:ascii="UWV Werk" w:hAnsi="UWV Werk" w:eastAsia="Times New Roman" w:cs="Times New Roman"/>
                <w:b/>
                <w:bCs/>
                <w:color w:val="003282"/>
                <w:sz w:val="16"/>
                <w:szCs w:val="16"/>
              </w:rPr>
            </w:pPr>
            <w:r w:rsidRPr="00367A96">
              <w:rPr>
                <w:rFonts w:ascii="UWV Werk" w:hAnsi="UWV Werk" w:eastAsia="Times New Roman" w:cs="Times New Roman"/>
                <w:b/>
                <w:bCs/>
                <w:color w:val="003282"/>
                <w:sz w:val="16"/>
                <w:szCs w:val="16"/>
              </w:rPr>
              <w:t>Percentage met dagloon 80%-100%</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51E2710A"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5%</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77177D52"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4%</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5B2FBA2F"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5%</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51067F9B"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6%</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015A31AF"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5%</w:t>
            </w:r>
          </w:p>
        </w:tc>
      </w:tr>
      <w:tr w:rsidRPr="00367A96" w:rsidR="001076DB" w:rsidTr="008439ED" w14:paraId="4E2D130B" w14:textId="77777777">
        <w:trPr>
          <w:trHeight w:val="240"/>
        </w:trPr>
        <w:tc>
          <w:tcPr>
            <w:tcW w:w="2790" w:type="pct"/>
            <w:tcBorders>
              <w:top w:val="nil"/>
              <w:left w:val="nil"/>
              <w:bottom w:val="single" w:color="0078D2" w:sz="4" w:space="0"/>
              <w:right w:val="nil"/>
            </w:tcBorders>
            <w:shd w:val="clear" w:color="000000" w:fill="FFFFFF"/>
            <w:vAlign w:val="center"/>
            <w:hideMark/>
          </w:tcPr>
          <w:p w:rsidRPr="00367A96" w:rsidR="001076DB" w:rsidP="008439ED" w:rsidRDefault="001076DB" w14:paraId="71A6B5B1" w14:textId="77777777">
            <w:pPr>
              <w:spacing w:line="240" w:lineRule="auto"/>
              <w:rPr>
                <w:rFonts w:ascii="UWV Werk" w:hAnsi="UWV Werk" w:eastAsia="Times New Roman" w:cs="Times New Roman"/>
                <w:b/>
                <w:bCs/>
                <w:color w:val="003282"/>
                <w:sz w:val="16"/>
                <w:szCs w:val="16"/>
              </w:rPr>
            </w:pPr>
            <w:r w:rsidRPr="00367A96">
              <w:rPr>
                <w:rFonts w:ascii="UWV Werk" w:hAnsi="UWV Werk" w:eastAsia="Times New Roman" w:cs="Times New Roman"/>
                <w:b/>
                <w:bCs/>
                <w:color w:val="003282"/>
                <w:sz w:val="16"/>
                <w:szCs w:val="16"/>
              </w:rPr>
              <w:t>Percentage met dagloon &gt; 100%</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23952C15"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2%</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2CC8E0F2"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2%</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316A6A0C"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2%</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5A7328CC"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3%</w:t>
            </w:r>
          </w:p>
        </w:tc>
        <w:tc>
          <w:tcPr>
            <w:tcW w:w="442" w:type="pct"/>
            <w:tcBorders>
              <w:top w:val="nil"/>
              <w:left w:val="nil"/>
              <w:bottom w:val="single" w:color="0078D2" w:sz="4" w:space="0"/>
              <w:right w:val="nil"/>
            </w:tcBorders>
            <w:shd w:val="clear" w:color="000000" w:fill="F5F5F5"/>
            <w:vAlign w:val="center"/>
            <w:hideMark/>
          </w:tcPr>
          <w:p w:rsidRPr="00367A96" w:rsidR="001076DB" w:rsidP="008439ED" w:rsidRDefault="001076DB" w14:paraId="0EF0FD2B" w14:textId="77777777">
            <w:pPr>
              <w:spacing w:line="240" w:lineRule="auto"/>
              <w:jc w:val="right"/>
              <w:rPr>
                <w:rFonts w:ascii="UWV Werk" w:hAnsi="UWV Werk" w:eastAsia="Times New Roman" w:cs="Times New Roman"/>
                <w:sz w:val="16"/>
                <w:szCs w:val="16"/>
              </w:rPr>
            </w:pPr>
            <w:r w:rsidRPr="00367A96">
              <w:rPr>
                <w:rFonts w:ascii="UWV Werk" w:hAnsi="UWV Werk" w:eastAsia="Times New Roman" w:cs="Times New Roman"/>
                <w:sz w:val="16"/>
                <w:szCs w:val="16"/>
              </w:rPr>
              <w:t>2%</w:t>
            </w:r>
          </w:p>
        </w:tc>
      </w:tr>
    </w:tbl>
    <w:p w:rsidR="001076DB" w:rsidP="001076DB" w:rsidRDefault="001076DB" w14:paraId="32405E38" w14:textId="77777777">
      <w:pPr>
        <w:pStyle w:val="Geenafstand"/>
      </w:pPr>
    </w:p>
    <w:tbl>
      <w:tblPr>
        <w:tblW w:w="5000" w:type="pct"/>
        <w:tblCellMar>
          <w:left w:w="70" w:type="dxa"/>
          <w:right w:w="70" w:type="dxa"/>
        </w:tblCellMar>
        <w:tblLook w:val="04A0" w:firstRow="1" w:lastRow="0" w:firstColumn="1" w:lastColumn="0" w:noHBand="0" w:noVBand="1"/>
      </w:tblPr>
      <w:tblGrid>
        <w:gridCol w:w="4207"/>
        <w:gridCol w:w="666"/>
        <w:gridCol w:w="667"/>
        <w:gridCol w:w="667"/>
        <w:gridCol w:w="667"/>
        <w:gridCol w:w="667"/>
      </w:tblGrid>
      <w:tr w:rsidRPr="00874188" w:rsidR="001076DB" w:rsidTr="008439ED" w14:paraId="51ECD8AC" w14:textId="77777777">
        <w:trPr>
          <w:trHeight w:val="240"/>
        </w:trPr>
        <w:tc>
          <w:tcPr>
            <w:tcW w:w="2790" w:type="pct"/>
            <w:tcBorders>
              <w:top w:val="single" w:color="0078D2" w:sz="4" w:space="0"/>
              <w:left w:val="nil"/>
              <w:bottom w:val="single" w:color="0078D2" w:sz="4" w:space="0"/>
              <w:right w:val="nil"/>
            </w:tcBorders>
            <w:shd w:val="clear" w:color="000000" w:fill="0078D2"/>
            <w:hideMark/>
          </w:tcPr>
          <w:p w:rsidRPr="00874188" w:rsidR="001076DB" w:rsidP="008439ED" w:rsidRDefault="001076DB" w14:paraId="6A6B6049" w14:textId="77777777">
            <w:pPr>
              <w:spacing w:line="240" w:lineRule="auto"/>
              <w:rPr>
                <w:rFonts w:ascii="UWV Werk" w:hAnsi="UWV Werk" w:eastAsia="Times New Roman" w:cs="Times New Roman"/>
                <w:b/>
                <w:bCs/>
                <w:color w:val="FFFFFF"/>
                <w:sz w:val="16"/>
                <w:szCs w:val="16"/>
              </w:rPr>
            </w:pPr>
            <w:r w:rsidRPr="00874188">
              <w:rPr>
                <w:rFonts w:ascii="UWV Werk" w:hAnsi="UWV Werk" w:eastAsia="Times New Roman" w:cs="Times New Roman"/>
                <w:b/>
                <w:bCs/>
                <w:color w:val="FFFFFF"/>
                <w:sz w:val="16"/>
                <w:szCs w:val="16"/>
              </w:rPr>
              <w:t>Instroom ZW met dagloon &gt; 80% max. dagloon</w:t>
            </w:r>
          </w:p>
        </w:tc>
        <w:tc>
          <w:tcPr>
            <w:tcW w:w="442" w:type="pct"/>
            <w:tcBorders>
              <w:top w:val="single" w:color="0078D2" w:sz="4" w:space="0"/>
              <w:left w:val="nil"/>
              <w:bottom w:val="single" w:color="0078D2" w:sz="4" w:space="0"/>
              <w:right w:val="nil"/>
            </w:tcBorders>
            <w:shd w:val="clear" w:color="000000" w:fill="0078D2"/>
            <w:hideMark/>
          </w:tcPr>
          <w:p w:rsidRPr="00874188" w:rsidR="001076DB" w:rsidP="008439ED" w:rsidRDefault="001076DB" w14:paraId="3459B779" w14:textId="77777777">
            <w:pPr>
              <w:spacing w:line="240" w:lineRule="auto"/>
              <w:jc w:val="right"/>
              <w:rPr>
                <w:rFonts w:ascii="UWV Werk" w:hAnsi="UWV Werk" w:eastAsia="Times New Roman" w:cs="Times New Roman"/>
                <w:b/>
                <w:bCs/>
                <w:color w:val="FFFFFF"/>
                <w:sz w:val="16"/>
                <w:szCs w:val="16"/>
              </w:rPr>
            </w:pPr>
            <w:r w:rsidRPr="00874188">
              <w:rPr>
                <w:rFonts w:ascii="UWV Werk" w:hAnsi="UWV Werk" w:eastAsia="Times New Roman" w:cs="Times New Roman"/>
                <w:b/>
                <w:bCs/>
                <w:color w:val="FFFFFF"/>
                <w:sz w:val="16"/>
                <w:szCs w:val="16"/>
              </w:rPr>
              <w:t>2021</w:t>
            </w:r>
          </w:p>
        </w:tc>
        <w:tc>
          <w:tcPr>
            <w:tcW w:w="442" w:type="pct"/>
            <w:tcBorders>
              <w:top w:val="single" w:color="0078D2" w:sz="4" w:space="0"/>
              <w:left w:val="nil"/>
              <w:bottom w:val="single" w:color="0078D2" w:sz="4" w:space="0"/>
              <w:right w:val="nil"/>
            </w:tcBorders>
            <w:shd w:val="clear" w:color="000000" w:fill="0078D2"/>
            <w:hideMark/>
          </w:tcPr>
          <w:p w:rsidRPr="00874188" w:rsidR="001076DB" w:rsidP="008439ED" w:rsidRDefault="001076DB" w14:paraId="70E06676" w14:textId="77777777">
            <w:pPr>
              <w:spacing w:line="240" w:lineRule="auto"/>
              <w:jc w:val="right"/>
              <w:rPr>
                <w:rFonts w:ascii="UWV Werk" w:hAnsi="UWV Werk" w:eastAsia="Times New Roman" w:cs="Times New Roman"/>
                <w:b/>
                <w:bCs/>
                <w:color w:val="FFFFFF"/>
                <w:sz w:val="16"/>
                <w:szCs w:val="16"/>
              </w:rPr>
            </w:pPr>
            <w:r w:rsidRPr="00874188">
              <w:rPr>
                <w:rFonts w:ascii="UWV Werk" w:hAnsi="UWV Werk" w:eastAsia="Times New Roman" w:cs="Times New Roman"/>
                <w:b/>
                <w:bCs/>
                <w:color w:val="FFFFFF"/>
                <w:sz w:val="16"/>
                <w:szCs w:val="16"/>
              </w:rPr>
              <w:t>2022</w:t>
            </w:r>
          </w:p>
        </w:tc>
        <w:tc>
          <w:tcPr>
            <w:tcW w:w="442" w:type="pct"/>
            <w:tcBorders>
              <w:top w:val="single" w:color="0078D2" w:sz="4" w:space="0"/>
              <w:left w:val="nil"/>
              <w:bottom w:val="single" w:color="0078D2" w:sz="4" w:space="0"/>
              <w:right w:val="nil"/>
            </w:tcBorders>
            <w:shd w:val="clear" w:color="000000" w:fill="0078D2"/>
            <w:hideMark/>
          </w:tcPr>
          <w:p w:rsidRPr="00874188" w:rsidR="001076DB" w:rsidP="008439ED" w:rsidRDefault="001076DB" w14:paraId="6BC79DF9" w14:textId="77777777">
            <w:pPr>
              <w:spacing w:line="240" w:lineRule="auto"/>
              <w:jc w:val="right"/>
              <w:rPr>
                <w:rFonts w:ascii="UWV Werk" w:hAnsi="UWV Werk" w:eastAsia="Times New Roman" w:cs="Times New Roman"/>
                <w:b/>
                <w:bCs/>
                <w:color w:val="FFFFFF"/>
                <w:sz w:val="16"/>
                <w:szCs w:val="16"/>
              </w:rPr>
            </w:pPr>
            <w:r w:rsidRPr="00874188">
              <w:rPr>
                <w:rFonts w:ascii="UWV Werk" w:hAnsi="UWV Werk" w:eastAsia="Times New Roman" w:cs="Times New Roman"/>
                <w:b/>
                <w:bCs/>
                <w:color w:val="FFFFFF"/>
                <w:sz w:val="16"/>
                <w:szCs w:val="16"/>
              </w:rPr>
              <w:t>2023</w:t>
            </w:r>
          </w:p>
        </w:tc>
        <w:tc>
          <w:tcPr>
            <w:tcW w:w="442" w:type="pct"/>
            <w:tcBorders>
              <w:top w:val="single" w:color="0078D2" w:sz="4" w:space="0"/>
              <w:left w:val="nil"/>
              <w:bottom w:val="single" w:color="0078D2" w:sz="4" w:space="0"/>
              <w:right w:val="nil"/>
            </w:tcBorders>
            <w:shd w:val="clear" w:color="000000" w:fill="0078D2"/>
            <w:hideMark/>
          </w:tcPr>
          <w:p w:rsidRPr="00874188" w:rsidR="001076DB" w:rsidP="008439ED" w:rsidRDefault="001076DB" w14:paraId="640442E1" w14:textId="77777777">
            <w:pPr>
              <w:spacing w:line="240" w:lineRule="auto"/>
              <w:jc w:val="right"/>
              <w:rPr>
                <w:rFonts w:ascii="UWV Werk" w:hAnsi="UWV Werk" w:eastAsia="Times New Roman" w:cs="Times New Roman"/>
                <w:b/>
                <w:bCs/>
                <w:color w:val="FFFFFF"/>
                <w:sz w:val="16"/>
                <w:szCs w:val="16"/>
              </w:rPr>
            </w:pPr>
            <w:r w:rsidRPr="00874188">
              <w:rPr>
                <w:rFonts w:ascii="UWV Werk" w:hAnsi="UWV Werk" w:eastAsia="Times New Roman" w:cs="Times New Roman"/>
                <w:b/>
                <w:bCs/>
                <w:color w:val="FFFFFF"/>
                <w:sz w:val="16"/>
                <w:szCs w:val="16"/>
              </w:rPr>
              <w:t>2024</w:t>
            </w:r>
          </w:p>
        </w:tc>
        <w:tc>
          <w:tcPr>
            <w:tcW w:w="442" w:type="pct"/>
            <w:tcBorders>
              <w:top w:val="single" w:color="0078D2" w:sz="4" w:space="0"/>
              <w:left w:val="nil"/>
              <w:bottom w:val="single" w:color="0078D2" w:sz="4" w:space="0"/>
              <w:right w:val="nil"/>
            </w:tcBorders>
            <w:shd w:val="clear" w:color="000000" w:fill="0078D2"/>
            <w:hideMark/>
          </w:tcPr>
          <w:p w:rsidRPr="00874188" w:rsidR="001076DB" w:rsidP="008439ED" w:rsidRDefault="001076DB" w14:paraId="1286A176" w14:textId="77777777">
            <w:pPr>
              <w:spacing w:line="240" w:lineRule="auto"/>
              <w:jc w:val="right"/>
              <w:rPr>
                <w:rFonts w:ascii="UWV Werk" w:hAnsi="UWV Werk" w:eastAsia="Times New Roman" w:cs="Times New Roman"/>
                <w:b/>
                <w:bCs/>
                <w:color w:val="FFFFFF"/>
                <w:sz w:val="16"/>
                <w:szCs w:val="16"/>
              </w:rPr>
            </w:pPr>
            <w:r w:rsidRPr="00874188">
              <w:rPr>
                <w:rFonts w:ascii="UWV Werk" w:hAnsi="UWV Werk" w:eastAsia="Times New Roman" w:cs="Times New Roman"/>
                <w:b/>
                <w:bCs/>
                <w:color w:val="FFFFFF"/>
                <w:sz w:val="16"/>
                <w:szCs w:val="16"/>
              </w:rPr>
              <w:t>2025</w:t>
            </w:r>
          </w:p>
        </w:tc>
      </w:tr>
      <w:tr w:rsidRPr="00874188" w:rsidR="001076DB" w:rsidTr="008439ED" w14:paraId="56D78978" w14:textId="77777777">
        <w:trPr>
          <w:trHeight w:val="240"/>
        </w:trPr>
        <w:tc>
          <w:tcPr>
            <w:tcW w:w="2790" w:type="pct"/>
            <w:tcBorders>
              <w:top w:val="nil"/>
              <w:left w:val="nil"/>
              <w:bottom w:val="single" w:color="0078D2" w:sz="4" w:space="0"/>
              <w:right w:val="nil"/>
            </w:tcBorders>
            <w:shd w:val="clear" w:color="000000" w:fill="FFFFFF"/>
            <w:vAlign w:val="center"/>
            <w:hideMark/>
          </w:tcPr>
          <w:p w:rsidRPr="00874188" w:rsidR="001076DB" w:rsidP="008439ED" w:rsidRDefault="001076DB" w14:paraId="06413028" w14:textId="77777777">
            <w:pPr>
              <w:spacing w:line="240" w:lineRule="auto"/>
              <w:rPr>
                <w:rFonts w:ascii="UWV Werk" w:hAnsi="UWV Werk" w:eastAsia="Times New Roman" w:cs="Times New Roman"/>
                <w:b/>
                <w:bCs/>
                <w:color w:val="003282"/>
                <w:sz w:val="16"/>
                <w:szCs w:val="16"/>
              </w:rPr>
            </w:pPr>
            <w:r w:rsidRPr="00874188">
              <w:rPr>
                <w:rFonts w:ascii="UWV Werk" w:hAnsi="UWV Werk" w:eastAsia="Times New Roman" w:cs="Times New Roman"/>
                <w:b/>
                <w:bCs/>
                <w:color w:val="003282"/>
                <w:sz w:val="16"/>
                <w:szCs w:val="16"/>
              </w:rPr>
              <w:t>Percentage met dagloon</w:t>
            </w:r>
            <w:r>
              <w:rPr>
                <w:rFonts w:ascii="UWV Werk" w:hAnsi="UWV Werk" w:eastAsia="Times New Roman" w:cs="Times New Roman"/>
                <w:b/>
                <w:bCs/>
                <w:color w:val="003282"/>
                <w:sz w:val="16"/>
                <w:szCs w:val="16"/>
              </w:rPr>
              <w:t xml:space="preserve"> &gt;</w:t>
            </w:r>
            <w:r w:rsidRPr="00874188">
              <w:rPr>
                <w:rFonts w:ascii="UWV Werk" w:hAnsi="UWV Werk" w:eastAsia="Times New Roman" w:cs="Times New Roman"/>
                <w:b/>
                <w:bCs/>
                <w:color w:val="003282"/>
                <w:sz w:val="16"/>
                <w:szCs w:val="16"/>
              </w:rPr>
              <w:t xml:space="preserve"> 80%-100%</w:t>
            </w:r>
            <w:r>
              <w:rPr>
                <w:rFonts w:ascii="UWV Werk" w:hAnsi="UWV Werk" w:eastAsia="Times New Roman" w:cs="Times New Roman"/>
                <w:b/>
                <w:bCs/>
                <w:color w:val="003282"/>
                <w:sz w:val="16"/>
                <w:szCs w:val="16"/>
              </w:rPr>
              <w:t xml:space="preserve"> max. dagloon</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0DE110B4" w14:textId="77777777">
            <w:pPr>
              <w:spacing w:line="240" w:lineRule="auto"/>
              <w:jc w:val="right"/>
              <w:rPr>
                <w:rFonts w:ascii="UWV Werk" w:hAnsi="UWV Werk" w:eastAsia="Times New Roman" w:cs="Times New Roman"/>
                <w:sz w:val="16"/>
                <w:szCs w:val="16"/>
              </w:rPr>
            </w:pPr>
            <w:r>
              <w:rPr>
                <w:rFonts w:ascii="UWV Werk" w:hAnsi="UWV Werk"/>
                <w:sz w:val="16"/>
                <w:szCs w:val="16"/>
              </w:rPr>
              <w:t>5%</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0E4A7647" w14:textId="77777777">
            <w:pPr>
              <w:spacing w:line="240" w:lineRule="auto"/>
              <w:jc w:val="right"/>
              <w:rPr>
                <w:rFonts w:ascii="UWV Werk" w:hAnsi="UWV Werk" w:eastAsia="Times New Roman" w:cs="Times New Roman"/>
                <w:sz w:val="16"/>
                <w:szCs w:val="16"/>
              </w:rPr>
            </w:pPr>
            <w:r>
              <w:rPr>
                <w:rFonts w:ascii="UWV Werk" w:hAnsi="UWV Werk"/>
                <w:sz w:val="16"/>
                <w:szCs w:val="16"/>
              </w:rPr>
              <w:t>5%</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59A82DB3" w14:textId="77777777">
            <w:pPr>
              <w:spacing w:line="240" w:lineRule="auto"/>
              <w:jc w:val="right"/>
              <w:rPr>
                <w:rFonts w:ascii="UWV Werk" w:hAnsi="UWV Werk" w:eastAsia="Times New Roman" w:cs="Times New Roman"/>
                <w:sz w:val="16"/>
                <w:szCs w:val="16"/>
              </w:rPr>
            </w:pPr>
            <w:r>
              <w:rPr>
                <w:rFonts w:ascii="UWV Werk" w:hAnsi="UWV Werk"/>
                <w:sz w:val="16"/>
                <w:szCs w:val="16"/>
              </w:rPr>
              <w:t>5%</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23EE16CD" w14:textId="77777777">
            <w:pPr>
              <w:spacing w:line="240" w:lineRule="auto"/>
              <w:jc w:val="right"/>
              <w:rPr>
                <w:rFonts w:ascii="UWV Werk" w:hAnsi="UWV Werk" w:eastAsia="Times New Roman" w:cs="Times New Roman"/>
                <w:sz w:val="16"/>
                <w:szCs w:val="16"/>
              </w:rPr>
            </w:pPr>
            <w:r>
              <w:rPr>
                <w:rFonts w:ascii="UWV Werk" w:hAnsi="UWV Werk"/>
                <w:sz w:val="16"/>
                <w:szCs w:val="16"/>
              </w:rPr>
              <w:t>6%</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7FED8A17" w14:textId="77777777">
            <w:pPr>
              <w:spacing w:line="240" w:lineRule="auto"/>
              <w:jc w:val="right"/>
              <w:rPr>
                <w:rFonts w:ascii="UWV Werk" w:hAnsi="UWV Werk" w:eastAsia="Times New Roman" w:cs="Times New Roman"/>
                <w:sz w:val="16"/>
                <w:szCs w:val="16"/>
              </w:rPr>
            </w:pPr>
            <w:r>
              <w:rPr>
                <w:rFonts w:ascii="UWV Werk" w:hAnsi="UWV Werk"/>
                <w:sz w:val="16"/>
                <w:szCs w:val="16"/>
              </w:rPr>
              <w:t>6%</w:t>
            </w:r>
          </w:p>
        </w:tc>
      </w:tr>
      <w:tr w:rsidRPr="00874188" w:rsidR="001076DB" w:rsidTr="008439ED" w14:paraId="44FC45AC" w14:textId="77777777">
        <w:trPr>
          <w:trHeight w:val="240"/>
        </w:trPr>
        <w:tc>
          <w:tcPr>
            <w:tcW w:w="2790" w:type="pct"/>
            <w:tcBorders>
              <w:top w:val="nil"/>
              <w:left w:val="nil"/>
              <w:bottom w:val="single" w:color="0078D2" w:sz="4" w:space="0"/>
              <w:right w:val="nil"/>
            </w:tcBorders>
            <w:shd w:val="clear" w:color="000000" w:fill="FFFFFF"/>
            <w:vAlign w:val="center"/>
            <w:hideMark/>
          </w:tcPr>
          <w:p w:rsidRPr="00874188" w:rsidR="001076DB" w:rsidP="008439ED" w:rsidRDefault="001076DB" w14:paraId="25C196D7" w14:textId="77777777">
            <w:pPr>
              <w:spacing w:line="240" w:lineRule="auto"/>
              <w:rPr>
                <w:rFonts w:ascii="UWV Werk" w:hAnsi="UWV Werk" w:eastAsia="Times New Roman" w:cs="Times New Roman"/>
                <w:b/>
                <w:bCs/>
                <w:color w:val="003282"/>
                <w:sz w:val="16"/>
                <w:szCs w:val="16"/>
              </w:rPr>
            </w:pPr>
            <w:r w:rsidRPr="00874188">
              <w:rPr>
                <w:rFonts w:ascii="UWV Werk" w:hAnsi="UWV Werk" w:eastAsia="Times New Roman" w:cs="Times New Roman"/>
                <w:b/>
                <w:bCs/>
                <w:color w:val="003282"/>
                <w:sz w:val="16"/>
                <w:szCs w:val="16"/>
              </w:rPr>
              <w:t>Percentage met dagloon &gt; 100%</w:t>
            </w:r>
            <w:r>
              <w:rPr>
                <w:rFonts w:ascii="UWV Werk" w:hAnsi="UWV Werk" w:eastAsia="Times New Roman" w:cs="Times New Roman"/>
                <w:b/>
                <w:bCs/>
                <w:color w:val="003282"/>
                <w:sz w:val="16"/>
                <w:szCs w:val="16"/>
              </w:rPr>
              <w:t xml:space="preserve"> max. dagloon</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0EC46C35" w14:textId="77777777">
            <w:pPr>
              <w:spacing w:line="240" w:lineRule="auto"/>
              <w:jc w:val="right"/>
              <w:rPr>
                <w:rFonts w:ascii="UWV Werk" w:hAnsi="UWV Werk" w:eastAsia="Times New Roman" w:cs="Times New Roman"/>
                <w:sz w:val="16"/>
                <w:szCs w:val="16"/>
              </w:rPr>
            </w:pPr>
            <w:r>
              <w:rPr>
                <w:rFonts w:ascii="UWV Werk" w:hAnsi="UWV Werk"/>
                <w:sz w:val="16"/>
                <w:szCs w:val="16"/>
              </w:rPr>
              <w:t>3%</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2077E647" w14:textId="77777777">
            <w:pPr>
              <w:spacing w:line="240" w:lineRule="auto"/>
              <w:jc w:val="right"/>
              <w:rPr>
                <w:rFonts w:ascii="UWV Werk" w:hAnsi="UWV Werk" w:eastAsia="Times New Roman" w:cs="Times New Roman"/>
                <w:sz w:val="16"/>
                <w:szCs w:val="16"/>
              </w:rPr>
            </w:pPr>
            <w:r>
              <w:rPr>
                <w:rFonts w:ascii="UWV Werk" w:hAnsi="UWV Werk"/>
                <w:sz w:val="16"/>
                <w:szCs w:val="16"/>
              </w:rPr>
              <w:t>3%</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32C9EE09" w14:textId="77777777">
            <w:pPr>
              <w:spacing w:line="240" w:lineRule="auto"/>
              <w:jc w:val="right"/>
              <w:rPr>
                <w:rFonts w:ascii="UWV Werk" w:hAnsi="UWV Werk" w:eastAsia="Times New Roman" w:cs="Times New Roman"/>
                <w:sz w:val="16"/>
                <w:szCs w:val="16"/>
              </w:rPr>
            </w:pPr>
            <w:r>
              <w:rPr>
                <w:rFonts w:ascii="UWV Werk" w:hAnsi="UWV Werk"/>
                <w:sz w:val="16"/>
                <w:szCs w:val="16"/>
              </w:rPr>
              <w:t>3%</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07BDAA9C" w14:textId="77777777">
            <w:pPr>
              <w:spacing w:line="240" w:lineRule="auto"/>
              <w:jc w:val="right"/>
              <w:rPr>
                <w:rFonts w:ascii="UWV Werk" w:hAnsi="UWV Werk" w:eastAsia="Times New Roman" w:cs="Times New Roman"/>
                <w:sz w:val="16"/>
                <w:szCs w:val="16"/>
              </w:rPr>
            </w:pPr>
            <w:r>
              <w:rPr>
                <w:rFonts w:ascii="UWV Werk" w:hAnsi="UWV Werk"/>
                <w:sz w:val="16"/>
                <w:szCs w:val="16"/>
              </w:rPr>
              <w:t>3%</w:t>
            </w:r>
          </w:p>
        </w:tc>
        <w:tc>
          <w:tcPr>
            <w:tcW w:w="442" w:type="pct"/>
            <w:tcBorders>
              <w:top w:val="nil"/>
              <w:left w:val="nil"/>
              <w:bottom w:val="single" w:color="0078D2" w:sz="4" w:space="0"/>
              <w:right w:val="nil"/>
            </w:tcBorders>
            <w:shd w:val="clear" w:color="000000" w:fill="F5F5F5"/>
            <w:vAlign w:val="center"/>
            <w:hideMark/>
          </w:tcPr>
          <w:p w:rsidRPr="00874188" w:rsidR="001076DB" w:rsidP="008439ED" w:rsidRDefault="001076DB" w14:paraId="1246E643" w14:textId="77777777">
            <w:pPr>
              <w:spacing w:line="240" w:lineRule="auto"/>
              <w:jc w:val="right"/>
              <w:rPr>
                <w:rFonts w:ascii="UWV Werk" w:hAnsi="UWV Werk" w:eastAsia="Times New Roman" w:cs="Times New Roman"/>
                <w:sz w:val="16"/>
                <w:szCs w:val="16"/>
              </w:rPr>
            </w:pPr>
            <w:r>
              <w:rPr>
                <w:rFonts w:ascii="UWV Werk" w:hAnsi="UWV Werk"/>
                <w:sz w:val="16"/>
                <w:szCs w:val="16"/>
              </w:rPr>
              <w:t>3%</w:t>
            </w:r>
          </w:p>
        </w:tc>
      </w:tr>
    </w:tbl>
    <w:p w:rsidRPr="0056285B" w:rsidR="001076DB" w:rsidP="001076DB" w:rsidRDefault="001076DB" w14:paraId="1D09AD34" w14:textId="77777777">
      <w:pPr>
        <w:rPr>
          <w:sz w:val="16"/>
          <w:szCs w:val="16"/>
        </w:rPr>
      </w:pPr>
      <w:r w:rsidRPr="0056285B">
        <w:rPr>
          <w:sz w:val="16"/>
          <w:szCs w:val="16"/>
        </w:rPr>
        <w:t xml:space="preserve">Bron: UWV </w:t>
      </w:r>
    </w:p>
    <w:p w:rsidR="001076DB" w:rsidP="001076DB" w:rsidRDefault="001076DB" w14:paraId="174675F1" w14:textId="77777777">
      <w:pPr>
        <w:rPr>
          <w:b/>
          <w:bCs/>
        </w:rPr>
      </w:pPr>
    </w:p>
    <w:p w:rsidRPr="006E14A7" w:rsidR="001076DB" w:rsidP="001076DB" w:rsidRDefault="001076DB" w14:paraId="05274E0F" w14:textId="77777777">
      <w:pPr>
        <w:rPr>
          <w:b/>
          <w:bCs/>
        </w:rPr>
      </w:pPr>
      <w:r w:rsidRPr="006E14A7">
        <w:rPr>
          <w:b/>
          <w:bCs/>
        </w:rPr>
        <w:t>Vraag 8</w:t>
      </w:r>
    </w:p>
    <w:p w:rsidR="001076DB" w:rsidP="001076DB" w:rsidRDefault="001076DB" w14:paraId="4FEA4F12" w14:textId="77777777">
      <w:r w:rsidRPr="00D35DFA">
        <w:t>Kunt u aangeven welk deel van de vrouwen uitvalt wegens vrouwspecifieke klachte</w:t>
      </w:r>
      <w:r>
        <w:t>n</w:t>
      </w:r>
      <w:r w:rsidRPr="00D35DFA">
        <w:t>?</w:t>
      </w:r>
    </w:p>
    <w:p w:rsidR="001076DB" w:rsidP="001076DB" w:rsidRDefault="001076DB" w14:paraId="6AE8332A" w14:textId="77777777"/>
    <w:p w:rsidRPr="006E14A7" w:rsidR="001076DB" w:rsidP="001076DB" w:rsidRDefault="001076DB" w14:paraId="68FFB2FD" w14:textId="77777777">
      <w:pPr>
        <w:rPr>
          <w:b/>
          <w:bCs/>
        </w:rPr>
      </w:pPr>
      <w:r w:rsidRPr="006E14A7">
        <w:rPr>
          <w:b/>
          <w:bCs/>
        </w:rPr>
        <w:t>Antwoord 8</w:t>
      </w:r>
    </w:p>
    <w:p w:rsidR="001076DB" w:rsidP="001076DB" w:rsidRDefault="001076DB" w14:paraId="348280EF" w14:textId="77777777">
      <w:r w:rsidRPr="00D35DFA">
        <w:t>Uit onderzoek</w:t>
      </w:r>
      <w:r w:rsidRPr="00D35DFA">
        <w:rPr>
          <w:rStyle w:val="Voetnootmarkering"/>
        </w:rPr>
        <w:footnoteReference w:id="4"/>
      </w:r>
      <w:r w:rsidRPr="00D35DFA">
        <w:t xml:space="preserve"> blijkt dat vrouwspecifieke aandoeningen, zoals (1) bekkenbodemproblemen, (2) cyclusstoornissen en cyclus gerelateerde buikpijn, (3) hormonale problemen en (4) vulvaire klachten, vaak voorkomen en een grote impact hebben op </w:t>
      </w:r>
      <w:r>
        <w:t xml:space="preserve">de </w:t>
      </w:r>
      <w:r w:rsidRPr="00D35DFA">
        <w:t>kwaliteit van leven. Gemiddeld krijgt elke vrouw minimaal een van de bovengenoemde vrouwspecifieke aandoeningen</w:t>
      </w:r>
      <w:r>
        <w:t xml:space="preserve"> tijdens haar werkzame leven. Een groot deel van deze vrouwen ervaart zoveel hinder dat </w:t>
      </w:r>
      <w:r w:rsidRPr="00D35DFA">
        <w:t xml:space="preserve">het dagelijks functioneren en werk hierdoor negatief beïnvloed wordt. </w:t>
      </w:r>
      <w:r>
        <w:t xml:space="preserve">Volgens cijfers van TNO </w:t>
      </w:r>
      <w:r w:rsidRPr="001030D2">
        <w:rPr>
          <w:vertAlign w:val="superscript"/>
        </w:rPr>
        <w:footnoteReference w:id="5"/>
      </w:r>
      <w:r>
        <w:t xml:space="preserve"> over gezondheidsklachten bij vrouwen (gebaseerd op cijfers van de NEA 2023) gaat het om 39% van de vrouwelijke werknemers, ofwel 1,5 miljoen vrouwen. </w:t>
      </w:r>
      <w:r w:rsidRPr="00D35DFA">
        <w:t>Dit leidt voor een deel van deze vrouwen ook tot verzuim.</w:t>
      </w:r>
      <w:r>
        <w:t xml:space="preserve"> Van alle vrouwelijke respondenten heeft 56% zich het afgelopen jaar een keer ziekgemeld, tegenover 51% van de mannen. Ook geeft 66% van de vrouwen met </w:t>
      </w:r>
      <w:proofErr w:type="spellStart"/>
      <w:r>
        <w:t>hormoongerelateerde</w:t>
      </w:r>
      <w:proofErr w:type="spellEnd"/>
      <w:r>
        <w:t xml:space="preserve"> klachten aan dat zij minder werk gedaan krijgen bij klachten. </w:t>
      </w:r>
    </w:p>
    <w:p w:rsidR="001076DB" w:rsidP="001076DB" w:rsidRDefault="001076DB" w14:paraId="0D990F51" w14:textId="77777777">
      <w:pPr>
        <w:pStyle w:val="Geenafstand"/>
        <w:rPr>
          <w:rFonts w:ascii="Verdana" w:hAnsi="Verdana"/>
          <w:b/>
          <w:bCs/>
          <w:sz w:val="18"/>
          <w:szCs w:val="18"/>
        </w:rPr>
      </w:pPr>
    </w:p>
    <w:p w:rsidRPr="006E14A7" w:rsidR="001076DB" w:rsidP="001076DB" w:rsidRDefault="001076DB" w14:paraId="43ED5CA2" w14:textId="77777777">
      <w:pPr>
        <w:pStyle w:val="Geenafstand"/>
        <w:rPr>
          <w:rFonts w:ascii="Verdana" w:hAnsi="Verdana"/>
          <w:b/>
          <w:bCs/>
          <w:sz w:val="18"/>
          <w:szCs w:val="18"/>
        </w:rPr>
      </w:pPr>
      <w:r w:rsidRPr="006E14A7">
        <w:rPr>
          <w:rFonts w:ascii="Verdana" w:hAnsi="Verdana"/>
          <w:b/>
          <w:bCs/>
          <w:sz w:val="18"/>
          <w:szCs w:val="18"/>
        </w:rPr>
        <w:t>Vraag 9</w:t>
      </w:r>
    </w:p>
    <w:p w:rsidRPr="00D35DFA" w:rsidR="001076DB" w:rsidP="001076DB" w:rsidRDefault="001076DB" w14:paraId="04079443" w14:textId="77777777">
      <w:pPr>
        <w:pStyle w:val="Geenafstand"/>
        <w:rPr>
          <w:rFonts w:ascii="Verdana" w:hAnsi="Verdana"/>
          <w:sz w:val="18"/>
          <w:szCs w:val="18"/>
        </w:rPr>
      </w:pPr>
      <w:r w:rsidRPr="00D35DFA">
        <w:rPr>
          <w:rFonts w:ascii="Verdana" w:hAnsi="Verdana"/>
          <w:sz w:val="18"/>
          <w:szCs w:val="18"/>
        </w:rPr>
        <w:t>Kunt u aangeven welk deel van de vrouwen uitvalt wegens burn-outklachten?</w:t>
      </w:r>
    </w:p>
    <w:p w:rsidR="001076DB" w:rsidP="001076DB" w:rsidRDefault="001076DB" w14:paraId="31CF86E9" w14:textId="77777777"/>
    <w:p w:rsidRPr="006E14A7" w:rsidR="001076DB" w:rsidP="001076DB" w:rsidRDefault="001076DB" w14:paraId="017777CF" w14:textId="77777777">
      <w:pPr>
        <w:rPr>
          <w:b/>
          <w:bCs/>
        </w:rPr>
      </w:pPr>
      <w:r w:rsidRPr="006E14A7">
        <w:rPr>
          <w:b/>
          <w:bCs/>
        </w:rPr>
        <w:t>Antwoord 9</w:t>
      </w:r>
    </w:p>
    <w:p w:rsidR="001076DB" w:rsidP="001076DB" w:rsidRDefault="001076DB" w14:paraId="5F3BE789" w14:textId="77777777">
      <w:r>
        <w:t xml:space="preserve">Op basis van </w:t>
      </w:r>
      <w:r w:rsidRPr="00D35DFA">
        <w:t>de NEA is niet vast te stellen welk deel van de vrouwen uitvalt vanwege burn-outklachten.</w:t>
      </w:r>
      <w:r>
        <w:t xml:space="preserve"> </w:t>
      </w:r>
      <w:r w:rsidRPr="00D35DFA">
        <w:t>Er wordt wel naar de soort klachten bij het laatste verzuim</w:t>
      </w:r>
      <w:r>
        <w:t xml:space="preserve"> </w:t>
      </w:r>
      <w:r>
        <w:lastRenderedPageBreak/>
        <w:t>gevraagd</w:t>
      </w:r>
      <w:r w:rsidRPr="00D35DFA">
        <w:t>, waarbij onderscheid is gemaakt naar psychische klachten, klachten in het bewegingsapparaat, griep/verkoudheid en overige klachten.</w:t>
      </w:r>
    </w:p>
    <w:p w:rsidRPr="00D35DFA" w:rsidR="001076DB" w:rsidP="001076DB" w:rsidRDefault="001076DB" w14:paraId="182E5A79" w14:textId="77777777">
      <w:r w:rsidRPr="00D35DFA">
        <w:t xml:space="preserve">Onder psychische klachten vallen overspannenheid, burn-outklachten, vermoeidheid en concentratieproblemen. Het gaat dus om allerlei klachten die psychisch van aard zijn, waaronder ook het hebben van een burn-out of burn-outklachten. Gemiddeld </w:t>
      </w:r>
      <w:r>
        <w:t>verzuimt</w:t>
      </w:r>
      <w:r w:rsidRPr="00D35DFA">
        <w:t xml:space="preserve"> 9% van de vrouwen met psychische klachten. Bij jongere vrouwen in de leeftijdscategorieën 21-30 en 31-40 jaar komt dat iets vaker voor (respectievelijk 10% en 11,5%)</w:t>
      </w:r>
      <w:r>
        <w:t xml:space="preserve">. </w:t>
      </w:r>
    </w:p>
    <w:p w:rsidR="001076DB" w:rsidP="001076DB" w:rsidRDefault="001076DB" w14:paraId="4551A1E2" w14:textId="77777777">
      <w:pPr>
        <w:pStyle w:val="Geenafstand"/>
        <w:rPr>
          <w:rFonts w:ascii="Verdana" w:hAnsi="Verdana"/>
          <w:sz w:val="18"/>
          <w:szCs w:val="18"/>
        </w:rPr>
      </w:pPr>
    </w:p>
    <w:p w:rsidR="001076DB" w:rsidP="001076DB" w:rsidRDefault="001076DB" w14:paraId="67BC3158" w14:textId="77777777">
      <w:pPr>
        <w:pStyle w:val="Geenafstand"/>
        <w:rPr>
          <w:rFonts w:ascii="Verdana" w:hAnsi="Verdana"/>
          <w:b/>
          <w:bCs/>
          <w:sz w:val="18"/>
          <w:szCs w:val="18"/>
        </w:rPr>
      </w:pPr>
    </w:p>
    <w:p w:rsidR="001076DB" w:rsidP="001076DB" w:rsidRDefault="001076DB" w14:paraId="39BDD96E" w14:textId="77777777">
      <w:pPr>
        <w:pStyle w:val="Geenafstand"/>
        <w:rPr>
          <w:rFonts w:ascii="Verdana" w:hAnsi="Verdana"/>
          <w:b/>
          <w:bCs/>
          <w:sz w:val="18"/>
          <w:szCs w:val="18"/>
        </w:rPr>
      </w:pPr>
    </w:p>
    <w:p w:rsidR="001076DB" w:rsidP="001076DB" w:rsidRDefault="001076DB" w14:paraId="434B3058" w14:textId="77777777">
      <w:pPr>
        <w:pStyle w:val="Geenafstand"/>
        <w:rPr>
          <w:rFonts w:ascii="Verdana" w:hAnsi="Verdana"/>
          <w:b/>
          <w:bCs/>
          <w:sz w:val="18"/>
          <w:szCs w:val="18"/>
        </w:rPr>
      </w:pPr>
    </w:p>
    <w:p w:rsidR="001076DB" w:rsidP="001076DB" w:rsidRDefault="001076DB" w14:paraId="368A8293" w14:textId="77777777">
      <w:pPr>
        <w:pStyle w:val="Geenafstand"/>
        <w:rPr>
          <w:rFonts w:ascii="Verdana" w:hAnsi="Verdana"/>
          <w:b/>
          <w:bCs/>
          <w:sz w:val="18"/>
          <w:szCs w:val="18"/>
        </w:rPr>
      </w:pPr>
    </w:p>
    <w:p w:rsidR="001076DB" w:rsidP="001076DB" w:rsidRDefault="001076DB" w14:paraId="7AC01CBD" w14:textId="77777777">
      <w:pPr>
        <w:pStyle w:val="Geenafstand"/>
        <w:rPr>
          <w:rFonts w:ascii="Verdana" w:hAnsi="Verdana"/>
          <w:b/>
          <w:bCs/>
          <w:sz w:val="18"/>
          <w:szCs w:val="18"/>
        </w:rPr>
      </w:pPr>
    </w:p>
    <w:p w:rsidRPr="006E14A7" w:rsidR="001076DB" w:rsidP="001076DB" w:rsidRDefault="001076DB" w14:paraId="371B689C" w14:textId="77777777">
      <w:pPr>
        <w:pStyle w:val="Geenafstand"/>
        <w:rPr>
          <w:rFonts w:ascii="Verdana" w:hAnsi="Verdana"/>
          <w:b/>
          <w:bCs/>
          <w:sz w:val="18"/>
          <w:szCs w:val="18"/>
        </w:rPr>
      </w:pPr>
      <w:r w:rsidRPr="006E14A7">
        <w:rPr>
          <w:rFonts w:ascii="Verdana" w:hAnsi="Verdana"/>
          <w:b/>
          <w:bCs/>
          <w:sz w:val="18"/>
          <w:szCs w:val="18"/>
        </w:rPr>
        <w:t>Vraag 10</w:t>
      </w:r>
    </w:p>
    <w:p w:rsidR="001076DB" w:rsidP="001076DB" w:rsidRDefault="001076DB" w14:paraId="3188FC85" w14:textId="77777777">
      <w:pPr>
        <w:pStyle w:val="Geenafstand"/>
        <w:rPr>
          <w:rFonts w:ascii="Verdana" w:hAnsi="Verdana"/>
          <w:sz w:val="18"/>
          <w:szCs w:val="18"/>
        </w:rPr>
      </w:pPr>
      <w:r w:rsidRPr="00D35DFA">
        <w:rPr>
          <w:rFonts w:ascii="Verdana" w:hAnsi="Verdana"/>
          <w:sz w:val="18"/>
          <w:szCs w:val="18"/>
        </w:rPr>
        <w:t>Welke stappen heeft het kabinet tot nu toe gezet om de hoge uitval onder vrouwen tegen te gaan? Welke middelen ziet u nog meer</w:t>
      </w:r>
      <w:r>
        <w:rPr>
          <w:rFonts w:ascii="Verdana" w:hAnsi="Verdana"/>
          <w:sz w:val="18"/>
          <w:szCs w:val="18"/>
        </w:rPr>
        <w:t>?</w:t>
      </w:r>
    </w:p>
    <w:p w:rsidR="001076DB" w:rsidP="001076DB" w:rsidRDefault="001076DB" w14:paraId="6F4C379B" w14:textId="77777777">
      <w:pPr>
        <w:pStyle w:val="Geenafstand"/>
        <w:rPr>
          <w:rFonts w:ascii="Verdana" w:hAnsi="Verdana"/>
          <w:sz w:val="18"/>
          <w:szCs w:val="18"/>
        </w:rPr>
      </w:pPr>
    </w:p>
    <w:p w:rsidRPr="00F47FDA" w:rsidR="001076DB" w:rsidP="001076DB" w:rsidRDefault="001076DB" w14:paraId="59FE257A" w14:textId="77777777">
      <w:pPr>
        <w:spacing w:line="240" w:lineRule="auto"/>
        <w:rPr>
          <w:b/>
          <w:bCs/>
        </w:rPr>
      </w:pPr>
      <w:r w:rsidRPr="00BC71A4">
        <w:rPr>
          <w:b/>
          <w:bCs/>
        </w:rPr>
        <w:t>Antwoord 10</w:t>
      </w:r>
    </w:p>
    <w:p w:rsidRPr="00BC71A4" w:rsidR="001076DB" w:rsidP="001076DB" w:rsidRDefault="001076DB" w14:paraId="05F09004" w14:textId="77777777">
      <w:pPr>
        <w:pStyle w:val="Geenafstand"/>
        <w:rPr>
          <w:rFonts w:ascii="Verdana" w:hAnsi="Verdana"/>
          <w:sz w:val="18"/>
          <w:szCs w:val="18"/>
        </w:rPr>
      </w:pPr>
      <w:r w:rsidRPr="00D009ED">
        <w:rPr>
          <w:rFonts w:ascii="Verdana" w:hAnsi="Verdana"/>
          <w:sz w:val="18"/>
          <w:szCs w:val="18"/>
        </w:rPr>
        <w:t xml:space="preserve">Met de Nationale Strategie Vrouwengezondheid zet het kabinet sinds 2025 extra in op aandacht voor vrouwengezondheid. Het gaat om meer aandacht en kennis over vrouwspecifieke aandoeningen en verbetering van diagnostiek, maar ook om meer bewustwording en bespreekbaarheid op de werkvloer van vrouwengezondheid. </w:t>
      </w:r>
    </w:p>
    <w:p w:rsidRPr="00D009ED" w:rsidR="001076DB" w:rsidP="001076DB" w:rsidRDefault="001076DB" w14:paraId="78D1A2FF" w14:textId="77777777">
      <w:pPr>
        <w:pStyle w:val="Geenafstand"/>
        <w:rPr>
          <w:rFonts w:ascii="Verdana" w:hAnsi="Verdana"/>
          <w:sz w:val="18"/>
          <w:szCs w:val="18"/>
        </w:rPr>
      </w:pPr>
    </w:p>
    <w:p w:rsidRPr="00D009ED" w:rsidR="001076DB" w:rsidP="001076DB" w:rsidRDefault="001076DB" w14:paraId="1D66FDA9" w14:textId="77777777">
      <w:pPr>
        <w:pStyle w:val="Geenafstand"/>
        <w:rPr>
          <w:rFonts w:ascii="Verdana" w:hAnsi="Verdana"/>
          <w:sz w:val="18"/>
          <w:szCs w:val="18"/>
        </w:rPr>
      </w:pPr>
      <w:r w:rsidRPr="00D009ED">
        <w:rPr>
          <w:rFonts w:ascii="Verdana" w:hAnsi="Verdana"/>
          <w:sz w:val="18"/>
          <w:szCs w:val="18"/>
        </w:rPr>
        <w:t xml:space="preserve">Aan de hoge uitval van vrouwen op de arbeidsmarkt en daarmee ook verhoogde instroom in de WIA liggen </w:t>
      </w:r>
      <w:r>
        <w:rPr>
          <w:rFonts w:ascii="Verdana" w:hAnsi="Verdana"/>
          <w:sz w:val="18"/>
          <w:szCs w:val="18"/>
        </w:rPr>
        <w:t xml:space="preserve">zowel </w:t>
      </w:r>
      <w:r w:rsidRPr="00D009ED">
        <w:rPr>
          <w:rFonts w:ascii="Verdana" w:hAnsi="Verdana"/>
          <w:sz w:val="18"/>
          <w:szCs w:val="18"/>
        </w:rPr>
        <w:t xml:space="preserve">maatschappelijke, </w:t>
      </w:r>
      <w:proofErr w:type="spellStart"/>
      <w:r w:rsidRPr="00D009ED">
        <w:rPr>
          <w:rFonts w:ascii="Verdana" w:hAnsi="Verdana"/>
          <w:sz w:val="18"/>
          <w:szCs w:val="18"/>
        </w:rPr>
        <w:t>werkgerelateerde</w:t>
      </w:r>
      <w:proofErr w:type="spellEnd"/>
      <w:r w:rsidRPr="00D009ED">
        <w:rPr>
          <w:rFonts w:ascii="Verdana" w:hAnsi="Verdana"/>
          <w:sz w:val="18"/>
          <w:szCs w:val="18"/>
        </w:rPr>
        <w:t xml:space="preserve"> en individuele factoren ten grondslag. In lijn met de motie van het lid </w:t>
      </w:r>
      <w:proofErr w:type="spellStart"/>
      <w:r w:rsidRPr="00D009ED">
        <w:rPr>
          <w:rFonts w:ascii="Verdana" w:hAnsi="Verdana"/>
          <w:sz w:val="18"/>
          <w:szCs w:val="18"/>
        </w:rPr>
        <w:t>Neijenhuis</w:t>
      </w:r>
      <w:proofErr w:type="spellEnd"/>
      <w:r w:rsidRPr="00D009ED">
        <w:rPr>
          <w:rStyle w:val="Voetnootmarkering"/>
          <w:rFonts w:ascii="Verdana" w:hAnsi="Verdana"/>
          <w:sz w:val="18"/>
          <w:szCs w:val="18"/>
        </w:rPr>
        <w:footnoteReference w:id="6"/>
      </w:r>
      <w:r w:rsidRPr="00D009ED">
        <w:rPr>
          <w:rFonts w:ascii="Verdana" w:hAnsi="Verdana"/>
          <w:sz w:val="18"/>
          <w:szCs w:val="18"/>
        </w:rPr>
        <w:t xml:space="preserve"> brengen we</w:t>
      </w:r>
      <w:r>
        <w:rPr>
          <w:rFonts w:ascii="Verdana" w:hAnsi="Verdana"/>
          <w:sz w:val="18"/>
          <w:szCs w:val="18"/>
        </w:rPr>
        <w:t xml:space="preserve"> samen met VWS</w:t>
      </w:r>
      <w:r w:rsidRPr="00D009ED">
        <w:rPr>
          <w:rFonts w:ascii="Verdana" w:hAnsi="Verdana"/>
          <w:sz w:val="18"/>
          <w:szCs w:val="18"/>
        </w:rPr>
        <w:t xml:space="preserve"> de oorzaken en oplossingsrichtingen in kaart. Het kabinet zal de Kamer over de stand van zaken voor de volgende begrotingsbehandeling van SZW informeren. </w:t>
      </w:r>
    </w:p>
    <w:p w:rsidRPr="00D35DFA" w:rsidR="001076DB" w:rsidP="001076DB" w:rsidRDefault="001076DB" w14:paraId="131DFAF6" w14:textId="77777777">
      <w:pPr>
        <w:pStyle w:val="Geenafstand"/>
        <w:rPr>
          <w:rFonts w:ascii="Verdana" w:hAnsi="Verdana"/>
          <w:sz w:val="18"/>
          <w:szCs w:val="18"/>
        </w:rPr>
      </w:pPr>
    </w:p>
    <w:p w:rsidRPr="006E14A7" w:rsidR="001076DB" w:rsidP="001076DB" w:rsidRDefault="001076DB" w14:paraId="00317C8C" w14:textId="77777777">
      <w:pPr>
        <w:pStyle w:val="Geenafstand"/>
        <w:rPr>
          <w:rFonts w:ascii="Verdana" w:hAnsi="Verdana"/>
          <w:b/>
          <w:bCs/>
          <w:sz w:val="18"/>
          <w:szCs w:val="18"/>
        </w:rPr>
      </w:pPr>
      <w:r w:rsidRPr="006E14A7">
        <w:rPr>
          <w:rFonts w:ascii="Verdana" w:hAnsi="Verdana"/>
          <w:b/>
          <w:bCs/>
          <w:sz w:val="18"/>
          <w:szCs w:val="18"/>
        </w:rPr>
        <w:t>Vraag 11</w:t>
      </w:r>
    </w:p>
    <w:p w:rsidR="001076DB" w:rsidP="001076DB" w:rsidRDefault="001076DB" w14:paraId="0583BDC9" w14:textId="77777777">
      <w:pPr>
        <w:pStyle w:val="Geenafstand"/>
        <w:rPr>
          <w:rFonts w:ascii="Verdana" w:hAnsi="Verdana"/>
          <w:sz w:val="18"/>
          <w:szCs w:val="18"/>
        </w:rPr>
      </w:pPr>
      <w:r w:rsidRPr="00D35DFA">
        <w:rPr>
          <w:rFonts w:ascii="Verdana" w:hAnsi="Verdana"/>
          <w:sz w:val="18"/>
          <w:szCs w:val="18"/>
        </w:rPr>
        <w:t>Herkent u het in het artikel geschetste beeld dat ruimer (zorg)verlof de druk op vrouwen kan</w:t>
      </w:r>
      <w:r>
        <w:rPr>
          <w:rFonts w:ascii="Verdana" w:hAnsi="Verdana"/>
          <w:sz w:val="18"/>
          <w:szCs w:val="18"/>
        </w:rPr>
        <w:t xml:space="preserve"> </w:t>
      </w:r>
      <w:r w:rsidRPr="00D35DFA">
        <w:rPr>
          <w:rFonts w:ascii="Verdana" w:hAnsi="Verdana"/>
          <w:sz w:val="18"/>
          <w:szCs w:val="18"/>
        </w:rPr>
        <w:t>verlichten? Op welke manier neemt u de hoge uitval onder vrouwen mee bij het herzien van het verlofstelsel, zoals voorgenomen in het coalitieakkoord?</w:t>
      </w:r>
    </w:p>
    <w:p w:rsidR="001076DB" w:rsidP="001076DB" w:rsidRDefault="001076DB" w14:paraId="2A1480F8" w14:textId="77777777">
      <w:pPr>
        <w:pStyle w:val="Geenafstand"/>
        <w:rPr>
          <w:rFonts w:ascii="Verdana" w:hAnsi="Verdana"/>
          <w:sz w:val="18"/>
          <w:szCs w:val="18"/>
        </w:rPr>
      </w:pPr>
    </w:p>
    <w:p w:rsidRPr="00BC71A4" w:rsidR="001076DB" w:rsidP="001076DB" w:rsidRDefault="001076DB" w14:paraId="6FA46DBD" w14:textId="77777777">
      <w:pPr>
        <w:pStyle w:val="Geenafstand"/>
        <w:rPr>
          <w:rFonts w:ascii="Verdana" w:hAnsi="Verdana"/>
          <w:b/>
          <w:bCs/>
          <w:sz w:val="18"/>
          <w:szCs w:val="18"/>
        </w:rPr>
      </w:pPr>
      <w:r w:rsidRPr="00BC71A4">
        <w:rPr>
          <w:rFonts w:ascii="Verdana" w:hAnsi="Verdana"/>
          <w:b/>
          <w:bCs/>
          <w:sz w:val="18"/>
          <w:szCs w:val="18"/>
        </w:rPr>
        <w:t>Antwoord 11</w:t>
      </w:r>
    </w:p>
    <w:p w:rsidRPr="00BC71A4" w:rsidR="001076DB" w:rsidP="001076DB" w:rsidRDefault="001076DB" w14:paraId="1212D5CD" w14:textId="77777777">
      <w:pPr>
        <w:pStyle w:val="Geenafstand"/>
        <w:rPr>
          <w:rFonts w:ascii="Verdana" w:hAnsi="Verdana"/>
          <w:sz w:val="18"/>
          <w:szCs w:val="18"/>
        </w:rPr>
      </w:pPr>
      <w:r w:rsidRPr="00BC71A4">
        <w:rPr>
          <w:rFonts w:ascii="Verdana" w:hAnsi="Verdana"/>
          <w:sz w:val="18"/>
          <w:szCs w:val="18"/>
        </w:rPr>
        <w:t xml:space="preserve">In het artikel wordt genoemd dat de zorgtaken tussen vrouwen en hun partner niet goed zijn verdeeld. Aangegeven wordt dat vrouwen hun carrière veelal moeten balanceren met de zorg voor kinderen en soms ook het verlenen van mantelzorg voor bijvoorbeeld ouders. Dit kan zorgen voor druk onder vrouwen. De verdeling van zorgtaken is in de eerste plaats een onderwerp van gesprek dat thuis plaatsvindt. De overheid faciliteert een gelijkwaardige verdeling van zorgverantwoordelijkheden tussen partners onder meer via het verlofstelsel en de Wet flexibel werken. Op dit moment wordt gewerkt aan de vereenvoudiging van het verlofstelsel met als doel het stelsel begrijpelijker en toegankelijker te maken voor zowel werknemers als werkgevers. Dit moet ervoor zorgen dat meer mensen het verlof opnemen en dit kan daarnaast bijdragen aan een betere balans tussen werk en privé. </w:t>
      </w:r>
    </w:p>
    <w:p w:rsidR="001076DB" w:rsidP="001076DB" w:rsidRDefault="001076DB" w14:paraId="77A0C527" w14:textId="77777777">
      <w:pPr>
        <w:pStyle w:val="Geenafstand"/>
        <w:rPr>
          <w:rFonts w:ascii="Verdana" w:hAnsi="Verdana"/>
          <w:b/>
          <w:bCs/>
          <w:sz w:val="18"/>
          <w:szCs w:val="18"/>
        </w:rPr>
      </w:pPr>
    </w:p>
    <w:p w:rsidRPr="006E14A7" w:rsidR="001076DB" w:rsidP="001076DB" w:rsidRDefault="001076DB" w14:paraId="6DB86566" w14:textId="77777777">
      <w:pPr>
        <w:pStyle w:val="Geenafstand"/>
        <w:rPr>
          <w:rFonts w:ascii="Verdana" w:hAnsi="Verdana"/>
          <w:b/>
          <w:bCs/>
          <w:sz w:val="18"/>
          <w:szCs w:val="18"/>
        </w:rPr>
      </w:pPr>
      <w:r w:rsidRPr="006E14A7">
        <w:rPr>
          <w:rFonts w:ascii="Verdana" w:hAnsi="Verdana"/>
          <w:b/>
          <w:bCs/>
          <w:sz w:val="18"/>
          <w:szCs w:val="18"/>
        </w:rPr>
        <w:lastRenderedPageBreak/>
        <w:t>Vraag 12</w:t>
      </w:r>
    </w:p>
    <w:p w:rsidR="001076DB" w:rsidP="001076DB" w:rsidRDefault="001076DB" w14:paraId="5616DA30" w14:textId="77777777">
      <w:pPr>
        <w:pStyle w:val="Geenafstand"/>
        <w:rPr>
          <w:rFonts w:ascii="Verdana" w:hAnsi="Verdana"/>
          <w:sz w:val="18"/>
          <w:szCs w:val="18"/>
        </w:rPr>
      </w:pPr>
      <w:r w:rsidRPr="00D35DFA">
        <w:rPr>
          <w:rFonts w:ascii="Verdana" w:hAnsi="Verdana"/>
          <w:sz w:val="18"/>
          <w:szCs w:val="18"/>
        </w:rPr>
        <w:t>Welke rol kan hervorming van het kinderopvangstelsel spelen? Kunt u in uw antwoord de in het artikel aangehaalde Scandinavische voorbeelden meenemen in uw antwoord?</w:t>
      </w:r>
    </w:p>
    <w:p w:rsidR="001076DB" w:rsidP="001076DB" w:rsidRDefault="001076DB" w14:paraId="45BD3F13" w14:textId="77777777">
      <w:pPr>
        <w:pStyle w:val="Geenafstand"/>
        <w:rPr>
          <w:rFonts w:ascii="Verdana" w:hAnsi="Verdana"/>
          <w:sz w:val="18"/>
          <w:szCs w:val="18"/>
        </w:rPr>
      </w:pPr>
    </w:p>
    <w:p w:rsidRPr="00BC71A4" w:rsidR="001076DB" w:rsidP="001076DB" w:rsidRDefault="001076DB" w14:paraId="08299B5D" w14:textId="77777777">
      <w:pPr>
        <w:pStyle w:val="Geenafstand"/>
        <w:rPr>
          <w:rFonts w:ascii="Verdana" w:hAnsi="Verdana"/>
          <w:b/>
          <w:bCs/>
          <w:sz w:val="18"/>
          <w:szCs w:val="18"/>
        </w:rPr>
      </w:pPr>
      <w:r w:rsidRPr="00BC71A4">
        <w:rPr>
          <w:rFonts w:ascii="Verdana" w:hAnsi="Verdana"/>
          <w:b/>
          <w:bCs/>
          <w:sz w:val="18"/>
          <w:szCs w:val="18"/>
        </w:rPr>
        <w:t>Antwoord 12</w:t>
      </w:r>
    </w:p>
    <w:p w:rsidR="001076DB" w:rsidP="001076DB" w:rsidRDefault="001076DB" w14:paraId="3F3A01FF" w14:textId="77777777">
      <w:pPr>
        <w:pStyle w:val="Geenafstand"/>
        <w:rPr>
          <w:rFonts w:ascii="Verdana" w:hAnsi="Verdana"/>
          <w:sz w:val="18"/>
          <w:szCs w:val="18"/>
        </w:rPr>
      </w:pPr>
      <w:r w:rsidRPr="00BC71A4">
        <w:rPr>
          <w:rFonts w:ascii="Verdana" w:hAnsi="Verdana"/>
          <w:sz w:val="18"/>
          <w:szCs w:val="18"/>
        </w:rPr>
        <w:t xml:space="preserve">Het nieuwe financieringsstelsel kinderopvang kent een hoge inkomensonafhankelijke vergoeding. Hierdoor wordt kinderopvang voor de midden en hoge inkomens aanzienlijk goedkoper. Bovendien wordt voor alle ouders de marginale druk lager. Meer verdienen (bijvoorbeeld door meer te gaan werken) zal namelijk niet langer voor een lager vergoedingspercentage zorgen. Omdat vrouwen nog altijd vaak de minst werkende en minstverdienende ouder zijn zal dit naar verwachting vooral voor hen positief uitpakken. Het nieuwe financieringsstelsel kinderopvang stimuleert daarmee gelijke arbeidsdeelname en een evenwichtigere werk en zorg verdeling tussen ouders. </w:t>
      </w:r>
    </w:p>
    <w:p w:rsidRPr="00BC71A4" w:rsidR="001076DB" w:rsidP="001076DB" w:rsidRDefault="001076DB" w14:paraId="2F6B6ADB" w14:textId="77777777">
      <w:pPr>
        <w:pStyle w:val="Geenafstand"/>
        <w:rPr>
          <w:rFonts w:ascii="Verdana" w:hAnsi="Verdana"/>
          <w:sz w:val="18"/>
          <w:szCs w:val="18"/>
        </w:rPr>
      </w:pPr>
      <w:r w:rsidRPr="00BC71A4">
        <w:rPr>
          <w:rFonts w:ascii="Verdana" w:hAnsi="Verdana"/>
          <w:sz w:val="18"/>
          <w:szCs w:val="18"/>
        </w:rPr>
        <w:t>Het kinderopvangstelsel in Scandinavische landen is wezenlijk anders dan in Nederland, maar net als daar wordt kinderopvang ook hier voor de meeste ouders veel beter betaalbaar. Daarnaast kan het nieuwe financieringsstelsel kinderopvang bijdragen aan een cultuurverandering. De nieuwe systematiek (zonder voorschotten en zonder kans op terugvorderingen) zorgt namelijk voor meer eenvoud en zekerheid voor ouders. Hierdoor kan het op termijn de norm worden om meer kinderopvang te gebruiken dan drie dagen per week. Een dergelijke normverandering is niet op voorhand te kwantificeren maar zal wel worden gemonitord.</w:t>
      </w:r>
    </w:p>
    <w:p w:rsidRPr="00D35DFA" w:rsidR="001076DB" w:rsidP="001076DB" w:rsidRDefault="001076DB" w14:paraId="46EF1785" w14:textId="77777777">
      <w:pPr>
        <w:pStyle w:val="Geenafstand"/>
        <w:rPr>
          <w:rFonts w:ascii="Verdana" w:hAnsi="Verdana"/>
          <w:sz w:val="18"/>
          <w:szCs w:val="18"/>
        </w:rPr>
      </w:pPr>
    </w:p>
    <w:p w:rsidRPr="006E14A7" w:rsidR="001076DB" w:rsidP="001076DB" w:rsidRDefault="001076DB" w14:paraId="5D66197D" w14:textId="77777777">
      <w:pPr>
        <w:pStyle w:val="Geenafstand"/>
        <w:rPr>
          <w:rFonts w:ascii="Verdana" w:hAnsi="Verdana"/>
          <w:b/>
          <w:bCs/>
          <w:sz w:val="18"/>
          <w:szCs w:val="18"/>
        </w:rPr>
      </w:pPr>
      <w:r w:rsidRPr="006E14A7">
        <w:rPr>
          <w:rFonts w:ascii="Verdana" w:hAnsi="Verdana"/>
          <w:b/>
          <w:bCs/>
          <w:sz w:val="18"/>
          <w:szCs w:val="18"/>
        </w:rPr>
        <w:t>Vraag 13</w:t>
      </w:r>
    </w:p>
    <w:p w:rsidRPr="00D35DFA" w:rsidR="001076DB" w:rsidP="001076DB" w:rsidRDefault="001076DB" w14:paraId="30ECB7E3" w14:textId="77777777">
      <w:pPr>
        <w:pStyle w:val="Geenafstand"/>
        <w:rPr>
          <w:rFonts w:ascii="Verdana" w:hAnsi="Verdana"/>
          <w:sz w:val="18"/>
          <w:szCs w:val="18"/>
        </w:rPr>
      </w:pPr>
      <w:r w:rsidRPr="00D35DFA">
        <w:rPr>
          <w:rFonts w:ascii="Verdana" w:hAnsi="Verdana"/>
          <w:sz w:val="18"/>
          <w:szCs w:val="18"/>
        </w:rPr>
        <w:t xml:space="preserve">Herkent u het in het artikel geschetste beeld dat er onvoldoende aandacht is voor overgangsklachten, terwijl er wel degelijk behandelingen zijn die helpen? Zo ja, kunt u reflecteren hierop en een breder beeld, onderbouwd met cijfers, schetsen van de problematiek rondom overgangsklachten op de werkvloer? Zo ja, wat gaat u doen om het taboe rond dit thema te doorbreken, in aanvulling op het bestaande protocol van </w:t>
      </w:r>
      <w:proofErr w:type="spellStart"/>
      <w:r w:rsidRPr="00D35DFA">
        <w:rPr>
          <w:rFonts w:ascii="Verdana" w:hAnsi="Verdana"/>
          <w:sz w:val="18"/>
          <w:szCs w:val="18"/>
        </w:rPr>
        <w:t>arbo</w:t>
      </w:r>
      <w:proofErr w:type="spellEnd"/>
      <w:r w:rsidRPr="00D35DFA">
        <w:rPr>
          <w:rFonts w:ascii="Verdana" w:hAnsi="Verdana"/>
          <w:sz w:val="18"/>
          <w:szCs w:val="18"/>
        </w:rPr>
        <w:t xml:space="preserve">-artsen? </w:t>
      </w:r>
    </w:p>
    <w:p w:rsidRPr="00D35DFA" w:rsidR="001076DB" w:rsidP="001076DB" w:rsidRDefault="001076DB" w14:paraId="04575363" w14:textId="77777777">
      <w:pPr>
        <w:pStyle w:val="Geenafstand"/>
        <w:rPr>
          <w:rFonts w:ascii="Verdana" w:hAnsi="Verdana"/>
          <w:sz w:val="18"/>
          <w:szCs w:val="18"/>
        </w:rPr>
      </w:pPr>
    </w:p>
    <w:p w:rsidRPr="006E14A7" w:rsidR="001076DB" w:rsidP="001076DB" w:rsidRDefault="001076DB" w14:paraId="2526C13A" w14:textId="77777777">
      <w:pPr>
        <w:pStyle w:val="Geenafstand"/>
        <w:rPr>
          <w:rFonts w:ascii="Verdana" w:hAnsi="Verdana"/>
          <w:b/>
          <w:bCs/>
          <w:sz w:val="18"/>
          <w:szCs w:val="18"/>
        </w:rPr>
      </w:pPr>
      <w:r w:rsidRPr="006E14A7">
        <w:rPr>
          <w:rFonts w:ascii="Verdana" w:hAnsi="Verdana"/>
          <w:b/>
          <w:bCs/>
          <w:sz w:val="18"/>
          <w:szCs w:val="18"/>
        </w:rPr>
        <w:t>Antwoord 13</w:t>
      </w:r>
    </w:p>
    <w:p w:rsidRPr="00D35DFA" w:rsidR="001076DB" w:rsidP="001076DB" w:rsidRDefault="001076DB" w14:paraId="5ACF93C1" w14:textId="77777777">
      <w:pPr>
        <w:pStyle w:val="Geenafstand"/>
        <w:rPr>
          <w:rFonts w:ascii="Verdana" w:hAnsi="Verdana"/>
          <w:sz w:val="18"/>
          <w:szCs w:val="18"/>
        </w:rPr>
      </w:pPr>
      <w:r w:rsidRPr="00D35DFA">
        <w:rPr>
          <w:rFonts w:ascii="Verdana" w:hAnsi="Verdana"/>
          <w:sz w:val="18"/>
          <w:szCs w:val="18"/>
        </w:rPr>
        <w:t>Ik herken het beeld dat er nog onvoldoende aandacht is voor overgangsklachten, mede vanwege het taboe. Dit maakt ook dat vrouwen die klachten ervaren te laat of niet een behandeling krijgen voor hun klachten. Uit onderzoek van TNO</w:t>
      </w:r>
      <w:r w:rsidRPr="00D35DFA">
        <w:rPr>
          <w:rStyle w:val="Voetnootmarkering"/>
          <w:rFonts w:ascii="Verdana" w:hAnsi="Verdana"/>
          <w:sz w:val="18"/>
          <w:szCs w:val="18"/>
        </w:rPr>
        <w:footnoteReference w:id="7"/>
      </w:r>
      <w:r w:rsidRPr="00D35DFA">
        <w:rPr>
          <w:rFonts w:ascii="Verdana" w:hAnsi="Verdana"/>
          <w:sz w:val="18"/>
          <w:szCs w:val="18"/>
        </w:rPr>
        <w:t xml:space="preserve"> blijkt dat 16% van alle werkende vrouwen vanaf 40 jaar last heeft van overgangsklachten. Dat zijn 251.000 vrouwen. Bij 55% van deze vrouwen in de overgang hebben de klachten invloed op het werk, ofwel 173.000 vrouwen. Daarvan meldt 3% zich weleens ziek vanwege overgangsklachten. Van de vrouwen met overgangsklachten die invloed hebben op het werk, bespreekt 65% van de vrouwen dit op het werk. Daarbij gaat het vooral om collega’s en in veel mindere mate om de bedrijfsarts</w:t>
      </w:r>
      <w:r>
        <w:rPr>
          <w:rFonts w:ascii="Verdana" w:hAnsi="Verdana"/>
          <w:sz w:val="18"/>
          <w:szCs w:val="18"/>
        </w:rPr>
        <w:t>, of</w:t>
      </w:r>
      <w:r w:rsidRPr="00D35DFA">
        <w:rPr>
          <w:rFonts w:ascii="Verdana" w:hAnsi="Verdana"/>
          <w:sz w:val="18"/>
          <w:szCs w:val="18"/>
        </w:rPr>
        <w:t xml:space="preserve"> de leidinggevende. Van deze vrouwen heeft 57% wel behoefte aan ondersteuning van leidinggeven</w:t>
      </w:r>
      <w:r>
        <w:rPr>
          <w:rFonts w:ascii="Verdana" w:hAnsi="Verdana"/>
          <w:sz w:val="18"/>
          <w:szCs w:val="18"/>
        </w:rPr>
        <w:t>de</w:t>
      </w:r>
      <w:r w:rsidRPr="00D35DFA">
        <w:rPr>
          <w:rFonts w:ascii="Verdana" w:hAnsi="Verdana"/>
          <w:sz w:val="18"/>
          <w:szCs w:val="18"/>
        </w:rPr>
        <w:t xml:space="preserve">, bedrijfsarts en andere professionals.  </w:t>
      </w:r>
    </w:p>
    <w:p w:rsidRPr="00D35DFA" w:rsidR="001076DB" w:rsidP="001076DB" w:rsidRDefault="001076DB" w14:paraId="68642A1A" w14:textId="77777777">
      <w:pPr>
        <w:pStyle w:val="Geenafstand"/>
        <w:rPr>
          <w:rFonts w:ascii="Verdana" w:hAnsi="Verdana"/>
          <w:sz w:val="18"/>
          <w:szCs w:val="18"/>
        </w:rPr>
      </w:pPr>
    </w:p>
    <w:p w:rsidR="001076DB" w:rsidP="001076DB" w:rsidRDefault="001076DB" w14:paraId="65B0233A" w14:textId="77777777">
      <w:pPr>
        <w:pStyle w:val="Geenafstand"/>
        <w:rPr>
          <w:rFonts w:ascii="Verdana" w:hAnsi="Verdana"/>
          <w:sz w:val="18"/>
          <w:szCs w:val="18"/>
        </w:rPr>
      </w:pPr>
      <w:r>
        <w:rPr>
          <w:rFonts w:ascii="Verdana" w:hAnsi="Verdana"/>
          <w:sz w:val="18"/>
          <w:szCs w:val="18"/>
        </w:rPr>
        <w:t>O</w:t>
      </w:r>
      <w:r w:rsidRPr="00D35DFA">
        <w:rPr>
          <w:rFonts w:ascii="Verdana" w:hAnsi="Verdana"/>
          <w:sz w:val="18"/>
          <w:szCs w:val="18"/>
        </w:rPr>
        <w:t xml:space="preserve">m het taboe op de werkvloer te doorbreken is </w:t>
      </w:r>
      <w:r>
        <w:rPr>
          <w:rFonts w:ascii="Verdana" w:hAnsi="Verdana"/>
          <w:sz w:val="18"/>
          <w:szCs w:val="18"/>
        </w:rPr>
        <w:t xml:space="preserve">er </w:t>
      </w:r>
      <w:r w:rsidRPr="00D35DFA">
        <w:rPr>
          <w:rFonts w:ascii="Verdana" w:hAnsi="Verdana"/>
          <w:sz w:val="18"/>
          <w:szCs w:val="18"/>
        </w:rPr>
        <w:t xml:space="preserve">een handreiking door de Stichting van de Arbeid ontwikkeld met tips voor werkgevers en werknemers om het gesprek over de overgang op de werkvloer te voeren. De </w:t>
      </w:r>
      <w:r>
        <w:rPr>
          <w:rFonts w:ascii="Verdana" w:hAnsi="Verdana"/>
          <w:sz w:val="18"/>
          <w:szCs w:val="18"/>
        </w:rPr>
        <w:t>beroeps</w:t>
      </w:r>
      <w:r w:rsidRPr="00D35DFA">
        <w:rPr>
          <w:rFonts w:ascii="Verdana" w:hAnsi="Verdana"/>
          <w:sz w:val="18"/>
          <w:szCs w:val="18"/>
        </w:rPr>
        <w:t>vereniging van bedrijfsartsen</w:t>
      </w:r>
      <w:r>
        <w:rPr>
          <w:rFonts w:ascii="Verdana" w:hAnsi="Verdana"/>
          <w:sz w:val="18"/>
          <w:szCs w:val="18"/>
        </w:rPr>
        <w:t xml:space="preserve"> (NVAB)</w:t>
      </w:r>
      <w:r w:rsidRPr="00D35DFA">
        <w:rPr>
          <w:rFonts w:ascii="Verdana" w:hAnsi="Verdana"/>
          <w:sz w:val="18"/>
          <w:szCs w:val="18"/>
        </w:rPr>
        <w:t xml:space="preserve"> heeft met subsidie van het ministerie van SZW een richtlijn overgang en werk voor de bedrijfsarts opgesteld. Dit helpt de bedrijfsarts om klachten eerder te herkennen en daarop actie te ondernemen zodat verzuim en uitval kan worden voorkomen. Ook is met subsidie van het ministerie van SZW een communicatiecampagne ontwikkel</w:t>
      </w:r>
      <w:r>
        <w:rPr>
          <w:rFonts w:ascii="Verdana" w:hAnsi="Verdana"/>
          <w:sz w:val="18"/>
          <w:szCs w:val="18"/>
        </w:rPr>
        <w:t>d</w:t>
      </w:r>
      <w:r w:rsidRPr="00D35DFA">
        <w:rPr>
          <w:rFonts w:ascii="Verdana" w:hAnsi="Verdana"/>
          <w:sz w:val="18"/>
          <w:szCs w:val="18"/>
        </w:rPr>
        <w:t xml:space="preserve"> voor het basisonderwijs waar veel vrouwen werken. Hiervoor is materiaal </w:t>
      </w:r>
      <w:r>
        <w:rPr>
          <w:rFonts w:ascii="Verdana" w:hAnsi="Verdana"/>
          <w:sz w:val="18"/>
          <w:szCs w:val="18"/>
        </w:rPr>
        <w:t xml:space="preserve">beschikbaar gesteld </w:t>
      </w:r>
      <w:r w:rsidRPr="00D35DFA">
        <w:rPr>
          <w:rFonts w:ascii="Verdana" w:hAnsi="Verdana"/>
          <w:sz w:val="18"/>
          <w:szCs w:val="18"/>
        </w:rPr>
        <w:t xml:space="preserve">om het gesprek op de </w:t>
      </w:r>
      <w:r w:rsidRPr="00D35DFA">
        <w:rPr>
          <w:rFonts w:ascii="Verdana" w:hAnsi="Verdana"/>
          <w:sz w:val="18"/>
          <w:szCs w:val="18"/>
        </w:rPr>
        <w:lastRenderedPageBreak/>
        <w:t>werkvloer te voeren</w:t>
      </w:r>
      <w:r>
        <w:rPr>
          <w:rFonts w:ascii="Verdana" w:hAnsi="Verdana"/>
          <w:sz w:val="18"/>
          <w:szCs w:val="18"/>
        </w:rPr>
        <w:t>. B</w:t>
      </w:r>
      <w:r w:rsidRPr="00D35DFA">
        <w:rPr>
          <w:rFonts w:ascii="Verdana" w:hAnsi="Verdana"/>
          <w:sz w:val="18"/>
          <w:szCs w:val="18"/>
        </w:rPr>
        <w:t xml:space="preserve">ij een aantal scholen </w:t>
      </w:r>
      <w:r>
        <w:rPr>
          <w:rFonts w:ascii="Verdana" w:hAnsi="Verdana"/>
          <w:sz w:val="18"/>
          <w:szCs w:val="18"/>
        </w:rPr>
        <w:t xml:space="preserve">is </w:t>
      </w:r>
      <w:r w:rsidRPr="00D35DFA">
        <w:rPr>
          <w:rFonts w:ascii="Verdana" w:hAnsi="Verdana"/>
          <w:sz w:val="18"/>
          <w:szCs w:val="18"/>
        </w:rPr>
        <w:t xml:space="preserve">praktische ondersteuning geboden met een </w:t>
      </w:r>
      <w:proofErr w:type="spellStart"/>
      <w:r w:rsidRPr="00D35DFA">
        <w:rPr>
          <w:rFonts w:ascii="Verdana" w:hAnsi="Verdana"/>
          <w:sz w:val="18"/>
          <w:szCs w:val="18"/>
        </w:rPr>
        <w:t>overgangsbus</w:t>
      </w:r>
      <w:proofErr w:type="spellEnd"/>
      <w:r>
        <w:rPr>
          <w:rFonts w:ascii="Verdana" w:hAnsi="Verdana"/>
          <w:sz w:val="18"/>
          <w:szCs w:val="18"/>
        </w:rPr>
        <w:t xml:space="preserve"> door </w:t>
      </w:r>
      <w:proofErr w:type="spellStart"/>
      <w:r>
        <w:rPr>
          <w:rFonts w:ascii="Verdana" w:hAnsi="Verdana"/>
          <w:sz w:val="18"/>
          <w:szCs w:val="18"/>
        </w:rPr>
        <w:t>Womeninc</w:t>
      </w:r>
      <w:proofErr w:type="spellEnd"/>
      <w:r>
        <w:rPr>
          <w:rFonts w:ascii="Verdana" w:hAnsi="Verdana"/>
          <w:sz w:val="18"/>
          <w:szCs w:val="18"/>
        </w:rPr>
        <w:t xml:space="preserve"> voor directies en leerkrachten (‘mag het even over haar gaan?’), </w:t>
      </w:r>
      <w:r w:rsidRPr="00D35DFA">
        <w:rPr>
          <w:rFonts w:ascii="Verdana" w:hAnsi="Verdana"/>
          <w:sz w:val="18"/>
          <w:szCs w:val="18"/>
        </w:rPr>
        <w:t xml:space="preserve">waarbij gesproken kon worden met een overgangsconsulente. </w:t>
      </w:r>
    </w:p>
    <w:p w:rsidR="001076DB" w:rsidP="001076DB" w:rsidRDefault="001076DB" w14:paraId="3144449C" w14:textId="77777777">
      <w:pPr>
        <w:pStyle w:val="Geenafstand"/>
        <w:rPr>
          <w:rFonts w:ascii="Verdana" w:hAnsi="Verdana"/>
          <w:sz w:val="18"/>
          <w:szCs w:val="18"/>
        </w:rPr>
      </w:pPr>
    </w:p>
    <w:p w:rsidRPr="00D35DFA" w:rsidR="001076DB" w:rsidP="001076DB" w:rsidRDefault="001076DB" w14:paraId="2308D4AA" w14:textId="77777777">
      <w:pPr>
        <w:pStyle w:val="Geenafstand"/>
        <w:rPr>
          <w:rFonts w:ascii="Verdana" w:hAnsi="Verdana"/>
          <w:sz w:val="18"/>
          <w:szCs w:val="18"/>
        </w:rPr>
      </w:pPr>
      <w:r w:rsidRPr="00BD5D5B">
        <w:rPr>
          <w:rFonts w:ascii="Verdana" w:hAnsi="Verdana"/>
          <w:sz w:val="18"/>
          <w:szCs w:val="18"/>
        </w:rPr>
        <w:t xml:space="preserve">Ook zijn er initiatieven zoals het gratis VSA-spreekuur </w:t>
      </w:r>
      <w:r>
        <w:rPr>
          <w:rFonts w:ascii="Verdana" w:hAnsi="Verdana"/>
          <w:sz w:val="18"/>
          <w:szCs w:val="18"/>
        </w:rPr>
        <w:t xml:space="preserve">(Vrouwspecifieke aandoeningen) </w:t>
      </w:r>
      <w:r w:rsidRPr="00BD5D5B">
        <w:rPr>
          <w:rFonts w:ascii="Verdana" w:hAnsi="Verdana"/>
          <w:sz w:val="18"/>
          <w:szCs w:val="18"/>
        </w:rPr>
        <w:t xml:space="preserve">van </w:t>
      </w:r>
      <w:proofErr w:type="spellStart"/>
      <w:r w:rsidRPr="00BD5D5B">
        <w:rPr>
          <w:rFonts w:ascii="Verdana" w:hAnsi="Verdana"/>
          <w:sz w:val="18"/>
          <w:szCs w:val="18"/>
        </w:rPr>
        <w:t>AmsterdamUMC</w:t>
      </w:r>
      <w:proofErr w:type="spellEnd"/>
      <w:r w:rsidRPr="00BD5D5B">
        <w:rPr>
          <w:rFonts w:ascii="Verdana" w:hAnsi="Verdana"/>
          <w:sz w:val="18"/>
          <w:szCs w:val="18"/>
        </w:rPr>
        <w:t xml:space="preserve"> voor eigen medewerkers om vrouwen met hormonaal gerelateerde problemen te helpen en tijd tot diagnose te verkorten. Het blijkt dat dit spreekuur bijdraagt aan het bespreekbaar maken op de werkvloer en het doorbreken van het taboe. Op dit moment wordt onderzocht of dit initiatief landelijk kan worden ingezet. </w:t>
      </w:r>
    </w:p>
    <w:p w:rsidRPr="006E14A7" w:rsidR="001076DB" w:rsidP="001076DB" w:rsidRDefault="001076DB" w14:paraId="24D335E2" w14:textId="77777777">
      <w:pPr>
        <w:pStyle w:val="Geenafstand"/>
        <w:rPr>
          <w:rFonts w:ascii="Verdana" w:hAnsi="Verdana"/>
          <w:b/>
          <w:bCs/>
          <w:sz w:val="18"/>
          <w:szCs w:val="18"/>
        </w:rPr>
      </w:pPr>
    </w:p>
    <w:p w:rsidRPr="006E14A7" w:rsidR="001076DB" w:rsidP="001076DB" w:rsidRDefault="001076DB" w14:paraId="55C6D473" w14:textId="77777777">
      <w:pPr>
        <w:pStyle w:val="Geenafstand"/>
        <w:rPr>
          <w:rFonts w:ascii="Verdana" w:hAnsi="Verdana"/>
          <w:b/>
          <w:bCs/>
          <w:sz w:val="18"/>
          <w:szCs w:val="18"/>
        </w:rPr>
      </w:pPr>
      <w:r w:rsidRPr="006E14A7">
        <w:rPr>
          <w:rFonts w:ascii="Verdana" w:hAnsi="Verdana"/>
          <w:b/>
          <w:bCs/>
          <w:sz w:val="18"/>
          <w:szCs w:val="18"/>
        </w:rPr>
        <w:t>Vraag 14</w:t>
      </w:r>
    </w:p>
    <w:p w:rsidR="001076DB" w:rsidP="001076DB" w:rsidRDefault="001076DB" w14:paraId="47D12634" w14:textId="77777777">
      <w:pPr>
        <w:pStyle w:val="Geenafstand"/>
        <w:rPr>
          <w:rFonts w:ascii="Verdana" w:hAnsi="Verdana"/>
          <w:sz w:val="18"/>
          <w:szCs w:val="18"/>
        </w:rPr>
      </w:pPr>
      <w:r w:rsidRPr="00D35DFA">
        <w:rPr>
          <w:rFonts w:ascii="Verdana" w:hAnsi="Verdana"/>
          <w:sz w:val="18"/>
          <w:szCs w:val="18"/>
        </w:rPr>
        <w:t xml:space="preserve">Kunt u nader toelichten welke behandelingsmogelijkheden er reeds bestaan voor overgangsklachten en wat hierin de mogelijkheden voor vergoeding zijn? Kunt u tevens reflecteren op de bekendheid en toegankelijkheid van dergelijke behandelingen? Op welke concrete manier gaat u ervoor zorgen dat deze behandelingen breder bekend en toegankelijker worden? </w:t>
      </w:r>
    </w:p>
    <w:p w:rsidR="001076DB" w:rsidP="001076DB" w:rsidRDefault="001076DB" w14:paraId="3DB37E58" w14:textId="77777777">
      <w:pPr>
        <w:pStyle w:val="Geenafstand"/>
        <w:rPr>
          <w:rFonts w:ascii="Verdana" w:hAnsi="Verdana"/>
          <w:sz w:val="18"/>
          <w:szCs w:val="18"/>
        </w:rPr>
      </w:pPr>
    </w:p>
    <w:p w:rsidRPr="006E14A7" w:rsidR="001076DB" w:rsidP="001076DB" w:rsidRDefault="001076DB" w14:paraId="2A02CD90" w14:textId="77777777">
      <w:pPr>
        <w:pStyle w:val="Geenafstand"/>
        <w:rPr>
          <w:rFonts w:ascii="Verdana" w:hAnsi="Verdana"/>
          <w:b/>
          <w:bCs/>
          <w:kern w:val="0"/>
          <w:sz w:val="18"/>
          <w:szCs w:val="18"/>
          <w14:ligatures w14:val="none"/>
        </w:rPr>
      </w:pPr>
      <w:r w:rsidRPr="006E14A7">
        <w:rPr>
          <w:rFonts w:ascii="Verdana" w:hAnsi="Verdana"/>
          <w:b/>
          <w:bCs/>
          <w:kern w:val="0"/>
          <w:sz w:val="18"/>
          <w:szCs w:val="18"/>
          <w14:ligatures w14:val="none"/>
        </w:rPr>
        <w:t>Antwoord 14</w:t>
      </w:r>
    </w:p>
    <w:p w:rsidR="001076DB" w:rsidP="001076DB" w:rsidRDefault="001076DB" w14:paraId="4894CDC0" w14:textId="77777777">
      <w:pPr>
        <w:pStyle w:val="Geenafstand"/>
        <w:rPr>
          <w:rFonts w:ascii="Verdana" w:hAnsi="Verdana"/>
          <w:kern w:val="0"/>
          <w:sz w:val="18"/>
          <w:szCs w:val="18"/>
          <w14:ligatures w14:val="none"/>
        </w:rPr>
      </w:pPr>
      <w:r w:rsidRPr="00597F56">
        <w:rPr>
          <w:rFonts w:ascii="Verdana" w:hAnsi="Verdana"/>
          <w:kern w:val="0"/>
          <w:sz w:val="18"/>
          <w:szCs w:val="18"/>
          <w14:ligatures w14:val="none"/>
        </w:rPr>
        <w:t xml:space="preserve">Overgangsklachten kunnen op verschillende manieren behandeld worden. Wat het beste werkt, verschilt per </w:t>
      </w:r>
      <w:r>
        <w:rPr>
          <w:rFonts w:ascii="Verdana" w:hAnsi="Verdana"/>
          <w:kern w:val="0"/>
          <w:sz w:val="18"/>
          <w:szCs w:val="18"/>
          <w14:ligatures w14:val="none"/>
        </w:rPr>
        <w:t>vrouw</w:t>
      </w:r>
      <w:r w:rsidRPr="00597F56">
        <w:rPr>
          <w:rFonts w:ascii="Verdana" w:hAnsi="Verdana"/>
          <w:kern w:val="0"/>
          <w:sz w:val="18"/>
          <w:szCs w:val="18"/>
          <w14:ligatures w14:val="none"/>
        </w:rPr>
        <w:t xml:space="preserve"> en hangt van de ernst van de klachten a</w:t>
      </w:r>
      <w:r>
        <w:rPr>
          <w:rFonts w:ascii="Verdana" w:hAnsi="Verdana"/>
          <w:kern w:val="0"/>
          <w:sz w:val="18"/>
          <w:szCs w:val="18"/>
          <w14:ligatures w14:val="none"/>
        </w:rPr>
        <w:t>f. O</w:t>
      </w:r>
      <w:r w:rsidRPr="00597F56">
        <w:rPr>
          <w:rFonts w:ascii="Verdana" w:hAnsi="Verdana"/>
          <w:sz w:val="18"/>
          <w:szCs w:val="18"/>
        </w:rPr>
        <w:t xml:space="preserve">ok is het belangrijk dat onderliggende oorzaken en eventuele andere problemen worden uitgesloten. </w:t>
      </w:r>
      <w:r w:rsidRPr="00597F56">
        <w:rPr>
          <w:rFonts w:ascii="Verdana" w:hAnsi="Verdana"/>
          <w:kern w:val="0"/>
          <w:sz w:val="18"/>
          <w:szCs w:val="18"/>
          <w14:ligatures w14:val="none"/>
        </w:rPr>
        <w:t>De belangrijkste behandelmogelijkheden zijn in grote lijnen:</w:t>
      </w:r>
    </w:p>
    <w:p w:rsidR="001076DB" w:rsidP="001076DB" w:rsidRDefault="001076DB" w14:paraId="0FA620AF" w14:textId="77777777">
      <w:pPr>
        <w:pStyle w:val="Geenafstand"/>
        <w:numPr>
          <w:ilvl w:val="0"/>
          <w:numId w:val="2"/>
        </w:numPr>
        <w:rPr>
          <w:rFonts w:ascii="Verdana" w:hAnsi="Verdana"/>
          <w:kern w:val="0"/>
          <w:sz w:val="18"/>
          <w:szCs w:val="18"/>
          <w14:ligatures w14:val="none"/>
        </w:rPr>
      </w:pPr>
      <w:r>
        <w:rPr>
          <w:rFonts w:ascii="Verdana" w:hAnsi="Verdana"/>
          <w:kern w:val="0"/>
          <w:sz w:val="18"/>
          <w:szCs w:val="18"/>
          <w14:ligatures w14:val="none"/>
        </w:rPr>
        <w:t>Natuurlijke aanpak die zich richt op leefstijlveranderingen;</w:t>
      </w:r>
    </w:p>
    <w:p w:rsidRPr="00F621B1" w:rsidR="001076DB" w:rsidP="001076DB" w:rsidRDefault="001076DB" w14:paraId="73409C8F" w14:textId="77777777">
      <w:pPr>
        <w:pStyle w:val="Geenafstand"/>
        <w:numPr>
          <w:ilvl w:val="0"/>
          <w:numId w:val="2"/>
        </w:numPr>
        <w:rPr>
          <w:rFonts w:ascii="Verdana" w:hAnsi="Verdana"/>
          <w:kern w:val="0"/>
          <w:sz w:val="18"/>
          <w:szCs w:val="18"/>
          <w14:ligatures w14:val="none"/>
        </w:rPr>
      </w:pPr>
      <w:r w:rsidRPr="00597F56">
        <w:rPr>
          <w:rFonts w:ascii="Verdana" w:hAnsi="Verdana"/>
          <w:kern w:val="0"/>
          <w:sz w:val="18"/>
          <w:szCs w:val="18"/>
          <w14:ligatures w14:val="none"/>
        </w:rPr>
        <w:t>Hormonale therapie (</w:t>
      </w:r>
      <w:r w:rsidRPr="00597F56">
        <w:rPr>
          <w:rFonts w:ascii="Verdana" w:hAnsi="Verdana"/>
          <w:sz w:val="18"/>
          <w:szCs w:val="18"/>
        </w:rPr>
        <w:t>waaronder pillen, pleisters, gels</w:t>
      </w:r>
      <w:r>
        <w:rPr>
          <w:rFonts w:ascii="Verdana" w:hAnsi="Verdana"/>
          <w:sz w:val="18"/>
          <w:szCs w:val="18"/>
        </w:rPr>
        <w:t xml:space="preserve">); </w:t>
      </w:r>
    </w:p>
    <w:p w:rsidR="001076DB" w:rsidP="001076DB" w:rsidRDefault="001076DB" w14:paraId="10C302A1" w14:textId="77777777">
      <w:pPr>
        <w:pStyle w:val="Geenafstand"/>
        <w:numPr>
          <w:ilvl w:val="0"/>
          <w:numId w:val="2"/>
        </w:numPr>
        <w:rPr>
          <w:rFonts w:ascii="Verdana" w:hAnsi="Verdana"/>
          <w:kern w:val="0"/>
          <w:sz w:val="18"/>
          <w:szCs w:val="18"/>
          <w14:ligatures w14:val="none"/>
        </w:rPr>
      </w:pPr>
      <w:r w:rsidRPr="00597F56">
        <w:rPr>
          <w:rFonts w:ascii="Verdana" w:hAnsi="Verdana"/>
          <w:kern w:val="0"/>
          <w:sz w:val="18"/>
          <w:szCs w:val="18"/>
          <w14:ligatures w14:val="none"/>
        </w:rPr>
        <w:t>Niet-hormonale medicatie</w:t>
      </w:r>
      <w:r>
        <w:rPr>
          <w:rFonts w:ascii="Verdana" w:hAnsi="Verdana"/>
          <w:kern w:val="0"/>
          <w:sz w:val="18"/>
          <w:szCs w:val="18"/>
          <w14:ligatures w14:val="none"/>
        </w:rPr>
        <w:t>;</w:t>
      </w:r>
    </w:p>
    <w:p w:rsidR="001076DB" w:rsidP="001076DB" w:rsidRDefault="001076DB" w14:paraId="24488486" w14:textId="77777777">
      <w:pPr>
        <w:pStyle w:val="Geenafstand"/>
        <w:numPr>
          <w:ilvl w:val="0"/>
          <w:numId w:val="2"/>
        </w:numPr>
        <w:rPr>
          <w:rFonts w:ascii="Verdana" w:hAnsi="Verdana"/>
          <w:kern w:val="0"/>
          <w:sz w:val="18"/>
          <w:szCs w:val="18"/>
          <w14:ligatures w14:val="none"/>
        </w:rPr>
      </w:pPr>
      <w:r w:rsidRPr="00597F56">
        <w:rPr>
          <w:rFonts w:ascii="Verdana" w:hAnsi="Verdana"/>
          <w:kern w:val="0"/>
          <w:sz w:val="18"/>
          <w:szCs w:val="18"/>
          <w14:ligatures w14:val="none"/>
        </w:rPr>
        <w:t>Vaginale behandelingen</w:t>
      </w:r>
      <w:r>
        <w:rPr>
          <w:rFonts w:ascii="Verdana" w:hAnsi="Verdana"/>
          <w:kern w:val="0"/>
          <w:sz w:val="18"/>
          <w:szCs w:val="18"/>
          <w14:ligatures w14:val="none"/>
        </w:rPr>
        <w:t xml:space="preserve">; </w:t>
      </w:r>
    </w:p>
    <w:p w:rsidR="001076DB" w:rsidP="001076DB" w:rsidRDefault="001076DB" w14:paraId="0D10DEB3" w14:textId="77777777">
      <w:pPr>
        <w:pStyle w:val="Geenafstand"/>
        <w:numPr>
          <w:ilvl w:val="0"/>
          <w:numId w:val="2"/>
        </w:numPr>
        <w:rPr>
          <w:rFonts w:ascii="Verdana" w:hAnsi="Verdana"/>
          <w:kern w:val="0"/>
          <w:sz w:val="18"/>
          <w:szCs w:val="18"/>
          <w14:ligatures w14:val="none"/>
        </w:rPr>
      </w:pPr>
      <w:r w:rsidRPr="00597F56">
        <w:rPr>
          <w:rFonts w:ascii="Verdana" w:hAnsi="Verdana"/>
          <w:kern w:val="0"/>
          <w:sz w:val="18"/>
          <w:szCs w:val="18"/>
          <w14:ligatures w14:val="none"/>
        </w:rPr>
        <w:t>Alternatieve middelen</w:t>
      </w:r>
      <w:r>
        <w:rPr>
          <w:rFonts w:ascii="Verdana" w:hAnsi="Verdana"/>
          <w:kern w:val="0"/>
          <w:sz w:val="18"/>
          <w:szCs w:val="18"/>
          <w14:ligatures w14:val="none"/>
        </w:rPr>
        <w:t xml:space="preserve">; </w:t>
      </w:r>
    </w:p>
    <w:p w:rsidR="001076DB" w:rsidP="001076DB" w:rsidRDefault="001076DB" w14:paraId="5B3C4095" w14:textId="77777777">
      <w:pPr>
        <w:pStyle w:val="Geenafstand"/>
        <w:numPr>
          <w:ilvl w:val="0"/>
          <w:numId w:val="2"/>
        </w:numPr>
        <w:rPr>
          <w:rFonts w:ascii="Verdana" w:hAnsi="Verdana"/>
          <w:kern w:val="0"/>
          <w:sz w:val="18"/>
          <w:szCs w:val="18"/>
          <w14:ligatures w14:val="none"/>
        </w:rPr>
      </w:pPr>
      <w:r w:rsidRPr="00597F56">
        <w:rPr>
          <w:rFonts w:ascii="Verdana" w:hAnsi="Verdana"/>
          <w:kern w:val="0"/>
          <w:sz w:val="18"/>
          <w:szCs w:val="18"/>
          <w14:ligatures w14:val="none"/>
        </w:rPr>
        <w:t>Psychologische ondersteuning</w:t>
      </w:r>
      <w:r>
        <w:rPr>
          <w:rFonts w:ascii="Verdana" w:hAnsi="Verdana"/>
          <w:kern w:val="0"/>
          <w:sz w:val="18"/>
          <w:szCs w:val="18"/>
          <w14:ligatures w14:val="none"/>
        </w:rPr>
        <w:t>.</w:t>
      </w:r>
      <w:r w:rsidRPr="00597F56">
        <w:rPr>
          <w:rFonts w:ascii="Verdana" w:hAnsi="Verdana"/>
          <w:kern w:val="0"/>
          <w:sz w:val="18"/>
          <w:szCs w:val="18"/>
          <w14:ligatures w14:val="none"/>
        </w:rPr>
        <w:t xml:space="preserve"> </w:t>
      </w:r>
    </w:p>
    <w:p w:rsidR="001076DB" w:rsidP="001076DB" w:rsidRDefault="001076DB" w14:paraId="31867FE1" w14:textId="77777777">
      <w:pPr>
        <w:pStyle w:val="Geenafstand"/>
        <w:rPr>
          <w:rFonts w:ascii="Verdana" w:hAnsi="Verdana" w:cs="Arial"/>
          <w:color w:val="212121"/>
          <w:sz w:val="18"/>
          <w:szCs w:val="18"/>
        </w:rPr>
      </w:pPr>
    </w:p>
    <w:p w:rsidR="001076DB" w:rsidP="001076DB" w:rsidRDefault="001076DB" w14:paraId="0FE495DC" w14:textId="77777777">
      <w:pPr>
        <w:pStyle w:val="Geenafstand"/>
        <w:rPr>
          <w:rFonts w:ascii="Verdana" w:hAnsi="Verdana" w:eastAsia="Times New Roman" w:cs="Arial"/>
          <w:color w:val="0A0A0A"/>
          <w:sz w:val="18"/>
          <w:szCs w:val="18"/>
        </w:rPr>
      </w:pPr>
      <w:r>
        <w:rPr>
          <w:rFonts w:ascii="Verdana" w:hAnsi="Verdana"/>
          <w:kern w:val="0"/>
          <w:sz w:val="18"/>
          <w:szCs w:val="18"/>
          <w14:ligatures w14:val="none"/>
        </w:rPr>
        <w:t xml:space="preserve">De meeste van bovengenoemde behandelmethoden kunnen worden vergoed uit de basisverzekering als zij worden verricht door een huisarts of – na verwijzing – door een medisch specialist. Het eigen risico is niet van toepassing voor behandelingen bij de huisarts; wel bij de medisch specialist. Ook is voor medicatie soms een eigen bijdrage nodig. </w:t>
      </w:r>
      <w:r w:rsidRPr="002077A0">
        <w:rPr>
          <w:rFonts w:ascii="Verdana" w:hAnsi="Verdana" w:eastAsia="Times New Roman" w:cs="Arial"/>
          <w:color w:val="0A0A0A"/>
          <w:sz w:val="18"/>
          <w:szCs w:val="18"/>
        </w:rPr>
        <w:t>Overgangsconsulten en -behandelingen</w:t>
      </w:r>
      <w:r>
        <w:rPr>
          <w:rFonts w:ascii="Verdana" w:hAnsi="Verdana" w:eastAsia="Times New Roman" w:cs="Arial"/>
          <w:color w:val="0A0A0A"/>
          <w:sz w:val="18"/>
          <w:szCs w:val="18"/>
        </w:rPr>
        <w:t xml:space="preserve"> en alternatieve behandelingen worden vaak vergoed via een aanvullende verzekering.</w:t>
      </w:r>
    </w:p>
    <w:p w:rsidR="001076DB" w:rsidP="001076DB" w:rsidRDefault="001076DB" w14:paraId="4F55D876" w14:textId="77777777">
      <w:pPr>
        <w:pStyle w:val="Geenafstand"/>
        <w:rPr>
          <w:rFonts w:ascii="Verdana" w:hAnsi="Verdana" w:eastAsia="Times New Roman" w:cs="Arial"/>
          <w:color w:val="0A0A0A"/>
          <w:sz w:val="18"/>
          <w:szCs w:val="18"/>
        </w:rPr>
      </w:pPr>
    </w:p>
    <w:p w:rsidR="001076DB" w:rsidP="001076DB" w:rsidRDefault="001076DB" w14:paraId="2B5E01E8" w14:textId="77777777">
      <w:pPr>
        <w:pStyle w:val="Geenafstand"/>
        <w:rPr>
          <w:rFonts w:ascii="Verdana" w:hAnsi="Verdana" w:cs="Arial"/>
          <w:color w:val="212121"/>
          <w:sz w:val="18"/>
          <w:szCs w:val="18"/>
        </w:rPr>
      </w:pPr>
      <w:r w:rsidRPr="00BC71A4">
        <w:rPr>
          <w:rFonts w:ascii="Verdana" w:hAnsi="Verdana" w:eastAsia="Times New Roman" w:cs="Arial"/>
          <w:color w:val="0A0A0A"/>
          <w:sz w:val="18"/>
          <w:szCs w:val="18"/>
        </w:rPr>
        <w:t xml:space="preserve">Voor een grotere </w:t>
      </w:r>
      <w:r w:rsidRPr="00BC71A4">
        <w:rPr>
          <w:rFonts w:ascii="Verdana" w:hAnsi="Verdana"/>
          <w:sz w:val="18"/>
          <w:szCs w:val="18"/>
        </w:rPr>
        <w:t>bekendheid en toegankelijkheid van dergelijke behandelingen is er Thuisarts.nl. Hier staan de mogelijkheden voor behandelingen, de richtlijnen</w:t>
      </w:r>
      <w:r w:rsidRPr="00BC71A4">
        <w:rPr>
          <w:rFonts w:ascii="Verdana" w:hAnsi="Verdana"/>
          <w:sz w:val="18"/>
          <w:szCs w:val="18"/>
          <w:vertAlign w:val="superscript"/>
        </w:rPr>
        <w:footnoteReference w:id="8"/>
      </w:r>
      <w:r w:rsidRPr="00BC71A4">
        <w:rPr>
          <w:rFonts w:ascii="Verdana" w:hAnsi="Verdana"/>
          <w:sz w:val="18"/>
          <w:szCs w:val="18"/>
        </w:rPr>
        <w:t xml:space="preserve"> en wordt in begrijpelijke </w:t>
      </w:r>
      <w:r>
        <w:rPr>
          <w:rFonts w:ascii="Verdana" w:hAnsi="Verdana"/>
          <w:sz w:val="18"/>
          <w:szCs w:val="18"/>
        </w:rPr>
        <w:t xml:space="preserve">taal </w:t>
      </w:r>
      <w:r w:rsidRPr="00BC71A4">
        <w:rPr>
          <w:rFonts w:ascii="Verdana" w:hAnsi="Verdana"/>
          <w:sz w:val="18"/>
          <w:szCs w:val="18"/>
        </w:rPr>
        <w:t>informatie gegeven. Dit geldt eveneens voor de richtlijn overgang van de NVOG</w:t>
      </w:r>
      <w:r w:rsidRPr="00BC71A4">
        <w:rPr>
          <w:rFonts w:ascii="Verdana" w:hAnsi="Verdana"/>
          <w:sz w:val="18"/>
          <w:szCs w:val="18"/>
          <w:vertAlign w:val="superscript"/>
        </w:rPr>
        <w:footnoteReference w:id="9"/>
      </w:r>
      <w:r w:rsidRPr="00BC71A4">
        <w:rPr>
          <w:rFonts w:ascii="Verdana" w:hAnsi="Verdana"/>
          <w:sz w:val="18"/>
          <w:szCs w:val="18"/>
        </w:rPr>
        <w:t xml:space="preserve">. </w:t>
      </w:r>
      <w:r w:rsidRPr="00BC71A4">
        <w:rPr>
          <w:rFonts w:ascii="Verdana" w:hAnsi="Verdana" w:cs="Arial"/>
          <w:color w:val="212121"/>
          <w:sz w:val="18"/>
          <w:szCs w:val="18"/>
        </w:rPr>
        <w:t>Daarnaast zijn er specifieke organisaties die vrouwen voorlichting geven rondom de overgang.</w:t>
      </w:r>
    </w:p>
    <w:p w:rsidRPr="00BC71A4" w:rsidR="001076DB" w:rsidP="001076DB" w:rsidRDefault="001076DB" w14:paraId="507BEF5B" w14:textId="77777777">
      <w:pPr>
        <w:pStyle w:val="Geenafstand"/>
        <w:rPr>
          <w:rFonts w:ascii="Verdana" w:hAnsi="Verdana"/>
          <w:kern w:val="0"/>
          <w:sz w:val="18"/>
          <w:szCs w:val="18"/>
          <w14:ligatures w14:val="none"/>
        </w:rPr>
      </w:pPr>
      <w:r w:rsidRPr="00BC71A4">
        <w:rPr>
          <w:rFonts w:ascii="Verdana" w:hAnsi="Verdana"/>
          <w:sz w:val="18"/>
          <w:szCs w:val="18"/>
        </w:rPr>
        <w:t>Zoals eerder in de Kamerbrief over het doorbreken van het taboe rondom de overgang en werk</w:t>
      </w:r>
      <w:r w:rsidRPr="00BC71A4">
        <w:rPr>
          <w:rFonts w:ascii="Verdana" w:hAnsi="Verdana"/>
          <w:sz w:val="18"/>
          <w:szCs w:val="18"/>
          <w:vertAlign w:val="superscript"/>
        </w:rPr>
        <w:footnoteReference w:id="10"/>
      </w:r>
      <w:r w:rsidRPr="00BC71A4">
        <w:rPr>
          <w:rFonts w:ascii="Verdana" w:hAnsi="Verdana"/>
          <w:sz w:val="18"/>
          <w:szCs w:val="18"/>
        </w:rPr>
        <w:t xml:space="preserve"> is </w:t>
      </w:r>
      <w:r>
        <w:rPr>
          <w:rFonts w:ascii="Verdana" w:hAnsi="Verdana"/>
          <w:sz w:val="18"/>
          <w:szCs w:val="18"/>
        </w:rPr>
        <w:t xml:space="preserve">aangegeven </w:t>
      </w:r>
      <w:r w:rsidRPr="00BC71A4">
        <w:rPr>
          <w:rFonts w:ascii="Verdana" w:hAnsi="Verdana"/>
          <w:sz w:val="18"/>
          <w:szCs w:val="18"/>
        </w:rPr>
        <w:t>zijn er ook diverse maatregelen in gang gezet om het taboe rondom de overgang te doorbreken. Daarvoor verwijs ik naar het antwoord op vraag 13.</w:t>
      </w:r>
    </w:p>
    <w:p w:rsidR="001076DB" w:rsidP="001076DB" w:rsidRDefault="001076DB" w14:paraId="3D9A5A3D" w14:textId="77777777">
      <w:pPr>
        <w:pStyle w:val="Geenafstand"/>
        <w:rPr>
          <w:rFonts w:ascii="Verdana" w:hAnsi="Verdana"/>
          <w:sz w:val="18"/>
          <w:szCs w:val="18"/>
        </w:rPr>
      </w:pPr>
    </w:p>
    <w:p w:rsidRPr="006E14A7" w:rsidR="001076DB" w:rsidP="001076DB" w:rsidRDefault="001076DB" w14:paraId="6584AA61" w14:textId="77777777">
      <w:pPr>
        <w:pStyle w:val="Geenafstand"/>
        <w:rPr>
          <w:rFonts w:ascii="Verdana" w:hAnsi="Verdana"/>
          <w:b/>
          <w:bCs/>
          <w:sz w:val="18"/>
          <w:szCs w:val="18"/>
        </w:rPr>
      </w:pPr>
      <w:r w:rsidRPr="006E14A7">
        <w:rPr>
          <w:rFonts w:ascii="Verdana" w:hAnsi="Verdana"/>
          <w:b/>
          <w:bCs/>
          <w:sz w:val="18"/>
          <w:szCs w:val="18"/>
        </w:rPr>
        <w:t>Vraag 15</w:t>
      </w:r>
    </w:p>
    <w:p w:rsidRPr="00D35DFA" w:rsidR="001076DB" w:rsidP="001076DB" w:rsidRDefault="001076DB" w14:paraId="2D892B5F" w14:textId="77777777">
      <w:pPr>
        <w:pStyle w:val="Geenafstand"/>
        <w:rPr>
          <w:rFonts w:ascii="Verdana" w:hAnsi="Verdana"/>
          <w:sz w:val="18"/>
          <w:szCs w:val="18"/>
        </w:rPr>
      </w:pPr>
      <w:r w:rsidRPr="00D35DFA">
        <w:rPr>
          <w:rFonts w:ascii="Verdana" w:hAnsi="Verdana"/>
          <w:sz w:val="18"/>
          <w:szCs w:val="18"/>
        </w:rPr>
        <w:t xml:space="preserve">Wat vindt u van de oproep om vrouwengezondheid meer centraal te stellen? Hoe gaat u hier concreet uitvoering aangeven? </w:t>
      </w:r>
    </w:p>
    <w:p w:rsidR="001076DB" w:rsidP="001076DB" w:rsidRDefault="001076DB" w14:paraId="0251B714" w14:textId="77777777">
      <w:pPr>
        <w:spacing w:line="240" w:lineRule="auto"/>
        <w:rPr>
          <w:b/>
          <w:bCs/>
        </w:rPr>
      </w:pPr>
    </w:p>
    <w:p w:rsidRPr="00BC71A4" w:rsidR="001076DB" w:rsidP="001076DB" w:rsidRDefault="001076DB" w14:paraId="13E92C65" w14:textId="77777777">
      <w:pPr>
        <w:spacing w:line="240" w:lineRule="auto"/>
        <w:rPr>
          <w:b/>
          <w:bCs/>
        </w:rPr>
      </w:pPr>
      <w:r w:rsidRPr="00BC71A4">
        <w:rPr>
          <w:b/>
          <w:bCs/>
        </w:rPr>
        <w:lastRenderedPageBreak/>
        <w:t>Antwoord 15</w:t>
      </w:r>
    </w:p>
    <w:p w:rsidRPr="00BC71A4" w:rsidR="001076DB" w:rsidP="001076DB" w:rsidRDefault="001076DB" w14:paraId="7358E606" w14:textId="77777777">
      <w:pPr>
        <w:spacing w:line="240" w:lineRule="auto"/>
        <w:rPr>
          <w:b/>
          <w:bCs/>
        </w:rPr>
      </w:pPr>
      <w:r w:rsidRPr="00D35DFA">
        <w:t xml:space="preserve">De werkconferentie Vrouwengezondheid </w:t>
      </w:r>
      <w:r>
        <w:t xml:space="preserve">op 4 februari jl. </w:t>
      </w:r>
      <w:r w:rsidRPr="00D35DFA">
        <w:t>is een belangrijke stap geweest in de uitwerking van de Nationale Strategie Vrouwengezondheid 2025-2030</w:t>
      </w:r>
      <w:r w:rsidRPr="00D35DFA">
        <w:rPr>
          <w:rStyle w:val="Voetnootmarkering"/>
        </w:rPr>
        <w:footnoteReference w:id="11"/>
      </w:r>
      <w:r w:rsidRPr="00D35DFA">
        <w:t>. Met de Nationale Werkagenda Vrouwengezondheid zet het kabinet in op duidelijke ambities en concrete acties die bijdragen aan een langer leven in goede gezondheid voor alle meisjes en vrouwen in Nederland. De conferentie kenmerkte zich door een sterke betrokkenheid en duidelijke bereidheid tot samenwerking op het terrein van de vrouwengezondheid. Met de ondertekening van het convenant “</w:t>
      </w:r>
      <w:r w:rsidRPr="00D35DFA">
        <w:rPr>
          <w:i/>
          <w:iCs/>
        </w:rPr>
        <w:t>Samen in actie voor betere vrouwengezondheid</w:t>
      </w:r>
      <w:r w:rsidRPr="00D35DFA">
        <w:rPr>
          <w:rStyle w:val="Voetnootmarkering"/>
          <w:i/>
          <w:iCs/>
        </w:rPr>
        <w:footnoteReference w:id="12"/>
      </w:r>
      <w:r w:rsidRPr="00D35DFA">
        <w:t xml:space="preserve">” hebben twaalf partijen het belang van een gezamenlijke inzet op dit terrein benadrukt. Met het convenant spreken partijen verder af om ook zelf vrouwengezondheid blijvend op de agenda te zetten, eigen initiatieven te versterken, kennis en data te delen en samen nieuwe acties te starten. Dit doen zij </w:t>
      </w:r>
      <w:r>
        <w:t>onder andere</w:t>
      </w:r>
      <w:r w:rsidRPr="00D35DFA">
        <w:t xml:space="preserve"> door: </w:t>
      </w:r>
    </w:p>
    <w:p w:rsidRPr="00D35DFA" w:rsidR="001076DB" w:rsidP="001076DB" w:rsidRDefault="001076DB" w14:paraId="347D6207" w14:textId="77777777">
      <w:pPr>
        <w:numPr>
          <w:ilvl w:val="0"/>
          <w:numId w:val="1"/>
        </w:numPr>
        <w:spacing w:before="100" w:beforeAutospacing="1" w:after="100" w:afterAutospacing="1" w:line="240" w:lineRule="auto"/>
        <w:rPr>
          <w:rFonts w:eastAsia="Times New Roman" w:cs="Times New Roman"/>
          <w:spacing w:val="-2"/>
        </w:rPr>
      </w:pPr>
      <w:r w:rsidRPr="00D35DFA">
        <w:rPr>
          <w:rFonts w:eastAsia="Times New Roman" w:cs="Times New Roman"/>
          <w:spacing w:val="-2"/>
        </w:rPr>
        <w:t>Vrouwengezondheid serieus aan te pakken en op hun eigen én gezamenlijke agenda’s te zetten en te houden;</w:t>
      </w:r>
    </w:p>
    <w:p w:rsidRPr="00D35DFA" w:rsidR="001076DB" w:rsidP="001076DB" w:rsidRDefault="001076DB" w14:paraId="4926651C" w14:textId="77777777">
      <w:pPr>
        <w:numPr>
          <w:ilvl w:val="0"/>
          <w:numId w:val="1"/>
        </w:numPr>
        <w:spacing w:before="100" w:beforeAutospacing="1" w:after="100" w:afterAutospacing="1" w:line="240" w:lineRule="auto"/>
        <w:rPr>
          <w:rFonts w:eastAsia="Times New Roman" w:cs="Times New Roman"/>
          <w:spacing w:val="-2"/>
        </w:rPr>
      </w:pPr>
      <w:r w:rsidRPr="00D35DFA">
        <w:rPr>
          <w:rFonts w:eastAsia="Times New Roman" w:cs="Times New Roman"/>
          <w:spacing w:val="-2"/>
        </w:rPr>
        <w:t>Te inventariseren welke initiatieven de ondertekenende partijen ondernemen en deze waar mogelijk te intensiveren;</w:t>
      </w:r>
    </w:p>
    <w:p w:rsidRPr="00D35DFA" w:rsidR="001076DB" w:rsidP="001076DB" w:rsidRDefault="001076DB" w14:paraId="6101B059" w14:textId="77777777">
      <w:pPr>
        <w:numPr>
          <w:ilvl w:val="0"/>
          <w:numId w:val="1"/>
        </w:numPr>
        <w:spacing w:before="100" w:beforeAutospacing="1" w:after="100" w:afterAutospacing="1" w:line="240" w:lineRule="auto"/>
        <w:rPr>
          <w:rFonts w:eastAsia="Times New Roman" w:cs="Times New Roman"/>
          <w:spacing w:val="-2"/>
        </w:rPr>
      </w:pPr>
      <w:r w:rsidRPr="00D35DFA">
        <w:rPr>
          <w:rFonts w:eastAsia="Times New Roman" w:cs="Times New Roman"/>
          <w:spacing w:val="-2"/>
        </w:rPr>
        <w:t>Kennis en data te delen, acties en initiatieven onderling af te stemmen en gezamenlijk nieuwe, passende initiatieven te initiëren;</w:t>
      </w:r>
    </w:p>
    <w:p w:rsidR="001076DB" w:rsidP="001076DB" w:rsidRDefault="001076DB" w14:paraId="18D7239F" w14:textId="77777777">
      <w:pPr>
        <w:numPr>
          <w:ilvl w:val="0"/>
          <w:numId w:val="1"/>
        </w:numPr>
        <w:spacing w:before="100" w:beforeAutospacing="1" w:after="100" w:afterAutospacing="1" w:line="240" w:lineRule="auto"/>
        <w:rPr>
          <w:rFonts w:eastAsia="Times New Roman" w:cs="Times New Roman"/>
          <w:spacing w:val="-2"/>
        </w:rPr>
      </w:pPr>
      <w:r w:rsidRPr="00D35DFA">
        <w:rPr>
          <w:rFonts w:eastAsia="Times New Roman" w:cs="Times New Roman"/>
          <w:spacing w:val="-2"/>
        </w:rPr>
        <w:t>Samen speerpunten te bepalen en witte vlekken te identificeren en deze te bundelen in een gezamenlijke werkagenda, met als doel de impact te vergroten en te versnellen.</w:t>
      </w:r>
    </w:p>
    <w:p w:rsidRPr="00330429" w:rsidR="001076DB" w:rsidP="001076DB" w:rsidRDefault="001076DB" w14:paraId="107E43B6" w14:textId="77777777">
      <w:pPr>
        <w:spacing w:before="100" w:beforeAutospacing="1" w:after="100" w:afterAutospacing="1" w:line="240" w:lineRule="auto"/>
        <w:rPr>
          <w:rFonts w:eastAsia="Times New Roman" w:cs="Times New Roman"/>
          <w:spacing w:val="-2"/>
        </w:rPr>
      </w:pPr>
      <w:r w:rsidRPr="00D35DFA">
        <w:t xml:space="preserve">Op de site van </w:t>
      </w:r>
      <w:proofErr w:type="spellStart"/>
      <w:r w:rsidRPr="00D35DFA">
        <w:t>ZonMw</w:t>
      </w:r>
      <w:proofErr w:type="spellEnd"/>
      <w:r w:rsidRPr="00D35DFA">
        <w:t xml:space="preserve"> staat beschreven hoe organisaties ook zelf bij kunnen dragen aan de beweging naar een betere vrouwgezondheid</w:t>
      </w:r>
      <w:r>
        <w:t>. H</w:t>
      </w:r>
      <w:r w:rsidRPr="00D35DFA">
        <w:t>et is een positieve ontwikkeling dat partijen ook daadwerkelijk samen in actie komen</w:t>
      </w:r>
      <w:r>
        <w:t>. E</w:t>
      </w:r>
      <w:r w:rsidRPr="00D35DFA">
        <w:t xml:space="preserve">r zijn inmiddels 30 </w:t>
      </w:r>
      <w:proofErr w:type="spellStart"/>
      <w:r w:rsidRPr="00D35DFA">
        <w:t>pledges</w:t>
      </w:r>
      <w:proofErr w:type="spellEnd"/>
      <w:r w:rsidRPr="00D35DFA">
        <w:rPr>
          <w:rStyle w:val="Voetnootmarkering"/>
        </w:rPr>
        <w:footnoteReference w:id="13"/>
      </w:r>
      <w:r w:rsidRPr="00D35DFA">
        <w:t xml:space="preserve"> ingediend. Het kabinet kijkt ernaar uit om verder samen te werken aan een Nationale Werkagenda Vrouwengezondheid. Met de </w:t>
      </w:r>
      <w:r>
        <w:t>w</w:t>
      </w:r>
      <w:r w:rsidRPr="00D35DFA">
        <w:t xml:space="preserve">erkagenda </w:t>
      </w:r>
      <w:r>
        <w:t>v</w:t>
      </w:r>
      <w:r w:rsidRPr="00D35DFA">
        <w:t>rouwengezondheid</w:t>
      </w:r>
      <w:r>
        <w:t>, die op 25 juni 2026 wordt gelanceerd,</w:t>
      </w:r>
      <w:r w:rsidRPr="00D35DFA">
        <w:t xml:space="preserve"> zet het kabinet in op duidelijke ambities en concrete acties die bijdragen aan een langer leven in goede gezondheid voor alle meisjes en vrouwen in Nederland. Ook is het kabinet positief over de manier waarop verschillende initiatiefnemers elkaars initiatieven verder willen brengen, bijvoorbeeld op het gebied van het verminderen van ziekteverzuim. Voor de zomer wordt uw Kamer verder geïnformeerd over de uitwerking van de werkagenda, de monitoring en de overige ontwikkelingen op het gebied van vrouwengezondheid.</w:t>
      </w:r>
    </w:p>
    <w:p w:rsidRPr="006E14A7" w:rsidR="001076DB" w:rsidP="001076DB" w:rsidRDefault="001076DB" w14:paraId="56F85264" w14:textId="77777777">
      <w:pPr>
        <w:pStyle w:val="Geenafstand"/>
        <w:rPr>
          <w:rFonts w:ascii="Verdana" w:hAnsi="Verdana"/>
          <w:b/>
          <w:bCs/>
          <w:sz w:val="18"/>
          <w:szCs w:val="18"/>
        </w:rPr>
      </w:pPr>
      <w:r w:rsidRPr="006E14A7">
        <w:rPr>
          <w:rFonts w:ascii="Verdana" w:hAnsi="Verdana"/>
          <w:b/>
          <w:bCs/>
          <w:sz w:val="18"/>
          <w:szCs w:val="18"/>
        </w:rPr>
        <w:t>Vraag 16</w:t>
      </w:r>
    </w:p>
    <w:p w:rsidR="001076DB" w:rsidP="001076DB" w:rsidRDefault="001076DB" w14:paraId="0F7DA5CA" w14:textId="77777777">
      <w:pPr>
        <w:pStyle w:val="Geenafstand"/>
        <w:rPr>
          <w:rFonts w:ascii="Verdana" w:hAnsi="Verdana"/>
          <w:sz w:val="18"/>
          <w:szCs w:val="18"/>
        </w:rPr>
      </w:pPr>
      <w:r w:rsidRPr="00D35DFA">
        <w:rPr>
          <w:rFonts w:ascii="Verdana" w:hAnsi="Verdana"/>
          <w:sz w:val="18"/>
          <w:szCs w:val="18"/>
        </w:rPr>
        <w:t xml:space="preserve">Kunt u de vragen afzonderlijk beantwoorden? </w:t>
      </w:r>
      <w:r w:rsidRPr="00D35DFA">
        <w:rPr>
          <w:rFonts w:ascii="Verdana" w:hAnsi="Verdana"/>
          <w:sz w:val="18"/>
          <w:szCs w:val="18"/>
        </w:rPr>
        <w:br/>
      </w:r>
    </w:p>
    <w:p w:rsidRPr="006E14A7" w:rsidR="001076DB" w:rsidP="001076DB" w:rsidRDefault="001076DB" w14:paraId="624DF997" w14:textId="77777777">
      <w:pPr>
        <w:pStyle w:val="Geenafstand"/>
        <w:rPr>
          <w:rFonts w:ascii="Verdana" w:hAnsi="Verdana"/>
          <w:b/>
          <w:bCs/>
          <w:sz w:val="18"/>
          <w:szCs w:val="18"/>
        </w:rPr>
      </w:pPr>
      <w:r w:rsidRPr="006E14A7">
        <w:rPr>
          <w:rFonts w:ascii="Verdana" w:hAnsi="Verdana"/>
          <w:b/>
          <w:bCs/>
          <w:sz w:val="18"/>
          <w:szCs w:val="18"/>
        </w:rPr>
        <w:t>Antwoord 16</w:t>
      </w:r>
    </w:p>
    <w:p w:rsidRPr="00D35DFA" w:rsidR="001076DB" w:rsidP="001076DB" w:rsidRDefault="001076DB" w14:paraId="646D136F" w14:textId="77777777">
      <w:pPr>
        <w:pStyle w:val="Geenafstand"/>
        <w:rPr>
          <w:rFonts w:ascii="Verdana" w:hAnsi="Verdana"/>
          <w:sz w:val="18"/>
          <w:szCs w:val="18"/>
        </w:rPr>
      </w:pPr>
      <w:r w:rsidRPr="00D35DFA">
        <w:rPr>
          <w:rFonts w:ascii="Verdana" w:hAnsi="Verdana"/>
          <w:sz w:val="18"/>
          <w:szCs w:val="18"/>
        </w:rPr>
        <w:lastRenderedPageBreak/>
        <w:t>Ja.</w:t>
      </w:r>
      <w:r w:rsidRPr="00D35DFA">
        <w:rPr>
          <w:rFonts w:ascii="Verdana" w:hAnsi="Verdana"/>
          <w:sz w:val="18"/>
          <w:szCs w:val="18"/>
        </w:rPr>
        <w:br/>
      </w:r>
      <w:r w:rsidRPr="00D35DFA">
        <w:rPr>
          <w:rFonts w:ascii="Verdana" w:hAnsi="Verdana"/>
          <w:sz w:val="18"/>
          <w:szCs w:val="18"/>
        </w:rPr>
        <w:br/>
      </w:r>
    </w:p>
    <w:p w:rsidRPr="00D35DFA" w:rsidR="001076DB" w:rsidP="001076DB" w:rsidRDefault="001076DB" w14:paraId="478F73A6" w14:textId="77777777">
      <w:pPr>
        <w:pStyle w:val="Geenafstand"/>
        <w:rPr>
          <w:rFonts w:ascii="Verdana" w:hAnsi="Verdana"/>
          <w:sz w:val="18"/>
          <w:szCs w:val="18"/>
        </w:rPr>
      </w:pPr>
      <w:r w:rsidRPr="00D35DFA">
        <w:rPr>
          <w:rFonts w:ascii="Verdana" w:hAnsi="Verdana"/>
          <w:sz w:val="18"/>
          <w:szCs w:val="18"/>
        </w:rPr>
        <w:t>1) NRC, 12 maart 2026, ‘Vrouwen tussen de 31 en 40 jaar verzuimen veel en dat is écht een probleem, vindt de verzekeraar’ (</w:t>
      </w:r>
      <w:hyperlink w:history="1" r:id="rId7">
        <w:r w:rsidRPr="00D35DFA">
          <w:rPr>
            <w:rStyle w:val="Hyperlink"/>
            <w:rFonts w:ascii="Verdana" w:hAnsi="Verdana"/>
            <w:sz w:val="18"/>
            <w:szCs w:val="18"/>
          </w:rPr>
          <w:t>www.nrc.nl/nieuws/2026/03/12/vrouwen-tussen-de-31-en-40-jaar-verzuimen-veel-en-dat-is-echt-een-probleem-vindt-de-verzekeraar-a4922855</w:t>
        </w:r>
      </w:hyperlink>
      <w:r w:rsidRPr="00D35DFA">
        <w:rPr>
          <w:rFonts w:ascii="Verdana" w:hAnsi="Verdana"/>
          <w:sz w:val="18"/>
          <w:szCs w:val="18"/>
        </w:rPr>
        <w:t xml:space="preserve">). </w:t>
      </w:r>
    </w:p>
    <w:p w:rsidRPr="00D35DFA" w:rsidR="001076DB" w:rsidP="001076DB" w:rsidRDefault="001076DB" w14:paraId="6554777A" w14:textId="77777777"/>
    <w:p w:rsidR="007A6018" w:rsidRDefault="007A6018" w14:paraId="74786ACB" w14:textId="77777777"/>
    <w:sectPr w:rsidR="007A6018" w:rsidSect="001076D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809F" w14:textId="77777777" w:rsidR="003804C1" w:rsidRDefault="003804C1" w:rsidP="001076DB">
      <w:pPr>
        <w:spacing w:after="0" w:line="240" w:lineRule="auto"/>
      </w:pPr>
      <w:r>
        <w:separator/>
      </w:r>
    </w:p>
  </w:endnote>
  <w:endnote w:type="continuationSeparator" w:id="0">
    <w:p w14:paraId="4225840D" w14:textId="77777777" w:rsidR="003804C1" w:rsidRDefault="003804C1" w:rsidP="0010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UWV Werk">
    <w:altName w:val="Calibri"/>
    <w:charset w:val="00"/>
    <w:family w:val="swiss"/>
    <w:pitch w:val="variable"/>
    <w:sig w:usb0="A000006F" w:usb1="40000033"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12E0" w14:textId="77777777" w:rsidR="003804C1" w:rsidRPr="001076DB" w:rsidRDefault="003804C1" w:rsidP="001076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34CF" w14:textId="77777777" w:rsidR="003804C1" w:rsidRPr="001076DB" w:rsidRDefault="003804C1" w:rsidP="001076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A13B" w14:textId="77777777" w:rsidR="003804C1" w:rsidRPr="001076DB" w:rsidRDefault="003804C1" w:rsidP="001076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A75A" w14:textId="77777777" w:rsidR="003804C1" w:rsidRDefault="003804C1" w:rsidP="001076DB">
      <w:pPr>
        <w:spacing w:after="0" w:line="240" w:lineRule="auto"/>
      </w:pPr>
      <w:r>
        <w:separator/>
      </w:r>
    </w:p>
  </w:footnote>
  <w:footnote w:type="continuationSeparator" w:id="0">
    <w:p w14:paraId="0D56BA78" w14:textId="77777777" w:rsidR="003804C1" w:rsidRDefault="003804C1" w:rsidP="001076DB">
      <w:pPr>
        <w:spacing w:after="0" w:line="240" w:lineRule="auto"/>
      </w:pPr>
      <w:r>
        <w:continuationSeparator/>
      </w:r>
    </w:p>
  </w:footnote>
  <w:footnote w:id="1">
    <w:p w14:paraId="3F5454A2" w14:textId="77777777" w:rsidR="001076DB" w:rsidRDefault="001076DB" w:rsidP="001076DB">
      <w:pPr>
        <w:pStyle w:val="Voetnoottekst"/>
      </w:pPr>
      <w:r>
        <w:rPr>
          <w:rStyle w:val="Voetnootmarkering"/>
        </w:rPr>
        <w:footnoteRef/>
      </w:r>
      <w:r>
        <w:t xml:space="preserve"> Het betreft een 2-jaarlijkse monitor. De cijfers 2025-2026 zijn nog niet beschikbaar.</w:t>
      </w:r>
    </w:p>
  </w:footnote>
  <w:footnote w:id="2">
    <w:p w14:paraId="213FA9DD" w14:textId="77777777" w:rsidR="001076DB" w:rsidRPr="004D66B8" w:rsidRDefault="001076DB" w:rsidP="001076DB">
      <w:pPr>
        <w:pStyle w:val="Voetnoottekst"/>
        <w:rPr>
          <w:rFonts w:ascii="Verdana" w:hAnsi="Verdana"/>
          <w:sz w:val="16"/>
          <w:szCs w:val="16"/>
        </w:rPr>
      </w:pPr>
      <w:r>
        <w:rPr>
          <w:rStyle w:val="Voetnootmarkering"/>
        </w:rPr>
        <w:footnoteRef/>
      </w:r>
      <w:r>
        <w:t xml:space="preserve"> </w:t>
      </w:r>
      <w:r w:rsidRPr="004D66B8">
        <w:rPr>
          <w:rFonts w:ascii="Verdana" w:hAnsi="Verdana"/>
          <w:sz w:val="16"/>
          <w:szCs w:val="16"/>
        </w:rPr>
        <w:t>Gemiddelde NEA-cijfers over 2023 en 2024.</w:t>
      </w:r>
    </w:p>
  </w:footnote>
  <w:footnote w:id="3">
    <w:p w14:paraId="2264430D" w14:textId="77777777" w:rsidR="001076DB" w:rsidRPr="004D66B8" w:rsidRDefault="001076DB" w:rsidP="001076DB">
      <w:pPr>
        <w:pStyle w:val="Voetnoottekst"/>
        <w:rPr>
          <w:rFonts w:ascii="Verdana" w:hAnsi="Verdana"/>
          <w:sz w:val="16"/>
          <w:szCs w:val="16"/>
        </w:rPr>
      </w:pPr>
      <w:r w:rsidRPr="004D66B8">
        <w:rPr>
          <w:rStyle w:val="Voetnootmarkering"/>
          <w:rFonts w:ascii="Verdana" w:hAnsi="Verdana"/>
          <w:sz w:val="16"/>
          <w:szCs w:val="16"/>
        </w:rPr>
        <w:footnoteRef/>
      </w:r>
      <w:r w:rsidRPr="004D66B8">
        <w:rPr>
          <w:rFonts w:ascii="Verdana" w:hAnsi="Verdana"/>
          <w:sz w:val="16"/>
          <w:szCs w:val="16"/>
        </w:rPr>
        <w:t xml:space="preserve"> Het uitvoeren van complexe taken, het oplossen van ingewikkelde problemen en nemen van beslissingen</w:t>
      </w:r>
    </w:p>
  </w:footnote>
  <w:footnote w:id="4">
    <w:p w14:paraId="7B6D134D" w14:textId="77777777" w:rsidR="001076DB" w:rsidRPr="004D66B8" w:rsidRDefault="001076DB" w:rsidP="001076DB">
      <w:pPr>
        <w:pStyle w:val="Voetnoottekst"/>
        <w:rPr>
          <w:rFonts w:ascii="Verdana" w:hAnsi="Verdana"/>
          <w:sz w:val="16"/>
          <w:szCs w:val="16"/>
        </w:rPr>
      </w:pPr>
      <w:r>
        <w:rPr>
          <w:rStyle w:val="Voetnootmarkering"/>
        </w:rPr>
        <w:footnoteRef/>
      </w:r>
      <w:r>
        <w:t xml:space="preserve"> </w:t>
      </w:r>
      <w:r w:rsidRPr="004D66B8">
        <w:rPr>
          <w:rFonts w:ascii="Verdana" w:hAnsi="Verdana"/>
          <w:sz w:val="16"/>
          <w:szCs w:val="16"/>
        </w:rPr>
        <w:t xml:space="preserve">‘Maatschappelijke acceptatie van vrouwspecifieke aandoeningen’ NOVG en </w:t>
      </w:r>
      <w:proofErr w:type="spellStart"/>
      <w:r w:rsidRPr="004D66B8">
        <w:rPr>
          <w:rFonts w:ascii="Verdana" w:hAnsi="Verdana"/>
          <w:sz w:val="16"/>
          <w:szCs w:val="16"/>
        </w:rPr>
        <w:t>WomenInc</w:t>
      </w:r>
      <w:proofErr w:type="spellEnd"/>
      <w:r w:rsidRPr="004D66B8">
        <w:rPr>
          <w:rFonts w:ascii="Verdana" w:hAnsi="Verdana"/>
          <w:sz w:val="16"/>
          <w:szCs w:val="16"/>
        </w:rPr>
        <w:t>, 2023</w:t>
      </w:r>
    </w:p>
  </w:footnote>
  <w:footnote w:id="5">
    <w:p w14:paraId="228A590D" w14:textId="77777777" w:rsidR="001076DB" w:rsidRPr="0056285B" w:rsidRDefault="001076DB" w:rsidP="001076DB">
      <w:pPr>
        <w:pStyle w:val="Voetnoottekst"/>
        <w:rPr>
          <w:rFonts w:ascii="Verdana" w:hAnsi="Verdana"/>
          <w:sz w:val="16"/>
          <w:szCs w:val="16"/>
        </w:rPr>
      </w:pPr>
      <w:r>
        <w:rPr>
          <w:rStyle w:val="Voetnootmarkering"/>
        </w:rPr>
        <w:footnoteRef/>
      </w:r>
      <w:r>
        <w:t xml:space="preserve"> </w:t>
      </w:r>
      <w:hyperlink r:id="rId1" w:history="1">
        <w:proofErr w:type="spellStart"/>
        <w:r w:rsidRPr="0056285B">
          <w:rPr>
            <w:rStyle w:val="Hyperlink"/>
            <w:rFonts w:ascii="Verdana" w:hAnsi="Verdana"/>
            <w:sz w:val="16"/>
            <w:szCs w:val="16"/>
          </w:rPr>
          <w:t>Factsheet</w:t>
        </w:r>
        <w:proofErr w:type="spellEnd"/>
        <w:r w:rsidRPr="0056285B">
          <w:rPr>
            <w:rStyle w:val="Hyperlink"/>
            <w:rFonts w:ascii="Verdana" w:hAnsi="Verdana"/>
            <w:sz w:val="16"/>
            <w:szCs w:val="16"/>
          </w:rPr>
          <w:t xml:space="preserve"> </w:t>
        </w:r>
        <w:proofErr w:type="spellStart"/>
        <w:r w:rsidRPr="0056285B">
          <w:rPr>
            <w:rStyle w:val="Hyperlink"/>
            <w:rFonts w:ascii="Verdana" w:hAnsi="Verdana"/>
            <w:sz w:val="16"/>
            <w:szCs w:val="16"/>
          </w:rPr>
          <w:t>hormoongerelateerde</w:t>
        </w:r>
        <w:proofErr w:type="spellEnd"/>
        <w:r w:rsidRPr="0056285B">
          <w:rPr>
            <w:rStyle w:val="Hyperlink"/>
            <w:rFonts w:ascii="Verdana" w:hAnsi="Verdana"/>
            <w:sz w:val="16"/>
            <w:szCs w:val="16"/>
          </w:rPr>
          <w:t xml:space="preserve"> gezondheidsklachten bij vrouwen: de impact op werk</w:t>
        </w:r>
      </w:hyperlink>
      <w:r w:rsidRPr="0056285B">
        <w:rPr>
          <w:rFonts w:ascii="Verdana" w:hAnsi="Verdana"/>
          <w:sz w:val="16"/>
          <w:szCs w:val="16"/>
        </w:rPr>
        <w:t xml:space="preserve">, Cijfers in de </w:t>
      </w:r>
      <w:proofErr w:type="spellStart"/>
      <w:r w:rsidRPr="0056285B">
        <w:rPr>
          <w:rFonts w:ascii="Verdana" w:hAnsi="Verdana"/>
          <w:sz w:val="16"/>
          <w:szCs w:val="16"/>
        </w:rPr>
        <w:t>factsheet</w:t>
      </w:r>
      <w:proofErr w:type="spellEnd"/>
      <w:r w:rsidRPr="0056285B">
        <w:rPr>
          <w:rFonts w:ascii="Verdana" w:hAnsi="Verdana"/>
          <w:sz w:val="16"/>
          <w:szCs w:val="16"/>
        </w:rPr>
        <w:t xml:space="preserve"> zijn gebaseerd op een </w:t>
      </w:r>
      <w:proofErr w:type="spellStart"/>
      <w:r w:rsidRPr="0056285B">
        <w:rPr>
          <w:rFonts w:ascii="Verdana" w:hAnsi="Verdana"/>
          <w:sz w:val="16"/>
          <w:szCs w:val="16"/>
        </w:rPr>
        <w:t>herbenadering</w:t>
      </w:r>
      <w:proofErr w:type="spellEnd"/>
      <w:r w:rsidRPr="0056285B">
        <w:rPr>
          <w:rFonts w:ascii="Verdana" w:hAnsi="Verdana"/>
          <w:sz w:val="16"/>
          <w:szCs w:val="16"/>
        </w:rPr>
        <w:t xml:space="preserve"> van de Nationale Enquête Arbeidsomstandigheden (NEA 2023) onder 3.787 werknemers in de leeftijd van 40-75 jaar in november 2024.</w:t>
      </w:r>
    </w:p>
  </w:footnote>
  <w:footnote w:id="6">
    <w:p w14:paraId="308706BD" w14:textId="77777777" w:rsidR="001076DB" w:rsidRPr="00005234" w:rsidRDefault="001076DB" w:rsidP="001076DB">
      <w:pPr>
        <w:pStyle w:val="Voetnoottekst"/>
        <w:rPr>
          <w:sz w:val="16"/>
          <w:szCs w:val="16"/>
        </w:rPr>
      </w:pPr>
      <w:r w:rsidRPr="00005234">
        <w:rPr>
          <w:rStyle w:val="Voetnootmarkering"/>
          <w:sz w:val="16"/>
          <w:szCs w:val="16"/>
        </w:rPr>
        <w:footnoteRef/>
      </w:r>
      <w:r w:rsidRPr="00005234">
        <w:rPr>
          <w:sz w:val="16"/>
          <w:szCs w:val="16"/>
        </w:rPr>
        <w:t xml:space="preserve"> Kamerstuk 36800-XV</w:t>
      </w:r>
      <w:r>
        <w:rPr>
          <w:sz w:val="16"/>
          <w:szCs w:val="16"/>
        </w:rPr>
        <w:t xml:space="preserve">, nr. </w:t>
      </w:r>
      <w:r w:rsidRPr="00005234">
        <w:rPr>
          <w:sz w:val="16"/>
          <w:szCs w:val="16"/>
        </w:rPr>
        <w:t xml:space="preserve">55. </w:t>
      </w:r>
    </w:p>
  </w:footnote>
  <w:footnote w:id="7">
    <w:p w14:paraId="471A5148" w14:textId="77777777" w:rsidR="001076DB" w:rsidRPr="004D66B8" w:rsidRDefault="001076DB" w:rsidP="001076DB">
      <w:pPr>
        <w:pStyle w:val="Voetnoottekst"/>
        <w:rPr>
          <w:rFonts w:ascii="Verdana" w:hAnsi="Verdana"/>
          <w:sz w:val="16"/>
          <w:szCs w:val="16"/>
        </w:rPr>
      </w:pPr>
      <w:r w:rsidRPr="004D66B8">
        <w:rPr>
          <w:rStyle w:val="Voetnootmarkering"/>
          <w:rFonts w:ascii="Verdana" w:hAnsi="Verdana"/>
          <w:sz w:val="16"/>
          <w:szCs w:val="16"/>
        </w:rPr>
        <w:footnoteRef/>
      </w:r>
      <w:r w:rsidRPr="004D66B8">
        <w:rPr>
          <w:rFonts w:ascii="Verdana" w:hAnsi="Verdana"/>
          <w:sz w:val="16"/>
          <w:szCs w:val="16"/>
        </w:rPr>
        <w:t xml:space="preserve"> De overgang; Klachten en invloed op het werk, TNO 2021</w:t>
      </w:r>
    </w:p>
  </w:footnote>
  <w:footnote w:id="8">
    <w:p w14:paraId="57AD2214" w14:textId="77777777" w:rsidR="001076DB" w:rsidRDefault="001076DB" w:rsidP="001076DB">
      <w:pPr>
        <w:pStyle w:val="Voetnoottekst"/>
      </w:pPr>
      <w:r>
        <w:rPr>
          <w:rStyle w:val="Voetnootmarkering"/>
        </w:rPr>
        <w:footnoteRef/>
      </w:r>
      <w:r>
        <w:t xml:space="preserve"> </w:t>
      </w:r>
      <w:hyperlink r:id="rId2" w:history="1">
        <w:r>
          <w:rPr>
            <w:rStyle w:val="Hyperlink"/>
          </w:rPr>
          <w:t>De overgang | NHG-Richtlijnen</w:t>
        </w:r>
      </w:hyperlink>
    </w:p>
  </w:footnote>
  <w:footnote w:id="9">
    <w:p w14:paraId="28013AD3" w14:textId="77777777" w:rsidR="001076DB" w:rsidRDefault="001076DB" w:rsidP="001076DB">
      <w:pPr>
        <w:pStyle w:val="Voetnoottekst"/>
      </w:pPr>
      <w:r>
        <w:rPr>
          <w:rStyle w:val="Voetnootmarkering"/>
        </w:rPr>
        <w:footnoteRef/>
      </w:r>
      <w:r>
        <w:t xml:space="preserve"> </w:t>
      </w:r>
      <w:hyperlink r:id="rId3" w:history="1">
        <w:r>
          <w:rPr>
            <w:rStyle w:val="Hyperlink"/>
          </w:rPr>
          <w:t>Inleiding-NVOG-richtlijn-Menopauze-management-def-2018.pdf</w:t>
        </w:r>
      </w:hyperlink>
    </w:p>
  </w:footnote>
  <w:footnote w:id="10">
    <w:p w14:paraId="523A7729" w14:textId="77777777" w:rsidR="001076DB" w:rsidRDefault="001076DB" w:rsidP="001076DB">
      <w:pPr>
        <w:pStyle w:val="Voetnoottekst"/>
      </w:pPr>
      <w:r>
        <w:rPr>
          <w:rStyle w:val="Voetnootmarkering"/>
        </w:rPr>
        <w:footnoteRef/>
      </w:r>
      <w:r>
        <w:t xml:space="preserve"> Tweede Kamer, vergaderjaar 2022-2023, 36 217, nr. 6  </w:t>
      </w:r>
    </w:p>
  </w:footnote>
  <w:footnote w:id="11">
    <w:p w14:paraId="27FA36D0" w14:textId="77777777" w:rsidR="001076DB" w:rsidRPr="00046630" w:rsidRDefault="001076DB" w:rsidP="001076DB">
      <w:pPr>
        <w:pStyle w:val="Voetnoottekst"/>
      </w:pPr>
      <w:r w:rsidRPr="00046630">
        <w:rPr>
          <w:rStyle w:val="Voetnootmarkering"/>
        </w:rPr>
        <w:footnoteRef/>
      </w:r>
      <w:r w:rsidRPr="00046630">
        <w:t xml:space="preserve"> Tweede Kamer, vergaderjaar 2024–2025, 31 765, nr. 936</w:t>
      </w:r>
    </w:p>
  </w:footnote>
  <w:footnote w:id="12">
    <w:p w14:paraId="45159803" w14:textId="77777777" w:rsidR="001076DB" w:rsidRDefault="001076DB" w:rsidP="001076DB">
      <w:pPr>
        <w:pStyle w:val="Voetnoottekst"/>
      </w:pPr>
      <w:r w:rsidRPr="00046630">
        <w:rPr>
          <w:rStyle w:val="Voetnootmarkering"/>
        </w:rPr>
        <w:footnoteRef/>
      </w:r>
      <w:r w:rsidRPr="00046630">
        <w:t xml:space="preserve"> </w:t>
      </w:r>
      <w:hyperlink r:id="rId4" w:history="1">
        <w:r w:rsidRPr="00046630">
          <w:rPr>
            <w:rStyle w:val="Hyperlink"/>
          </w:rPr>
          <w:t xml:space="preserve">Samen in actie voor betere vrouwengezondheid | </w:t>
        </w:r>
        <w:proofErr w:type="spellStart"/>
        <w:r w:rsidRPr="00046630">
          <w:rPr>
            <w:rStyle w:val="Hyperlink"/>
          </w:rPr>
          <w:t>ZonMw</w:t>
        </w:r>
        <w:proofErr w:type="spellEnd"/>
      </w:hyperlink>
    </w:p>
  </w:footnote>
  <w:footnote w:id="13">
    <w:p w14:paraId="68758BBF" w14:textId="77777777" w:rsidR="001076DB" w:rsidRDefault="001076DB" w:rsidP="001076DB">
      <w:pPr>
        <w:pStyle w:val="Voetnoottekst"/>
      </w:pPr>
      <w:r>
        <w:rPr>
          <w:rStyle w:val="Voetnootmarkering"/>
        </w:rPr>
        <w:footnoteRef/>
      </w:r>
      <w:r>
        <w:t xml:space="preserve"> </w:t>
      </w:r>
      <w:hyperlink r:id="rId5" w:history="1">
        <w:r>
          <w:rPr>
            <w:rStyle w:val="Hyperlink"/>
          </w:rPr>
          <w:t xml:space="preserve">Samen in actie voor betere vrouwengezondheid | </w:t>
        </w:r>
        <w:proofErr w:type="spellStart"/>
        <w:r>
          <w:rPr>
            <w:rStyle w:val="Hyperlink"/>
          </w:rPr>
          <w:t>ZonMw</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B082" w14:textId="77777777" w:rsidR="003804C1" w:rsidRPr="001076DB" w:rsidRDefault="003804C1" w:rsidP="001076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C631" w14:textId="77777777" w:rsidR="003804C1" w:rsidRPr="001076DB" w:rsidRDefault="003804C1" w:rsidP="001076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E2D2" w14:textId="77777777" w:rsidR="003804C1" w:rsidRPr="001076DB" w:rsidRDefault="003804C1" w:rsidP="001076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91E"/>
    <w:multiLevelType w:val="multilevel"/>
    <w:tmpl w:val="71F063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285204F"/>
    <w:multiLevelType w:val="hybridMultilevel"/>
    <w:tmpl w:val="69707F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94917436">
    <w:abstractNumId w:val="0"/>
  </w:num>
  <w:num w:numId="2" w16cid:durableId="200986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DB"/>
    <w:rsid w:val="001076DB"/>
    <w:rsid w:val="002B0342"/>
    <w:rsid w:val="003804C1"/>
    <w:rsid w:val="007A6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3DC0"/>
  <w15:chartTrackingRefBased/>
  <w15:docId w15:val="{BECDD727-17BD-40DF-811A-037CF98E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7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76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76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76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76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6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6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6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6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76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76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76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76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76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6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6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6DB"/>
    <w:rPr>
      <w:rFonts w:eastAsiaTheme="majorEastAsia" w:cstheme="majorBidi"/>
      <w:color w:val="272727" w:themeColor="text1" w:themeTint="D8"/>
    </w:rPr>
  </w:style>
  <w:style w:type="paragraph" w:styleId="Titel">
    <w:name w:val="Title"/>
    <w:basedOn w:val="Standaard"/>
    <w:next w:val="Standaard"/>
    <w:link w:val="TitelChar"/>
    <w:uiPriority w:val="10"/>
    <w:qFormat/>
    <w:rsid w:val="00107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6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6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6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6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6DB"/>
    <w:rPr>
      <w:i/>
      <w:iCs/>
      <w:color w:val="404040" w:themeColor="text1" w:themeTint="BF"/>
    </w:rPr>
  </w:style>
  <w:style w:type="paragraph" w:styleId="Lijstalinea">
    <w:name w:val="List Paragraph"/>
    <w:basedOn w:val="Standaard"/>
    <w:uiPriority w:val="34"/>
    <w:qFormat/>
    <w:rsid w:val="001076DB"/>
    <w:pPr>
      <w:ind w:left="720"/>
      <w:contextualSpacing/>
    </w:pPr>
  </w:style>
  <w:style w:type="character" w:styleId="Intensievebenadrukking">
    <w:name w:val="Intense Emphasis"/>
    <w:basedOn w:val="Standaardalinea-lettertype"/>
    <w:uiPriority w:val="21"/>
    <w:qFormat/>
    <w:rsid w:val="001076DB"/>
    <w:rPr>
      <w:i/>
      <w:iCs/>
      <w:color w:val="2F5496" w:themeColor="accent1" w:themeShade="BF"/>
    </w:rPr>
  </w:style>
  <w:style w:type="paragraph" w:styleId="Duidelijkcitaat">
    <w:name w:val="Intense Quote"/>
    <w:basedOn w:val="Standaard"/>
    <w:next w:val="Standaard"/>
    <w:link w:val="DuidelijkcitaatChar"/>
    <w:uiPriority w:val="30"/>
    <w:qFormat/>
    <w:rsid w:val="00107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76DB"/>
    <w:rPr>
      <w:i/>
      <w:iCs/>
      <w:color w:val="2F5496" w:themeColor="accent1" w:themeShade="BF"/>
    </w:rPr>
  </w:style>
  <w:style w:type="character" w:styleId="Intensieveverwijzing">
    <w:name w:val="Intense Reference"/>
    <w:basedOn w:val="Standaardalinea-lettertype"/>
    <w:uiPriority w:val="32"/>
    <w:qFormat/>
    <w:rsid w:val="001076DB"/>
    <w:rPr>
      <w:b/>
      <w:bCs/>
      <w:smallCaps/>
      <w:color w:val="2F5496" w:themeColor="accent1" w:themeShade="BF"/>
      <w:spacing w:val="5"/>
    </w:rPr>
  </w:style>
  <w:style w:type="character" w:styleId="Hyperlink">
    <w:name w:val="Hyperlink"/>
    <w:basedOn w:val="Standaardalinea-lettertype"/>
    <w:uiPriority w:val="99"/>
    <w:unhideWhenUsed/>
    <w:rsid w:val="001076DB"/>
    <w:rPr>
      <w:color w:val="0563C1" w:themeColor="hyperlink"/>
      <w:u w:val="single"/>
    </w:rPr>
  </w:style>
  <w:style w:type="paragraph" w:customStyle="1" w:styleId="Afzendgegevens">
    <w:name w:val="Afzendgegevens"/>
    <w:basedOn w:val="Standaard"/>
    <w:next w:val="Standaard"/>
    <w:rsid w:val="001076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1076DB"/>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1076D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076DB"/>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076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076DB"/>
    <w:rPr>
      <w:caps/>
    </w:rPr>
  </w:style>
  <w:style w:type="paragraph" w:customStyle="1" w:styleId="Referentiegegevenskopjes">
    <w:name w:val="Referentiegegevenskopjes"/>
    <w:basedOn w:val="Standaard"/>
    <w:next w:val="Standaard"/>
    <w:rsid w:val="001076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076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076D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076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076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1076DB"/>
    <w:pPr>
      <w:spacing w:after="0" w:line="240" w:lineRule="auto"/>
    </w:pPr>
  </w:style>
  <w:style w:type="paragraph" w:styleId="Voetnoottekst">
    <w:name w:val="footnote text"/>
    <w:basedOn w:val="Standaard"/>
    <w:link w:val="VoetnoottekstChar"/>
    <w:uiPriority w:val="99"/>
    <w:semiHidden/>
    <w:unhideWhenUsed/>
    <w:rsid w:val="001076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76DB"/>
    <w:rPr>
      <w:sz w:val="20"/>
      <w:szCs w:val="20"/>
    </w:rPr>
  </w:style>
  <w:style w:type="character" w:styleId="Voetnootmarkering">
    <w:name w:val="footnote reference"/>
    <w:basedOn w:val="Standaardalinea-lettertype"/>
    <w:uiPriority w:val="99"/>
    <w:semiHidden/>
    <w:unhideWhenUsed/>
    <w:rsid w:val="001076DB"/>
    <w:rPr>
      <w:vertAlign w:val="superscript"/>
    </w:rPr>
  </w:style>
  <w:style w:type="table" w:styleId="Tabelraster">
    <w:name w:val="Table Grid"/>
    <w:basedOn w:val="Standaardtabel"/>
    <w:uiPriority w:val="39"/>
    <w:rsid w:val="001076D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rc.nl/nieuws/2026/03/12/vrouwen-tussen-de-31-en-40-jaar-verzuimen-veel-en-dat-is-echt-een-probleem-vindt-de-verzekeraar-a49228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vog.nl/wp-content/uploads/2018/06/Inleiding-NVOG-richtlijn-Menopauze-management-def-2018.pdf" TargetMode="External"/><Relationship Id="rId2" Type="http://schemas.openxmlformats.org/officeDocument/2006/relationships/hyperlink" Target="https://richtlijnen.nhg.org/standaarden/de-overgang" TargetMode="External"/><Relationship Id="rId1" Type="http://schemas.openxmlformats.org/officeDocument/2006/relationships/hyperlink" Target="https://monitorarbeid.tno.nl/wp-content/uploads/sites/16/2025/10/249TNOgl_F-Hormoongerelateerd_DT.pdf" TargetMode="External"/><Relationship Id="rId5" Type="http://schemas.openxmlformats.org/officeDocument/2006/relationships/hyperlink" Target="https://www.zonmw.nl/nl/artikel/samen-actie-voor-betere-vrouwengezondheid" TargetMode="External"/><Relationship Id="rId4" Type="http://schemas.openxmlformats.org/officeDocument/2006/relationships/hyperlink" Target="https://www.zonmw.nl/nl/artikel/samen-actie-voor-betere-vrouwengezond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3040</ap:Words>
  <ap:Characters>16724</ap:Characters>
  <ap:DocSecurity>0</ap:DocSecurity>
  <ap:Lines>139</ap:Lines>
  <ap:Paragraphs>39</ap:Paragraphs>
  <ap:ScaleCrop>false</ap:ScaleCrop>
  <ap:LinksUpToDate>false</ap:LinksUpToDate>
  <ap:CharactersWithSpaces>19725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2026-05-21T12:55:00.0000000Z</dcterms:created>
  <dcterms:modified xsi:type="dcterms:W3CDTF">2026-05-21T12:57:00.0000000Z</dcterms:modified>
  <version/>
  <category/>
</coreProperties>
</file>