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74D8" w:rsidR="00940600" w:rsidP="00940600" w:rsidRDefault="00D8637B" w14:paraId="31CD226C" w14:textId="13F2865E">
      <w:pPr>
        <w:spacing w:before="120" w:after="120" w:line="276" w:lineRule="auto"/>
        <w:rPr>
          <w:rFonts w:eastAsiaTheme="majorEastAsia"/>
          <w:b/>
          <w:bCs/>
          <w:color w:val="00B0F0"/>
          <w:sz w:val="20"/>
          <w:szCs w:val="21"/>
        </w:rPr>
      </w:pPr>
      <w:proofErr w:type="spellStart"/>
      <w:r w:rsidRPr="00F974D8">
        <w:rPr>
          <w:rFonts w:eastAsiaTheme="majorEastAsia"/>
          <w:b/>
          <w:bCs/>
          <w:color w:val="00B0F0"/>
          <w:sz w:val="20"/>
          <w:szCs w:val="21"/>
        </w:rPr>
        <w:t>Position</w:t>
      </w:r>
      <w:proofErr w:type="spellEnd"/>
      <w:r w:rsidRPr="00F974D8">
        <w:rPr>
          <w:rFonts w:eastAsiaTheme="majorEastAsia"/>
          <w:b/>
          <w:bCs/>
          <w:color w:val="00B0F0"/>
          <w:sz w:val="20"/>
          <w:szCs w:val="21"/>
        </w:rPr>
        <w:t xml:space="preserve"> paper </w:t>
      </w:r>
      <w:r w:rsidRPr="00F974D8" w:rsidR="000E7FF5">
        <w:rPr>
          <w:rFonts w:eastAsiaTheme="majorEastAsia"/>
          <w:b/>
          <w:bCs/>
          <w:color w:val="00B0F0"/>
          <w:sz w:val="20"/>
          <w:szCs w:val="21"/>
        </w:rPr>
        <w:t xml:space="preserve">ProSea Marine </w:t>
      </w:r>
      <w:proofErr w:type="spellStart"/>
      <w:r w:rsidRPr="00F974D8" w:rsidR="000E7FF5">
        <w:rPr>
          <w:rFonts w:eastAsiaTheme="majorEastAsia"/>
          <w:b/>
          <w:bCs/>
          <w:color w:val="00B0F0"/>
          <w:sz w:val="20"/>
          <w:szCs w:val="21"/>
        </w:rPr>
        <w:t>Education</w:t>
      </w:r>
      <w:proofErr w:type="spellEnd"/>
      <w:r w:rsidRPr="00F974D8" w:rsidR="000E7FF5">
        <w:rPr>
          <w:rFonts w:eastAsiaTheme="majorEastAsia"/>
          <w:b/>
          <w:bCs/>
          <w:color w:val="00B0F0"/>
          <w:sz w:val="20"/>
          <w:szCs w:val="21"/>
        </w:rPr>
        <w:t xml:space="preserve"> | </w:t>
      </w:r>
      <w:r w:rsidRPr="00F974D8" w:rsidR="005103D4">
        <w:rPr>
          <w:rFonts w:eastAsiaTheme="majorEastAsia"/>
          <w:b/>
          <w:bCs/>
          <w:color w:val="00B0F0"/>
          <w:sz w:val="20"/>
          <w:szCs w:val="21"/>
        </w:rPr>
        <w:t xml:space="preserve">Mei </w:t>
      </w:r>
      <w:r w:rsidRPr="00F974D8" w:rsidR="000E7FF5">
        <w:rPr>
          <w:rFonts w:eastAsiaTheme="majorEastAsia"/>
          <w:b/>
          <w:bCs/>
          <w:color w:val="00B0F0"/>
          <w:sz w:val="20"/>
          <w:szCs w:val="21"/>
        </w:rPr>
        <w:t>202</w:t>
      </w:r>
      <w:r w:rsidRPr="00F974D8" w:rsidR="00B774BF">
        <w:rPr>
          <w:rFonts w:eastAsiaTheme="majorEastAsia"/>
          <w:b/>
          <w:bCs/>
          <w:color w:val="00B0F0"/>
          <w:sz w:val="20"/>
          <w:szCs w:val="21"/>
        </w:rPr>
        <w:t>6</w:t>
      </w:r>
      <w:r w:rsidRPr="00F974D8" w:rsidR="000E7FF5">
        <w:rPr>
          <w:rFonts w:eastAsiaTheme="majorEastAsia"/>
          <w:b/>
          <w:bCs/>
          <w:color w:val="00B0F0"/>
          <w:sz w:val="20"/>
          <w:szCs w:val="21"/>
        </w:rPr>
        <w:t xml:space="preserve">| </w:t>
      </w:r>
      <w:r w:rsidRPr="00F974D8" w:rsidR="00E02C06">
        <w:rPr>
          <w:rFonts w:eastAsiaTheme="majorEastAsia"/>
          <w:b/>
          <w:bCs/>
          <w:color w:val="00B0F0"/>
          <w:sz w:val="20"/>
          <w:szCs w:val="21"/>
        </w:rPr>
        <w:t>Tim Haasnoot</w:t>
      </w:r>
    </w:p>
    <w:p w:rsidRPr="00F974D8" w:rsidR="005103D4" w:rsidP="00940600" w:rsidRDefault="007C002E" w14:paraId="139D46E8" w14:textId="422B737E">
      <w:pPr>
        <w:spacing w:before="120" w:after="120" w:line="276" w:lineRule="auto"/>
        <w:rPr>
          <w:rFonts w:eastAsiaTheme="majorEastAsia"/>
          <w:sz w:val="20"/>
          <w:szCs w:val="21"/>
        </w:rPr>
      </w:pPr>
      <w:r w:rsidRPr="00F974D8">
        <w:rPr>
          <w:rFonts w:eastAsiaTheme="majorEastAsia"/>
          <w:sz w:val="20"/>
          <w:szCs w:val="21"/>
        </w:rPr>
        <w:t>D</w:t>
      </w:r>
      <w:r w:rsidRPr="00F974D8" w:rsidR="00D8637B">
        <w:rPr>
          <w:rFonts w:eastAsiaTheme="majorEastAsia"/>
          <w:sz w:val="20"/>
          <w:szCs w:val="21"/>
        </w:rPr>
        <w:t xml:space="preserve">e toekomst </w:t>
      </w:r>
      <w:r w:rsidRPr="00F974D8" w:rsidR="00D96252">
        <w:rPr>
          <w:rFonts w:eastAsiaTheme="majorEastAsia"/>
          <w:sz w:val="20"/>
          <w:szCs w:val="21"/>
        </w:rPr>
        <w:t>zal er verschillend uitzien voor de diverse</w:t>
      </w:r>
      <w:r w:rsidRPr="00F974D8" w:rsidR="00D8637B">
        <w:rPr>
          <w:rFonts w:eastAsiaTheme="majorEastAsia"/>
          <w:sz w:val="20"/>
          <w:szCs w:val="21"/>
        </w:rPr>
        <w:t xml:space="preserve"> visserij</w:t>
      </w:r>
      <w:r w:rsidRPr="00F974D8" w:rsidR="00D96252">
        <w:rPr>
          <w:rFonts w:eastAsiaTheme="majorEastAsia"/>
          <w:sz w:val="20"/>
          <w:szCs w:val="21"/>
        </w:rPr>
        <w:t>segmenten die gezamenlijk de Nederlandse vloot vormen.</w:t>
      </w:r>
      <w:r w:rsidRPr="00F974D8" w:rsidR="00D8637B">
        <w:rPr>
          <w:rFonts w:eastAsiaTheme="majorEastAsia"/>
          <w:sz w:val="20"/>
          <w:szCs w:val="21"/>
        </w:rPr>
        <w:t xml:space="preserve"> </w:t>
      </w:r>
      <w:r w:rsidRPr="00F974D8">
        <w:rPr>
          <w:rFonts w:eastAsiaTheme="majorEastAsia"/>
          <w:sz w:val="20"/>
          <w:szCs w:val="21"/>
        </w:rPr>
        <w:t xml:space="preserve">Zo kennen de verschillende deelsegmenten, zoals de pelagische-, kotter- en schelpdiervisserij, verschillende uitdagingen </w:t>
      </w:r>
      <w:r w:rsidRPr="00F974D8" w:rsidR="00D96252">
        <w:rPr>
          <w:rFonts w:eastAsiaTheme="majorEastAsia"/>
          <w:sz w:val="20"/>
          <w:szCs w:val="21"/>
        </w:rPr>
        <w:t xml:space="preserve">richting de toekomst. </w:t>
      </w:r>
      <w:r w:rsidRPr="00F974D8">
        <w:rPr>
          <w:rFonts w:eastAsiaTheme="majorEastAsia"/>
          <w:sz w:val="20"/>
          <w:szCs w:val="21"/>
        </w:rPr>
        <w:t xml:space="preserve">Hierbij kan </w:t>
      </w:r>
      <w:r w:rsidRPr="00F974D8" w:rsidR="00D96252">
        <w:rPr>
          <w:rFonts w:eastAsiaTheme="majorEastAsia"/>
          <w:sz w:val="20"/>
          <w:szCs w:val="21"/>
        </w:rPr>
        <w:t xml:space="preserve">o.a. </w:t>
      </w:r>
      <w:r w:rsidRPr="00F974D8">
        <w:rPr>
          <w:rFonts w:eastAsiaTheme="majorEastAsia"/>
          <w:sz w:val="20"/>
          <w:szCs w:val="21"/>
        </w:rPr>
        <w:t xml:space="preserve">gedacht worden aan toegang tot wateren/bestanden, beschikbare ruimte, beperkingen m.b.t. gebruik vistechnieken en toegang tot financiering. </w:t>
      </w:r>
      <w:r w:rsidRPr="00F974D8" w:rsidR="00D96252">
        <w:rPr>
          <w:rFonts w:eastAsiaTheme="majorEastAsia"/>
          <w:sz w:val="20"/>
          <w:szCs w:val="21"/>
        </w:rPr>
        <w:t xml:space="preserve">Ondanks deze diversiteit aan uitdagingen kennen alle visserijsegmenten een gemeenschappelijke uitdaging richting de toekomst, namelijk vakbekwame vissers die beschikken over de benodigde kennis en kunde voor een financieel gezonde bedrijfsvoering binnen de ecologische draagkracht van het systeem. </w:t>
      </w:r>
      <w:r w:rsidRPr="00F974D8" w:rsidR="00BE3A61">
        <w:rPr>
          <w:rFonts w:eastAsiaTheme="majorEastAsia"/>
          <w:sz w:val="20"/>
          <w:szCs w:val="21"/>
        </w:rPr>
        <w:t>Hieronder zal ik reflecteren op de deelvragen aan de hand van deze gemeenschappelijke uitdaging.</w:t>
      </w:r>
    </w:p>
    <w:p w:rsidRPr="00F974D8" w:rsidR="00A21EA0" w:rsidP="00A21EA0" w:rsidRDefault="00D96252" w14:paraId="6B0AB63D" w14:textId="43E62384">
      <w:pPr>
        <w:pStyle w:val="Kop2"/>
        <w:rPr>
          <w:sz w:val="21"/>
          <w:szCs w:val="22"/>
        </w:rPr>
      </w:pPr>
      <w:r w:rsidRPr="00F974D8">
        <w:rPr>
          <w:sz w:val="21"/>
          <w:szCs w:val="22"/>
        </w:rPr>
        <w:t>Economisch perspectief</w:t>
      </w:r>
    </w:p>
    <w:p w:rsidRPr="00F974D8" w:rsidR="00E02C06" w:rsidP="00D86F02" w:rsidRDefault="00BE3A61" w14:paraId="16221568" w14:textId="0C16135F">
      <w:pPr>
        <w:spacing w:line="276" w:lineRule="auto"/>
        <w:rPr>
          <w:rFonts w:eastAsiaTheme="majorEastAsia"/>
          <w:sz w:val="20"/>
          <w:szCs w:val="21"/>
        </w:rPr>
      </w:pPr>
      <w:r w:rsidRPr="00F974D8">
        <w:rPr>
          <w:rFonts w:eastAsiaTheme="majorEastAsia"/>
          <w:sz w:val="20"/>
          <w:szCs w:val="21"/>
        </w:rPr>
        <w:t xml:space="preserve">Om naar zee te kunnen gaan om te vissen, dient ieder schip te beschikken over een vereist minimaal aantal bemanningsleden die bevoegd zijn om bepaalde taken aan boord uit te mogen voeren. </w:t>
      </w:r>
      <w:proofErr w:type="gramStart"/>
      <w:r w:rsidRPr="00F974D8">
        <w:rPr>
          <w:rFonts w:eastAsiaTheme="majorEastAsia"/>
          <w:sz w:val="20"/>
          <w:szCs w:val="21"/>
        </w:rPr>
        <w:t>Indien</w:t>
      </w:r>
      <w:proofErr w:type="gramEnd"/>
      <w:r w:rsidRPr="00F974D8">
        <w:rPr>
          <w:rFonts w:eastAsiaTheme="majorEastAsia"/>
          <w:sz w:val="20"/>
          <w:szCs w:val="21"/>
        </w:rPr>
        <w:t xml:space="preserve"> een vissersschip niet over voldoende bemanningsleden beschikt met de vereiste bevoegdheden, dan kan het schip niet uitvaren en komt het bedrijf stil te liggen. De vergrijzing in de visserij, </w:t>
      </w:r>
      <w:r w:rsidRPr="00F974D8" w:rsidR="00E02C06">
        <w:rPr>
          <w:rFonts w:eastAsiaTheme="majorEastAsia"/>
          <w:sz w:val="20"/>
          <w:szCs w:val="21"/>
        </w:rPr>
        <w:t xml:space="preserve">de teruglopende instroom in het visserijonderwijs en de uitstroom van vissers naar andere sectoren zorgen voor onzekerheid richting de toekomst. Zijn er in de toekomst voldoende bemanningsleden te vinden om veilig naar zee te kunnen gaan? </w:t>
      </w:r>
      <w:r w:rsidR="00983592">
        <w:rPr>
          <w:rFonts w:eastAsiaTheme="majorEastAsia"/>
          <w:sz w:val="20"/>
          <w:szCs w:val="21"/>
        </w:rPr>
        <w:t xml:space="preserve">En over welke kennis en kunde moeten deze vissers beschikken om een succesvol visserijbedrijf te runnen? </w:t>
      </w:r>
      <w:r w:rsidRPr="00F974D8" w:rsidR="00E02C06">
        <w:rPr>
          <w:rFonts w:eastAsiaTheme="majorEastAsia"/>
          <w:sz w:val="20"/>
          <w:szCs w:val="21"/>
        </w:rPr>
        <w:t xml:space="preserve">Op Europees niveau en nationaal niveau begint dit besef in toenemende mate door te dringen en zijn er verschillende onderzoeken en initiatieven opgestart om hiermee aan de slag te gaan. </w:t>
      </w:r>
    </w:p>
    <w:p w:rsidRPr="00F974D8" w:rsidR="00E02C06" w:rsidP="00D86F02" w:rsidRDefault="00E02C06" w14:paraId="20DDA678" w14:textId="77777777">
      <w:pPr>
        <w:spacing w:line="276" w:lineRule="auto"/>
        <w:rPr>
          <w:rFonts w:eastAsiaTheme="majorEastAsia"/>
          <w:sz w:val="20"/>
          <w:szCs w:val="21"/>
        </w:rPr>
      </w:pPr>
    </w:p>
    <w:p w:rsidRPr="00F974D8" w:rsidR="00123941" w:rsidP="00D86F02" w:rsidRDefault="000B7C50" w14:paraId="5788A04E" w14:textId="219BCC93">
      <w:pPr>
        <w:spacing w:line="276" w:lineRule="auto"/>
        <w:rPr>
          <w:rFonts w:eastAsiaTheme="majorEastAsia"/>
          <w:sz w:val="20"/>
          <w:szCs w:val="21"/>
        </w:rPr>
      </w:pPr>
      <w:r w:rsidRPr="00F974D8">
        <w:rPr>
          <w:rFonts w:eastAsiaTheme="majorEastAsia"/>
          <w:sz w:val="20"/>
          <w:szCs w:val="21"/>
        </w:rPr>
        <w:t>Ondanks de groeiende aandacht</w:t>
      </w:r>
      <w:r w:rsidRPr="00F974D8" w:rsidR="00E02C06">
        <w:rPr>
          <w:rFonts w:eastAsiaTheme="majorEastAsia"/>
          <w:sz w:val="20"/>
          <w:szCs w:val="21"/>
        </w:rPr>
        <w:t xml:space="preserve">, zorgt de complexiteit van deze thematiek en de </w:t>
      </w:r>
      <w:r w:rsidRPr="00F974D8">
        <w:rPr>
          <w:rFonts w:eastAsiaTheme="majorEastAsia"/>
          <w:sz w:val="20"/>
          <w:szCs w:val="21"/>
        </w:rPr>
        <w:t xml:space="preserve">betrokkenheid van verschillende overheidsinstanties op internationaal-, Europees- en nationaal niveau ervoor dat potentiële oplossingsrichtingen relatief traag verlopen. </w:t>
      </w:r>
      <w:r w:rsidR="00983592">
        <w:rPr>
          <w:rFonts w:eastAsiaTheme="majorEastAsia"/>
          <w:sz w:val="20"/>
          <w:szCs w:val="21"/>
        </w:rPr>
        <w:t>Op nationaal niveau</w:t>
      </w:r>
      <w:r w:rsidRPr="00F974D8" w:rsidR="00745BDB">
        <w:rPr>
          <w:rFonts w:eastAsiaTheme="majorEastAsia"/>
          <w:sz w:val="20"/>
          <w:szCs w:val="21"/>
        </w:rPr>
        <w:t xml:space="preserve"> is samenwerking </w:t>
      </w:r>
      <w:r w:rsidR="00983592">
        <w:rPr>
          <w:rFonts w:eastAsiaTheme="majorEastAsia"/>
          <w:sz w:val="20"/>
          <w:szCs w:val="21"/>
        </w:rPr>
        <w:t xml:space="preserve">vereist </w:t>
      </w:r>
      <w:r w:rsidRPr="00F974D8" w:rsidR="00745BDB">
        <w:rPr>
          <w:rFonts w:eastAsiaTheme="majorEastAsia"/>
          <w:sz w:val="20"/>
          <w:szCs w:val="21"/>
        </w:rPr>
        <w:t>tussen het Ministerie van Landbouw, Visserij, Voedselzekerheid en Natuur, het Ministerie van Infrastructuur &amp; Waterstaat</w:t>
      </w:r>
      <w:r w:rsidR="00983592">
        <w:rPr>
          <w:rFonts w:eastAsiaTheme="majorEastAsia"/>
          <w:sz w:val="20"/>
          <w:szCs w:val="21"/>
        </w:rPr>
        <w:t>, het Ministerie van Onderwijs, Cultuur en Wetenschap</w:t>
      </w:r>
      <w:r w:rsidRPr="00F974D8" w:rsidR="00745BDB">
        <w:rPr>
          <w:rFonts w:eastAsiaTheme="majorEastAsia"/>
          <w:sz w:val="20"/>
          <w:szCs w:val="21"/>
        </w:rPr>
        <w:t xml:space="preserve"> en het Ministerie van Sociale Zaken en Werkgelegenheid </w:t>
      </w:r>
      <w:r w:rsidRPr="00F974D8" w:rsidR="00983592">
        <w:rPr>
          <w:rFonts w:eastAsiaTheme="majorEastAsia"/>
          <w:sz w:val="20"/>
          <w:szCs w:val="21"/>
        </w:rPr>
        <w:t xml:space="preserve">om </w:t>
      </w:r>
      <w:r w:rsidR="00983592">
        <w:rPr>
          <w:rFonts w:eastAsiaTheme="majorEastAsia"/>
          <w:sz w:val="20"/>
          <w:szCs w:val="21"/>
        </w:rPr>
        <w:t xml:space="preserve">ervoor te zorgen dat </w:t>
      </w:r>
      <w:r w:rsidRPr="00F974D8" w:rsidR="00983592">
        <w:rPr>
          <w:rFonts w:eastAsiaTheme="majorEastAsia"/>
          <w:sz w:val="20"/>
          <w:szCs w:val="21"/>
        </w:rPr>
        <w:t>voldoende</w:t>
      </w:r>
      <w:r w:rsidR="00983592">
        <w:rPr>
          <w:rFonts w:eastAsiaTheme="majorEastAsia"/>
          <w:sz w:val="20"/>
          <w:szCs w:val="21"/>
        </w:rPr>
        <w:t>, goed opgeleide</w:t>
      </w:r>
      <w:r w:rsidRPr="00F974D8" w:rsidR="00983592">
        <w:rPr>
          <w:rFonts w:eastAsiaTheme="majorEastAsia"/>
          <w:sz w:val="20"/>
          <w:szCs w:val="21"/>
        </w:rPr>
        <w:t xml:space="preserve"> bemanningsleden </w:t>
      </w:r>
      <w:r w:rsidR="00983592">
        <w:rPr>
          <w:rFonts w:eastAsiaTheme="majorEastAsia"/>
          <w:sz w:val="20"/>
          <w:szCs w:val="21"/>
        </w:rPr>
        <w:t>beschikbaar zijn voor de toekomst</w:t>
      </w:r>
      <w:r w:rsidRPr="00F974D8" w:rsidR="00745BDB">
        <w:rPr>
          <w:rFonts w:eastAsiaTheme="majorEastAsia"/>
          <w:sz w:val="20"/>
          <w:szCs w:val="21"/>
        </w:rPr>
        <w:t xml:space="preserve">.  </w:t>
      </w:r>
      <w:r w:rsidRPr="00F974D8">
        <w:rPr>
          <w:rFonts w:eastAsiaTheme="majorEastAsia"/>
          <w:sz w:val="20"/>
          <w:szCs w:val="21"/>
        </w:rPr>
        <w:t xml:space="preserve"> </w:t>
      </w:r>
    </w:p>
    <w:p w:rsidRPr="00F974D8" w:rsidR="00123941" w:rsidP="00123941" w:rsidRDefault="00745BDB" w14:paraId="1A6AA984" w14:textId="146201ED">
      <w:pPr>
        <w:pStyle w:val="Kop2"/>
        <w:rPr>
          <w:sz w:val="21"/>
          <w:szCs w:val="22"/>
        </w:rPr>
      </w:pPr>
      <w:r w:rsidRPr="00F974D8">
        <w:rPr>
          <w:sz w:val="21"/>
          <w:szCs w:val="22"/>
        </w:rPr>
        <w:t>Ecologisch perspectief</w:t>
      </w:r>
    </w:p>
    <w:p w:rsidRPr="00F974D8" w:rsidR="00A25C73" w:rsidP="0076298F" w:rsidRDefault="00745BDB" w14:paraId="0C84DD77" w14:textId="27A618F6">
      <w:pPr>
        <w:spacing w:after="240" w:line="276" w:lineRule="auto"/>
        <w:rPr>
          <w:rFonts w:eastAsiaTheme="majorEastAsia"/>
          <w:sz w:val="20"/>
          <w:szCs w:val="21"/>
        </w:rPr>
      </w:pPr>
      <w:r w:rsidRPr="00F974D8">
        <w:rPr>
          <w:rFonts w:eastAsiaTheme="majorEastAsia"/>
          <w:sz w:val="20"/>
          <w:szCs w:val="21"/>
        </w:rPr>
        <w:t xml:space="preserve">Het is een gegeven dat de visserij voor zijn voortbestaan gebaat is bij gezonde visbestanden. In Nederland krijgen studenten die de opleiding volgen tot visser daarom ook basiskennis rond mariene ecologie en visserijbeheer mee in de opleiding. Hierdoor krijgen zij gedurende de opleiding </w:t>
      </w:r>
      <w:r w:rsidRPr="00F974D8" w:rsidR="00A25C73">
        <w:rPr>
          <w:rFonts w:eastAsiaTheme="majorEastAsia"/>
          <w:sz w:val="20"/>
          <w:szCs w:val="21"/>
        </w:rPr>
        <w:t>een brede basis mee waarin ook een beter bewustzijn ontstaat rond de relatie van de doelsoorten met het bredere mariene ecosysteem</w:t>
      </w:r>
      <w:r w:rsidRPr="00F974D8" w:rsidR="003B1051">
        <w:rPr>
          <w:rFonts w:eastAsiaTheme="majorEastAsia"/>
          <w:sz w:val="20"/>
          <w:szCs w:val="21"/>
        </w:rPr>
        <w:t xml:space="preserve">, maar ook hoe </w:t>
      </w:r>
      <w:r w:rsidRPr="00F974D8" w:rsidR="00AD0AC0">
        <w:rPr>
          <w:rFonts w:eastAsiaTheme="majorEastAsia"/>
          <w:sz w:val="20"/>
          <w:szCs w:val="21"/>
        </w:rPr>
        <w:t>een beheerde visserij bijdraagt aan de economische continuïteit van het bedrijf (opvissen van de rente, meer vangen is niet altijd meer verdienen)</w:t>
      </w:r>
      <w:r w:rsidRPr="00F974D8" w:rsidR="00A25C73">
        <w:rPr>
          <w:rFonts w:eastAsiaTheme="majorEastAsia"/>
          <w:sz w:val="20"/>
          <w:szCs w:val="21"/>
        </w:rPr>
        <w:t xml:space="preserve">. Dit bewustzijn is o.a. ook van belang voor het begrip rond beheersmaatregelen (los van het ermee eens of oneens zijn), de bereidheid tot opvolging van maatregelen en in de onderzoekssamenwerking. </w:t>
      </w:r>
    </w:p>
    <w:p w:rsidRPr="00F974D8" w:rsidR="00BE14A5" w:rsidP="0076298F" w:rsidRDefault="00A25C73" w14:paraId="2EE2F84F" w14:textId="712D4720">
      <w:pPr>
        <w:spacing w:after="240" w:line="276" w:lineRule="auto"/>
        <w:rPr>
          <w:rFonts w:eastAsiaTheme="majorEastAsia"/>
          <w:sz w:val="20"/>
          <w:szCs w:val="21"/>
        </w:rPr>
      </w:pPr>
      <w:r w:rsidRPr="00F974D8">
        <w:rPr>
          <w:rFonts w:eastAsiaTheme="majorEastAsia"/>
          <w:sz w:val="20"/>
          <w:szCs w:val="21"/>
        </w:rPr>
        <w:lastRenderedPageBreak/>
        <w:t xml:space="preserve">Daar waar Nederland bredere ecologische kennis </w:t>
      </w:r>
      <w:r w:rsidRPr="00F974D8" w:rsidR="00AD0AC0">
        <w:rPr>
          <w:rFonts w:eastAsiaTheme="majorEastAsia"/>
          <w:sz w:val="20"/>
          <w:szCs w:val="21"/>
        </w:rPr>
        <w:t>(</w:t>
      </w:r>
      <w:r w:rsidRPr="00F974D8">
        <w:rPr>
          <w:rFonts w:eastAsiaTheme="majorEastAsia"/>
          <w:sz w:val="20"/>
          <w:szCs w:val="21"/>
        </w:rPr>
        <w:t>over mariene ecosysteem en invloed van visserij</w:t>
      </w:r>
      <w:r w:rsidRPr="00F974D8" w:rsidR="00AD0AC0">
        <w:rPr>
          <w:rFonts w:eastAsiaTheme="majorEastAsia"/>
          <w:sz w:val="20"/>
          <w:szCs w:val="21"/>
        </w:rPr>
        <w:t>) en economische kennis (ondernemerschap, visketen)</w:t>
      </w:r>
      <w:r w:rsidRPr="00F974D8">
        <w:rPr>
          <w:rFonts w:eastAsiaTheme="majorEastAsia"/>
          <w:sz w:val="20"/>
          <w:szCs w:val="21"/>
        </w:rPr>
        <w:t xml:space="preserve"> in het onderwijs </w:t>
      </w:r>
      <w:r w:rsidRPr="00F974D8" w:rsidR="00AD0AC0">
        <w:rPr>
          <w:rFonts w:eastAsiaTheme="majorEastAsia"/>
          <w:sz w:val="20"/>
          <w:szCs w:val="21"/>
        </w:rPr>
        <w:t xml:space="preserve">zijn </w:t>
      </w:r>
      <w:r w:rsidRPr="00F974D8">
        <w:rPr>
          <w:rFonts w:eastAsiaTheme="majorEastAsia"/>
          <w:sz w:val="20"/>
          <w:szCs w:val="21"/>
        </w:rPr>
        <w:t xml:space="preserve">geborgd, daar is dit internationaal en zelfs binnen de EU geen gemeengoed. </w:t>
      </w:r>
      <w:r w:rsidRPr="00F974D8" w:rsidR="00BE14A5">
        <w:rPr>
          <w:rFonts w:eastAsiaTheme="majorEastAsia"/>
          <w:sz w:val="20"/>
          <w:szCs w:val="21"/>
        </w:rPr>
        <w:t>Alhoewel</w:t>
      </w:r>
      <w:r w:rsidRPr="00F974D8">
        <w:rPr>
          <w:rFonts w:eastAsiaTheme="majorEastAsia"/>
          <w:sz w:val="20"/>
          <w:szCs w:val="21"/>
        </w:rPr>
        <w:t xml:space="preserve"> de </w:t>
      </w:r>
      <w:r w:rsidRPr="00F974D8" w:rsidR="00BE14A5">
        <w:rPr>
          <w:rFonts w:eastAsiaTheme="majorEastAsia"/>
          <w:sz w:val="20"/>
          <w:szCs w:val="21"/>
        </w:rPr>
        <w:t xml:space="preserve">Nederlandse </w:t>
      </w:r>
      <w:r w:rsidRPr="00F974D8">
        <w:rPr>
          <w:rFonts w:eastAsiaTheme="majorEastAsia"/>
          <w:sz w:val="20"/>
          <w:szCs w:val="21"/>
        </w:rPr>
        <w:t xml:space="preserve">visserijsector vanaf Europees niveau wordt aangestuurd </w:t>
      </w:r>
      <w:r w:rsidRPr="00F974D8" w:rsidR="00BE14A5">
        <w:rPr>
          <w:rFonts w:eastAsiaTheme="majorEastAsia"/>
          <w:sz w:val="20"/>
          <w:szCs w:val="21"/>
        </w:rPr>
        <w:t>door</w:t>
      </w:r>
      <w:r w:rsidRPr="00F974D8">
        <w:rPr>
          <w:rFonts w:eastAsiaTheme="majorEastAsia"/>
          <w:sz w:val="20"/>
          <w:szCs w:val="21"/>
        </w:rPr>
        <w:t xml:space="preserve"> het Gemeenschappelijk Visserijbeleid, </w:t>
      </w:r>
      <w:r w:rsidRPr="00F974D8" w:rsidR="00BE14A5">
        <w:rPr>
          <w:rFonts w:eastAsiaTheme="majorEastAsia"/>
          <w:sz w:val="20"/>
          <w:szCs w:val="21"/>
        </w:rPr>
        <w:t xml:space="preserve">stelt dit beleid geen eisen aan de kennis en kunde die vissers moeten beschikken. Een visser hoeft dus niets te weten over het beleidskader welke van invloed is op zijn bedrijf, noch over het mariene ecosysteem waar een groot deel van dit beleid zich op richt. </w:t>
      </w:r>
    </w:p>
    <w:p w:rsidRPr="00F974D8" w:rsidR="00123941" w:rsidP="0076298F" w:rsidRDefault="00BE14A5" w14:paraId="0EE43981" w14:textId="7F51125B">
      <w:pPr>
        <w:spacing w:after="240" w:line="276" w:lineRule="auto"/>
        <w:rPr>
          <w:rFonts w:eastAsiaTheme="majorEastAsia"/>
          <w:sz w:val="20"/>
          <w:szCs w:val="21"/>
        </w:rPr>
      </w:pPr>
      <w:r w:rsidRPr="00F974D8">
        <w:rPr>
          <w:rFonts w:eastAsiaTheme="majorEastAsia"/>
          <w:sz w:val="20"/>
          <w:szCs w:val="21"/>
        </w:rPr>
        <w:t xml:space="preserve">Een </w:t>
      </w:r>
      <w:hyperlink w:history="1" r:id="rId12">
        <w:r w:rsidRPr="00F974D8">
          <w:rPr>
            <w:rStyle w:val="Hyperlink"/>
            <w:rFonts w:eastAsiaTheme="majorEastAsia"/>
            <w:sz w:val="20"/>
            <w:szCs w:val="21"/>
          </w:rPr>
          <w:t>recente studie</w:t>
        </w:r>
      </w:hyperlink>
      <w:r w:rsidRPr="00F974D8">
        <w:rPr>
          <w:rFonts w:eastAsiaTheme="majorEastAsia"/>
          <w:sz w:val="20"/>
          <w:szCs w:val="21"/>
        </w:rPr>
        <w:t xml:space="preserve"> van de Europese Commissie naar de trainings- en certificeringseisen voor vissers binnen de EU toont een gebrek aan geharmoniseerde trainings- en certificeringseisen welke ook grote nadelige gevolgen kan hebben voor het veilig en duurzaam opereren op zee. Dit is ook van invloed op de Nederlandse visserijsector aangezien zij de wateren delen met vissers uit andere landen. Het is daarom van belang dat Nederland zich op internationaal</w:t>
      </w:r>
      <w:r w:rsidRPr="00F974D8" w:rsidR="00F43BE5">
        <w:rPr>
          <w:rFonts w:eastAsiaTheme="majorEastAsia"/>
          <w:sz w:val="20"/>
          <w:szCs w:val="21"/>
        </w:rPr>
        <w:t xml:space="preserve"> en </w:t>
      </w:r>
      <w:r w:rsidRPr="00F974D8">
        <w:rPr>
          <w:rFonts w:eastAsiaTheme="majorEastAsia"/>
          <w:sz w:val="20"/>
          <w:szCs w:val="21"/>
        </w:rPr>
        <w:t xml:space="preserve">Europees niveau </w:t>
      </w:r>
      <w:r w:rsidRPr="00F974D8" w:rsidR="00F43BE5">
        <w:rPr>
          <w:rFonts w:eastAsiaTheme="majorEastAsia"/>
          <w:sz w:val="20"/>
          <w:szCs w:val="21"/>
        </w:rPr>
        <w:t>blijft inzetten voor de harmonisatie van trainings- en certificeringseisen van vissers. Dit zal naast het bevorderen van een gelijk speelveld en de vergemakkelijking van erkenning van certificaten ook kunnen bijdragen aan een veiligere en duurzamere</w:t>
      </w:r>
      <w:r w:rsidRPr="00F974D8" w:rsidR="00AD0AC0">
        <w:rPr>
          <w:rFonts w:eastAsiaTheme="majorEastAsia"/>
          <w:sz w:val="20"/>
          <w:szCs w:val="21"/>
        </w:rPr>
        <w:t xml:space="preserve"> </w:t>
      </w:r>
      <w:r w:rsidRPr="00F974D8" w:rsidR="00F43BE5">
        <w:rPr>
          <w:rFonts w:eastAsiaTheme="majorEastAsia"/>
          <w:sz w:val="20"/>
          <w:szCs w:val="21"/>
        </w:rPr>
        <w:t xml:space="preserve">visserij </w:t>
      </w:r>
      <w:r w:rsidRPr="00F974D8" w:rsidR="00AD0AC0">
        <w:rPr>
          <w:rFonts w:eastAsiaTheme="majorEastAsia"/>
          <w:sz w:val="20"/>
          <w:szCs w:val="21"/>
        </w:rPr>
        <w:t xml:space="preserve">(ecologisch en financieel) </w:t>
      </w:r>
      <w:r w:rsidRPr="00F974D8" w:rsidR="00F43BE5">
        <w:rPr>
          <w:rFonts w:eastAsiaTheme="majorEastAsia"/>
          <w:sz w:val="20"/>
          <w:szCs w:val="21"/>
        </w:rPr>
        <w:t xml:space="preserve">binnen Europese wateren.  </w:t>
      </w:r>
    </w:p>
    <w:p w:rsidRPr="00F974D8" w:rsidR="006524CA" w:rsidP="00F43BE5" w:rsidRDefault="00F43BE5" w14:paraId="590C36A9" w14:textId="480CCC35">
      <w:pPr>
        <w:pStyle w:val="Kop2"/>
        <w:rPr>
          <w:sz w:val="21"/>
          <w:szCs w:val="22"/>
        </w:rPr>
      </w:pPr>
      <w:r w:rsidRPr="00F974D8">
        <w:rPr>
          <w:sz w:val="21"/>
          <w:szCs w:val="22"/>
        </w:rPr>
        <w:t>Vissenwelzijn perspectief</w:t>
      </w:r>
    </w:p>
    <w:p w:rsidRPr="00F974D8" w:rsidR="00F43BE5" w:rsidP="00F43BE5" w:rsidRDefault="00F43BE5" w14:paraId="5F844288" w14:textId="576BA315">
      <w:pPr>
        <w:spacing w:line="276" w:lineRule="auto"/>
        <w:rPr>
          <w:sz w:val="20"/>
          <w:szCs w:val="21"/>
        </w:rPr>
      </w:pPr>
      <w:r w:rsidRPr="00F974D8">
        <w:rPr>
          <w:sz w:val="20"/>
          <w:szCs w:val="21"/>
        </w:rPr>
        <w:t xml:space="preserve">ProSea verzorgt op alle maritieme opleidingsinstellingen die vissers opleiden de cursus ‘Vissen met Toekomst’. Binnen die cursus is er ook aandacht voor vissenwelzijn. Voor veel vissers in opleiding is dit vaak een totaal nieuw thema waar zij niet eerder mee in aanraking zijn geweest. Het </w:t>
      </w:r>
      <w:r w:rsidRPr="00F974D8" w:rsidR="003B1051">
        <w:rPr>
          <w:sz w:val="20"/>
          <w:szCs w:val="21"/>
        </w:rPr>
        <w:t xml:space="preserve">thema maakt vaak de nodige discussies los waarbij </w:t>
      </w:r>
      <w:r w:rsidRPr="00F974D8" w:rsidR="00AD0AC0">
        <w:rPr>
          <w:sz w:val="20"/>
          <w:szCs w:val="21"/>
        </w:rPr>
        <w:t>studenten met regelmaat ook wijzen op de hardheid van de natuur (bv. zeehond die vis grijpt). Alhoewel veel studenten openstaan voor de dialoog, blijft het uitdagend om binnen de huidige mogelijkheden praktische verbeteringen door te voeren aan boord voor het verbeteren van vissenwelzijn. De Nederlandse zeevisserijsector heeft op het kennisplatform ‘</w:t>
      </w:r>
      <w:hyperlink w:history="1" r:id="rId13">
        <w:r w:rsidRPr="00F974D8" w:rsidR="00AD0AC0">
          <w:rPr>
            <w:rStyle w:val="Hyperlink"/>
            <w:sz w:val="20"/>
            <w:szCs w:val="21"/>
          </w:rPr>
          <w:t>Vistikhetmaar</w:t>
        </w:r>
      </w:hyperlink>
      <w:r w:rsidRPr="00F974D8" w:rsidR="00AD0AC0">
        <w:rPr>
          <w:sz w:val="20"/>
          <w:szCs w:val="21"/>
        </w:rPr>
        <w:t>’ wel de nodige kennis gebundeld in het dossier ‘</w:t>
      </w:r>
      <w:hyperlink w:history="1" r:id="rId14">
        <w:r w:rsidRPr="00F974D8" w:rsidR="00AD0AC0">
          <w:rPr>
            <w:rStyle w:val="Hyperlink"/>
            <w:sz w:val="20"/>
            <w:szCs w:val="21"/>
          </w:rPr>
          <w:t>Vissenwelzijn</w:t>
        </w:r>
      </w:hyperlink>
      <w:r w:rsidRPr="00F974D8" w:rsidR="00AD0AC0">
        <w:rPr>
          <w:sz w:val="20"/>
          <w:szCs w:val="21"/>
        </w:rPr>
        <w:t xml:space="preserve">’ om het bewustzijn te verhogen en </w:t>
      </w:r>
      <w:r w:rsidRPr="00F974D8" w:rsidR="00012336">
        <w:rPr>
          <w:sz w:val="20"/>
          <w:szCs w:val="21"/>
        </w:rPr>
        <w:t xml:space="preserve">vissers actief na te laten denken over wijzen waarop het welzijn verbeterd zou kunnen worden en waarom dit ook voor vissers wellicht een positieve bijdrage kan leveren. </w:t>
      </w:r>
    </w:p>
    <w:p w:rsidRPr="00F974D8" w:rsidR="00F974D8" w:rsidP="00F974D8" w:rsidRDefault="00F974D8" w14:paraId="2E93C972" w14:textId="5FBA5ED2">
      <w:pPr>
        <w:pStyle w:val="Kop2"/>
        <w:rPr>
          <w:sz w:val="21"/>
          <w:szCs w:val="22"/>
        </w:rPr>
      </w:pPr>
      <w:r w:rsidRPr="00F974D8">
        <w:rPr>
          <w:sz w:val="21"/>
          <w:szCs w:val="22"/>
        </w:rPr>
        <w:t>Slotwoord</w:t>
      </w:r>
    </w:p>
    <w:p w:rsidRPr="00F974D8" w:rsidR="00F974D8" w:rsidP="00F974D8" w:rsidRDefault="00F974D8" w14:paraId="1F8DDD44" w14:textId="65BA1754">
      <w:pPr>
        <w:spacing w:line="276" w:lineRule="auto"/>
        <w:rPr>
          <w:sz w:val="20"/>
          <w:szCs w:val="21"/>
        </w:rPr>
      </w:pPr>
      <w:r w:rsidRPr="00F974D8">
        <w:rPr>
          <w:sz w:val="20"/>
          <w:szCs w:val="21"/>
        </w:rPr>
        <w:t xml:space="preserve">Voor de toekomst van de Nederlandse visserij is het van belang om te blijven investeren in de kennis en kunde van mensen binnen- en rondom de sector. Mensen maken het verschil! De harmonisatie van trainings- en certificeringseisen voor vissers binnen de EU zou hierin een goede stap zijn. Verder is het van belang om de opleidingen en trainingen van vissers betaalbaar te houden en meer in te zetten op ‘leven lang leren’ om druk van de opleiding te halen. Het investeren in de kennisverspreiding zou zich niet enkel moeten beperken tot Nederland. Zo is investeren in kennisverspreiding richting het Europese niveau ook van belang om draagvlak voor de toekomst van de Nederlandse visserij te behouden, zoals ook pijnlijk duidelijk is geworden rondom de </w:t>
      </w:r>
      <w:proofErr w:type="spellStart"/>
      <w:r w:rsidRPr="00F974D8">
        <w:rPr>
          <w:sz w:val="20"/>
          <w:szCs w:val="21"/>
        </w:rPr>
        <w:t>pulsvisserij</w:t>
      </w:r>
      <w:proofErr w:type="spellEnd"/>
      <w:r w:rsidRPr="00F974D8">
        <w:rPr>
          <w:sz w:val="20"/>
          <w:szCs w:val="21"/>
        </w:rPr>
        <w:t xml:space="preserve">. </w:t>
      </w:r>
      <w:r w:rsidR="00983592">
        <w:rPr>
          <w:sz w:val="20"/>
          <w:szCs w:val="21"/>
        </w:rPr>
        <w:t xml:space="preserve">Daarnaast valt er ook de nodige kennis te halen bij andere lidstaten, want de uitdagingen waar de Nederlandse visserij voor staat spelen ook over de grens. Strategische internationale samenwerking, bijvoorbeeld rond innovaties, kan bijdragen aan een effectieve besteding van Europese gelden. </w:t>
      </w:r>
    </w:p>
    <w:sectPr w:rsidRPr="00F974D8" w:rsidR="00F974D8" w:rsidSect="00F974D8">
      <w:headerReference w:type="default" r:id="rId15"/>
      <w:footerReference w:type="even" r:id="rId16"/>
      <w:footerReference w:type="default" r:id="rId17"/>
      <w:pgSz w:w="11900" w:h="16840"/>
      <w:pgMar w:top="2075" w:right="1418" w:bottom="1767" w:left="1418" w:header="567"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1988" w14:textId="77777777" w:rsidR="00D050E9" w:rsidRDefault="00D050E9" w:rsidP="00561745">
      <w:r>
        <w:separator/>
      </w:r>
    </w:p>
  </w:endnote>
  <w:endnote w:type="continuationSeparator" w:id="0">
    <w:p w14:paraId="5E67E181" w14:textId="77777777" w:rsidR="00D050E9" w:rsidRDefault="00D050E9" w:rsidP="0056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w:panose1 w:val="020B05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29438052"/>
      <w:docPartObj>
        <w:docPartGallery w:val="Page Numbers (Bottom of Page)"/>
        <w:docPartUnique/>
      </w:docPartObj>
    </w:sdtPr>
    <w:sdtContent>
      <w:p w14:paraId="488088D1" w14:textId="54E175BB" w:rsidR="004376F1" w:rsidRDefault="004376F1" w:rsidP="00A421C5">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417274F6" w14:textId="77777777" w:rsidR="004376F1" w:rsidRDefault="004376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23296319"/>
      <w:docPartObj>
        <w:docPartGallery w:val="Page Numbers (Bottom of Page)"/>
        <w:docPartUnique/>
      </w:docPartObj>
    </w:sdtPr>
    <w:sdtContent>
      <w:p w14:paraId="4330181E" w14:textId="438B45A0" w:rsidR="004376F1" w:rsidRDefault="004376F1" w:rsidP="00A421C5">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0262B19" w14:textId="77777777" w:rsidR="008739B9" w:rsidRDefault="008739B9">
    <w:pPr>
      <w:pStyle w:val="Voettekst"/>
    </w:pPr>
    <w:r>
      <w:rPr>
        <w:noProof/>
      </w:rPr>
      <w:drawing>
        <wp:anchor distT="0" distB="0" distL="114300" distR="114300" simplePos="0" relativeHeight="251659263" behindDoc="0" locked="0" layoutInCell="1" allowOverlap="1" wp14:anchorId="71CDBD80" wp14:editId="277714CF">
          <wp:simplePos x="0" y="0"/>
          <wp:positionH relativeFrom="margin">
            <wp:posOffset>4975860</wp:posOffset>
          </wp:positionH>
          <wp:positionV relativeFrom="margin">
            <wp:posOffset>8507622</wp:posOffset>
          </wp:positionV>
          <wp:extent cx="1488440" cy="711835"/>
          <wp:effectExtent l="0" t="0" r="0" b="0"/>
          <wp:wrapSquare wrapText="bothSides"/>
          <wp:docPr id="1585611505" name="Picture 158561150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7118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108B" w14:textId="77777777" w:rsidR="00D050E9" w:rsidRDefault="00D050E9" w:rsidP="00561745">
      <w:r>
        <w:separator/>
      </w:r>
    </w:p>
  </w:footnote>
  <w:footnote w:type="continuationSeparator" w:id="0">
    <w:p w14:paraId="31F56B57" w14:textId="77777777" w:rsidR="00D050E9" w:rsidRDefault="00D050E9" w:rsidP="0056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38AC" w14:textId="7C1A10C3" w:rsidR="00905E19" w:rsidRPr="00743BCB" w:rsidRDefault="00F974D8" w:rsidP="00F974D8">
    <w:pPr>
      <w:jc w:val="center"/>
      <w:rPr>
        <w:rStyle w:val="Titelvanboek"/>
      </w:rPr>
    </w:pPr>
    <w:r w:rsidRPr="00F974D8">
      <w:rPr>
        <w:rStyle w:val="Titelvanboek"/>
        <w:noProof/>
      </w:rPr>
      <w:t>Toekomst van de visserij in Nederland</w:t>
    </w:r>
    <w:r w:rsidR="00EA7FB9" w:rsidRPr="00743BCB">
      <w:rPr>
        <w:rStyle w:val="Titelvanboek"/>
        <w:noProof/>
      </w:rPr>
      <w:drawing>
        <wp:anchor distT="0" distB="0" distL="114300" distR="114300" simplePos="0" relativeHeight="251660287" behindDoc="1" locked="0" layoutInCell="1" allowOverlap="1" wp14:anchorId="5859E7DF" wp14:editId="745ADEFD">
          <wp:simplePos x="0" y="0"/>
          <wp:positionH relativeFrom="column">
            <wp:posOffset>-887730</wp:posOffset>
          </wp:positionH>
          <wp:positionV relativeFrom="paragraph">
            <wp:posOffset>-585126</wp:posOffset>
          </wp:positionV>
          <wp:extent cx="7545600" cy="1040400"/>
          <wp:effectExtent l="0" t="0" r="0" b="1270"/>
          <wp:wrapNone/>
          <wp:docPr id="1377218984" name="Picture 1377218984" descr="A wave in the ocea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ave in the ocean&#10;&#10;Description automatically generated with low confidence"/>
                  <pic:cNvPicPr/>
                </pic:nvPicPr>
                <pic:blipFill rotWithShape="1">
                  <a:blip r:embed="rId1">
                    <a:extLst>
                      <a:ext uri="{28A0092B-C50C-407E-A947-70E740481C1C}">
                        <a14:useLocalDpi xmlns:a14="http://schemas.microsoft.com/office/drawing/2010/main" val="0"/>
                      </a:ext>
                    </a:extLst>
                  </a:blip>
                  <a:srcRect t="8431" b="55385"/>
                  <a:stretch/>
                </pic:blipFill>
                <pic:spPr bwMode="auto">
                  <a:xfrm>
                    <a:off x="0" y="0"/>
                    <a:ext cx="7545600" cy="104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75D"/>
    <w:multiLevelType w:val="hybridMultilevel"/>
    <w:tmpl w:val="ADC6F660"/>
    <w:lvl w:ilvl="0" w:tplc="04130019">
      <w:start w:val="1"/>
      <w:numFmt w:val="lowerLetter"/>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 w15:restartNumberingAfterBreak="0">
    <w:nsid w:val="00D81DBC"/>
    <w:multiLevelType w:val="multilevel"/>
    <w:tmpl w:val="C7EA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04FA1"/>
    <w:multiLevelType w:val="multilevel"/>
    <w:tmpl w:val="2204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21A7E"/>
    <w:multiLevelType w:val="hybridMultilevel"/>
    <w:tmpl w:val="1E2E5490"/>
    <w:lvl w:ilvl="0" w:tplc="0809000F">
      <w:start w:val="1"/>
      <w:numFmt w:val="decimal"/>
      <w:lvlText w:val="%1."/>
      <w:lvlJc w:val="left"/>
      <w:pPr>
        <w:ind w:left="720" w:hanging="360"/>
      </w:pPr>
      <w:rPr>
        <w:rFonts w:hint="default"/>
        <w:color w:val="CF5C1C"/>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AA5F95"/>
    <w:multiLevelType w:val="multilevel"/>
    <w:tmpl w:val="22C6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80700C"/>
    <w:multiLevelType w:val="hybridMultilevel"/>
    <w:tmpl w:val="A55059FE"/>
    <w:lvl w:ilvl="0" w:tplc="92707D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75585"/>
    <w:multiLevelType w:val="multilevel"/>
    <w:tmpl w:val="1554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A0A57"/>
    <w:multiLevelType w:val="multilevel"/>
    <w:tmpl w:val="AFB0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F114E"/>
    <w:multiLevelType w:val="multilevel"/>
    <w:tmpl w:val="2FE2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4D56CD"/>
    <w:multiLevelType w:val="hybridMultilevel"/>
    <w:tmpl w:val="A39E5B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8A3DFE"/>
    <w:multiLevelType w:val="hybridMultilevel"/>
    <w:tmpl w:val="A7109C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65165B"/>
    <w:multiLevelType w:val="hybridMultilevel"/>
    <w:tmpl w:val="8D98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80075"/>
    <w:multiLevelType w:val="multilevel"/>
    <w:tmpl w:val="4EFA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7A6239"/>
    <w:multiLevelType w:val="hybridMultilevel"/>
    <w:tmpl w:val="FBA0DEC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EAB33DE"/>
    <w:multiLevelType w:val="multilevel"/>
    <w:tmpl w:val="24F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332BBD"/>
    <w:multiLevelType w:val="hybridMultilevel"/>
    <w:tmpl w:val="9C3674F0"/>
    <w:lvl w:ilvl="0" w:tplc="F29AC13C">
      <w:start w:val="1"/>
      <w:numFmt w:val="bullet"/>
      <w:lvlText w:val="-"/>
      <w:lvlJc w:val="left"/>
      <w:pPr>
        <w:ind w:left="720" w:hanging="360"/>
      </w:pPr>
      <w:rPr>
        <w:rFonts w:ascii="IBM Plex Sans" w:eastAsiaTheme="majorEastAsia" w:hAnsi="IBM Plex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46DFF"/>
    <w:multiLevelType w:val="multilevel"/>
    <w:tmpl w:val="502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CB28BF"/>
    <w:multiLevelType w:val="multilevel"/>
    <w:tmpl w:val="AB4E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CF4842"/>
    <w:multiLevelType w:val="hybridMultilevel"/>
    <w:tmpl w:val="4EEE70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507810"/>
    <w:multiLevelType w:val="multilevel"/>
    <w:tmpl w:val="C668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A24D82"/>
    <w:multiLevelType w:val="multilevel"/>
    <w:tmpl w:val="854E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C93BB8"/>
    <w:multiLevelType w:val="multilevel"/>
    <w:tmpl w:val="EC54EF50"/>
    <w:lvl w:ilvl="0">
      <w:start w:val="1"/>
      <w:numFmt w:val="bullet"/>
      <w:lvlText w:val=""/>
      <w:lvlJc w:val="left"/>
      <w:pPr>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FC4B9A"/>
    <w:multiLevelType w:val="multilevel"/>
    <w:tmpl w:val="2B1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506FA6"/>
    <w:multiLevelType w:val="multilevel"/>
    <w:tmpl w:val="EF3ED6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BE7AB7"/>
    <w:multiLevelType w:val="multilevel"/>
    <w:tmpl w:val="4478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956B51"/>
    <w:multiLevelType w:val="multilevel"/>
    <w:tmpl w:val="EC54EF50"/>
    <w:lvl w:ilvl="0">
      <w:start w:val="1"/>
      <w:numFmt w:val="bullet"/>
      <w:lvlText w:val=""/>
      <w:lvlJc w:val="left"/>
      <w:pPr>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ED4F35"/>
    <w:multiLevelType w:val="hybridMultilevel"/>
    <w:tmpl w:val="D4345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5926759"/>
    <w:multiLevelType w:val="multilevel"/>
    <w:tmpl w:val="EC54EF50"/>
    <w:lvl w:ilvl="0">
      <w:start w:val="1"/>
      <w:numFmt w:val="bullet"/>
      <w:lvlText w:val=""/>
      <w:lvlJc w:val="left"/>
      <w:pPr>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E65CCC"/>
    <w:multiLevelType w:val="multilevel"/>
    <w:tmpl w:val="B2B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AD66B8"/>
    <w:multiLevelType w:val="hybridMultilevel"/>
    <w:tmpl w:val="4EEE70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E711EB"/>
    <w:multiLevelType w:val="multilevel"/>
    <w:tmpl w:val="2CD8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707C87"/>
    <w:multiLevelType w:val="multilevel"/>
    <w:tmpl w:val="EC54EF50"/>
    <w:lvl w:ilvl="0">
      <w:start w:val="1"/>
      <w:numFmt w:val="bullet"/>
      <w:lvlText w:val=""/>
      <w:lvlJc w:val="left"/>
      <w:pPr>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BE3DA6"/>
    <w:multiLevelType w:val="multilevel"/>
    <w:tmpl w:val="EC54EF50"/>
    <w:lvl w:ilvl="0">
      <w:start w:val="1"/>
      <w:numFmt w:val="bullet"/>
      <w:lvlText w:val=""/>
      <w:lvlJc w:val="left"/>
      <w:pPr>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8343AA"/>
    <w:multiLevelType w:val="multilevel"/>
    <w:tmpl w:val="303A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FF129D"/>
    <w:multiLevelType w:val="hybridMultilevel"/>
    <w:tmpl w:val="851E497C"/>
    <w:lvl w:ilvl="0" w:tplc="AD8445A6">
      <w:numFmt w:val="bullet"/>
      <w:lvlText w:val="-"/>
      <w:lvlJc w:val="left"/>
      <w:pPr>
        <w:ind w:left="720" w:hanging="360"/>
      </w:pPr>
      <w:rPr>
        <w:rFonts w:ascii="IBM Plex Sans" w:eastAsiaTheme="majorEastAsia" w:hAnsi="IBM Plex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B5E12E4"/>
    <w:multiLevelType w:val="hybridMultilevel"/>
    <w:tmpl w:val="455680A2"/>
    <w:lvl w:ilvl="0" w:tplc="AD8445A6">
      <w:numFmt w:val="bullet"/>
      <w:lvlText w:val="-"/>
      <w:lvlJc w:val="left"/>
      <w:pPr>
        <w:ind w:left="720" w:hanging="360"/>
      </w:pPr>
      <w:rPr>
        <w:rFonts w:ascii="IBM Plex Sans" w:eastAsiaTheme="majorEastAsia" w:hAnsi="IBM Plex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CAC3014"/>
    <w:multiLevelType w:val="multilevel"/>
    <w:tmpl w:val="74D45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591C65"/>
    <w:multiLevelType w:val="multilevel"/>
    <w:tmpl w:val="FB5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4B39CF"/>
    <w:multiLevelType w:val="multilevel"/>
    <w:tmpl w:val="E4C4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1848F3"/>
    <w:multiLevelType w:val="multilevel"/>
    <w:tmpl w:val="C76E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374DBA"/>
    <w:multiLevelType w:val="hybridMultilevel"/>
    <w:tmpl w:val="2BCE07E6"/>
    <w:lvl w:ilvl="0" w:tplc="FFFFFFFF">
      <w:start w:val="1"/>
      <w:numFmt w:val="bullet"/>
      <w:lvlText w:val=""/>
      <w:lvlJc w:val="left"/>
      <w:pPr>
        <w:ind w:left="720" w:hanging="360"/>
      </w:pPr>
      <w:rPr>
        <w:rFonts w:ascii="Wingdings" w:hAnsi="Wingdings" w:hint="default"/>
        <w:color w:val="CF5C1C"/>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3B7DD9"/>
    <w:multiLevelType w:val="hybridMultilevel"/>
    <w:tmpl w:val="72B2A37E"/>
    <w:lvl w:ilvl="0" w:tplc="FFFFFFFF">
      <w:start w:val="1"/>
      <w:numFmt w:val="bullet"/>
      <w:lvlText w:val=""/>
      <w:lvlJc w:val="left"/>
      <w:pPr>
        <w:ind w:left="720" w:hanging="360"/>
      </w:pPr>
      <w:rPr>
        <w:rFonts w:ascii="Wingdings" w:hAnsi="Wingdings" w:hint="default"/>
        <w:color w:val="CF5C1C"/>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FA4A1B"/>
    <w:multiLevelType w:val="hybridMultilevel"/>
    <w:tmpl w:val="70D05A8C"/>
    <w:lvl w:ilvl="0" w:tplc="0809000F">
      <w:start w:val="1"/>
      <w:numFmt w:val="decimal"/>
      <w:lvlText w:val="%1."/>
      <w:lvlJc w:val="left"/>
      <w:pPr>
        <w:ind w:left="720" w:hanging="360"/>
      </w:pPr>
      <w:rPr>
        <w:rFonts w:hint="default"/>
      </w:rPr>
    </w:lvl>
    <w:lvl w:ilvl="1" w:tplc="4830F160">
      <w:start w:val="1"/>
      <w:numFmt w:val="decimal"/>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664CBF"/>
    <w:multiLevelType w:val="multilevel"/>
    <w:tmpl w:val="18C0CD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FFE664B"/>
    <w:multiLevelType w:val="multilevel"/>
    <w:tmpl w:val="24C6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D771CD"/>
    <w:multiLevelType w:val="multilevel"/>
    <w:tmpl w:val="2AD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DF2457"/>
    <w:multiLevelType w:val="multilevel"/>
    <w:tmpl w:val="A93A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F324F6"/>
    <w:multiLevelType w:val="hybridMultilevel"/>
    <w:tmpl w:val="4EEE70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165DF0"/>
    <w:multiLevelType w:val="multilevel"/>
    <w:tmpl w:val="15B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5A1811"/>
    <w:multiLevelType w:val="hybridMultilevel"/>
    <w:tmpl w:val="4EEE70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D92679"/>
    <w:multiLevelType w:val="multilevel"/>
    <w:tmpl w:val="4F68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073D62"/>
    <w:multiLevelType w:val="hybridMultilevel"/>
    <w:tmpl w:val="2FA095FA"/>
    <w:lvl w:ilvl="0" w:tplc="92707D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9B7241"/>
    <w:multiLevelType w:val="multilevel"/>
    <w:tmpl w:val="0E705A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3CE7FE8"/>
    <w:multiLevelType w:val="hybridMultilevel"/>
    <w:tmpl w:val="66F0651E"/>
    <w:lvl w:ilvl="0" w:tplc="FFFFFFFF">
      <w:start w:val="1"/>
      <w:numFmt w:val="bullet"/>
      <w:lvlText w:val=""/>
      <w:lvlJc w:val="left"/>
      <w:pPr>
        <w:ind w:left="720" w:hanging="360"/>
      </w:pPr>
      <w:rPr>
        <w:rFonts w:ascii="Wingdings" w:hAnsi="Wingdings" w:hint="default"/>
        <w:color w:val="CF5C1C"/>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B25F84"/>
    <w:multiLevelType w:val="hybridMultilevel"/>
    <w:tmpl w:val="35AC5ED6"/>
    <w:lvl w:ilvl="0" w:tplc="F29AC13C">
      <w:start w:val="1"/>
      <w:numFmt w:val="bullet"/>
      <w:lvlText w:val="-"/>
      <w:lvlJc w:val="left"/>
      <w:pPr>
        <w:ind w:left="720" w:hanging="360"/>
      </w:pPr>
      <w:rPr>
        <w:rFonts w:ascii="IBM Plex Sans" w:eastAsiaTheme="majorEastAsia" w:hAnsi="IBM Plex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9B41E2"/>
    <w:multiLevelType w:val="multilevel"/>
    <w:tmpl w:val="EC54EF50"/>
    <w:lvl w:ilvl="0">
      <w:start w:val="1"/>
      <w:numFmt w:val="bullet"/>
      <w:lvlText w:val=""/>
      <w:lvlJc w:val="left"/>
      <w:pPr>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938355">
    <w:abstractNumId w:val="53"/>
  </w:num>
  <w:num w:numId="2" w16cid:durableId="1190335014">
    <w:abstractNumId w:val="41"/>
  </w:num>
  <w:num w:numId="3" w16cid:durableId="1400591752">
    <w:abstractNumId w:val="3"/>
  </w:num>
  <w:num w:numId="4" w16cid:durableId="507604058">
    <w:abstractNumId w:val="42"/>
  </w:num>
  <w:num w:numId="5" w16cid:durableId="2139689450">
    <w:abstractNumId w:val="36"/>
  </w:num>
  <w:num w:numId="6" w16cid:durableId="719324511">
    <w:abstractNumId w:val="52"/>
  </w:num>
  <w:num w:numId="7" w16cid:durableId="1994291598">
    <w:abstractNumId w:val="43"/>
  </w:num>
  <w:num w:numId="8" w16cid:durableId="1811551813">
    <w:abstractNumId w:val="23"/>
  </w:num>
  <w:num w:numId="9" w16cid:durableId="1295675778">
    <w:abstractNumId w:val="40"/>
  </w:num>
  <w:num w:numId="10" w16cid:durableId="1226258635">
    <w:abstractNumId w:val="51"/>
  </w:num>
  <w:num w:numId="11" w16cid:durableId="1819492545">
    <w:abstractNumId w:val="18"/>
  </w:num>
  <w:num w:numId="12" w16cid:durableId="1673219881">
    <w:abstractNumId w:val="55"/>
  </w:num>
  <w:num w:numId="13" w16cid:durableId="962806484">
    <w:abstractNumId w:val="5"/>
  </w:num>
  <w:num w:numId="14" w16cid:durableId="1487893130">
    <w:abstractNumId w:val="25"/>
  </w:num>
  <w:num w:numId="15" w16cid:durableId="832644179">
    <w:abstractNumId w:val="27"/>
  </w:num>
  <w:num w:numId="16" w16cid:durableId="367994269">
    <w:abstractNumId w:val="32"/>
  </w:num>
  <w:num w:numId="17" w16cid:durableId="686442222">
    <w:abstractNumId w:val="47"/>
  </w:num>
  <w:num w:numId="18" w16cid:durableId="1523663470">
    <w:abstractNumId w:val="21"/>
  </w:num>
  <w:num w:numId="19" w16cid:durableId="196623944">
    <w:abstractNumId w:val="49"/>
  </w:num>
  <w:num w:numId="20" w16cid:durableId="32192256">
    <w:abstractNumId w:val="31"/>
  </w:num>
  <w:num w:numId="21" w16cid:durableId="674311327">
    <w:abstractNumId w:val="22"/>
  </w:num>
  <w:num w:numId="22" w16cid:durableId="115833774">
    <w:abstractNumId w:val="11"/>
  </w:num>
  <w:num w:numId="23" w16cid:durableId="1033308616">
    <w:abstractNumId w:val="15"/>
  </w:num>
  <w:num w:numId="24" w16cid:durableId="884297168">
    <w:abstractNumId w:val="54"/>
  </w:num>
  <w:num w:numId="25" w16cid:durableId="24986685">
    <w:abstractNumId w:val="10"/>
  </w:num>
  <w:num w:numId="26" w16cid:durableId="1834104753">
    <w:abstractNumId w:val="29"/>
  </w:num>
  <w:num w:numId="27" w16cid:durableId="1461873113">
    <w:abstractNumId w:val="0"/>
  </w:num>
  <w:num w:numId="28" w16cid:durableId="156119975">
    <w:abstractNumId w:val="9"/>
  </w:num>
  <w:num w:numId="29" w16cid:durableId="2076583313">
    <w:abstractNumId w:val="35"/>
  </w:num>
  <w:num w:numId="30" w16cid:durableId="832838126">
    <w:abstractNumId w:val="26"/>
  </w:num>
  <w:num w:numId="31" w16cid:durableId="1956054215">
    <w:abstractNumId w:val="13"/>
  </w:num>
  <w:num w:numId="32" w16cid:durableId="1845171155">
    <w:abstractNumId w:val="4"/>
  </w:num>
  <w:num w:numId="33" w16cid:durableId="1113590804">
    <w:abstractNumId w:val="30"/>
  </w:num>
  <w:num w:numId="34" w16cid:durableId="1402605337">
    <w:abstractNumId w:val="6"/>
  </w:num>
  <w:num w:numId="35" w16cid:durableId="120421850">
    <w:abstractNumId w:val="8"/>
  </w:num>
  <w:num w:numId="36" w16cid:durableId="434060866">
    <w:abstractNumId w:val="44"/>
  </w:num>
  <w:num w:numId="37" w16cid:durableId="292251557">
    <w:abstractNumId w:val="24"/>
  </w:num>
  <w:num w:numId="38" w16cid:durableId="690759643">
    <w:abstractNumId w:val="50"/>
  </w:num>
  <w:num w:numId="39" w16cid:durableId="598291693">
    <w:abstractNumId w:val="17"/>
  </w:num>
  <w:num w:numId="40" w16cid:durableId="580065649">
    <w:abstractNumId w:val="20"/>
  </w:num>
  <w:num w:numId="41" w16cid:durableId="1920289325">
    <w:abstractNumId w:val="2"/>
  </w:num>
  <w:num w:numId="42" w16cid:durableId="1050811567">
    <w:abstractNumId w:val="39"/>
  </w:num>
  <w:num w:numId="43" w16cid:durableId="1284388635">
    <w:abstractNumId w:val="14"/>
  </w:num>
  <w:num w:numId="44" w16cid:durableId="1947804771">
    <w:abstractNumId w:val="38"/>
  </w:num>
  <w:num w:numId="45" w16cid:durableId="714893530">
    <w:abstractNumId w:val="16"/>
  </w:num>
  <w:num w:numId="46" w16cid:durableId="247815605">
    <w:abstractNumId w:val="33"/>
  </w:num>
  <w:num w:numId="47" w16cid:durableId="1193106290">
    <w:abstractNumId w:val="12"/>
  </w:num>
  <w:num w:numId="48" w16cid:durableId="1927882266">
    <w:abstractNumId w:val="48"/>
  </w:num>
  <w:num w:numId="49" w16cid:durableId="1605914106">
    <w:abstractNumId w:val="46"/>
  </w:num>
  <w:num w:numId="50" w16cid:durableId="1204102478">
    <w:abstractNumId w:val="19"/>
  </w:num>
  <w:num w:numId="51" w16cid:durableId="47994021">
    <w:abstractNumId w:val="28"/>
  </w:num>
  <w:num w:numId="52" w16cid:durableId="1770851089">
    <w:abstractNumId w:val="7"/>
  </w:num>
  <w:num w:numId="53" w16cid:durableId="1057321998">
    <w:abstractNumId w:val="37"/>
  </w:num>
  <w:num w:numId="54" w16cid:durableId="1708288459">
    <w:abstractNumId w:val="1"/>
  </w:num>
  <w:num w:numId="55" w16cid:durableId="1336691817">
    <w:abstractNumId w:val="45"/>
  </w:num>
  <w:num w:numId="56" w16cid:durableId="10271745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57"/>
    <w:rsid w:val="00001B07"/>
    <w:rsid w:val="00012336"/>
    <w:rsid w:val="000161B5"/>
    <w:rsid w:val="00030EB2"/>
    <w:rsid w:val="00032D1E"/>
    <w:rsid w:val="000351AB"/>
    <w:rsid w:val="00041F70"/>
    <w:rsid w:val="000424C2"/>
    <w:rsid w:val="00047A29"/>
    <w:rsid w:val="00051A88"/>
    <w:rsid w:val="00051D62"/>
    <w:rsid w:val="000548A6"/>
    <w:rsid w:val="0005499B"/>
    <w:rsid w:val="00055E17"/>
    <w:rsid w:val="00061D71"/>
    <w:rsid w:val="00071E07"/>
    <w:rsid w:val="00083A1A"/>
    <w:rsid w:val="00091249"/>
    <w:rsid w:val="000977F7"/>
    <w:rsid w:val="000A45D3"/>
    <w:rsid w:val="000A4DD7"/>
    <w:rsid w:val="000B1670"/>
    <w:rsid w:val="000B7C50"/>
    <w:rsid w:val="000C7AC6"/>
    <w:rsid w:val="000D17BB"/>
    <w:rsid w:val="000D3606"/>
    <w:rsid w:val="000D3A53"/>
    <w:rsid w:val="000E0956"/>
    <w:rsid w:val="000E2D47"/>
    <w:rsid w:val="000E7FF5"/>
    <w:rsid w:val="000F16DD"/>
    <w:rsid w:val="00114E67"/>
    <w:rsid w:val="00117654"/>
    <w:rsid w:val="00120F2C"/>
    <w:rsid w:val="00121106"/>
    <w:rsid w:val="00123941"/>
    <w:rsid w:val="0012776F"/>
    <w:rsid w:val="00133F1B"/>
    <w:rsid w:val="0015584E"/>
    <w:rsid w:val="00155AD5"/>
    <w:rsid w:val="0016243D"/>
    <w:rsid w:val="00167A6E"/>
    <w:rsid w:val="001830E8"/>
    <w:rsid w:val="00184045"/>
    <w:rsid w:val="00185E09"/>
    <w:rsid w:val="00187302"/>
    <w:rsid w:val="001920CE"/>
    <w:rsid w:val="001953AE"/>
    <w:rsid w:val="001978FD"/>
    <w:rsid w:val="001A1996"/>
    <w:rsid w:val="001B3C23"/>
    <w:rsid w:val="001C3C7D"/>
    <w:rsid w:val="001C63CD"/>
    <w:rsid w:val="001C6566"/>
    <w:rsid w:val="001C7131"/>
    <w:rsid w:val="001D3607"/>
    <w:rsid w:val="001D704B"/>
    <w:rsid w:val="001F6B3B"/>
    <w:rsid w:val="001F73B8"/>
    <w:rsid w:val="00216438"/>
    <w:rsid w:val="00222981"/>
    <w:rsid w:val="00246E8F"/>
    <w:rsid w:val="00253FC4"/>
    <w:rsid w:val="00266B42"/>
    <w:rsid w:val="00267D67"/>
    <w:rsid w:val="00273985"/>
    <w:rsid w:val="00273A2E"/>
    <w:rsid w:val="002800AD"/>
    <w:rsid w:val="002811AC"/>
    <w:rsid w:val="002923B1"/>
    <w:rsid w:val="002A16EA"/>
    <w:rsid w:val="002A16F5"/>
    <w:rsid w:val="002A3BFB"/>
    <w:rsid w:val="002A4400"/>
    <w:rsid w:val="002A5EFB"/>
    <w:rsid w:val="002B1E40"/>
    <w:rsid w:val="002B2FD2"/>
    <w:rsid w:val="002B6A46"/>
    <w:rsid w:val="002D434F"/>
    <w:rsid w:val="002F5588"/>
    <w:rsid w:val="002F68B1"/>
    <w:rsid w:val="00301A91"/>
    <w:rsid w:val="0030455C"/>
    <w:rsid w:val="0031124A"/>
    <w:rsid w:val="00321259"/>
    <w:rsid w:val="003305CC"/>
    <w:rsid w:val="00351947"/>
    <w:rsid w:val="00363253"/>
    <w:rsid w:val="00363B03"/>
    <w:rsid w:val="003752D3"/>
    <w:rsid w:val="00380EB9"/>
    <w:rsid w:val="003A38E5"/>
    <w:rsid w:val="003A5FC0"/>
    <w:rsid w:val="003A63CB"/>
    <w:rsid w:val="003B1051"/>
    <w:rsid w:val="003D11F4"/>
    <w:rsid w:val="003D1A37"/>
    <w:rsid w:val="003D6061"/>
    <w:rsid w:val="003E0363"/>
    <w:rsid w:val="003E3ABF"/>
    <w:rsid w:val="003E5541"/>
    <w:rsid w:val="003F2E89"/>
    <w:rsid w:val="00404707"/>
    <w:rsid w:val="004056A3"/>
    <w:rsid w:val="00405D59"/>
    <w:rsid w:val="004218E5"/>
    <w:rsid w:val="0042407F"/>
    <w:rsid w:val="00424B07"/>
    <w:rsid w:val="00433D96"/>
    <w:rsid w:val="004372E2"/>
    <w:rsid w:val="004376F1"/>
    <w:rsid w:val="00442A77"/>
    <w:rsid w:val="00470E89"/>
    <w:rsid w:val="00477EFB"/>
    <w:rsid w:val="00484A6F"/>
    <w:rsid w:val="00485116"/>
    <w:rsid w:val="00493E8F"/>
    <w:rsid w:val="004A2FA9"/>
    <w:rsid w:val="004A4FFB"/>
    <w:rsid w:val="004B3BF0"/>
    <w:rsid w:val="004B55AE"/>
    <w:rsid w:val="004C090E"/>
    <w:rsid w:val="004C24EB"/>
    <w:rsid w:val="004C7977"/>
    <w:rsid w:val="004E06C2"/>
    <w:rsid w:val="005103D4"/>
    <w:rsid w:val="00510BD3"/>
    <w:rsid w:val="00510E9A"/>
    <w:rsid w:val="00512830"/>
    <w:rsid w:val="00530289"/>
    <w:rsid w:val="00532924"/>
    <w:rsid w:val="0053602D"/>
    <w:rsid w:val="00542956"/>
    <w:rsid w:val="00544B21"/>
    <w:rsid w:val="005501F9"/>
    <w:rsid w:val="00557A00"/>
    <w:rsid w:val="0056126F"/>
    <w:rsid w:val="00561745"/>
    <w:rsid w:val="005651D2"/>
    <w:rsid w:val="00566EE3"/>
    <w:rsid w:val="00570DE6"/>
    <w:rsid w:val="00576C00"/>
    <w:rsid w:val="005821E7"/>
    <w:rsid w:val="0058254D"/>
    <w:rsid w:val="00596DA5"/>
    <w:rsid w:val="005A06DC"/>
    <w:rsid w:val="005A1566"/>
    <w:rsid w:val="005A5DDD"/>
    <w:rsid w:val="005A616B"/>
    <w:rsid w:val="005B2F05"/>
    <w:rsid w:val="005B33A5"/>
    <w:rsid w:val="005B7315"/>
    <w:rsid w:val="005C435C"/>
    <w:rsid w:val="005D1910"/>
    <w:rsid w:val="005E19A9"/>
    <w:rsid w:val="005E1DF8"/>
    <w:rsid w:val="005E6FE0"/>
    <w:rsid w:val="005E7F84"/>
    <w:rsid w:val="005F1DB7"/>
    <w:rsid w:val="005F2208"/>
    <w:rsid w:val="006013B2"/>
    <w:rsid w:val="00607B01"/>
    <w:rsid w:val="00610D5B"/>
    <w:rsid w:val="00621336"/>
    <w:rsid w:val="00625C31"/>
    <w:rsid w:val="00627BA7"/>
    <w:rsid w:val="00631E03"/>
    <w:rsid w:val="00637248"/>
    <w:rsid w:val="00643966"/>
    <w:rsid w:val="006524CA"/>
    <w:rsid w:val="006620FD"/>
    <w:rsid w:val="00664270"/>
    <w:rsid w:val="00670B0F"/>
    <w:rsid w:val="00670C31"/>
    <w:rsid w:val="00684DD3"/>
    <w:rsid w:val="00686B8E"/>
    <w:rsid w:val="00687D10"/>
    <w:rsid w:val="00691AEC"/>
    <w:rsid w:val="00694CAB"/>
    <w:rsid w:val="006B213B"/>
    <w:rsid w:val="006C6055"/>
    <w:rsid w:val="006C6737"/>
    <w:rsid w:val="006C6B7A"/>
    <w:rsid w:val="006D7B18"/>
    <w:rsid w:val="006E0519"/>
    <w:rsid w:val="006E4C6F"/>
    <w:rsid w:val="006E5827"/>
    <w:rsid w:val="006F2385"/>
    <w:rsid w:val="00700BDC"/>
    <w:rsid w:val="007171AB"/>
    <w:rsid w:val="007315BC"/>
    <w:rsid w:val="00731CE3"/>
    <w:rsid w:val="00733EB4"/>
    <w:rsid w:val="00742CDE"/>
    <w:rsid w:val="00742D2A"/>
    <w:rsid w:val="00743BCB"/>
    <w:rsid w:val="00745441"/>
    <w:rsid w:val="00745BDB"/>
    <w:rsid w:val="0074605D"/>
    <w:rsid w:val="00750AEB"/>
    <w:rsid w:val="00751714"/>
    <w:rsid w:val="0076298F"/>
    <w:rsid w:val="007637B0"/>
    <w:rsid w:val="00763CC8"/>
    <w:rsid w:val="0077052F"/>
    <w:rsid w:val="00792B4B"/>
    <w:rsid w:val="00795081"/>
    <w:rsid w:val="007B2BD5"/>
    <w:rsid w:val="007C002E"/>
    <w:rsid w:val="007C7C7C"/>
    <w:rsid w:val="007D02AB"/>
    <w:rsid w:val="007F7D5E"/>
    <w:rsid w:val="00805D3D"/>
    <w:rsid w:val="0081102A"/>
    <w:rsid w:val="0081624A"/>
    <w:rsid w:val="00821822"/>
    <w:rsid w:val="00827E1A"/>
    <w:rsid w:val="008339D5"/>
    <w:rsid w:val="008473BE"/>
    <w:rsid w:val="008519E2"/>
    <w:rsid w:val="008625DB"/>
    <w:rsid w:val="00864678"/>
    <w:rsid w:val="008739B9"/>
    <w:rsid w:val="0087637F"/>
    <w:rsid w:val="00885EB1"/>
    <w:rsid w:val="008860CB"/>
    <w:rsid w:val="008A5BD6"/>
    <w:rsid w:val="008B39E0"/>
    <w:rsid w:val="008B61E6"/>
    <w:rsid w:val="008C73DB"/>
    <w:rsid w:val="008D0066"/>
    <w:rsid w:val="008D0BAB"/>
    <w:rsid w:val="008D3084"/>
    <w:rsid w:val="008D3AE3"/>
    <w:rsid w:val="008D5944"/>
    <w:rsid w:val="008E2A05"/>
    <w:rsid w:val="008E2BA1"/>
    <w:rsid w:val="008E3549"/>
    <w:rsid w:val="008F33B5"/>
    <w:rsid w:val="00905E19"/>
    <w:rsid w:val="00911278"/>
    <w:rsid w:val="0091314F"/>
    <w:rsid w:val="009278BB"/>
    <w:rsid w:val="00940600"/>
    <w:rsid w:val="00945297"/>
    <w:rsid w:val="00946023"/>
    <w:rsid w:val="0095036D"/>
    <w:rsid w:val="00951CAB"/>
    <w:rsid w:val="00954F6C"/>
    <w:rsid w:val="00961246"/>
    <w:rsid w:val="00962548"/>
    <w:rsid w:val="0096585E"/>
    <w:rsid w:val="00971A6E"/>
    <w:rsid w:val="00977FEB"/>
    <w:rsid w:val="00983592"/>
    <w:rsid w:val="00986B41"/>
    <w:rsid w:val="00987027"/>
    <w:rsid w:val="00991028"/>
    <w:rsid w:val="00993687"/>
    <w:rsid w:val="00995406"/>
    <w:rsid w:val="009956FF"/>
    <w:rsid w:val="009B5D90"/>
    <w:rsid w:val="009C18EF"/>
    <w:rsid w:val="009C2104"/>
    <w:rsid w:val="009D084B"/>
    <w:rsid w:val="009D099D"/>
    <w:rsid w:val="009D0DC7"/>
    <w:rsid w:val="009D3EAF"/>
    <w:rsid w:val="009D66F2"/>
    <w:rsid w:val="009E46B2"/>
    <w:rsid w:val="009E55BD"/>
    <w:rsid w:val="009F4D23"/>
    <w:rsid w:val="00A21357"/>
    <w:rsid w:val="00A21EA0"/>
    <w:rsid w:val="00A232EE"/>
    <w:rsid w:val="00A23A89"/>
    <w:rsid w:val="00A25C73"/>
    <w:rsid w:val="00A335F9"/>
    <w:rsid w:val="00A40D44"/>
    <w:rsid w:val="00A7358F"/>
    <w:rsid w:val="00A73C5A"/>
    <w:rsid w:val="00A83736"/>
    <w:rsid w:val="00A964C4"/>
    <w:rsid w:val="00AA058E"/>
    <w:rsid w:val="00AA6FFC"/>
    <w:rsid w:val="00AC16C9"/>
    <w:rsid w:val="00AC264F"/>
    <w:rsid w:val="00AC4332"/>
    <w:rsid w:val="00AD0AC0"/>
    <w:rsid w:val="00AD3129"/>
    <w:rsid w:val="00AF2EA3"/>
    <w:rsid w:val="00AF633C"/>
    <w:rsid w:val="00B12A5E"/>
    <w:rsid w:val="00B17F68"/>
    <w:rsid w:val="00B23747"/>
    <w:rsid w:val="00B24B31"/>
    <w:rsid w:val="00B301B0"/>
    <w:rsid w:val="00B36416"/>
    <w:rsid w:val="00B36EEB"/>
    <w:rsid w:val="00B37339"/>
    <w:rsid w:val="00B6007C"/>
    <w:rsid w:val="00B648B8"/>
    <w:rsid w:val="00B709E2"/>
    <w:rsid w:val="00B75D59"/>
    <w:rsid w:val="00B76C4B"/>
    <w:rsid w:val="00B774BF"/>
    <w:rsid w:val="00B777D1"/>
    <w:rsid w:val="00B81949"/>
    <w:rsid w:val="00B908E2"/>
    <w:rsid w:val="00B90B19"/>
    <w:rsid w:val="00B9154F"/>
    <w:rsid w:val="00BA1012"/>
    <w:rsid w:val="00BB1CF7"/>
    <w:rsid w:val="00BB4EE9"/>
    <w:rsid w:val="00BC45F8"/>
    <w:rsid w:val="00BD2E1F"/>
    <w:rsid w:val="00BD705F"/>
    <w:rsid w:val="00BE14A5"/>
    <w:rsid w:val="00BE3A61"/>
    <w:rsid w:val="00BE6E1B"/>
    <w:rsid w:val="00BE7BE8"/>
    <w:rsid w:val="00BF6B4D"/>
    <w:rsid w:val="00C02E41"/>
    <w:rsid w:val="00C1624E"/>
    <w:rsid w:val="00C224F3"/>
    <w:rsid w:val="00C260EB"/>
    <w:rsid w:val="00C31C3D"/>
    <w:rsid w:val="00C32F64"/>
    <w:rsid w:val="00C3599D"/>
    <w:rsid w:val="00C45A56"/>
    <w:rsid w:val="00C60B02"/>
    <w:rsid w:val="00C65B97"/>
    <w:rsid w:val="00C71FC7"/>
    <w:rsid w:val="00C763A2"/>
    <w:rsid w:val="00C82E7B"/>
    <w:rsid w:val="00C86B4D"/>
    <w:rsid w:val="00C8746E"/>
    <w:rsid w:val="00CA0457"/>
    <w:rsid w:val="00CB2344"/>
    <w:rsid w:val="00CC7C78"/>
    <w:rsid w:val="00CD5D08"/>
    <w:rsid w:val="00CD6227"/>
    <w:rsid w:val="00CE2C95"/>
    <w:rsid w:val="00CF2960"/>
    <w:rsid w:val="00CF6FDE"/>
    <w:rsid w:val="00D00F0B"/>
    <w:rsid w:val="00D03D35"/>
    <w:rsid w:val="00D04A0A"/>
    <w:rsid w:val="00D050E9"/>
    <w:rsid w:val="00D2032C"/>
    <w:rsid w:val="00D31D61"/>
    <w:rsid w:val="00D345A7"/>
    <w:rsid w:val="00D364D1"/>
    <w:rsid w:val="00D374C0"/>
    <w:rsid w:val="00D37B7F"/>
    <w:rsid w:val="00D530E9"/>
    <w:rsid w:val="00D53692"/>
    <w:rsid w:val="00D57194"/>
    <w:rsid w:val="00D60681"/>
    <w:rsid w:val="00D629A3"/>
    <w:rsid w:val="00D63CB8"/>
    <w:rsid w:val="00D6705C"/>
    <w:rsid w:val="00D74759"/>
    <w:rsid w:val="00D804C6"/>
    <w:rsid w:val="00D8637B"/>
    <w:rsid w:val="00D86F02"/>
    <w:rsid w:val="00D90FB1"/>
    <w:rsid w:val="00D93A6C"/>
    <w:rsid w:val="00D9604A"/>
    <w:rsid w:val="00D96252"/>
    <w:rsid w:val="00DB5C37"/>
    <w:rsid w:val="00DC2C75"/>
    <w:rsid w:val="00DC6A2E"/>
    <w:rsid w:val="00DC6BBA"/>
    <w:rsid w:val="00DD6151"/>
    <w:rsid w:val="00DE7706"/>
    <w:rsid w:val="00DE7C20"/>
    <w:rsid w:val="00DF54ED"/>
    <w:rsid w:val="00E026BB"/>
    <w:rsid w:val="00E02C06"/>
    <w:rsid w:val="00E06A71"/>
    <w:rsid w:val="00E1305C"/>
    <w:rsid w:val="00E14316"/>
    <w:rsid w:val="00E2233C"/>
    <w:rsid w:val="00E3065D"/>
    <w:rsid w:val="00E35651"/>
    <w:rsid w:val="00E432DF"/>
    <w:rsid w:val="00E438D6"/>
    <w:rsid w:val="00E6084E"/>
    <w:rsid w:val="00E611BE"/>
    <w:rsid w:val="00E64388"/>
    <w:rsid w:val="00E67B5F"/>
    <w:rsid w:val="00E714C5"/>
    <w:rsid w:val="00E738AC"/>
    <w:rsid w:val="00E81C00"/>
    <w:rsid w:val="00E81CFB"/>
    <w:rsid w:val="00E8690C"/>
    <w:rsid w:val="00E93040"/>
    <w:rsid w:val="00E963AC"/>
    <w:rsid w:val="00EA7FB9"/>
    <w:rsid w:val="00EB1F97"/>
    <w:rsid w:val="00EC1ED4"/>
    <w:rsid w:val="00EC7832"/>
    <w:rsid w:val="00ED1BB3"/>
    <w:rsid w:val="00ED5CB1"/>
    <w:rsid w:val="00EE210C"/>
    <w:rsid w:val="00EE2D7A"/>
    <w:rsid w:val="00EF182D"/>
    <w:rsid w:val="00EF2511"/>
    <w:rsid w:val="00EF2B66"/>
    <w:rsid w:val="00F040F2"/>
    <w:rsid w:val="00F10B8C"/>
    <w:rsid w:val="00F11A48"/>
    <w:rsid w:val="00F155DA"/>
    <w:rsid w:val="00F16105"/>
    <w:rsid w:val="00F23F76"/>
    <w:rsid w:val="00F24A9F"/>
    <w:rsid w:val="00F24BB7"/>
    <w:rsid w:val="00F41F74"/>
    <w:rsid w:val="00F43BE5"/>
    <w:rsid w:val="00F50141"/>
    <w:rsid w:val="00F60827"/>
    <w:rsid w:val="00F6493B"/>
    <w:rsid w:val="00F657FD"/>
    <w:rsid w:val="00F8169E"/>
    <w:rsid w:val="00F84D60"/>
    <w:rsid w:val="00F859EF"/>
    <w:rsid w:val="00F931E7"/>
    <w:rsid w:val="00F974D8"/>
    <w:rsid w:val="00F97710"/>
    <w:rsid w:val="00FA032B"/>
    <w:rsid w:val="00FA3DDB"/>
    <w:rsid w:val="00FC1F49"/>
    <w:rsid w:val="00FC447E"/>
    <w:rsid w:val="00FD2D8E"/>
    <w:rsid w:val="00FD57D3"/>
    <w:rsid w:val="01A54858"/>
    <w:rsid w:val="03339C4C"/>
    <w:rsid w:val="07BD7BF9"/>
    <w:rsid w:val="09D360FD"/>
    <w:rsid w:val="0D400DA8"/>
    <w:rsid w:val="0F267028"/>
    <w:rsid w:val="1F959FA3"/>
    <w:rsid w:val="28D04EF4"/>
    <w:rsid w:val="2923598C"/>
    <w:rsid w:val="2C5AFA4E"/>
    <w:rsid w:val="48349212"/>
    <w:rsid w:val="4E06850F"/>
    <w:rsid w:val="59985212"/>
    <w:rsid w:val="5AD5EA02"/>
    <w:rsid w:val="65A7B7BA"/>
    <w:rsid w:val="678DAD52"/>
    <w:rsid w:val="6C928040"/>
    <w:rsid w:val="70F85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76C04"/>
  <w15:chartTrackingRefBased/>
  <w15:docId w15:val="{0A032D46-6752-DD47-B8F2-E9B3F1B0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600"/>
    <w:pPr>
      <w:spacing w:line="360" w:lineRule="auto"/>
    </w:pPr>
    <w:rPr>
      <w:rFonts w:ascii="IBM Plex Sans" w:eastAsia="Times New Roman" w:hAnsi="IBM Plex Sans" w:cs="Times New Roman"/>
      <w:sz w:val="22"/>
      <w:lang w:eastAsia="en-GB"/>
    </w:rPr>
  </w:style>
  <w:style w:type="paragraph" w:styleId="Kop1">
    <w:name w:val="heading 1"/>
    <w:basedOn w:val="Standaard"/>
    <w:next w:val="Standaard"/>
    <w:link w:val="Kop1Char"/>
    <w:autoRedefine/>
    <w:uiPriority w:val="9"/>
    <w:qFormat/>
    <w:rsid w:val="00940600"/>
    <w:pPr>
      <w:keepNext/>
      <w:keepLines/>
      <w:spacing w:before="240"/>
      <w:outlineLvl w:val="0"/>
    </w:pPr>
    <w:rPr>
      <w:rFonts w:eastAsiaTheme="majorEastAsia" w:cstheme="majorBidi"/>
      <w:color w:val="0B4195"/>
      <w:sz w:val="28"/>
      <w:szCs w:val="28"/>
    </w:rPr>
  </w:style>
  <w:style w:type="paragraph" w:styleId="Kop2">
    <w:name w:val="heading 2"/>
    <w:basedOn w:val="Standaard"/>
    <w:next w:val="Standaard"/>
    <w:link w:val="Kop2Char"/>
    <w:autoRedefine/>
    <w:uiPriority w:val="9"/>
    <w:unhideWhenUsed/>
    <w:qFormat/>
    <w:rsid w:val="00940600"/>
    <w:pPr>
      <w:keepNext/>
      <w:keepLines/>
      <w:shd w:val="clear" w:color="auto" w:fill="FFFFFF"/>
      <w:spacing w:before="360" w:after="120" w:line="276" w:lineRule="auto"/>
      <w:outlineLvl w:val="1"/>
    </w:pPr>
    <w:rPr>
      <w:rFonts w:eastAsiaTheme="majorEastAsia" w:cs="Arial"/>
      <w:bCs/>
      <w:color w:val="2F5496" w:themeColor="accent1" w:themeShade="BF"/>
      <w:sz w:val="24"/>
      <w:szCs w:val="26"/>
    </w:rPr>
  </w:style>
  <w:style w:type="paragraph" w:styleId="Kop3">
    <w:name w:val="heading 3"/>
    <w:basedOn w:val="Standaard"/>
    <w:next w:val="Standaard"/>
    <w:link w:val="Kop3Char"/>
    <w:autoRedefine/>
    <w:uiPriority w:val="9"/>
    <w:unhideWhenUsed/>
    <w:qFormat/>
    <w:rsid w:val="00B774BF"/>
    <w:pPr>
      <w:keepNext/>
      <w:keepLines/>
      <w:spacing w:before="120" w:after="120" w:line="276" w:lineRule="auto"/>
      <w:outlineLvl w:val="2"/>
    </w:pPr>
    <w:rPr>
      <w:rFonts w:eastAsiaTheme="majorEastAsia" w:cstheme="majorBidi"/>
      <w:b/>
      <w:color w:val="0B4195"/>
      <w:lang w:val="en-GB"/>
    </w:rPr>
  </w:style>
  <w:style w:type="paragraph" w:styleId="Kop4">
    <w:name w:val="heading 4"/>
    <w:basedOn w:val="Standaard"/>
    <w:next w:val="Standaard"/>
    <w:link w:val="Kop4Char"/>
    <w:autoRedefine/>
    <w:uiPriority w:val="9"/>
    <w:semiHidden/>
    <w:unhideWhenUsed/>
    <w:qFormat/>
    <w:rsid w:val="00C8746E"/>
    <w:pPr>
      <w:keepNext/>
      <w:keepLines/>
      <w:spacing w:before="40"/>
      <w:outlineLvl w:val="3"/>
    </w:pPr>
    <w:rPr>
      <w:rFonts w:eastAsiaTheme="majorEastAsia"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600"/>
    <w:rPr>
      <w:rFonts w:ascii="IBM Plex Sans" w:eastAsiaTheme="majorEastAsia" w:hAnsi="IBM Plex Sans" w:cstheme="majorBidi"/>
      <w:color w:val="0B4195"/>
      <w:sz w:val="28"/>
      <w:szCs w:val="28"/>
      <w:lang w:eastAsia="en-GB"/>
    </w:rPr>
  </w:style>
  <w:style w:type="character" w:customStyle="1" w:styleId="Kop2Char">
    <w:name w:val="Kop 2 Char"/>
    <w:basedOn w:val="Standaardalinea-lettertype"/>
    <w:link w:val="Kop2"/>
    <w:uiPriority w:val="9"/>
    <w:rsid w:val="00940600"/>
    <w:rPr>
      <w:rFonts w:ascii="IBM Plex Sans" w:eastAsiaTheme="majorEastAsia" w:hAnsi="IBM Plex Sans" w:cs="Arial"/>
      <w:bCs/>
      <w:color w:val="2F5496" w:themeColor="accent1" w:themeShade="BF"/>
      <w:szCs w:val="26"/>
      <w:shd w:val="clear" w:color="auto" w:fill="FFFFFF"/>
      <w:lang w:eastAsia="en-GB"/>
    </w:rPr>
  </w:style>
  <w:style w:type="character" w:customStyle="1" w:styleId="Kop3Char">
    <w:name w:val="Kop 3 Char"/>
    <w:basedOn w:val="Standaardalinea-lettertype"/>
    <w:link w:val="Kop3"/>
    <w:uiPriority w:val="9"/>
    <w:rsid w:val="00B774BF"/>
    <w:rPr>
      <w:rFonts w:ascii="IBM Plex Sans" w:eastAsiaTheme="majorEastAsia" w:hAnsi="IBM Plex Sans" w:cstheme="majorBidi"/>
      <w:b/>
      <w:color w:val="0B4195"/>
      <w:sz w:val="22"/>
      <w:lang w:val="en-GB" w:eastAsia="en-GB"/>
    </w:rPr>
  </w:style>
  <w:style w:type="character" w:styleId="Tekstvantijdelijkeaanduiding">
    <w:name w:val="Placeholder Text"/>
    <w:basedOn w:val="Standaardalinea-lettertype"/>
    <w:uiPriority w:val="99"/>
    <w:semiHidden/>
    <w:rsid w:val="00905E19"/>
    <w:rPr>
      <w:color w:val="808080"/>
    </w:rPr>
  </w:style>
  <w:style w:type="paragraph" w:styleId="Koptekst">
    <w:name w:val="header"/>
    <w:basedOn w:val="Standaard"/>
    <w:link w:val="KoptekstChar"/>
    <w:autoRedefine/>
    <w:uiPriority w:val="99"/>
    <w:unhideWhenUsed/>
    <w:qFormat/>
    <w:rsid w:val="007171AB"/>
    <w:pPr>
      <w:tabs>
        <w:tab w:val="center" w:pos="4536"/>
        <w:tab w:val="right" w:pos="9072"/>
      </w:tabs>
      <w:jc w:val="center"/>
    </w:pPr>
    <w:rPr>
      <w:color w:val="FFFFFF" w:themeColor="background1"/>
      <w:sz w:val="56"/>
      <w:lang w:val="en-US"/>
    </w:rPr>
  </w:style>
  <w:style w:type="character" w:customStyle="1" w:styleId="KoptekstChar">
    <w:name w:val="Koptekst Char"/>
    <w:basedOn w:val="Standaardalinea-lettertype"/>
    <w:link w:val="Koptekst"/>
    <w:uiPriority w:val="99"/>
    <w:rsid w:val="007171AB"/>
    <w:rPr>
      <w:rFonts w:ascii="IBM Plex Sans" w:hAnsi="IBM Plex Sans"/>
      <w:color w:val="FFFFFF" w:themeColor="background1"/>
      <w:sz w:val="56"/>
      <w:szCs w:val="22"/>
      <w:lang w:val="en-US"/>
    </w:rPr>
  </w:style>
  <w:style w:type="paragraph" w:styleId="Voettekst">
    <w:name w:val="footer"/>
    <w:basedOn w:val="Standaard"/>
    <w:link w:val="VoettekstChar"/>
    <w:uiPriority w:val="99"/>
    <w:unhideWhenUsed/>
    <w:rsid w:val="00905E19"/>
    <w:pPr>
      <w:tabs>
        <w:tab w:val="center" w:pos="4536"/>
        <w:tab w:val="right" w:pos="9072"/>
      </w:tabs>
    </w:pPr>
  </w:style>
  <w:style w:type="character" w:customStyle="1" w:styleId="VoettekstChar">
    <w:name w:val="Voettekst Char"/>
    <w:basedOn w:val="Standaardalinea-lettertype"/>
    <w:link w:val="Voettekst"/>
    <w:uiPriority w:val="99"/>
    <w:rsid w:val="00905E19"/>
    <w:rPr>
      <w:sz w:val="22"/>
      <w:szCs w:val="22"/>
      <w:lang w:val="en-GB"/>
    </w:rPr>
  </w:style>
  <w:style w:type="paragraph" w:styleId="Titel">
    <w:name w:val="Title"/>
    <w:basedOn w:val="Standaard"/>
    <w:next w:val="Standaard"/>
    <w:link w:val="TitelChar"/>
    <w:autoRedefine/>
    <w:uiPriority w:val="10"/>
    <w:qFormat/>
    <w:rsid w:val="00F974D8"/>
    <w:pPr>
      <w:pBdr>
        <w:bottom w:val="single" w:sz="18" w:space="1" w:color="1F3864" w:themeColor="accent1" w:themeShade="80"/>
      </w:pBdr>
      <w:spacing w:before="120" w:after="120" w:line="276" w:lineRule="auto"/>
      <w:contextualSpacing/>
    </w:pPr>
    <w:rPr>
      <w:rFonts w:eastAsiaTheme="majorEastAsia" w:cstheme="majorBidi"/>
      <w:color w:val="0F2C60"/>
      <w:spacing w:val="-10"/>
      <w:kern w:val="28"/>
      <w:sz w:val="24"/>
    </w:rPr>
  </w:style>
  <w:style w:type="character" w:customStyle="1" w:styleId="TitelChar">
    <w:name w:val="Titel Char"/>
    <w:basedOn w:val="Standaardalinea-lettertype"/>
    <w:link w:val="Titel"/>
    <w:uiPriority w:val="10"/>
    <w:rsid w:val="00F974D8"/>
    <w:rPr>
      <w:rFonts w:ascii="IBM Plex Sans" w:eastAsiaTheme="majorEastAsia" w:hAnsi="IBM Plex Sans" w:cstheme="majorBidi"/>
      <w:color w:val="0F2C60"/>
      <w:spacing w:val="-10"/>
      <w:kern w:val="28"/>
      <w:lang w:eastAsia="en-GB"/>
    </w:rPr>
  </w:style>
  <w:style w:type="paragraph" w:styleId="Lijstalinea">
    <w:name w:val="List Paragraph"/>
    <w:basedOn w:val="Standaard"/>
    <w:uiPriority w:val="34"/>
    <w:qFormat/>
    <w:rsid w:val="00DF54ED"/>
    <w:pPr>
      <w:ind w:left="720"/>
      <w:contextualSpacing/>
    </w:pPr>
  </w:style>
  <w:style w:type="paragraph" w:styleId="Revisie">
    <w:name w:val="Revision"/>
    <w:hidden/>
    <w:uiPriority w:val="99"/>
    <w:semiHidden/>
    <w:rsid w:val="00001B07"/>
    <w:rPr>
      <w:sz w:val="22"/>
      <w:szCs w:val="22"/>
    </w:rPr>
  </w:style>
  <w:style w:type="character" w:styleId="Zwaar">
    <w:name w:val="Strong"/>
    <w:basedOn w:val="Standaardalinea-lettertype"/>
    <w:uiPriority w:val="22"/>
    <w:qFormat/>
    <w:rsid w:val="002923B1"/>
    <w:rPr>
      <w:b/>
      <w:bCs/>
      <w:color w:val="009EE3"/>
    </w:rPr>
  </w:style>
  <w:style w:type="character" w:styleId="Titelvanboek">
    <w:name w:val="Book Title"/>
    <w:basedOn w:val="VoettekstChar"/>
    <w:uiPriority w:val="33"/>
    <w:qFormat/>
    <w:rsid w:val="00442A77"/>
    <w:rPr>
      <w:rFonts w:ascii="IBM Plex Sans" w:hAnsi="IBM Plex Sans"/>
      <w:b/>
      <w:bCs/>
      <w:i w:val="0"/>
      <w:iCs/>
      <w:color w:val="FFFFFF" w:themeColor="background1"/>
      <w:spacing w:val="5"/>
      <w:sz w:val="40"/>
      <w:szCs w:val="22"/>
      <w:lang w:val="en-GB"/>
    </w:rPr>
  </w:style>
  <w:style w:type="paragraph" w:styleId="Ondertitel">
    <w:name w:val="Subtitle"/>
    <w:basedOn w:val="Standaard"/>
    <w:next w:val="Standaard"/>
    <w:link w:val="OndertitelChar"/>
    <w:autoRedefine/>
    <w:uiPriority w:val="11"/>
    <w:qFormat/>
    <w:rsid w:val="00D53692"/>
    <w:pPr>
      <w:numPr>
        <w:ilvl w:val="1"/>
      </w:numPr>
      <w:spacing w:after="160"/>
    </w:pPr>
    <w:rPr>
      <w:rFonts w:eastAsiaTheme="minorEastAsia"/>
      <w:i/>
      <w:color w:val="0B4195"/>
      <w:spacing w:val="15"/>
    </w:rPr>
  </w:style>
  <w:style w:type="character" w:customStyle="1" w:styleId="OndertitelChar">
    <w:name w:val="Ondertitel Char"/>
    <w:basedOn w:val="Standaardalinea-lettertype"/>
    <w:link w:val="Ondertitel"/>
    <w:uiPriority w:val="11"/>
    <w:rsid w:val="00D53692"/>
    <w:rPr>
      <w:rFonts w:ascii="IBM Plex Sans" w:eastAsiaTheme="minorEastAsia" w:hAnsi="IBM Plex Sans"/>
      <w:i/>
      <w:color w:val="0B4195"/>
      <w:spacing w:val="15"/>
      <w:sz w:val="22"/>
      <w:szCs w:val="22"/>
    </w:rPr>
  </w:style>
  <w:style w:type="character" w:customStyle="1" w:styleId="Kop4Char">
    <w:name w:val="Kop 4 Char"/>
    <w:basedOn w:val="Standaardalinea-lettertype"/>
    <w:link w:val="Kop4"/>
    <w:uiPriority w:val="9"/>
    <w:semiHidden/>
    <w:rsid w:val="00C8746E"/>
    <w:rPr>
      <w:rFonts w:ascii="IBM Plex Sans" w:eastAsiaTheme="majorEastAsia" w:hAnsi="IBM Plex Sans" w:cstheme="majorBidi"/>
      <w:i/>
      <w:iCs/>
      <w:color w:val="2F5496" w:themeColor="accent1" w:themeShade="BF"/>
      <w:lang w:eastAsia="en-GB"/>
    </w:rPr>
  </w:style>
  <w:style w:type="paragraph" w:styleId="Normaalweb">
    <w:name w:val="Normal (Web)"/>
    <w:basedOn w:val="Standaard"/>
    <w:uiPriority w:val="99"/>
    <w:unhideWhenUsed/>
    <w:rsid w:val="00AF633C"/>
    <w:pPr>
      <w:spacing w:before="100" w:beforeAutospacing="1" w:after="100" w:afterAutospacing="1"/>
    </w:pPr>
    <w:rPr>
      <w:rFonts w:ascii="Times New Roman" w:hAnsi="Times New Roman"/>
    </w:rPr>
  </w:style>
  <w:style w:type="table" w:styleId="Tabelraster">
    <w:name w:val="Table Grid"/>
    <w:basedOn w:val="Standaardtabel"/>
    <w:uiPriority w:val="39"/>
    <w:rsid w:val="00AF6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50141"/>
    <w:rPr>
      <w:sz w:val="20"/>
      <w:szCs w:val="20"/>
    </w:rPr>
  </w:style>
  <w:style w:type="character" w:customStyle="1" w:styleId="VoetnoottekstChar">
    <w:name w:val="Voetnoottekst Char"/>
    <w:basedOn w:val="Standaardalinea-lettertype"/>
    <w:link w:val="Voetnoottekst"/>
    <w:uiPriority w:val="99"/>
    <w:semiHidden/>
    <w:rsid w:val="00F50141"/>
    <w:rPr>
      <w:rFonts w:ascii="IBM Plex Sans" w:eastAsia="Times New Roman" w:hAnsi="IBM Plex Sans" w:cs="Times New Roman"/>
      <w:sz w:val="20"/>
      <w:szCs w:val="20"/>
      <w:lang w:eastAsia="en-GB"/>
    </w:rPr>
  </w:style>
  <w:style w:type="character" w:styleId="Voetnootmarkering">
    <w:name w:val="footnote reference"/>
    <w:basedOn w:val="Standaardalinea-lettertype"/>
    <w:uiPriority w:val="99"/>
    <w:semiHidden/>
    <w:unhideWhenUsed/>
    <w:rsid w:val="00F50141"/>
    <w:rPr>
      <w:vertAlign w:val="superscript"/>
    </w:rPr>
  </w:style>
  <w:style w:type="character" w:customStyle="1" w:styleId="white-space-pre">
    <w:name w:val="white-space-pre"/>
    <w:basedOn w:val="Standaardalinea-lettertype"/>
    <w:rsid w:val="00FD2D8E"/>
  </w:style>
  <w:style w:type="character" w:styleId="Hyperlink">
    <w:name w:val="Hyperlink"/>
    <w:basedOn w:val="Standaardalinea-lettertype"/>
    <w:uiPriority w:val="99"/>
    <w:unhideWhenUsed/>
    <w:rsid w:val="00FD2D8E"/>
    <w:rPr>
      <w:color w:val="0000FF"/>
      <w:u w:val="single"/>
    </w:rPr>
  </w:style>
  <w:style w:type="character" w:styleId="Verwijzingopmerking">
    <w:name w:val="annotation reference"/>
    <w:basedOn w:val="Standaardalinea-lettertype"/>
    <w:uiPriority w:val="99"/>
    <w:semiHidden/>
    <w:unhideWhenUsed/>
    <w:rsid w:val="00827E1A"/>
    <w:rPr>
      <w:sz w:val="16"/>
      <w:szCs w:val="16"/>
    </w:rPr>
  </w:style>
  <w:style w:type="paragraph" w:styleId="Tekstopmerking">
    <w:name w:val="annotation text"/>
    <w:basedOn w:val="Standaard"/>
    <w:link w:val="TekstopmerkingChar"/>
    <w:uiPriority w:val="99"/>
    <w:unhideWhenUsed/>
    <w:rsid w:val="00827E1A"/>
    <w:rPr>
      <w:sz w:val="20"/>
      <w:szCs w:val="20"/>
    </w:rPr>
  </w:style>
  <w:style w:type="character" w:customStyle="1" w:styleId="TekstopmerkingChar">
    <w:name w:val="Tekst opmerking Char"/>
    <w:basedOn w:val="Standaardalinea-lettertype"/>
    <w:link w:val="Tekstopmerking"/>
    <w:uiPriority w:val="99"/>
    <w:rsid w:val="00827E1A"/>
    <w:rPr>
      <w:rFonts w:ascii="IBM Plex Sans" w:eastAsia="Times New Roman" w:hAnsi="IBM Plex Sans" w:cs="Times New Roman"/>
      <w:sz w:val="20"/>
      <w:szCs w:val="20"/>
      <w:lang w:eastAsia="en-GB"/>
    </w:rPr>
  </w:style>
  <w:style w:type="paragraph" w:styleId="Onderwerpvanopmerking">
    <w:name w:val="annotation subject"/>
    <w:basedOn w:val="Tekstopmerking"/>
    <w:next w:val="Tekstopmerking"/>
    <w:link w:val="OnderwerpvanopmerkingChar"/>
    <w:uiPriority w:val="99"/>
    <w:semiHidden/>
    <w:unhideWhenUsed/>
    <w:rsid w:val="00827E1A"/>
    <w:rPr>
      <w:b/>
      <w:bCs/>
    </w:rPr>
  </w:style>
  <w:style w:type="character" w:customStyle="1" w:styleId="OnderwerpvanopmerkingChar">
    <w:name w:val="Onderwerp van opmerking Char"/>
    <w:basedOn w:val="TekstopmerkingChar"/>
    <w:link w:val="Onderwerpvanopmerking"/>
    <w:uiPriority w:val="99"/>
    <w:semiHidden/>
    <w:rsid w:val="00827E1A"/>
    <w:rPr>
      <w:rFonts w:ascii="IBM Plex Sans" w:eastAsia="Times New Roman" w:hAnsi="IBM Plex Sans" w:cs="Times New Roman"/>
      <w:b/>
      <w:bCs/>
      <w:sz w:val="20"/>
      <w:szCs w:val="20"/>
      <w:lang w:eastAsia="en-GB"/>
    </w:rPr>
  </w:style>
  <w:style w:type="paragraph" w:styleId="HTML-voorafopgemaakt">
    <w:name w:val="HTML Preformatted"/>
    <w:basedOn w:val="Standaard"/>
    <w:link w:val="HTML-voorafopgemaaktChar"/>
    <w:uiPriority w:val="99"/>
    <w:semiHidden/>
    <w:unhideWhenUsed/>
    <w:rsid w:val="0058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58254D"/>
    <w:rPr>
      <w:rFonts w:ascii="Courier New" w:eastAsia="Times New Roman" w:hAnsi="Courier New" w:cs="Courier New"/>
      <w:sz w:val="20"/>
      <w:szCs w:val="20"/>
      <w:lang w:eastAsia="en-GB"/>
    </w:rPr>
  </w:style>
  <w:style w:type="character" w:styleId="Nadruk">
    <w:name w:val="Emphasis"/>
    <w:basedOn w:val="Standaardalinea-lettertype"/>
    <w:uiPriority w:val="20"/>
    <w:qFormat/>
    <w:rsid w:val="000D17BB"/>
    <w:rPr>
      <w:i/>
      <w:iCs/>
    </w:rPr>
  </w:style>
  <w:style w:type="paragraph" w:styleId="Geenafstand">
    <w:name w:val="No Spacing"/>
    <w:uiPriority w:val="1"/>
    <w:qFormat/>
    <w:rsid w:val="008473BE"/>
    <w:rPr>
      <w:rFonts w:ascii="IBM Plex Sans" w:eastAsia="Times New Roman" w:hAnsi="IBM Plex Sans" w:cs="Times New Roman"/>
      <w:lang w:eastAsia="en-GB"/>
    </w:rPr>
  </w:style>
  <w:style w:type="character" w:styleId="Onopgelostemelding">
    <w:name w:val="Unresolved Mention"/>
    <w:basedOn w:val="Standaardalinea-lettertype"/>
    <w:uiPriority w:val="99"/>
    <w:semiHidden/>
    <w:unhideWhenUsed/>
    <w:rsid w:val="00B774BF"/>
    <w:rPr>
      <w:color w:val="605E5C"/>
      <w:shd w:val="clear" w:color="auto" w:fill="E1DFDD"/>
    </w:rPr>
  </w:style>
  <w:style w:type="character" w:styleId="Paginanummer">
    <w:name w:val="page number"/>
    <w:basedOn w:val="Standaardalinea-lettertype"/>
    <w:uiPriority w:val="99"/>
    <w:semiHidden/>
    <w:unhideWhenUsed/>
    <w:rsid w:val="004376F1"/>
  </w:style>
  <w:style w:type="character" w:styleId="GevolgdeHyperlink">
    <w:name w:val="FollowedHyperlink"/>
    <w:basedOn w:val="Standaardalinea-lettertype"/>
    <w:uiPriority w:val="99"/>
    <w:semiHidden/>
    <w:unhideWhenUsed/>
    <w:rsid w:val="006524CA"/>
    <w:rPr>
      <w:color w:val="954F72" w:themeColor="followedHyperlink"/>
      <w:u w:val="single"/>
    </w:rPr>
  </w:style>
  <w:style w:type="paragraph" w:customStyle="1" w:styleId="paragraph">
    <w:name w:val="paragraph"/>
    <w:basedOn w:val="Standaard"/>
    <w:rsid w:val="003A5FC0"/>
    <w:pPr>
      <w:spacing w:before="100" w:beforeAutospacing="1" w:after="100" w:afterAutospacing="1" w:line="240" w:lineRule="auto"/>
    </w:pPr>
    <w:rPr>
      <w:rFonts w:ascii="Times New Roman" w:hAnsi="Times New Roman"/>
      <w:sz w:val="24"/>
      <w:lang w:eastAsia="nl-NL"/>
    </w:rPr>
  </w:style>
  <w:style w:type="character" w:customStyle="1" w:styleId="normaltextrun">
    <w:name w:val="normaltextrun"/>
    <w:basedOn w:val="Standaardalinea-lettertype"/>
    <w:rsid w:val="003A5FC0"/>
  </w:style>
  <w:style w:type="character" w:customStyle="1" w:styleId="eop">
    <w:name w:val="eop"/>
    <w:basedOn w:val="Standaardalinea-lettertype"/>
    <w:rsid w:val="003A5FC0"/>
  </w:style>
  <w:style w:type="paragraph" w:customStyle="1" w:styleId="p1">
    <w:name w:val="p1"/>
    <w:basedOn w:val="Standaard"/>
    <w:rsid w:val="00D8637B"/>
    <w:pPr>
      <w:spacing w:line="240" w:lineRule="auto"/>
    </w:pPr>
    <w:rPr>
      <w:rFonts w:ascii="Verdana" w:hAnsi="Verdana"/>
      <w:color w:val="000000"/>
      <w:sz w:val="14"/>
      <w:szCs w:val="14"/>
      <w:lang w:eastAsia="nl-NL"/>
    </w:rPr>
  </w:style>
  <w:style w:type="character" w:customStyle="1" w:styleId="s1">
    <w:name w:val="s1"/>
    <w:basedOn w:val="Standaardalinea-lettertype"/>
    <w:rsid w:val="00D8637B"/>
    <w:rPr>
      <w:rFonts w:ascii="Helvetica" w:hAnsi="Helvetica" w:hint="default"/>
      <w:sz w:val="14"/>
      <w:szCs w:val="14"/>
    </w:rPr>
  </w:style>
  <w:style w:type="character" w:customStyle="1" w:styleId="s2">
    <w:name w:val="s2"/>
    <w:basedOn w:val="Standaardalinea-lettertype"/>
    <w:rsid w:val="00D8637B"/>
    <w:rPr>
      <w:rFonts w:ascii="Arial" w:hAnsi="Arial" w:cs="Arial"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4471">
      <w:bodyDiv w:val="1"/>
      <w:marLeft w:val="0"/>
      <w:marRight w:val="0"/>
      <w:marTop w:val="0"/>
      <w:marBottom w:val="0"/>
      <w:divBdr>
        <w:top w:val="none" w:sz="0" w:space="0" w:color="auto"/>
        <w:left w:val="none" w:sz="0" w:space="0" w:color="auto"/>
        <w:bottom w:val="none" w:sz="0" w:space="0" w:color="auto"/>
        <w:right w:val="none" w:sz="0" w:space="0" w:color="auto"/>
      </w:divBdr>
    </w:div>
    <w:div w:id="241108626">
      <w:bodyDiv w:val="1"/>
      <w:marLeft w:val="0"/>
      <w:marRight w:val="0"/>
      <w:marTop w:val="0"/>
      <w:marBottom w:val="0"/>
      <w:divBdr>
        <w:top w:val="none" w:sz="0" w:space="0" w:color="auto"/>
        <w:left w:val="none" w:sz="0" w:space="0" w:color="auto"/>
        <w:bottom w:val="none" w:sz="0" w:space="0" w:color="auto"/>
        <w:right w:val="none" w:sz="0" w:space="0" w:color="auto"/>
      </w:divBdr>
    </w:div>
    <w:div w:id="346640570">
      <w:bodyDiv w:val="1"/>
      <w:marLeft w:val="0"/>
      <w:marRight w:val="0"/>
      <w:marTop w:val="0"/>
      <w:marBottom w:val="0"/>
      <w:divBdr>
        <w:top w:val="none" w:sz="0" w:space="0" w:color="auto"/>
        <w:left w:val="none" w:sz="0" w:space="0" w:color="auto"/>
        <w:bottom w:val="none" w:sz="0" w:space="0" w:color="auto"/>
        <w:right w:val="none" w:sz="0" w:space="0" w:color="auto"/>
      </w:divBdr>
    </w:div>
    <w:div w:id="351998454">
      <w:bodyDiv w:val="1"/>
      <w:marLeft w:val="0"/>
      <w:marRight w:val="0"/>
      <w:marTop w:val="0"/>
      <w:marBottom w:val="0"/>
      <w:divBdr>
        <w:top w:val="none" w:sz="0" w:space="0" w:color="auto"/>
        <w:left w:val="none" w:sz="0" w:space="0" w:color="auto"/>
        <w:bottom w:val="none" w:sz="0" w:space="0" w:color="auto"/>
        <w:right w:val="none" w:sz="0" w:space="0" w:color="auto"/>
      </w:divBdr>
    </w:div>
    <w:div w:id="559172588">
      <w:bodyDiv w:val="1"/>
      <w:marLeft w:val="0"/>
      <w:marRight w:val="0"/>
      <w:marTop w:val="0"/>
      <w:marBottom w:val="0"/>
      <w:divBdr>
        <w:top w:val="none" w:sz="0" w:space="0" w:color="auto"/>
        <w:left w:val="none" w:sz="0" w:space="0" w:color="auto"/>
        <w:bottom w:val="none" w:sz="0" w:space="0" w:color="auto"/>
        <w:right w:val="none" w:sz="0" w:space="0" w:color="auto"/>
      </w:divBdr>
    </w:div>
    <w:div w:id="562063151">
      <w:bodyDiv w:val="1"/>
      <w:marLeft w:val="0"/>
      <w:marRight w:val="0"/>
      <w:marTop w:val="0"/>
      <w:marBottom w:val="0"/>
      <w:divBdr>
        <w:top w:val="none" w:sz="0" w:space="0" w:color="auto"/>
        <w:left w:val="none" w:sz="0" w:space="0" w:color="auto"/>
        <w:bottom w:val="none" w:sz="0" w:space="0" w:color="auto"/>
        <w:right w:val="none" w:sz="0" w:space="0" w:color="auto"/>
      </w:divBdr>
    </w:div>
    <w:div w:id="679504454">
      <w:bodyDiv w:val="1"/>
      <w:marLeft w:val="0"/>
      <w:marRight w:val="0"/>
      <w:marTop w:val="0"/>
      <w:marBottom w:val="0"/>
      <w:divBdr>
        <w:top w:val="none" w:sz="0" w:space="0" w:color="auto"/>
        <w:left w:val="none" w:sz="0" w:space="0" w:color="auto"/>
        <w:bottom w:val="none" w:sz="0" w:space="0" w:color="auto"/>
        <w:right w:val="none" w:sz="0" w:space="0" w:color="auto"/>
      </w:divBdr>
    </w:div>
    <w:div w:id="862133481">
      <w:bodyDiv w:val="1"/>
      <w:marLeft w:val="0"/>
      <w:marRight w:val="0"/>
      <w:marTop w:val="0"/>
      <w:marBottom w:val="0"/>
      <w:divBdr>
        <w:top w:val="none" w:sz="0" w:space="0" w:color="auto"/>
        <w:left w:val="none" w:sz="0" w:space="0" w:color="auto"/>
        <w:bottom w:val="none" w:sz="0" w:space="0" w:color="auto"/>
        <w:right w:val="none" w:sz="0" w:space="0" w:color="auto"/>
      </w:divBdr>
    </w:div>
    <w:div w:id="938567786">
      <w:bodyDiv w:val="1"/>
      <w:marLeft w:val="0"/>
      <w:marRight w:val="0"/>
      <w:marTop w:val="0"/>
      <w:marBottom w:val="0"/>
      <w:divBdr>
        <w:top w:val="none" w:sz="0" w:space="0" w:color="auto"/>
        <w:left w:val="none" w:sz="0" w:space="0" w:color="auto"/>
        <w:bottom w:val="none" w:sz="0" w:space="0" w:color="auto"/>
        <w:right w:val="none" w:sz="0" w:space="0" w:color="auto"/>
      </w:divBdr>
    </w:div>
    <w:div w:id="1069614391">
      <w:bodyDiv w:val="1"/>
      <w:marLeft w:val="0"/>
      <w:marRight w:val="0"/>
      <w:marTop w:val="0"/>
      <w:marBottom w:val="0"/>
      <w:divBdr>
        <w:top w:val="none" w:sz="0" w:space="0" w:color="auto"/>
        <w:left w:val="none" w:sz="0" w:space="0" w:color="auto"/>
        <w:bottom w:val="none" w:sz="0" w:space="0" w:color="auto"/>
        <w:right w:val="none" w:sz="0" w:space="0" w:color="auto"/>
      </w:divBdr>
    </w:div>
    <w:div w:id="1084687028">
      <w:bodyDiv w:val="1"/>
      <w:marLeft w:val="0"/>
      <w:marRight w:val="0"/>
      <w:marTop w:val="0"/>
      <w:marBottom w:val="0"/>
      <w:divBdr>
        <w:top w:val="none" w:sz="0" w:space="0" w:color="auto"/>
        <w:left w:val="none" w:sz="0" w:space="0" w:color="auto"/>
        <w:bottom w:val="none" w:sz="0" w:space="0" w:color="auto"/>
        <w:right w:val="none" w:sz="0" w:space="0" w:color="auto"/>
      </w:divBdr>
    </w:div>
    <w:div w:id="1269897867">
      <w:bodyDiv w:val="1"/>
      <w:marLeft w:val="0"/>
      <w:marRight w:val="0"/>
      <w:marTop w:val="0"/>
      <w:marBottom w:val="0"/>
      <w:divBdr>
        <w:top w:val="none" w:sz="0" w:space="0" w:color="auto"/>
        <w:left w:val="none" w:sz="0" w:space="0" w:color="auto"/>
        <w:bottom w:val="none" w:sz="0" w:space="0" w:color="auto"/>
        <w:right w:val="none" w:sz="0" w:space="0" w:color="auto"/>
      </w:divBdr>
    </w:div>
    <w:div w:id="1276985750">
      <w:bodyDiv w:val="1"/>
      <w:marLeft w:val="0"/>
      <w:marRight w:val="0"/>
      <w:marTop w:val="0"/>
      <w:marBottom w:val="0"/>
      <w:divBdr>
        <w:top w:val="none" w:sz="0" w:space="0" w:color="auto"/>
        <w:left w:val="none" w:sz="0" w:space="0" w:color="auto"/>
        <w:bottom w:val="none" w:sz="0" w:space="0" w:color="auto"/>
        <w:right w:val="none" w:sz="0" w:space="0" w:color="auto"/>
      </w:divBdr>
    </w:div>
    <w:div w:id="1330786493">
      <w:bodyDiv w:val="1"/>
      <w:marLeft w:val="0"/>
      <w:marRight w:val="0"/>
      <w:marTop w:val="0"/>
      <w:marBottom w:val="0"/>
      <w:divBdr>
        <w:top w:val="none" w:sz="0" w:space="0" w:color="auto"/>
        <w:left w:val="none" w:sz="0" w:space="0" w:color="auto"/>
        <w:bottom w:val="none" w:sz="0" w:space="0" w:color="auto"/>
        <w:right w:val="none" w:sz="0" w:space="0" w:color="auto"/>
      </w:divBdr>
    </w:div>
    <w:div w:id="1359625084">
      <w:bodyDiv w:val="1"/>
      <w:marLeft w:val="0"/>
      <w:marRight w:val="0"/>
      <w:marTop w:val="0"/>
      <w:marBottom w:val="0"/>
      <w:divBdr>
        <w:top w:val="none" w:sz="0" w:space="0" w:color="auto"/>
        <w:left w:val="none" w:sz="0" w:space="0" w:color="auto"/>
        <w:bottom w:val="none" w:sz="0" w:space="0" w:color="auto"/>
        <w:right w:val="none" w:sz="0" w:space="0" w:color="auto"/>
      </w:divBdr>
    </w:div>
    <w:div w:id="1368674258">
      <w:bodyDiv w:val="1"/>
      <w:marLeft w:val="0"/>
      <w:marRight w:val="0"/>
      <w:marTop w:val="0"/>
      <w:marBottom w:val="0"/>
      <w:divBdr>
        <w:top w:val="none" w:sz="0" w:space="0" w:color="auto"/>
        <w:left w:val="none" w:sz="0" w:space="0" w:color="auto"/>
        <w:bottom w:val="none" w:sz="0" w:space="0" w:color="auto"/>
        <w:right w:val="none" w:sz="0" w:space="0" w:color="auto"/>
      </w:divBdr>
      <w:divsChild>
        <w:div w:id="1609117338">
          <w:marLeft w:val="0"/>
          <w:marRight w:val="0"/>
          <w:marTop w:val="0"/>
          <w:marBottom w:val="0"/>
          <w:divBdr>
            <w:top w:val="none" w:sz="0" w:space="0" w:color="auto"/>
            <w:left w:val="none" w:sz="0" w:space="0" w:color="auto"/>
            <w:bottom w:val="none" w:sz="0" w:space="0" w:color="auto"/>
            <w:right w:val="none" w:sz="0" w:space="0" w:color="auto"/>
          </w:divBdr>
        </w:div>
      </w:divsChild>
    </w:div>
    <w:div w:id="1642686334">
      <w:bodyDiv w:val="1"/>
      <w:marLeft w:val="0"/>
      <w:marRight w:val="0"/>
      <w:marTop w:val="0"/>
      <w:marBottom w:val="0"/>
      <w:divBdr>
        <w:top w:val="none" w:sz="0" w:space="0" w:color="auto"/>
        <w:left w:val="none" w:sz="0" w:space="0" w:color="auto"/>
        <w:bottom w:val="none" w:sz="0" w:space="0" w:color="auto"/>
        <w:right w:val="none" w:sz="0" w:space="0" w:color="auto"/>
      </w:divBdr>
    </w:div>
    <w:div w:id="2031107159">
      <w:bodyDiv w:val="1"/>
      <w:marLeft w:val="0"/>
      <w:marRight w:val="0"/>
      <w:marTop w:val="0"/>
      <w:marBottom w:val="0"/>
      <w:divBdr>
        <w:top w:val="none" w:sz="0" w:space="0" w:color="auto"/>
        <w:left w:val="none" w:sz="0" w:space="0" w:color="auto"/>
        <w:bottom w:val="none" w:sz="0" w:space="0" w:color="auto"/>
        <w:right w:val="none" w:sz="0" w:space="0" w:color="auto"/>
      </w:divBdr>
    </w:div>
    <w:div w:id="2041196366">
      <w:bodyDiv w:val="1"/>
      <w:marLeft w:val="0"/>
      <w:marRight w:val="0"/>
      <w:marTop w:val="0"/>
      <w:marBottom w:val="0"/>
      <w:divBdr>
        <w:top w:val="none" w:sz="0" w:space="0" w:color="auto"/>
        <w:left w:val="none" w:sz="0" w:space="0" w:color="auto"/>
        <w:bottom w:val="none" w:sz="0" w:space="0" w:color="auto"/>
        <w:right w:val="none" w:sz="0" w:space="0" w:color="auto"/>
      </w:divBdr>
    </w:div>
    <w:div w:id="21422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vistikhetmaar.nl/" TargetMode="Externa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yperlink" Target="https://op.europa.eu/en/publication-detail/-/publication/13cf27f6-0b8e-11f0-b1a3-01aa75ed71a1/language-en"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vistikhetmaar.nl/dossiers/vissenwelzijn/" TargetMode="Externa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B02C5B-E437-3D43-B021-51B528121B35}">
  <we:reference id="wa200005502" version="1.0.0.11" store="en-GB" storeType="OMEX"/>
  <we:alternateReferences>
    <we:reference id="wa200005502" version="1.0.0.11" store="wa200005502" storeType="OMEX"/>
  </we:alternateReferences>
  <we:properties>
    <we:property name="docId" value="&quot;dYzXI_XnOvJTV8J_fNqIm&quot;"/>
    <we:property name="data" value="{&quot;version&quot;:3,&quot;introHidden&quot;:false,&quot;behavior&quot;:{&quot;key&quot;:&quot;custom-message&quot;,&quot;title&quot;:&quot;Write custom instructions&quot;,&quot;content&quot;:&quot;I want you to act as a text assistant. Provide the answer without any introductory phrase.&quot;},&quot;threads&quot;:[{&quot;id&quot;:&quot;IvZOtrm4u_dSnp_z0QiFQ&quot;,&quot;contextType&quot;:&quot;CONTEXT_NONE&quot;,&quot;queries&quot;:[{&quot;id&quot;:&quot;KF7jwfeuLIS3gKEM7IOB3&quot;,&quot;user&quot;:&quot;What is the difference between state funded and private maritime edcuation institutes in the Philippines?&quot;,&quot;assistant&quot;:&quot;State-funded maritime education institutes in the Philippines receive financial support from the government. This typically results in lower tuition fees for students, as the government subsidy covers a significant portion of the operating costs. State institutions often follow rigorous standards set by national educational authorities and may have better access to public resources, such as training ships and maritime simulators.\n\nPrivate maritime education institutes, on the other hand, operate independently of direct government funding. These institutions rely on tuition fees, private donations, and other sources of income to fund their operations. As a result, the tuition fees at private institutes are generally higher compared to state-funded ones. However, private institutions may offer specialized programs, better facilities, or more flexible curricula to attract students.\n\nIn summary, the main differences lie in the source of funding and the resulting cost of education, with state-funded institutes generally being more affordable due to government subsidies, while private institutes may offer different or enhanced educational opportunities at a higher cost.&quot;},{&quot;id&quot;:&quot;stoaNvQzLNetSvXZjAQHS&quot;,&quot;user&quot;:&quot;vertaal 1e stuurman&quot;,&quot;assistant&quot;:&quot;Eerste stuurman&quot;},{&quot;id&quot;:&quot;Od3JMnjicUZM1VEXKS7Dn&quot;,&quot;user&quot;:&quot;in eng&quot;,&quot;assistant&quot;:&quot;Chief Officer&quot;},{&quot;id&quot;:&quot;8M9DJ2nwRn9FfPXeKmzh3&quot;,&quot;user&quot;:&quot;vertaal Kapitein eng&quot;,&quot;assistant&quot;:&quot;Captain&quot;},{&quot;id&quot;:&quot;595F20HK0x3nCP4sbm1ab&quot;,&quot;user&quot;:&quot;vertaal 2e stuurman eng&quot;,&quot;assistant&quot;:&quot;Second Officer&quot;},{&quot;id&quot;:&quot;8AfctQYu3W7_t7SjR4m7T&quot;,&quot;user&quot;:&quot;vertaal eerste stuurman machinekamer eng&quot;,&quot;assistant&quot;:&quot;Chief Engineer&quot;}]},{&quot;id&quot;:&quot;bK6PPbGXTTOAy0mvxGAWI&quot;,&quot;contextType&quot;:&quot;CONTEXT_SELECTION&quot;,&quot;context&quot;:&quot;For the 2022-2023 academic year, 83 Maritime Higher Education Institutes were accredited, among these, 8 schools are state funded while 75 are private (CHED Central Office 2022). State-funded maritime education institutes in the Philippines receive financial support from the government. This typically results in lower tuition fees for students, as the government subsidy covers a significant portion of the operating costs. State institutions often follow rigorous standards set by national educational authorities and may have better access to public resources, such as training ships and maritime simulators.\n\nPrivate maritime education institutes, on the other hand, operate independently of direct government funding. These institutions rely on tuition fees, private donations, and other sources of income to fund their operations. As a result, the tuition fees at private institutes are generally higher compared to state-funded ones. However, private institutions may offer specialized programs, better facilities, or more flexible curricula to attract students.\n\nHigher education includes bachelor’s programs in Marine Transportation (BSMT) offered by 77 institutes and Marine Engineering (BSMarE) offered by 68 institutes. These bachelor programs train students for Captain, Chief Officer, Chief Engineer and Second Officer or Second Engineer positions. \nAdditionally, there are 85 Maritime Training Institutes (MTIs) providing 720 STCW-related training programs. These training programs equip Filipino students to work in lower levels on board in the maritime sector.\n&quot;,&quot;queries&quot;:[{&quot;id&quot;:&quot;ft8ZZHikkxUFarCuhV3-_&quot;,&quot;user&quot;:&quot;Please proofread&quot;,&quot;assistant&quot;:&quot;For the 2022-2023 academic year, 83 Maritime Higher Education Institutes were accredited. Among these, 8 schools were state-funded while 75 were private (CHED Central Office 2022). State-funded maritime education institutes in the Philippines receive financial support from the government. This typically results in lower tuition fees for students, as the government subsidy covers a significant portion of the operating costs. State institutions often follow rigorous standards set by national educational authorities and may have better access to public resources, such as training ships and maritime simulators.\n\nPrivate maritime education institutes, on the other hand, operate independently of direct government funding. These institutions rely on tuition fees, private donations, and other sources of income to fund their operations. As a result, the tuition fees at private institutes are generally higher compared to state-funded ones. However, private institutions may offer specialized programs, better facilities, or more flexible curricula to attract students.\n\nHigher education includes bachelor’s programs in Marine Transportation (BSMT) offered by 77 institutes and Marine Engineering (BSMarE) offered by 68 institutes. These bachelor programs train students for Captain, Chief Officer, Chief Engineer, and Second Officer or Second Engineer positions. Additionally, there are 85 Maritime Training Institutes (MTIs) providing 720 STCW-related training programs. These training programs equip Filipino students to work in lower levels on board in the maritime sector.&quot;}]},{&quot;id&quot;:&quot;6stgqOQw4GyBmSj-L5zsq&quot;,&quot;contextType&quot;:&quot;CONTEXT_DOCUMENT&quot;,&quot;context&quot;:&quot;Structural implementation of Marine Environmental Awareness in maritime education Philippines\nProSea Marine Education | July 2024 | \nProposal\nEmpowering the Future of Maritime Sustainability: Investing in the Education of Future Seafarers in the Philippines\nThis proposal outlines a strategic plan to promote the transition to a sustainable maritime sector by investing in human capital through the structural implementation of the Marine Environmental Awareness course in the Philippines.\nIn 2015, all United Nations Member States developed the 2030 Agenda for Sustainable Development. At its heart are the 17 Sustainable Development Goals (SDGs), which recognize that ending poverty and other deprivations must go together with strategies that improve working conditions, health, education, and inequality, and spur economic growth – all while tackling climate change and working to preserve our living environment, including the ocean. Education and knowledge sharing are key elements to achieving the SDGs.\nMaritime professionals play a crucial role in this transition, and their efforts are essential in achieving the Sustainable Development Goals of the United Nations. Therefore, it is important to invest in the human element by enhancing the knowledge and skill sets of human capital to promote more sustainable practices.\nImportance of Sustainability in Maritime Practices\nShipping companies are increasingly dedicating more resources to corporate sustainability, environmental impact analyses, and contributions to the Sustainable Development Goals. Additionally, working on board has changed in terms of techniques and innovations. Changing fuel types results in different engines, and limiting invasive species leads to ballast water treatment systems on board. These changes, and many more that have occurred recently and will continue to evolve, are not always included in the training of marine proffesionals, even though marine proffesionals are the ones who must work with and use these techniques and innovations. It is crucial to keep this human element in sight as we search for more sustainable maritime practices.\nSustainability is not only about the environment but also about the people involved in the maritime industry. The human element and social sustainability are critical components of a sustainable maritime sector. This includes fair labor practices, ensuring the well-being of seafarers, and promoting a safe and inclusive working environment. At the start of 2024, the IMO, together with the International Labour Organization (ILO), committed to act against and combat violence and harassment, including sexual harassment, bullying, and sexual assault in the maritime sector. In the upcoming revision of STCW, this commitment, along with climate and renewable energy goals, will be prioritized. Clearly, in the coming years, the focus on the human element in sustainability will only grow.\nThe Philippines as a major player in the global maritime sector\n\nThe Philippines holds a pivotal role in the global maritime sector, being one of the world's leading suppliers of seafarers. Filipino seafarers are renowned for their skills, professionalism, and reliability, making them highly sought after in the international shipping industry. It is indisputable that Filipino seafarers are the most prominent among the country’s maritime workforce as the Philippines remains one of the major suppliers of maritime labor in the world. A total of 3.6 million deployment for sea-based overseas Filipino workers was recorded for the period 2011 to 2020 as shown in Figure ... (Maritime Industry Development Plan 2028, MARINA 2023).\n\n\n\n“One out of six seafarers on board of Dutch flagged vessels are Filipino”\n – The Royal Association of Netherlands Shipowners (KVNR)\n\nThis prominence is not only a testament to the country's strong maritime heritage but also a critical economic pillar. The maritime industry significantly contributes to the Filipino economy through employment, remittances, and the development of related industries such as shipbuilding and maritime education. This sector not only provides livelihoods to millions of Filipinos but also enhances the country's economic stability and growth, underscoring the importance of continued investment in maritime education and sustainable practices to maintain and expand this vital economic engine.\n\nMaritime Education\nFor the 2022-2023 academic year, 83 Maritime Higher Education Institutes were accredited. Among these, 8 schools were state funded while 75 were private (CHED Central Office 2022). State-funded maritime education institutes in the Philippines receive financial support from the government. This typically results in lower tuition fees for students, as the government subsidy covers a significant portion of the operating costs. State institutions often follow rigorous standards set by national educational authorities and may have better access to public resources, such as training ships and maritime simulators.\nPrivate maritime education institutes, on the other hand, operate independently of direct government funding. These institutions rely on tuition fees, private donations, and other sources of income to fund their operations. As a result, the tuition fees at private institutes are generally higher compared to state-funded ones. However, private institutions may offer specialized programs, better facilities, or more flexible curricula to attract students.\nHigher education includes bachelor’s programs in Marine Transportation (BSMT) offered by 77 institutes and Marine Engineering (BSMarE) offered by 68 institutes. These bachelor programs train students for Captain, Chief Officer, Chief Engineer, and Second Officer or Second Engineer positions. Additionally, there are 85 Maritime Training Institutes (MTIs) providing 720 STCW-related training programs. These training programs equip Filipino students to work in lower levels on board in the maritime sector.\nTo maintain its position as a premier source of maritime labor, the Philippines must ensure its maritime education, training, certification, and assessment aligns with international standards. This requires continuous improvement and adherence to International regulations and standards. The Filipino governmental bodies MARINA and CHED are responsible for ensuring these standards are met.\n\nMarine Environmental Awareness Training in the Philippines\nIn 2011, ProSea developed the IMO model course 1.38 on Marine Environmental Awareness, addressing important sustainability topics such as air emissions, plastic waste, oil and chemical pollution, marine ecology, climate change, and social sustainability. This course, named the Marine Environmental Awareness Course (MEAC) by ProSea, has been adapted and further developed in recent years.\nIn 2016 and 2017, ProSea conducted several Marine Environmental Awareness courses in the Philippines in combination with a Train-the-trainer program, aimed at enhancing marine environmental awareness among students and teachers of various maritime colleges in the Philippines. These MEACs were positively evaluated (see evaluation reports in Annex 1 &amp; 2) and the content of these courses were seen as valuable and important. As a result, these successful pilots led to a Memorandum of Understanding (MOU) among ProSea, MARINA, and CHED, recognizing the importance of such training (see Annex 3). However, due to personnel changes, the COVID-19 pandemic, and the focus of the Philippines on continued compliance with international commitments to avert the continued threat by the European Commission (EC) to withdraw its recognition of Philippine issued certificates to Filipino merchant marine officers, a follow-up on the MoU came to a standstill.\nContacts were restored at the end of 2023 and there is a renewed enthusiasm and commitment from all parties (ProSea, MARINA, CHED) to continue our effort of structurally implementing the MEAC content in the maritime education of the Philippines. In order to achieve this goal, parties have drawn-up a five year plan. \nMARINA reconfirmed that they are still willing to cover the travel and accommodation costs for ProSea employees in the Philippines (as is stated in the MoU agreements), but funding is still needed for travel costs to the Philippines and for the time of ProSea trainers to conduct a series of MEAC training sessions, combined with Train the Trainer courses once the strategic plan is established. We seek financial resources to resume the implementation of the MEAC in the training of seafarers in the Philippines and to train local trainers for sustainable impact.\nProposed activities of MEAC in the Philippines\nMARINA, CHED, and ProSea aim to develop a sustainable MEAC training scheme in the Philippines. Three phases were discussed among parties to reach the goal of a self-sufficient training scheme in the Philippines. \nPhase 1 Train the trainer\nStart 2025\nWithin phase one the following activities will be conducted:\nProject Preparation\nRegular meetings between involved partners.\nIdentify teachers/trainers from a minimum of five maritime schools to participate in the train-the-trainer program. Candidates will be selected based on various factors like level of English and personal motivation. \n\nFinding a minimum of five maritime schools that are capable and enthusiastic about learning this training, willing to enroll and invest in this multi-year trajectory with the aim to structurally embed the training into their curriculum.\nEstablish contact and building of relationship with identified institutes\nBuilding a network in the Philippines to maintain this training.\nTrain the Trainer\nTrainers will follow six e-learning modules for background and information guidance.\nConducting four of five Train the Trainer sessions across different institutes/islands.\nEach training will last 2 days with a minimum of 4 participants.\nMarine Environmental Awareness Course\nAdapting the material to the local Filipino context with relevant examples and anecdotes.\nLocal trainers practice MEAC training with guidance from ProSea. Each MEAC takes 3-4 days with a minimum of eight students.\nEvaluation\nConducting evaluations through conversations and surveys after each training session.\nAllocating time to discuss and adapt outcomes and results.\nPhase 2 Quality check and revision of the training\nStart 2027\nAfter 2 years of conducting the training in the Philippines progress will be monitored. \nEvaluation and monitoring of the MEAC during the 24th JCMA.\nParticipating in MEAC sessions given by Filipino trainers (this could be done online).\nUpdating materials with the latest information.\nPhase 3 Impact evaluation assessment\nStart 2029\nAfter another 2 years all the experiences and evaluations will be brought together and the impact will be analysed.\nImpact assessment of the MEAC training in the Philippines\nHow many trainers are trained and how many are still active?\nHow many students were trained how did they evaluate the training?\nHow many institutes are conducting the training?\nIs the training permanently embedded in the curriculum, how was this established? What is missing or needed to establish this?\nDetailed cost breakdown\n\nPhase 1 Activities\tTime in days\n(8 hours)\tCosts in €\t\tProject preparation\t10\t€6.800, -\t\tTrain the trainer\t15\t€10.200, -\t\tMarine Environmental Awareness Course\t15\t€10.200, -\t\tEvaluation\t10\t€6.800, -\t\tTraining materials\nMEAC a €750, -\nSix e-learning modules a €350, - per module for 25 learners\t\t€2.850, -\t\tTravel costs one trainer ProSea\t\t€2.500, -\t\tTotal (ex. VAT)\t€39.350, -\t\tTotal (incl. VAT)\t€47.613,50\t\tThese costs are based on one trip to the Philippines with 5 train the trainer sessions over a period of four weeks at multiple locations.\nPhase 2 Activities\tTime in days\n(8 hours)\tCosts in €\t\tMonitoring and evaluation\t10\t€6.800, -\t\tMeeting at JCMA 2027\t5\t€3.400, -\t\tUpdate of materials \t5\t€3.400, -\t\tTravel costs one trainer ProSea \t\t€2.500, -\t\tTotal (ex. VAT)\t€16.100, -\t\tTotal (incl. VAT)\t€19.481, -\t\t\n\nPhase 3 Activities\tTime in days\n(8 hours)\tCosts in €\t\tImpact assessment\t10\t€6.800, -\t\tMeeting at JCMA 2029\t5\t€3.400, -\t\tUpdate of materials \t5\t€3.400, -\t\tTravel costs one trainer ProSea \t\t€2.500, -\t\tTotal (ex. VAT)\t€16.100, -\t\tTotal (incl. VAT)\t€19.481, -\t\t\nGeneral terms and conditions\nThe following terms and conditions are part of this proposal:\n\n\nA Call to Action\nBy funding this proposal, you will play a pivotal role in enhancing the skills and sustainability practices of Filipino seafarers, ensuring they meet the highest international standards. Your investment will contribute to the global maritime industry's future, promote environmental sustainability, and strengthen the enduring partnership between the Philippines and the Netherlands. Together, we can create a lasting impact on the maritime sector and foster a culture of sustainability that will benefit future generations.\n\n&quot;,&quot;queries&quot;:[{&quot;id&quot;:&quot;_nN_HUk1-gMz4a2_X2L9o&quot;,&quot;user&quot;:&quot;What is MARINA phillipines&quot;,&quot;assistant&quot;:&quot;MARINA, or the Maritime Industry Authority, is a governmental agency in the Philippines responsible for integrating the development, promotion, and regulation of the maritime industry. It oversees maritime education, training, certification, and assessment to ensure compliance with international standards. MARINA works to enhance the skills and competencies of Filipino seafarers, ensuring they remain competitive and well-regarded in the global maritime sector. Additionally, MARINA collaborates with various international and local entities to promote sustainable maritime practices and improve the overall safety and efficiency of maritime operations in the Philippines.&quot;}]}]}"/>
  </we:properties>
  <we:bindings/>
  <we:snapshot xmlns:r="http://schemas.openxmlformats.org/officeDocument/2006/relationships"/>
</we:webextension>
</file>

<file path=docProps/app.xml><?xml version="1.0" encoding="utf-8"?>
<ap:Properties xmlns:vt="http://schemas.openxmlformats.org/officeDocument/2006/docPropsVTypes" xmlns:ap="http://schemas.openxmlformats.org/officeDocument/2006/extended-properties">
  <ap:Pages>2</ap:Pages>
  <ap:Words>1069</ap:Words>
  <ap:Characters>5884</ap:Characters>
  <ap:DocSecurity>0</ap:DocSecurity>
  <ap:Lines>49</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Topic 1. Make space!</vt:lpstr>
      <vt:lpstr>Topic 1. Make space!</vt:lpstr>
    </vt:vector>
  </ap:TitlesOfParts>
  <ap:LinksUpToDate>false</ap:LinksUpToDate>
  <ap:CharactersWithSpaces>6940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2026-05-20T13:18:00.0000000Z</dcterms:created>
  <dcterms:modified xsi:type="dcterms:W3CDTF">2026-05-20T14:33:00.0000000Z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0x010100C6869DF56B79644787BDF277AA779A11</vt:lpwstr>
  </property>
  <property fmtid="{D5CDD505-2E9C-101B-9397-08002B2CF9AE}" pid="3" name="MediaServiceImageTags">
    <vt:lpwstr/>
  </property>
</Properties>
</file>