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57501" w:rsidR="00F547BC" w:rsidP="00F547BC" w:rsidRDefault="00F547BC" w14:paraId="4942A17B" w14:textId="77777777">
      <w:pPr>
        <w:rPr>
          <w:b/>
          <w:bCs/>
        </w:rPr>
      </w:pPr>
      <w:r w:rsidRPr="00757501">
        <w:rPr>
          <w:b/>
          <w:bCs/>
        </w:rPr>
        <w:t xml:space="preserve">Lijst van nieuwe EU-voorstellen </w:t>
      </w:r>
    </w:p>
    <w:p w:rsidRPr="00757501" w:rsidR="00F547BC" w:rsidP="00F547BC" w:rsidRDefault="00F547BC" w14:paraId="1C39BB56" w14:textId="77777777">
      <w:pPr>
        <w:rPr>
          <w:b/>
          <w:bCs/>
        </w:rPr>
      </w:pPr>
    </w:p>
    <w:p w:rsidRPr="00757501" w:rsidR="00F547BC" w:rsidP="00F547BC" w:rsidRDefault="00F547BC" w14:paraId="6DD488F0" w14:textId="7179F346">
      <w:r w:rsidRPr="00757501">
        <w:t>De</w:t>
      </w:r>
      <w:r w:rsidRPr="00757501">
        <w:rPr>
          <w:b/>
          <w:bCs/>
        </w:rPr>
        <w:t> </w:t>
      </w:r>
      <w:r w:rsidRPr="00757501">
        <w:t>Europese Commissie heeft in de periode tussen</w:t>
      </w:r>
      <w:r w:rsidRPr="00757501">
        <w:rPr>
          <w:b/>
          <w:bCs/>
        </w:rPr>
        <w:t xml:space="preserve"> 7 mei</w:t>
      </w:r>
      <w:r w:rsidRPr="00757501">
        <w:rPr>
          <w:b/>
          <w:bCs/>
        </w:rPr>
        <w:t xml:space="preserve"> en 21 mei</w:t>
      </w:r>
      <w:r w:rsidRPr="00757501">
        <w:rPr>
          <w:b/>
          <w:bCs/>
        </w:rPr>
        <w:t xml:space="preserve"> 2026 </w:t>
      </w:r>
      <w:r w:rsidRPr="00757501">
        <w:t>de volgende voor deze vaste commissie</w:t>
      </w:r>
      <w:r w:rsidRPr="00757501">
        <w:rPr>
          <w:b/>
          <w:bCs/>
        </w:rPr>
        <w:t> </w:t>
      </w:r>
      <w:r w:rsidRPr="00757501">
        <w:t>relevante voorstellen voor Europese wetgeving, besluiten en andere beleidsvormende documenten aan de Tweede Kamer gestuurd:  </w:t>
      </w:r>
    </w:p>
    <w:p w:rsidRPr="00757501" w:rsidR="00F547BC" w:rsidP="00F547BC" w:rsidRDefault="00F547BC" w14:paraId="0D964FF5" w14:textId="77777777">
      <w:pPr>
        <w:rPr>
          <w:b/>
          <w:bCs/>
        </w:rPr>
      </w:pPr>
    </w:p>
    <w:p w:rsidRPr="00757501" w:rsidR="00F547BC" w:rsidP="00F547BC" w:rsidRDefault="00F547BC" w14:paraId="6847F0C8" w14:textId="7942A324">
      <w:pPr>
        <w:numPr>
          <w:ilvl w:val="0"/>
          <w:numId w:val="1"/>
        </w:numPr>
        <w:rPr>
          <w:b/>
          <w:bCs/>
        </w:rPr>
      </w:pPr>
      <w:r w:rsidRPr="00757501">
        <w:rPr>
          <w:b/>
          <w:bCs/>
        </w:rPr>
        <w:t>Nieuw voorgestelde EU-wetgeving</w:t>
      </w:r>
      <w:r w:rsidRPr="00757501">
        <w:br/>
        <w:t>(Verordeningen, richtlijnen en wetgevende besluiten)</w:t>
      </w:r>
    </w:p>
    <w:p w:rsidRPr="00757501" w:rsidR="00757501" w:rsidP="00757501" w:rsidRDefault="00757501" w14:paraId="2E2B81F9" w14:textId="77777777">
      <w:pPr>
        <w:ind w:left="720"/>
        <w:rPr>
          <w:b/>
          <w:bCs/>
        </w:rPr>
      </w:pPr>
    </w:p>
    <w:p w:rsidRPr="00757501" w:rsidR="00F547BC" w:rsidP="00F547BC" w:rsidRDefault="00F547BC" w14:paraId="392CA61D" w14:textId="1632990D">
      <w:pPr>
        <w:numPr>
          <w:ilvl w:val="0"/>
          <w:numId w:val="1"/>
        </w:numPr>
        <w:rPr>
          <w:b/>
          <w:bCs/>
        </w:rPr>
      </w:pPr>
      <w:r w:rsidRPr="00757501">
        <w:rPr>
          <w:b/>
          <w:bCs/>
        </w:rPr>
        <w:t xml:space="preserve">Nieuwe EU-documenten van niet-wetgevende aard </w:t>
      </w:r>
      <w:r w:rsidRPr="00757501">
        <w:br/>
        <w:t>(Mededelingen, aanbevelingen, actieplannen, consultaties, etc.)</w:t>
      </w:r>
    </w:p>
    <w:tbl>
      <w:tblPr>
        <w:tblW w:w="0" w:type="auto"/>
        <w:tblCellMar>
          <w:left w:w="0" w:type="dxa"/>
          <w:right w:w="0" w:type="dxa"/>
        </w:tblCellMar>
        <w:tblLook w:val="04A0" w:firstRow="1" w:lastRow="0" w:firstColumn="1" w:lastColumn="0" w:noHBand="0" w:noVBand="1"/>
      </w:tblPr>
      <w:tblGrid>
        <w:gridCol w:w="421"/>
        <w:gridCol w:w="1134"/>
        <w:gridCol w:w="6378"/>
      </w:tblGrid>
      <w:tr w:rsidRPr="00757501" w:rsidR="00F547BC" w:rsidTr="004263AB" w14:paraId="29BA66AD" w14:textId="77777777">
        <w:tc>
          <w:tcPr>
            <w:tcW w:w="421" w:type="dxa"/>
            <w:vMerge w:val="restart"/>
            <w:tcBorders>
              <w:top w:val="single" w:color="D9D9D9" w:sz="8" w:space="0"/>
              <w:left w:val="single" w:color="D9D9D9" w:sz="8" w:space="0"/>
              <w:bottom w:val="single" w:color="D9D9D9" w:sz="8" w:space="0"/>
              <w:right w:val="nil"/>
            </w:tcBorders>
            <w:shd w:val="clear" w:color="auto" w:fill="F2F2F2"/>
            <w:tcMar>
              <w:top w:w="0" w:type="dxa"/>
              <w:left w:w="108" w:type="dxa"/>
              <w:bottom w:w="0" w:type="dxa"/>
              <w:right w:w="108" w:type="dxa"/>
            </w:tcMar>
          </w:tcPr>
          <w:p w:rsidRPr="00757501" w:rsidR="00F547BC" w:rsidP="004263AB" w:rsidRDefault="00F547BC" w14:paraId="7545C679" w14:textId="77777777">
            <w:pPr>
              <w:pStyle w:val="Lijstalinea"/>
              <w:numPr>
                <w:ilvl w:val="0"/>
                <w:numId w:val="2"/>
              </w:numPr>
            </w:pPr>
          </w:p>
        </w:tc>
        <w:tc>
          <w:tcPr>
            <w:tcW w:w="1134" w:type="dxa"/>
            <w:tcBorders>
              <w:top w:val="single" w:color="D9D9D9" w:sz="8" w:space="0"/>
              <w:left w:val="nil"/>
              <w:bottom w:val="nil"/>
              <w:right w:val="nil"/>
            </w:tcBorders>
            <w:tcMar>
              <w:top w:w="0" w:type="dxa"/>
              <w:left w:w="108" w:type="dxa"/>
              <w:bottom w:w="0" w:type="dxa"/>
              <w:right w:w="108" w:type="dxa"/>
            </w:tcMar>
            <w:hideMark/>
          </w:tcPr>
          <w:p w:rsidRPr="00757501" w:rsidR="00F547BC" w:rsidP="004263AB" w:rsidRDefault="00F547BC" w14:paraId="10DBF6FD" w14:textId="77777777">
            <w:r w:rsidRPr="00757501">
              <w:t>Titel</w:t>
            </w:r>
          </w:p>
        </w:tc>
        <w:tc>
          <w:tcPr>
            <w:tcW w:w="6378" w:type="dxa"/>
            <w:tcBorders>
              <w:top w:val="single" w:color="D9D9D9" w:sz="8" w:space="0"/>
              <w:left w:val="nil"/>
              <w:bottom w:val="nil"/>
              <w:right w:val="single" w:color="D9D9D9" w:sz="8" w:space="0"/>
            </w:tcBorders>
            <w:tcMar>
              <w:top w:w="0" w:type="dxa"/>
              <w:left w:w="108" w:type="dxa"/>
              <w:bottom w:w="0" w:type="dxa"/>
              <w:right w:w="108" w:type="dxa"/>
            </w:tcMar>
            <w:hideMark/>
          </w:tcPr>
          <w:p w:rsidRPr="00757501" w:rsidR="00F547BC" w:rsidP="004263AB" w:rsidRDefault="00F547BC" w14:paraId="7576E605" w14:textId="77777777">
            <w:pPr>
              <w:shd w:val="clear" w:color="auto" w:fill="FFFFFF"/>
              <w:spacing w:after="75"/>
              <w:rPr>
                <w:rFonts w:cs="Calibri"/>
                <w:color w:val="000000"/>
                <w:lang w:eastAsia="nl-NL"/>
                <w14:ligatures w14:val="none"/>
              </w:rPr>
            </w:pPr>
            <w:r w:rsidRPr="00757501">
              <w:rPr>
                <w:rFonts w:cs="Calibri"/>
                <w:color w:val="000000"/>
                <w:lang w:eastAsia="nl-NL"/>
                <w14:ligatures w14:val="none"/>
              </w:rPr>
              <w:t xml:space="preserve">EU-centrum voor kritieke grondstoffen </w:t>
            </w:r>
          </w:p>
          <w:p w:rsidRPr="00757501" w:rsidR="00F547BC" w:rsidP="004263AB" w:rsidRDefault="00F547BC" w14:paraId="619EF218" w14:textId="38F04AEB">
            <w:pPr>
              <w:shd w:val="clear" w:color="auto" w:fill="FFFFFF"/>
              <w:spacing w:after="75"/>
              <w:rPr>
                <w:rFonts w:cs="Calibri"/>
                <w:lang w:eastAsia="nl-NL"/>
                <w14:ligatures w14:val="none"/>
              </w:rPr>
            </w:pPr>
            <w:hyperlink w:history="1" r:id="rId9">
              <w:r w:rsidRPr="00757501">
                <w:rPr>
                  <w:rStyle w:val="Hyperlink"/>
                  <w:rFonts w:cs="Calibri"/>
                  <w:lang w:eastAsia="nl-NL"/>
                  <w14:ligatures w14:val="none"/>
                </w:rPr>
                <w:t>Raadpleging</w:t>
              </w:r>
            </w:hyperlink>
          </w:p>
        </w:tc>
      </w:tr>
      <w:tr w:rsidRPr="00757501" w:rsidR="00F547BC" w:rsidTr="004263AB" w14:paraId="40FBF1E9" w14:textId="77777777">
        <w:trPr>
          <w:trHeight w:val="2231"/>
        </w:trPr>
        <w:tc>
          <w:tcPr>
            <w:tcW w:w="0" w:type="auto"/>
            <w:vMerge/>
            <w:tcBorders>
              <w:top w:val="single" w:color="D9D9D9" w:sz="8" w:space="0"/>
              <w:left w:val="single" w:color="D9D9D9" w:sz="8" w:space="0"/>
              <w:bottom w:val="single" w:color="D9D9D9" w:sz="8" w:space="0"/>
              <w:right w:val="nil"/>
            </w:tcBorders>
            <w:vAlign w:val="center"/>
            <w:hideMark/>
          </w:tcPr>
          <w:p w:rsidRPr="00757501" w:rsidR="00F547BC" w:rsidP="004263AB" w:rsidRDefault="00F547BC" w14:paraId="6F01BA29" w14:textId="77777777"/>
        </w:tc>
        <w:tc>
          <w:tcPr>
            <w:tcW w:w="1134" w:type="dxa"/>
            <w:tcMar>
              <w:top w:w="0" w:type="dxa"/>
              <w:left w:w="108" w:type="dxa"/>
              <w:bottom w:w="0" w:type="dxa"/>
              <w:right w:w="108" w:type="dxa"/>
            </w:tcMar>
          </w:tcPr>
          <w:p w:rsidRPr="00757501" w:rsidR="00F547BC" w:rsidP="004263AB" w:rsidRDefault="00F547BC" w14:paraId="304FA364" w14:textId="77777777">
            <w:r w:rsidRPr="00757501">
              <w:t>Voorstel</w:t>
            </w:r>
          </w:p>
          <w:p w:rsidRPr="00757501" w:rsidR="00F547BC" w:rsidP="004263AB" w:rsidRDefault="00F547BC" w14:paraId="7A3C0DC3" w14:textId="77777777">
            <w:r w:rsidRPr="00757501">
              <w:rPr>
                <w:lang w:val="en-GB"/>
              </w:rPr>
              <w:t>Noot</w:t>
            </w:r>
          </w:p>
        </w:tc>
        <w:tc>
          <w:tcPr>
            <w:tcW w:w="6378" w:type="dxa"/>
            <w:tcBorders>
              <w:top w:val="nil"/>
              <w:left w:val="nil"/>
              <w:bottom w:val="nil"/>
              <w:right w:val="single" w:color="D9D9D9" w:sz="8" w:space="0"/>
            </w:tcBorders>
            <w:tcMar>
              <w:top w:w="0" w:type="dxa"/>
              <w:left w:w="108" w:type="dxa"/>
              <w:bottom w:w="0" w:type="dxa"/>
              <w:right w:w="108" w:type="dxa"/>
            </w:tcMar>
          </w:tcPr>
          <w:p w:rsidRPr="00757501" w:rsidR="00F547BC" w:rsidP="004263AB" w:rsidRDefault="00F547BC" w14:paraId="691DCA68" w14:textId="2CDECF0A">
            <w:r w:rsidRPr="00757501">
              <w:t>Verzoek kabinet om appreciatie.</w:t>
            </w:r>
          </w:p>
          <w:p w:rsidRPr="00F547BC" w:rsidR="00F547BC" w:rsidP="00F547BC" w:rsidRDefault="00F547BC" w14:paraId="36320139" w14:textId="55EB5AFE">
            <w:r w:rsidRPr="00757501">
              <w:t>Volgens de Commissie zijn k</w:t>
            </w:r>
            <w:r w:rsidRPr="00F547BC">
              <w:t xml:space="preserve">ritieke grondstoffen van cruciaal belang voor de </w:t>
            </w:r>
            <w:r w:rsidRPr="00757501">
              <w:t>Europese productie-industrie</w:t>
            </w:r>
            <w:r w:rsidRPr="00F547BC">
              <w:t>, de groene en digitale industrieën, de lucht- en ruimtevaartindustrie en de defensie-industrie. De EU is voor haar toegang tot materialen zoals zeldzame aardmetalen sterk afhankelijk van andere geopolitieke spelers.</w:t>
            </w:r>
            <w:r w:rsidRPr="00757501">
              <w:t xml:space="preserve"> </w:t>
            </w:r>
            <w:r w:rsidRPr="00F547BC">
              <w:t>Om de</w:t>
            </w:r>
            <w:r w:rsidRPr="00757501">
              <w:t>ze</w:t>
            </w:r>
            <w:r w:rsidRPr="00F547BC">
              <w:t xml:space="preserve"> problemen </w:t>
            </w:r>
            <w:r w:rsidRPr="00757501">
              <w:t>van</w:t>
            </w:r>
            <w:r w:rsidRPr="00F547BC">
              <w:t xml:space="preserve"> afhankelijkheid aan te pakken is de Commissie van plan een EU-centrum voor kritieke grondstoffen op te richten dat </w:t>
            </w:r>
            <w:r w:rsidRPr="00757501">
              <w:t>vier</w:t>
            </w:r>
            <w:r w:rsidRPr="00F547BC">
              <w:t xml:space="preserve"> onderdelen bestrijkt: gezamenlijke aankoop, aanleg van voorraden, investeringen en kennis over grondstoffen.</w:t>
            </w:r>
          </w:p>
          <w:p w:rsidRPr="00757501" w:rsidR="00F547BC" w:rsidP="004263AB" w:rsidRDefault="00F547BC" w14:paraId="6CE8FB42" w14:textId="77777777"/>
        </w:tc>
      </w:tr>
    </w:tbl>
    <w:p w:rsidRPr="00757501" w:rsidR="00F547BC" w:rsidP="00F547BC" w:rsidRDefault="00F547BC" w14:paraId="3AD8E8AA" w14:textId="77777777">
      <w:pPr>
        <w:rPr>
          <w:b/>
          <w:bCs/>
        </w:rPr>
      </w:pPr>
    </w:p>
    <w:tbl>
      <w:tblPr>
        <w:tblW w:w="0" w:type="auto"/>
        <w:tblCellMar>
          <w:left w:w="0" w:type="dxa"/>
          <w:right w:w="0" w:type="dxa"/>
        </w:tblCellMar>
        <w:tblLook w:val="04A0" w:firstRow="1" w:lastRow="0" w:firstColumn="1" w:lastColumn="0" w:noHBand="0" w:noVBand="1"/>
      </w:tblPr>
      <w:tblGrid>
        <w:gridCol w:w="421"/>
        <w:gridCol w:w="1134"/>
        <w:gridCol w:w="6378"/>
      </w:tblGrid>
      <w:tr w:rsidRPr="00757501" w:rsidR="00F547BC" w:rsidTr="004263AB" w14:paraId="3EF8A45E" w14:textId="77777777">
        <w:tc>
          <w:tcPr>
            <w:tcW w:w="421" w:type="dxa"/>
            <w:vMerge w:val="restart"/>
            <w:tcBorders>
              <w:top w:val="single" w:color="D9D9D9" w:sz="8" w:space="0"/>
              <w:left w:val="single" w:color="D9D9D9" w:sz="8" w:space="0"/>
              <w:bottom w:val="single" w:color="D9D9D9" w:sz="8" w:space="0"/>
              <w:right w:val="nil"/>
            </w:tcBorders>
            <w:shd w:val="clear" w:color="auto" w:fill="F2F2F2"/>
            <w:tcMar>
              <w:top w:w="0" w:type="dxa"/>
              <w:left w:w="108" w:type="dxa"/>
              <w:bottom w:w="0" w:type="dxa"/>
              <w:right w:w="108" w:type="dxa"/>
            </w:tcMar>
          </w:tcPr>
          <w:p w:rsidRPr="00757501" w:rsidR="00F547BC" w:rsidP="004263AB" w:rsidRDefault="00F547BC" w14:paraId="64D86D87" w14:textId="77777777">
            <w:pPr>
              <w:numPr>
                <w:ilvl w:val="0"/>
                <w:numId w:val="2"/>
              </w:numPr>
            </w:pPr>
          </w:p>
        </w:tc>
        <w:tc>
          <w:tcPr>
            <w:tcW w:w="1134" w:type="dxa"/>
            <w:tcBorders>
              <w:top w:val="single" w:color="D9D9D9" w:sz="8" w:space="0"/>
              <w:left w:val="nil"/>
              <w:bottom w:val="nil"/>
              <w:right w:val="nil"/>
            </w:tcBorders>
            <w:tcMar>
              <w:top w:w="0" w:type="dxa"/>
              <w:left w:w="108" w:type="dxa"/>
              <w:bottom w:w="0" w:type="dxa"/>
              <w:right w:w="108" w:type="dxa"/>
            </w:tcMar>
            <w:hideMark/>
          </w:tcPr>
          <w:p w:rsidRPr="00757501" w:rsidR="00F547BC" w:rsidP="004263AB" w:rsidRDefault="00F547BC" w14:paraId="5DEEB539" w14:textId="77777777">
            <w:r w:rsidRPr="00757501">
              <w:t>Titel</w:t>
            </w:r>
          </w:p>
        </w:tc>
        <w:tc>
          <w:tcPr>
            <w:tcW w:w="6378" w:type="dxa"/>
            <w:tcBorders>
              <w:top w:val="single" w:color="D9D9D9" w:sz="8" w:space="0"/>
              <w:left w:val="nil"/>
              <w:bottom w:val="nil"/>
              <w:right w:val="single" w:color="D9D9D9" w:sz="8" w:space="0"/>
            </w:tcBorders>
            <w:tcMar>
              <w:top w:w="0" w:type="dxa"/>
              <w:left w:w="108" w:type="dxa"/>
              <w:bottom w:w="0" w:type="dxa"/>
              <w:right w:w="108" w:type="dxa"/>
            </w:tcMar>
            <w:hideMark/>
          </w:tcPr>
          <w:p w:rsidRPr="00757501" w:rsidR="00F547BC" w:rsidP="00F547BC" w:rsidRDefault="00F547BC" w14:paraId="502BE4E2" w14:textId="04E741BF">
            <w:pPr>
              <w:shd w:val="clear" w:color="auto" w:fill="FFFFFF"/>
              <w:spacing w:after="75"/>
            </w:pPr>
            <w:r w:rsidRPr="00757501">
              <w:t xml:space="preserve">Elektronische facturering — herziening van de EU-regels </w:t>
            </w:r>
            <w:hyperlink w:history="1" r:id="rId10">
              <w:r w:rsidRPr="00757501">
                <w:rPr>
                  <w:rStyle w:val="Hyperlink"/>
                </w:rPr>
                <w:t>Raadpleging</w:t>
              </w:r>
            </w:hyperlink>
          </w:p>
        </w:tc>
      </w:tr>
      <w:tr w:rsidRPr="00757501" w:rsidR="00F547BC" w:rsidTr="004263AB" w14:paraId="406E3522" w14:textId="77777777">
        <w:trPr>
          <w:trHeight w:val="2231"/>
        </w:trPr>
        <w:tc>
          <w:tcPr>
            <w:tcW w:w="0" w:type="auto"/>
            <w:vMerge/>
            <w:tcBorders>
              <w:top w:val="single" w:color="D9D9D9" w:sz="8" w:space="0"/>
              <w:left w:val="single" w:color="D9D9D9" w:sz="8" w:space="0"/>
              <w:bottom w:val="single" w:color="D9D9D9" w:sz="8" w:space="0"/>
              <w:right w:val="nil"/>
            </w:tcBorders>
            <w:vAlign w:val="center"/>
            <w:hideMark/>
          </w:tcPr>
          <w:p w:rsidRPr="00757501" w:rsidR="00F547BC" w:rsidP="004263AB" w:rsidRDefault="00F547BC" w14:paraId="63C6840F" w14:textId="77777777"/>
        </w:tc>
        <w:tc>
          <w:tcPr>
            <w:tcW w:w="1134" w:type="dxa"/>
            <w:tcMar>
              <w:top w:w="0" w:type="dxa"/>
              <w:left w:w="108" w:type="dxa"/>
              <w:bottom w:w="0" w:type="dxa"/>
              <w:right w:w="108" w:type="dxa"/>
            </w:tcMar>
          </w:tcPr>
          <w:p w:rsidRPr="00757501" w:rsidR="00F547BC" w:rsidP="004263AB" w:rsidRDefault="00F547BC" w14:paraId="51C53274" w14:textId="77777777">
            <w:r w:rsidRPr="00757501">
              <w:t>Voorstel</w:t>
            </w:r>
          </w:p>
          <w:p w:rsidRPr="00757501" w:rsidR="00F547BC" w:rsidP="004263AB" w:rsidRDefault="00F547BC" w14:paraId="152D6169" w14:textId="77777777">
            <w:r w:rsidRPr="00757501">
              <w:rPr>
                <w:lang w:val="en-GB"/>
              </w:rPr>
              <w:t>Noot</w:t>
            </w:r>
          </w:p>
        </w:tc>
        <w:tc>
          <w:tcPr>
            <w:tcW w:w="6378" w:type="dxa"/>
            <w:tcBorders>
              <w:top w:val="nil"/>
              <w:left w:val="nil"/>
              <w:bottom w:val="nil"/>
              <w:right w:val="single" w:color="D9D9D9" w:sz="8" w:space="0"/>
            </w:tcBorders>
            <w:tcMar>
              <w:top w:w="0" w:type="dxa"/>
              <w:left w:w="108" w:type="dxa"/>
              <w:bottom w:w="0" w:type="dxa"/>
              <w:right w:w="108" w:type="dxa"/>
            </w:tcMar>
          </w:tcPr>
          <w:p w:rsidRPr="00757501" w:rsidR="00F547BC" w:rsidP="00F547BC" w:rsidRDefault="00F547BC" w14:paraId="40B3A222" w14:textId="7AB97CA9">
            <w:r w:rsidRPr="00757501">
              <w:t>Ter informatie.</w:t>
            </w:r>
          </w:p>
          <w:p w:rsidRPr="00F547BC" w:rsidR="00F547BC" w:rsidP="00757501" w:rsidRDefault="00F547BC" w14:paraId="54237C49" w14:textId="12B3EE14">
            <w:r w:rsidRPr="00F547BC">
              <w:t>De</w:t>
            </w:r>
            <w:r w:rsidRPr="00757501" w:rsidR="00757501">
              <w:t xml:space="preserve"> C</w:t>
            </w:r>
            <w:r w:rsidRPr="00F547BC">
              <w:t>ommissie wil de EU-regels inzake elektronische facturering bij overheidsopdrachten herzien om</w:t>
            </w:r>
            <w:r w:rsidRPr="00757501" w:rsidR="00757501">
              <w:t xml:space="preserve">: </w:t>
            </w:r>
            <w:r w:rsidRPr="00F547BC">
              <w:t>tekortkomingen die bij de evaluatie van de huidige regels zijn vastgesteld</w:t>
            </w:r>
            <w:r w:rsidRPr="00757501">
              <w:t xml:space="preserve"> </w:t>
            </w:r>
            <w:r w:rsidRPr="00F547BC">
              <w:t>aan te pakken;</w:t>
            </w:r>
            <w:r w:rsidRPr="00757501" w:rsidR="00757501">
              <w:t xml:space="preserve"> </w:t>
            </w:r>
            <w:r w:rsidRPr="00F547BC">
              <w:t>te zorgen dat geharmoniseerde elektronische facturering in de hele EU de norm wordt</w:t>
            </w:r>
            <w:r w:rsidRPr="00757501" w:rsidR="00757501">
              <w:t xml:space="preserve"> en te </w:t>
            </w:r>
            <w:r w:rsidRPr="00F547BC">
              <w:t>zorgen voor geharmoniseerde uitvoering en interoperabiliteit.</w:t>
            </w:r>
          </w:p>
          <w:p w:rsidRPr="00757501" w:rsidR="00F547BC" w:rsidP="00F547BC" w:rsidRDefault="00F547BC" w14:paraId="3141B29E" w14:textId="48C4381D"/>
        </w:tc>
      </w:tr>
    </w:tbl>
    <w:p w:rsidRPr="00757501" w:rsidR="00F547BC" w:rsidP="00F547BC" w:rsidRDefault="00F547BC" w14:paraId="5EF93C1B" w14:textId="77777777"/>
    <w:tbl>
      <w:tblPr>
        <w:tblW w:w="0" w:type="auto"/>
        <w:tblCellMar>
          <w:left w:w="0" w:type="dxa"/>
          <w:right w:w="0" w:type="dxa"/>
        </w:tblCellMar>
        <w:tblLook w:val="04A0" w:firstRow="1" w:lastRow="0" w:firstColumn="1" w:lastColumn="0" w:noHBand="0" w:noVBand="1"/>
      </w:tblPr>
      <w:tblGrid>
        <w:gridCol w:w="421"/>
        <w:gridCol w:w="1134"/>
        <w:gridCol w:w="6378"/>
      </w:tblGrid>
      <w:tr w:rsidRPr="00757501" w:rsidR="00F547BC" w:rsidTr="004263AB" w14:paraId="504C4ED8" w14:textId="77777777">
        <w:tc>
          <w:tcPr>
            <w:tcW w:w="421" w:type="dxa"/>
            <w:vMerge w:val="restart"/>
            <w:tcBorders>
              <w:top w:val="single" w:color="D9D9D9" w:sz="8" w:space="0"/>
              <w:left w:val="single" w:color="D9D9D9" w:sz="8" w:space="0"/>
              <w:bottom w:val="single" w:color="D9D9D9" w:sz="8" w:space="0"/>
              <w:right w:val="nil"/>
            </w:tcBorders>
            <w:shd w:val="clear" w:color="auto" w:fill="F2F2F2"/>
            <w:tcMar>
              <w:top w:w="0" w:type="dxa"/>
              <w:left w:w="108" w:type="dxa"/>
              <w:bottom w:w="0" w:type="dxa"/>
              <w:right w:w="108" w:type="dxa"/>
            </w:tcMar>
          </w:tcPr>
          <w:p w:rsidRPr="00757501" w:rsidR="00F547BC" w:rsidP="00F547BC" w:rsidRDefault="00F547BC" w14:paraId="19085174" w14:textId="227B6BBF">
            <w:pPr>
              <w:pStyle w:val="Lijstalinea"/>
              <w:numPr>
                <w:ilvl w:val="0"/>
                <w:numId w:val="2"/>
              </w:numPr>
            </w:pPr>
          </w:p>
        </w:tc>
        <w:tc>
          <w:tcPr>
            <w:tcW w:w="1134" w:type="dxa"/>
            <w:tcBorders>
              <w:top w:val="single" w:color="D9D9D9" w:sz="8" w:space="0"/>
              <w:left w:val="nil"/>
              <w:bottom w:val="nil"/>
              <w:right w:val="nil"/>
            </w:tcBorders>
            <w:tcMar>
              <w:top w:w="0" w:type="dxa"/>
              <w:left w:w="108" w:type="dxa"/>
              <w:bottom w:w="0" w:type="dxa"/>
              <w:right w:w="108" w:type="dxa"/>
            </w:tcMar>
            <w:hideMark/>
          </w:tcPr>
          <w:p w:rsidRPr="00757501" w:rsidR="00F547BC" w:rsidP="004263AB" w:rsidRDefault="00F547BC" w14:paraId="6F2991C0" w14:textId="77777777">
            <w:r w:rsidRPr="00757501">
              <w:t>Titel</w:t>
            </w:r>
          </w:p>
        </w:tc>
        <w:tc>
          <w:tcPr>
            <w:tcW w:w="6378" w:type="dxa"/>
            <w:tcBorders>
              <w:top w:val="single" w:color="D9D9D9" w:sz="8" w:space="0"/>
              <w:left w:val="nil"/>
              <w:bottom w:val="nil"/>
              <w:right w:val="single" w:color="D9D9D9" w:sz="8" w:space="0"/>
            </w:tcBorders>
            <w:tcMar>
              <w:top w:w="0" w:type="dxa"/>
              <w:left w:w="108" w:type="dxa"/>
              <w:bottom w:w="0" w:type="dxa"/>
              <w:right w:w="108" w:type="dxa"/>
            </w:tcMar>
            <w:hideMark/>
          </w:tcPr>
          <w:p w:rsidRPr="00757501" w:rsidR="00F547BC" w:rsidP="00F547BC" w:rsidRDefault="00F547BC" w14:paraId="7BB9A3D0" w14:textId="501D0855">
            <w:pPr>
              <w:shd w:val="clear" w:color="auto" w:fill="FFFFFF"/>
              <w:spacing w:after="75"/>
            </w:pPr>
            <w:r w:rsidRPr="00757501">
              <w:rPr>
                <w:rFonts w:cs="Calibri"/>
                <w:color w:val="000000"/>
                <w:lang w:eastAsia="nl-NL"/>
                <w14:ligatures w14:val="none"/>
              </w:rPr>
              <w:t xml:space="preserve">Europese toerismestatistieken – actualisering van de wetgeving </w:t>
            </w:r>
            <w:hyperlink w:history="1" r:id="rId11">
              <w:r w:rsidRPr="00757501">
                <w:rPr>
                  <w:rStyle w:val="Hyperlink"/>
                  <w:rFonts w:cs="Calibri"/>
                  <w:lang w:eastAsia="nl-NL"/>
                  <w14:ligatures w14:val="none"/>
                </w:rPr>
                <w:t>Raadpleging</w:t>
              </w:r>
            </w:hyperlink>
          </w:p>
          <w:p w:rsidRPr="00757501" w:rsidR="00F547BC" w:rsidP="004263AB" w:rsidRDefault="00F547BC" w14:paraId="28C95EF3" w14:textId="0178020B">
            <w:pPr>
              <w:shd w:val="clear" w:color="auto" w:fill="FFFFFF"/>
              <w:spacing w:after="75"/>
            </w:pPr>
          </w:p>
        </w:tc>
      </w:tr>
      <w:tr w:rsidRPr="00757501" w:rsidR="00F547BC" w:rsidTr="004263AB" w14:paraId="1F0518D6" w14:textId="77777777">
        <w:trPr>
          <w:trHeight w:val="2231"/>
        </w:trPr>
        <w:tc>
          <w:tcPr>
            <w:tcW w:w="0" w:type="auto"/>
            <w:vMerge/>
            <w:tcBorders>
              <w:top w:val="single" w:color="D9D9D9" w:sz="8" w:space="0"/>
              <w:left w:val="single" w:color="D9D9D9" w:sz="8" w:space="0"/>
              <w:bottom w:val="single" w:color="D9D9D9" w:sz="8" w:space="0"/>
              <w:right w:val="nil"/>
            </w:tcBorders>
            <w:vAlign w:val="center"/>
            <w:hideMark/>
          </w:tcPr>
          <w:p w:rsidRPr="00757501" w:rsidR="00F547BC" w:rsidP="004263AB" w:rsidRDefault="00F547BC" w14:paraId="1A7981A6" w14:textId="77777777"/>
        </w:tc>
        <w:tc>
          <w:tcPr>
            <w:tcW w:w="1134" w:type="dxa"/>
            <w:tcMar>
              <w:top w:w="0" w:type="dxa"/>
              <w:left w:w="108" w:type="dxa"/>
              <w:bottom w:w="0" w:type="dxa"/>
              <w:right w:w="108" w:type="dxa"/>
            </w:tcMar>
          </w:tcPr>
          <w:p w:rsidRPr="00757501" w:rsidR="00F547BC" w:rsidP="004263AB" w:rsidRDefault="00F547BC" w14:paraId="426F743A" w14:textId="77777777">
            <w:r w:rsidRPr="00757501">
              <w:t>Voorstel</w:t>
            </w:r>
          </w:p>
          <w:p w:rsidRPr="00757501" w:rsidR="00F547BC" w:rsidP="004263AB" w:rsidRDefault="00F547BC" w14:paraId="48CAB461" w14:textId="77777777">
            <w:r w:rsidRPr="00757501">
              <w:rPr>
                <w:lang w:val="en-GB"/>
              </w:rPr>
              <w:t>Noot</w:t>
            </w:r>
          </w:p>
        </w:tc>
        <w:tc>
          <w:tcPr>
            <w:tcW w:w="6378" w:type="dxa"/>
            <w:tcBorders>
              <w:top w:val="nil"/>
              <w:left w:val="nil"/>
              <w:bottom w:val="nil"/>
              <w:right w:val="single" w:color="D9D9D9" w:sz="8" w:space="0"/>
            </w:tcBorders>
            <w:tcMar>
              <w:top w:w="0" w:type="dxa"/>
              <w:left w:w="108" w:type="dxa"/>
              <w:bottom w:w="0" w:type="dxa"/>
              <w:right w:w="108" w:type="dxa"/>
            </w:tcMar>
          </w:tcPr>
          <w:p w:rsidRPr="00757501" w:rsidR="00F547BC" w:rsidP="004263AB" w:rsidRDefault="00F547BC" w14:paraId="29BB4785" w14:textId="1BC140F2">
            <w:r w:rsidRPr="00757501">
              <w:t>Ter informatie</w:t>
            </w:r>
            <w:r w:rsidRPr="00757501" w:rsidR="00757501">
              <w:t>.</w:t>
            </w:r>
            <w:r w:rsidRPr="00757501">
              <w:t xml:space="preserve"> </w:t>
            </w:r>
          </w:p>
          <w:p w:rsidRPr="00757501" w:rsidR="00F547BC" w:rsidP="004263AB" w:rsidRDefault="00F547BC" w14:paraId="2376C8E1" w14:textId="6EAAA8CD">
            <w:r w:rsidRPr="00757501">
              <w:t xml:space="preserve">In 2011 </w:t>
            </w:r>
            <w:r w:rsidRPr="00757501">
              <w:t xml:space="preserve">is een gemeenschappelijk kader voor de systematische ontwikkeling, productie en verspreiding van Europese statistieken over toerisme vastgesteld. Het doel van dit nieuwe initiatief is om het kader klaar te maken voor de toekomst. Het zal </w:t>
            </w:r>
            <w:r w:rsidRPr="00757501">
              <w:t xml:space="preserve">volgens de Commissie </w:t>
            </w:r>
            <w:r w:rsidRPr="00757501">
              <w:t>beter inspelen op nieuwe gebruikersbehoeften en nieuwe gegevensbronnen en -methoden beter integreren in het statistische productieproces. Het doel is om volledigere, tijdigere en kostenefficiëntere Europese statistieken over toerisme te produceren</w:t>
            </w:r>
            <w:r w:rsidRPr="00757501" w:rsidR="00757501">
              <w:t>.</w:t>
            </w:r>
          </w:p>
        </w:tc>
      </w:tr>
    </w:tbl>
    <w:p w:rsidRPr="00F547BC" w:rsidR="00F547BC" w:rsidP="00F547BC" w:rsidRDefault="00F547BC" w14:paraId="21968CF4" w14:textId="77777777">
      <w:pPr>
        <w:rPr>
          <w:rFonts w:ascii="Verdana" w:hAnsi="Verdana"/>
          <w:sz w:val="18"/>
          <w:szCs w:val="18"/>
        </w:rPr>
      </w:pPr>
    </w:p>
    <w:p w:rsidRPr="00747A47" w:rsidR="00F547BC" w:rsidP="00F547BC" w:rsidRDefault="00F547BC" w14:paraId="529C989D" w14:textId="77777777"/>
    <w:p w:rsidRPr="00747A47" w:rsidR="00F547BC" w:rsidP="00F547BC" w:rsidRDefault="00F547BC" w14:paraId="1A83C116" w14:textId="77777777"/>
    <w:p w:rsidR="005357BC" w:rsidRDefault="005357BC" w14:paraId="171DD556" w14:textId="77777777"/>
    <w:sectPr w:rsidR="005357BC" w:rsidSect="00F547BC">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B1E48"/>
    <w:multiLevelType w:val="hybridMultilevel"/>
    <w:tmpl w:val="6EDA0BF2"/>
    <w:lvl w:ilvl="0" w:tplc="FFFFFFFF">
      <w:start w:val="1"/>
      <w:numFmt w:val="decimal"/>
      <w:lvlText w:val="%1."/>
      <w:lvlJc w:val="left"/>
      <w:pPr>
        <w:ind w:left="501"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2C630B25"/>
    <w:multiLevelType w:val="hybridMultilevel"/>
    <w:tmpl w:val="6EDA0BF2"/>
    <w:lvl w:ilvl="0" w:tplc="FFFFFFFF">
      <w:start w:val="1"/>
      <w:numFmt w:val="decimal"/>
      <w:lvlText w:val="%1."/>
      <w:lvlJc w:val="left"/>
      <w:pPr>
        <w:ind w:left="501"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2C6D1585"/>
    <w:multiLevelType w:val="hybridMultilevel"/>
    <w:tmpl w:val="6EDA0BF2"/>
    <w:lvl w:ilvl="0" w:tplc="0413000F">
      <w:start w:val="1"/>
      <w:numFmt w:val="decimal"/>
      <w:lvlText w:val="%1."/>
      <w:lvlJc w:val="left"/>
      <w:pPr>
        <w:ind w:left="501"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 w15:restartNumberingAfterBreak="0">
    <w:nsid w:val="32313F87"/>
    <w:multiLevelType w:val="hybridMultilevel"/>
    <w:tmpl w:val="9B801AEA"/>
    <w:lvl w:ilvl="0" w:tplc="04130013">
      <w:start w:val="1"/>
      <w:numFmt w:val="upperRoman"/>
      <w:lvlText w:val="%1."/>
      <w:lvlJc w:val="righ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4" w15:restartNumberingAfterBreak="0">
    <w:nsid w:val="4AA43307"/>
    <w:multiLevelType w:val="multilevel"/>
    <w:tmpl w:val="A8E26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2900798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5202279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51989506">
    <w:abstractNumId w:val="2"/>
  </w:num>
  <w:num w:numId="4" w16cid:durableId="1006134292">
    <w:abstractNumId w:val="1"/>
  </w:num>
  <w:num w:numId="5" w16cid:durableId="1756778417">
    <w:abstractNumId w:val="0"/>
  </w:num>
  <w:num w:numId="6" w16cid:durableId="15356570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7BC"/>
    <w:rsid w:val="005357BC"/>
    <w:rsid w:val="00757501"/>
    <w:rsid w:val="009C6278"/>
    <w:rsid w:val="00EF6900"/>
    <w:rsid w:val="00F547B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9B9F9"/>
  <w15:chartTrackingRefBased/>
  <w15:docId w15:val="{15C806AF-B382-45BB-B9FC-EFEE43B31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547BC"/>
  </w:style>
  <w:style w:type="paragraph" w:styleId="Kop1">
    <w:name w:val="heading 1"/>
    <w:basedOn w:val="Standaard"/>
    <w:next w:val="Standaard"/>
    <w:link w:val="Kop1Char"/>
    <w:uiPriority w:val="9"/>
    <w:qFormat/>
    <w:rsid w:val="00F547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547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547B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547B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547B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547B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547B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547B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547B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547B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547B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547B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547B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547B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547B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547B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547B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547BC"/>
    <w:rPr>
      <w:rFonts w:eastAsiaTheme="majorEastAsia" w:cstheme="majorBidi"/>
      <w:color w:val="272727" w:themeColor="text1" w:themeTint="D8"/>
    </w:rPr>
  </w:style>
  <w:style w:type="paragraph" w:styleId="Titel">
    <w:name w:val="Title"/>
    <w:basedOn w:val="Standaard"/>
    <w:next w:val="Standaard"/>
    <w:link w:val="TitelChar"/>
    <w:uiPriority w:val="10"/>
    <w:qFormat/>
    <w:rsid w:val="00F547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547B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547B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547B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547B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547BC"/>
    <w:rPr>
      <w:i/>
      <w:iCs/>
      <w:color w:val="404040" w:themeColor="text1" w:themeTint="BF"/>
    </w:rPr>
  </w:style>
  <w:style w:type="paragraph" w:styleId="Lijstalinea">
    <w:name w:val="List Paragraph"/>
    <w:basedOn w:val="Standaard"/>
    <w:uiPriority w:val="34"/>
    <w:qFormat/>
    <w:rsid w:val="00F547BC"/>
    <w:pPr>
      <w:ind w:left="720"/>
      <w:contextualSpacing/>
    </w:pPr>
  </w:style>
  <w:style w:type="character" w:styleId="Intensievebenadrukking">
    <w:name w:val="Intense Emphasis"/>
    <w:basedOn w:val="Standaardalinea-lettertype"/>
    <w:uiPriority w:val="21"/>
    <w:qFormat/>
    <w:rsid w:val="00F547BC"/>
    <w:rPr>
      <w:i/>
      <w:iCs/>
      <w:color w:val="0F4761" w:themeColor="accent1" w:themeShade="BF"/>
    </w:rPr>
  </w:style>
  <w:style w:type="paragraph" w:styleId="Duidelijkcitaat">
    <w:name w:val="Intense Quote"/>
    <w:basedOn w:val="Standaard"/>
    <w:next w:val="Standaard"/>
    <w:link w:val="DuidelijkcitaatChar"/>
    <w:uiPriority w:val="30"/>
    <w:qFormat/>
    <w:rsid w:val="00F547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547BC"/>
    <w:rPr>
      <w:i/>
      <w:iCs/>
      <w:color w:val="0F4761" w:themeColor="accent1" w:themeShade="BF"/>
    </w:rPr>
  </w:style>
  <w:style w:type="character" w:styleId="Intensieveverwijzing">
    <w:name w:val="Intense Reference"/>
    <w:basedOn w:val="Standaardalinea-lettertype"/>
    <w:uiPriority w:val="32"/>
    <w:qFormat/>
    <w:rsid w:val="00F547BC"/>
    <w:rPr>
      <w:b/>
      <w:bCs/>
      <w:smallCaps/>
      <w:color w:val="0F4761" w:themeColor="accent1" w:themeShade="BF"/>
      <w:spacing w:val="5"/>
    </w:rPr>
  </w:style>
  <w:style w:type="character" w:styleId="Hyperlink">
    <w:name w:val="Hyperlink"/>
    <w:basedOn w:val="Standaardalinea-lettertype"/>
    <w:uiPriority w:val="99"/>
    <w:unhideWhenUsed/>
    <w:rsid w:val="00F547BC"/>
    <w:rPr>
      <w:color w:val="467886" w:themeColor="hyperlink"/>
      <w:u w:val="single"/>
    </w:rPr>
  </w:style>
  <w:style w:type="character" w:styleId="Onopgelostemelding">
    <w:name w:val="Unresolved Mention"/>
    <w:basedOn w:val="Standaardalinea-lettertype"/>
    <w:uiPriority w:val="99"/>
    <w:semiHidden/>
    <w:unhideWhenUsed/>
    <w:rsid w:val="00F547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hyperlink" Target="https://eur06.safelinks.protection.outlook.com/?url=https%3A%2F%2Fec.europa.eu%2Finfo%2Flaw%2Fbetter-regulation%2Fhave-your-say%2Finitiatives%2F16812-Europese-toerismestatistieken-actualisering-van-de-wetgeving_nl&amp;data=05%7C02%7Ca.hartman%40tweedekamer.nl%7C7b0fdb98467142a64cc608deb70268f9%7C238cb5073f714afeaaab8382731a4345%7C0%7C0%7C639149418150990771%7CUnknown%7CTWFpbGZsb3d8eyJFbXB0eU1hcGkiOnRydWUsIlYiOiIwLjAuMDAwMCIsIlAiOiJXaW4zMiIsIkFOIjoiTWFpbCIsIldUIjoyfQ%3D%3D%7C0%7C%7C%7C&amp;sdata=2Q0adCyQmLK8j1503%2BbEGrVxZbYdx5xRUM7C1f2b6NY%3D&amp;reserved=0" TargetMode="External" Id="rId11" /><Relationship Type="http://schemas.openxmlformats.org/officeDocument/2006/relationships/numbering" Target="numbering.xml" Id="rId5" /><Relationship Type="http://schemas.openxmlformats.org/officeDocument/2006/relationships/hyperlink" Target="https://eur06.safelinks.protection.outlook.com/?url=https%3A%2F%2Fec.europa.eu%2Finfo%2Flaw%2Fbetter-regulation%2Fhave-your-say%2Finitiatives%2F14792-Elektronische-facturering-herziening-van-de-EU-regels_nl&amp;data=05%7C02%7Ca.hartman%40tweedekamer.nl%7C7b0fdb98467142a64cc608deb70268f9%7C238cb5073f714afeaaab8382731a4345%7C0%7C0%7C639149418150892857%7CUnknown%7CTWFpbGZsb3d8eyJFbXB0eU1hcGkiOnRydWUsIlYiOiIwLjAuMDAwMCIsIlAiOiJXaW4zMiIsIkFOIjoiTWFpbCIsIldUIjoyfQ%3D%3D%7C0%7C%7C%7C&amp;sdata=zbHRFLzRVEPH4ttp7VNc%2F5PGI0%2FEydYV2DtLxZL%2FyE4%3D&amp;reserved=0" TargetMode="External" Id="rId10" /><Relationship Type="http://schemas.openxmlformats.org/officeDocument/2006/relationships/hyperlink" Target="https://eur06.safelinks.protection.outlook.com/?url=https%3A%2F%2Fec.europa.eu%2Finfo%2Flaw%2Fbetter-regulation%2Fhave-your-say%2Finitiatives%2F14832-EU-centrum-voor-kritieke-grondstoffen_nl&amp;data=05%7C02%7Ca.hartman%40tweedekamer.nl%7C7b0fdb98467142a64cc608deb70268f9%7C238cb5073f714afeaaab8382731a4345%7C0%7C0%7C639149418151064740%7CUnknown%7CTWFpbGZsb3d8eyJFbXB0eU1hcGkiOnRydWUsIlYiOiIwLjAuMDAwMCIsIlAiOiJXaW4zMiIsIkFOIjoiTWFpbCIsIldUIjoyfQ%3D%3D%7C0%7C%7C%7C&amp;sdata=%2B8cZfBpSjHoKmP2NCS29aCtvMbwBljnn9kbGq%2FbwsX8%3D&amp;reserved=0" TargetMode="Externa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601</ap:Words>
  <ap:Characters>3308</ap:Characters>
  <ap:DocSecurity>0</ap:DocSecurity>
  <ap:Lines>27</ap:Lines>
  <ap:Paragraphs>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3902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2026-05-21T08:06:00.0000000Z</dcterms:created>
  <dcterms:modified xsi:type="dcterms:W3CDTF">2026-05-21T08:06:00.0000000Z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0x010100BB93CF778AF26044BFEA169266F8E057</vt:lpwstr>
  </property>
</Properties>
</file>