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92CE02" w14:textId="77777777">
        <w:tc>
          <w:tcPr>
            <w:tcW w:w="6379" w:type="dxa"/>
            <w:gridSpan w:val="2"/>
            <w:tcBorders>
              <w:top w:val="nil"/>
              <w:left w:val="nil"/>
              <w:bottom w:val="nil"/>
              <w:right w:val="nil"/>
            </w:tcBorders>
            <w:vAlign w:val="center"/>
          </w:tcPr>
          <w:p w:rsidR="004330ED" w:rsidP="00EA1CE4" w:rsidRDefault="004330ED" w14:paraId="3987BF7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7C924B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48A871" w14:textId="77777777">
        <w:trPr>
          <w:cantSplit/>
        </w:trPr>
        <w:tc>
          <w:tcPr>
            <w:tcW w:w="10348" w:type="dxa"/>
            <w:gridSpan w:val="3"/>
            <w:tcBorders>
              <w:top w:val="single" w:color="auto" w:sz="4" w:space="0"/>
              <w:left w:val="nil"/>
              <w:bottom w:val="nil"/>
              <w:right w:val="nil"/>
            </w:tcBorders>
          </w:tcPr>
          <w:p w:rsidR="004330ED" w:rsidP="004A1E29" w:rsidRDefault="004330ED" w14:paraId="1CF605C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179FB60" w14:textId="77777777">
        <w:trPr>
          <w:cantSplit/>
        </w:trPr>
        <w:tc>
          <w:tcPr>
            <w:tcW w:w="10348" w:type="dxa"/>
            <w:gridSpan w:val="3"/>
            <w:tcBorders>
              <w:top w:val="nil"/>
              <w:left w:val="nil"/>
              <w:bottom w:val="nil"/>
              <w:right w:val="nil"/>
            </w:tcBorders>
          </w:tcPr>
          <w:p w:rsidR="004330ED" w:rsidP="00BF623B" w:rsidRDefault="004330ED" w14:paraId="6F72C845" w14:textId="77777777">
            <w:pPr>
              <w:pStyle w:val="Amendement"/>
              <w:tabs>
                <w:tab w:val="clear" w:pos="3310"/>
                <w:tab w:val="clear" w:pos="3600"/>
              </w:tabs>
              <w:rPr>
                <w:rFonts w:ascii="Times New Roman" w:hAnsi="Times New Roman"/>
                <w:b w:val="0"/>
              </w:rPr>
            </w:pPr>
          </w:p>
        </w:tc>
      </w:tr>
      <w:tr w:rsidR="004330ED" w:rsidTr="00EA1CE4" w14:paraId="1744489C" w14:textId="77777777">
        <w:trPr>
          <w:cantSplit/>
        </w:trPr>
        <w:tc>
          <w:tcPr>
            <w:tcW w:w="10348" w:type="dxa"/>
            <w:gridSpan w:val="3"/>
            <w:tcBorders>
              <w:top w:val="nil"/>
              <w:left w:val="nil"/>
              <w:bottom w:val="single" w:color="auto" w:sz="4" w:space="0"/>
              <w:right w:val="nil"/>
            </w:tcBorders>
          </w:tcPr>
          <w:p w:rsidR="004330ED" w:rsidP="00BF623B" w:rsidRDefault="004330ED" w14:paraId="5FAD5289" w14:textId="77777777">
            <w:pPr>
              <w:pStyle w:val="Amendement"/>
              <w:tabs>
                <w:tab w:val="clear" w:pos="3310"/>
                <w:tab w:val="clear" w:pos="3600"/>
              </w:tabs>
              <w:rPr>
                <w:rFonts w:ascii="Times New Roman" w:hAnsi="Times New Roman"/>
              </w:rPr>
            </w:pPr>
          </w:p>
        </w:tc>
      </w:tr>
      <w:tr w:rsidR="004330ED" w:rsidTr="00EA1CE4" w14:paraId="4A8534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1A23F4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8630A0C" w14:textId="77777777">
            <w:pPr>
              <w:suppressAutoHyphens/>
              <w:ind w:left="-70"/>
              <w:rPr>
                <w:b/>
              </w:rPr>
            </w:pPr>
          </w:p>
        </w:tc>
      </w:tr>
      <w:tr w:rsidR="003C21AC" w:rsidTr="00EA1CE4" w14:paraId="5D548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E304C" w14:paraId="732D40DB" w14:textId="59D606A6">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2E304C" w:rsidR="003C21AC" w:rsidP="002E304C" w:rsidRDefault="002E304C" w14:paraId="2A1E0939" w14:textId="3FF50B2F">
            <w:pPr>
              <w:rPr>
                <w:b/>
                <w:bCs/>
              </w:rPr>
            </w:pPr>
            <w:r w:rsidRPr="002E304C">
              <w:rPr>
                <w:b/>
                <w:bCs/>
              </w:rPr>
              <w:t>Wijziging van de Wet terugkeer en vreemdelingenbewaring en enige andere wetten met het oog op het handhaven van de mogelijkheden om maatregelen te nemen ten aanzien van overlastgevende vreemdelingen, het verruimen van de mogelijkheden tot ongewenstverklaring en het verhogen van het strafmaximum van artikel 197 van het Wetboek van Strafrecht (novelle Wet terugkeer en vreemdelingenbewaring)</w:t>
            </w:r>
          </w:p>
        </w:tc>
      </w:tr>
      <w:tr w:rsidR="003C21AC" w:rsidTr="00EA1CE4" w14:paraId="0D92A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B22E5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A79F2F" w14:textId="77777777">
            <w:pPr>
              <w:pStyle w:val="Amendement"/>
              <w:tabs>
                <w:tab w:val="clear" w:pos="3310"/>
                <w:tab w:val="clear" w:pos="3600"/>
              </w:tabs>
              <w:ind w:left="-70"/>
              <w:rPr>
                <w:rFonts w:ascii="Times New Roman" w:hAnsi="Times New Roman"/>
              </w:rPr>
            </w:pPr>
          </w:p>
        </w:tc>
      </w:tr>
      <w:tr w:rsidR="003C21AC" w:rsidTr="00EA1CE4" w14:paraId="407C8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EDEA69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A8E596" w14:textId="77777777">
            <w:pPr>
              <w:pStyle w:val="Amendement"/>
              <w:tabs>
                <w:tab w:val="clear" w:pos="3310"/>
                <w:tab w:val="clear" w:pos="3600"/>
              </w:tabs>
              <w:ind w:left="-70"/>
              <w:rPr>
                <w:rFonts w:ascii="Times New Roman" w:hAnsi="Times New Roman"/>
              </w:rPr>
            </w:pPr>
          </w:p>
        </w:tc>
      </w:tr>
      <w:tr w:rsidR="003C21AC" w:rsidTr="00EA1CE4" w14:paraId="4D9AD6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6CD009" w14:textId="701BD303">
            <w:pPr>
              <w:pStyle w:val="Amendement"/>
              <w:tabs>
                <w:tab w:val="clear" w:pos="3310"/>
                <w:tab w:val="clear" w:pos="3600"/>
              </w:tabs>
              <w:rPr>
                <w:rFonts w:ascii="Times New Roman" w:hAnsi="Times New Roman"/>
              </w:rPr>
            </w:pPr>
            <w:r w:rsidRPr="00C035D4">
              <w:rPr>
                <w:rFonts w:ascii="Times New Roman" w:hAnsi="Times New Roman"/>
              </w:rPr>
              <w:t xml:space="preserve">Nr. </w:t>
            </w:r>
            <w:r w:rsidR="000F2B90">
              <w:rPr>
                <w:rFonts w:ascii="Times New Roman" w:hAnsi="Times New Roman"/>
                <w:caps/>
              </w:rPr>
              <w:t>28</w:t>
            </w:r>
          </w:p>
        </w:tc>
        <w:tc>
          <w:tcPr>
            <w:tcW w:w="7371" w:type="dxa"/>
            <w:gridSpan w:val="2"/>
          </w:tcPr>
          <w:p w:rsidRPr="00C035D4" w:rsidR="003C21AC" w:rsidP="006E0971" w:rsidRDefault="003C21AC" w14:paraId="3A75A07E" w14:textId="2719BF4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191E4B">
              <w:rPr>
                <w:rFonts w:ascii="Times New Roman" w:hAnsi="Times New Roman"/>
                <w:caps/>
              </w:rPr>
              <w:t>Markuszower c.s.</w:t>
            </w:r>
            <w:r w:rsidR="008221EA">
              <w:rPr>
                <w:rFonts w:ascii="Times New Roman" w:hAnsi="Times New Roman"/>
                <w:caps/>
              </w:rPr>
              <w:t xml:space="preserve"> TER VERVANGING VAN DAT GEDRUKT ONDER NR. 15</w:t>
            </w:r>
            <w:r w:rsidR="008221EA">
              <w:rPr>
                <w:rStyle w:val="Voetnootmarkering"/>
                <w:rFonts w:ascii="Times New Roman" w:hAnsi="Times New Roman"/>
                <w:caps/>
              </w:rPr>
              <w:footnoteReference w:id="1"/>
            </w:r>
          </w:p>
        </w:tc>
      </w:tr>
      <w:tr w:rsidR="003C21AC" w:rsidTr="00EA1CE4" w14:paraId="573430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827505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432D79" w14:textId="4578649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221EA">
              <w:rPr>
                <w:rFonts w:ascii="Times New Roman" w:hAnsi="Times New Roman"/>
                <w:b w:val="0"/>
              </w:rPr>
              <w:t>21 mei 2026</w:t>
            </w:r>
          </w:p>
        </w:tc>
      </w:tr>
      <w:tr w:rsidR="00B01BA6" w:rsidTr="00EA1CE4" w14:paraId="1084C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82567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DF30EA0" w14:textId="77777777">
            <w:pPr>
              <w:pStyle w:val="Amendement"/>
              <w:tabs>
                <w:tab w:val="clear" w:pos="3310"/>
                <w:tab w:val="clear" w:pos="3600"/>
              </w:tabs>
              <w:ind w:left="-70"/>
              <w:rPr>
                <w:rFonts w:ascii="Times New Roman" w:hAnsi="Times New Roman"/>
                <w:b w:val="0"/>
              </w:rPr>
            </w:pPr>
          </w:p>
        </w:tc>
      </w:tr>
      <w:tr w:rsidRPr="00EA69AC" w:rsidR="00B01BA6" w:rsidTr="00EA1CE4" w14:paraId="620035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FCF6270" w14:textId="5C458E28">
            <w:pPr>
              <w:ind w:firstLine="284"/>
            </w:pPr>
            <w:r w:rsidRPr="00EA69AC">
              <w:t>De ondergetekende</w:t>
            </w:r>
            <w:r w:rsidR="00191E4B">
              <w:t>n</w:t>
            </w:r>
            <w:r w:rsidRPr="00EA69AC">
              <w:t xml:space="preserve"> stel</w:t>
            </w:r>
            <w:r w:rsidR="00191E4B">
              <w:t>len</w:t>
            </w:r>
            <w:r w:rsidRPr="00EA69AC">
              <w:t xml:space="preserve"> het volgende amendement voor:</w:t>
            </w:r>
          </w:p>
        </w:tc>
      </w:tr>
    </w:tbl>
    <w:p w:rsidRPr="00EA69AC" w:rsidR="004330ED" w:rsidP="00D774B3" w:rsidRDefault="004330ED" w14:paraId="3D19447C" w14:textId="77777777"/>
    <w:p w:rsidRPr="00EA69AC" w:rsidR="004330ED" w:rsidP="00EA1CE4" w:rsidRDefault="004330ED" w14:paraId="0D6519D3" w14:textId="77777777">
      <w:r w:rsidRPr="00EA69AC">
        <w:t>I</w:t>
      </w:r>
    </w:p>
    <w:p w:rsidRPr="00EA69AC" w:rsidR="005B1DCC" w:rsidP="00BF623B" w:rsidRDefault="005B1DCC" w14:paraId="7A9C5FC8" w14:textId="77777777"/>
    <w:p w:rsidR="005B1DCC" w:rsidP="0088452C" w:rsidRDefault="002E304C" w14:paraId="5C137B55" w14:textId="36469BC5">
      <w:pPr>
        <w:ind w:firstLine="284"/>
      </w:pPr>
      <w:r>
        <w:t>In artikel II wordt na onderdeel C een onderdeel ingevoegd, luidende:</w:t>
      </w:r>
    </w:p>
    <w:p w:rsidR="002E304C" w:rsidP="0088452C" w:rsidRDefault="002E304C" w14:paraId="22468DD3" w14:textId="77777777">
      <w:pPr>
        <w:ind w:firstLine="284"/>
      </w:pPr>
    </w:p>
    <w:p w:rsidR="002E304C" w:rsidP="002E304C" w:rsidRDefault="002E304C" w14:paraId="41C6B7CC" w14:textId="5DBE5EDF">
      <w:r>
        <w:t>Ca</w:t>
      </w:r>
    </w:p>
    <w:p w:rsidR="002E304C" w:rsidP="002E304C" w:rsidRDefault="002E304C" w14:paraId="2208D253" w14:textId="77777777"/>
    <w:p w:rsidR="002E304C" w:rsidP="002E304C" w:rsidRDefault="002E304C" w14:paraId="1ABBBF29" w14:textId="330F682D">
      <w:r>
        <w:tab/>
      </w:r>
      <w:r w:rsidRPr="002E304C">
        <w:t xml:space="preserve">In artikel 66a, zevende lid, wordt, onder verlettering van de onderdelen a tot en met d tot b tot en met e, een </w:t>
      </w:r>
      <w:r w:rsidR="009F7170">
        <w:t xml:space="preserve">onderdeel </w:t>
      </w:r>
      <w:r w:rsidRPr="002E304C">
        <w:t xml:space="preserve">ingevoegd, luidende: </w:t>
      </w:r>
    </w:p>
    <w:p w:rsidR="002E304C" w:rsidP="002E304C" w:rsidRDefault="002E304C" w14:paraId="1BB6E566" w14:textId="2FA145A3">
      <w:r>
        <w:tab/>
      </w:r>
      <w:r w:rsidRPr="002E304C">
        <w:t>a. bij herhaling het strafbare feit, bedoeld in artikel 108, zesde lid, of het strafbare feit, bedoeld in artikel 108a, heeft begaan, dan wel achtereen volgens beide strafbare feiten heeft begaan;.</w:t>
      </w:r>
    </w:p>
    <w:p w:rsidR="002E304C" w:rsidP="002E304C" w:rsidRDefault="002E304C" w14:paraId="6ED0F87B" w14:textId="77777777"/>
    <w:p w:rsidR="002E304C" w:rsidP="002E304C" w:rsidRDefault="002E304C" w14:paraId="714C41E2" w14:textId="2B8B4393">
      <w:r>
        <w:t>II</w:t>
      </w:r>
    </w:p>
    <w:p w:rsidR="002E304C" w:rsidP="002E304C" w:rsidRDefault="002E304C" w14:paraId="21E814D8" w14:textId="77777777"/>
    <w:p w:rsidR="002E304C" w:rsidP="002E304C" w:rsidRDefault="002E304C" w14:paraId="101733CD" w14:textId="2653DBBC">
      <w:r>
        <w:tab/>
        <w:t>Aan artikel II wordt een onderdeel toegevoegd, luidende:</w:t>
      </w:r>
    </w:p>
    <w:p w:rsidR="002E304C" w:rsidP="002E304C" w:rsidRDefault="002E304C" w14:paraId="70F3C478" w14:textId="77777777"/>
    <w:p w:rsidR="002E304C" w:rsidP="002E304C" w:rsidRDefault="002E304C" w14:paraId="6E749D22" w14:textId="0ABD2049">
      <w:r>
        <w:t>F</w:t>
      </w:r>
    </w:p>
    <w:p w:rsidR="002E304C" w:rsidP="002E304C" w:rsidRDefault="002E304C" w14:paraId="626472F7" w14:textId="77777777"/>
    <w:p w:rsidR="002E304C" w:rsidP="002E304C" w:rsidRDefault="002E304C" w14:paraId="5ADFCD14" w14:textId="77777777">
      <w:r>
        <w:tab/>
      </w:r>
      <w:r w:rsidRPr="002E304C">
        <w:t xml:space="preserve">Na artikel 108 wordt een artikel ingevoegd, luidende: </w:t>
      </w:r>
    </w:p>
    <w:p w:rsidR="002E304C" w:rsidP="002E304C" w:rsidRDefault="002E304C" w14:paraId="533BCEE8" w14:textId="77777777"/>
    <w:p w:rsidR="002E304C" w:rsidP="002E304C" w:rsidRDefault="002E304C" w14:paraId="432F74A7" w14:textId="5DD19A3A">
      <w:pPr>
        <w:rPr>
          <w:b/>
          <w:bCs/>
        </w:rPr>
      </w:pPr>
      <w:r w:rsidRPr="002E304C">
        <w:rPr>
          <w:b/>
          <w:bCs/>
        </w:rPr>
        <w:t>Artikel 108a</w:t>
      </w:r>
    </w:p>
    <w:p w:rsidR="002E304C" w:rsidP="002E304C" w:rsidRDefault="002E304C" w14:paraId="76889CDC" w14:textId="77777777"/>
    <w:p w:rsidR="002E304C" w:rsidP="002E304C" w:rsidRDefault="002E304C" w14:paraId="38AF93D9" w14:textId="77777777">
      <w:r>
        <w:tab/>
        <w:t>1</w:t>
      </w:r>
      <w:r w:rsidRPr="002E304C">
        <w:t xml:space="preserve">. De meerderjarige vreemdeling die in Nederland verblijft terwijl hij weet of ernstige reden heeft te vermoeden dat dat verblijf niet rechtmatig is, wordt gestraft met gevangenisstraf van ten hoogste zes maanden of geldboete van de tweede categorie. </w:t>
      </w:r>
    </w:p>
    <w:p w:rsidR="002E304C" w:rsidP="002E304C" w:rsidRDefault="002E304C" w14:paraId="71547140" w14:textId="77777777">
      <w:r>
        <w:tab/>
      </w:r>
      <w:r w:rsidRPr="002E304C">
        <w:t xml:space="preserve">2. In afwijking van het eerste lid is de vreemdeling niet strafbaar zolang de voor hem geldende vertrektermijn nog niet is verstreken. </w:t>
      </w:r>
    </w:p>
    <w:p w:rsidR="002E304C" w:rsidP="002E304C" w:rsidRDefault="002E304C" w14:paraId="4BB5533D" w14:textId="77777777">
      <w:r>
        <w:tab/>
      </w:r>
      <w:r w:rsidRPr="002E304C">
        <w:t xml:space="preserve">3. Het in het eerste lid strafbaar gestelde feit is een misdrijf. Deelnemen aan dit misdrijf, anders dan als pleger, is niet strafbaar. </w:t>
      </w:r>
    </w:p>
    <w:p w:rsidRPr="00EA69AC" w:rsidR="002E304C" w:rsidP="002E304C" w:rsidRDefault="002E304C" w14:paraId="5BE728C2" w14:textId="0647381C">
      <w:r>
        <w:tab/>
      </w:r>
      <w:r w:rsidRPr="002E304C">
        <w:t>4. Artikel 108, vierde lid, is van overeenkomstige toepassing.</w:t>
      </w:r>
    </w:p>
    <w:p w:rsidR="00EA1CE4" w:rsidP="00EA1CE4" w:rsidRDefault="00EA1CE4" w14:paraId="726F597F" w14:textId="77777777"/>
    <w:p w:rsidR="003C21AC" w:rsidP="00EA1CE4" w:rsidRDefault="003C21AC" w14:paraId="34C95360" w14:textId="77777777">
      <w:pPr>
        <w:rPr>
          <w:b/>
        </w:rPr>
      </w:pPr>
      <w:r w:rsidRPr="00EA69AC">
        <w:rPr>
          <w:b/>
        </w:rPr>
        <w:t>Toelichting</w:t>
      </w:r>
    </w:p>
    <w:p w:rsidR="00191E4B" w:rsidP="00EA1CE4" w:rsidRDefault="00191E4B" w14:paraId="59E0933C" w14:textId="77777777">
      <w:pPr>
        <w:rPr>
          <w:b/>
        </w:rPr>
      </w:pPr>
    </w:p>
    <w:p w:rsidR="00BA7A15" w:rsidP="00BA7A15" w:rsidRDefault="00BA7A15" w14:paraId="0C6EB232" w14:textId="7016FA43">
      <w:pPr>
        <w:rPr>
          <w:bCs/>
        </w:rPr>
      </w:pPr>
      <w:r w:rsidRPr="00BA7A15">
        <w:rPr>
          <w:bCs/>
        </w:rPr>
        <w:t>Vreemdelingen die geen rechtmatig verblijf in Nederland hebben, behoren Nederland te verlaten. In de praktijk gebeurt echter vaak het tegenovergestelde: grote aantallen vreemdelingen blijven in Nederland en verdwijnen in de illegaliteit. Zij onttrekken zich aan toezicht, frustreren actief het terugkeerbeleid en verblijven langdurig zonder verblijfsrecht in ons land. Dat tast de geloofwaardigheid van het migratiebeleid aan, veroorzaakt maatschappelijke overlast en legt extra druk op publieke voorzieningen, veiligheid en handhaving.</w:t>
      </w:r>
    </w:p>
    <w:p w:rsidRPr="00BA7A15" w:rsidR="00BA7A15" w:rsidP="00BA7A15" w:rsidRDefault="00BA7A15" w14:paraId="4439709F" w14:textId="77777777">
      <w:pPr>
        <w:rPr>
          <w:bCs/>
        </w:rPr>
      </w:pPr>
    </w:p>
    <w:p w:rsidR="00BA7A15" w:rsidP="00BA7A15" w:rsidRDefault="00BA7A15" w14:paraId="0DB6D3A0" w14:textId="35DC9088">
      <w:pPr>
        <w:rPr>
          <w:bCs/>
        </w:rPr>
      </w:pPr>
      <w:r w:rsidRPr="00BA7A15">
        <w:rPr>
          <w:bCs/>
        </w:rPr>
        <w:t xml:space="preserve">Met dit amendement wordt daarom geregeld dat </w:t>
      </w:r>
      <w:r w:rsidR="0005231C">
        <w:rPr>
          <w:bCs/>
        </w:rPr>
        <w:t>illegaliteit</w:t>
      </w:r>
      <w:r w:rsidRPr="00BA7A15">
        <w:rPr>
          <w:bCs/>
        </w:rPr>
        <w:t xml:space="preserve"> strafbaar wordt gesteld, naar het voorbeeld van verschillende EU-landen. Wie geen recht heeft om in Nederland te verblijven en desondanks bewust in Nederland blijft, maakt zich daarmee strafbaar. </w:t>
      </w:r>
    </w:p>
    <w:p w:rsidRPr="00BA7A15" w:rsidR="00BA7A15" w:rsidP="00BA7A15" w:rsidRDefault="00BA7A15" w14:paraId="7496EFF7" w14:textId="77777777">
      <w:pPr>
        <w:rPr>
          <w:bCs/>
        </w:rPr>
      </w:pPr>
    </w:p>
    <w:p w:rsidR="00AD4287" w:rsidP="00AD4287" w:rsidRDefault="00AD4287" w14:paraId="1739E060" w14:textId="77777777">
      <w:pPr>
        <w:rPr>
          <w:bCs/>
        </w:rPr>
      </w:pPr>
      <w:r w:rsidRPr="00BA7A15">
        <w:rPr>
          <w:bCs/>
        </w:rPr>
        <w:t xml:space="preserve">Het amendement sluit aan bij het uitgangspunt dat het Nederlandse migratiebeleid geloofwaardig moet zijn. Zonder consequenties voor het bewust negeren van een vertrekplicht ontstaat het risico dat vreemdelingen zonder geldige verblijfspapieren in Nederland verblijven, buiten het zicht van de overheid. </w:t>
      </w:r>
      <w:r>
        <w:rPr>
          <w:bCs/>
        </w:rPr>
        <w:t>S</w:t>
      </w:r>
      <w:r w:rsidRPr="00B06409">
        <w:rPr>
          <w:bCs/>
        </w:rPr>
        <w:t xml:space="preserve">trafbaarstelling van illegaal verblijf </w:t>
      </w:r>
      <w:r>
        <w:rPr>
          <w:bCs/>
        </w:rPr>
        <w:t>zal</w:t>
      </w:r>
      <w:r w:rsidRPr="00B06409">
        <w:rPr>
          <w:bCs/>
        </w:rPr>
        <w:t xml:space="preserve"> bijdragen aan meer grip krijgen op migratie en een effectiever terugkeerbeleid.</w:t>
      </w:r>
    </w:p>
    <w:p w:rsidRPr="00BA7A15" w:rsidR="00BA7A15" w:rsidP="00BA7A15" w:rsidRDefault="00BA7A15" w14:paraId="29F2DCDD" w14:textId="77777777">
      <w:pPr>
        <w:rPr>
          <w:bCs/>
        </w:rPr>
      </w:pPr>
    </w:p>
    <w:p w:rsidRPr="0005231C" w:rsidR="0005231C" w:rsidP="0005231C" w:rsidRDefault="0005231C" w14:paraId="07051F69" w14:textId="44596D84">
      <w:pPr>
        <w:rPr>
          <w:bCs/>
        </w:rPr>
      </w:pPr>
      <w:r w:rsidRPr="0005231C">
        <w:rPr>
          <w:bCs/>
        </w:rPr>
        <w:t>De meerderheid van de Tweede Kamer heeft zich uitgesproken tegen het strafbaar stellen van hulpverlening aan illegal</w:t>
      </w:r>
      <w:r>
        <w:rPr>
          <w:bCs/>
        </w:rPr>
        <w:t>en</w:t>
      </w:r>
      <w:r w:rsidRPr="0005231C">
        <w:rPr>
          <w:bCs/>
        </w:rPr>
        <w:t>. Indieners hebben ervoor gekozen om, in navolging van de novelle inzake de strafbaarstelling van illegaal verblijf, deelnemers anders dan de pleger uit te sluiten van strafbaarheid.</w:t>
      </w:r>
    </w:p>
    <w:p w:rsidR="00EF5075" w:rsidP="00EA1CE4" w:rsidRDefault="00EF5075" w14:paraId="5BFFD7ED" w14:textId="77777777">
      <w:pPr>
        <w:rPr>
          <w:b/>
          <w:bCs/>
        </w:rPr>
      </w:pPr>
    </w:p>
    <w:p w:rsidRPr="001640D6" w:rsidR="00B4708A" w:rsidP="00EA1CE4" w:rsidRDefault="00191E4B" w14:paraId="50B04021" w14:textId="736B6D52">
      <w:r>
        <w:t>Markuszower</w:t>
      </w:r>
    </w:p>
    <w:p w:rsidRPr="001640D6" w:rsidR="00A62BCE" w:rsidP="00EA1CE4" w:rsidRDefault="00191E4B" w14:paraId="568D3814" w14:textId="16951A4B">
      <w:r w:rsidRPr="00191E4B">
        <w:t>Lammers</w:t>
      </w:r>
    </w:p>
    <w:p w:rsidRPr="001640D6" w:rsidR="00EF5075" w:rsidP="00EA1CE4" w:rsidRDefault="00191E4B" w14:paraId="383B5008" w14:textId="39F9D420">
      <w:r w:rsidRPr="00191E4B">
        <w:t>Schilder</w:t>
      </w:r>
    </w:p>
    <w:sectPr w:rsidRPr="001640D6" w:rsidR="00EF507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30F9" w14:textId="77777777" w:rsidR="00AD6174" w:rsidRDefault="00AD6174">
      <w:pPr>
        <w:spacing w:line="20" w:lineRule="exact"/>
      </w:pPr>
    </w:p>
  </w:endnote>
  <w:endnote w:type="continuationSeparator" w:id="0">
    <w:p w14:paraId="012FB98F" w14:textId="77777777" w:rsidR="00AD6174" w:rsidRDefault="00AD6174">
      <w:pPr>
        <w:pStyle w:val="Amendement"/>
      </w:pPr>
      <w:r>
        <w:rPr>
          <w:b w:val="0"/>
        </w:rPr>
        <w:t xml:space="preserve"> </w:t>
      </w:r>
    </w:p>
  </w:endnote>
  <w:endnote w:type="continuationNotice" w:id="1">
    <w:p w14:paraId="3AEBE8F3" w14:textId="77777777" w:rsidR="00AD6174" w:rsidRDefault="00AD61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AB2B" w14:textId="77777777" w:rsidR="00AD6174" w:rsidRDefault="00AD6174">
      <w:pPr>
        <w:pStyle w:val="Amendement"/>
      </w:pPr>
      <w:r>
        <w:rPr>
          <w:b w:val="0"/>
        </w:rPr>
        <w:separator/>
      </w:r>
    </w:p>
  </w:footnote>
  <w:footnote w:type="continuationSeparator" w:id="0">
    <w:p w14:paraId="4D2C5CFB" w14:textId="77777777" w:rsidR="00AD6174" w:rsidRDefault="00AD6174">
      <w:r>
        <w:continuationSeparator/>
      </w:r>
    </w:p>
  </w:footnote>
  <w:footnote w:id="1">
    <w:p w14:paraId="21CB19C6" w14:textId="58075EDE" w:rsidR="008221EA" w:rsidRDefault="008221EA">
      <w:pPr>
        <w:pStyle w:val="Voetnoottekst"/>
      </w:pPr>
      <w:r>
        <w:rPr>
          <w:rStyle w:val="Voetnootmarkering"/>
        </w:rPr>
        <w:footnoteRef/>
      </w:r>
      <w:r>
        <w:t xml:space="preserve"> </w:t>
      </w:r>
      <w:r w:rsidRPr="009F33B2">
        <w:rPr>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4C"/>
    <w:rsid w:val="00052244"/>
    <w:rsid w:val="0005231C"/>
    <w:rsid w:val="00055A40"/>
    <w:rsid w:val="0007471A"/>
    <w:rsid w:val="000935AB"/>
    <w:rsid w:val="0009750D"/>
    <w:rsid w:val="00097DAE"/>
    <w:rsid w:val="000D07DF"/>
    <w:rsid w:val="000D17BF"/>
    <w:rsid w:val="000E1FEC"/>
    <w:rsid w:val="000F2B90"/>
    <w:rsid w:val="00157CAF"/>
    <w:rsid w:val="001640D6"/>
    <w:rsid w:val="001656EE"/>
    <w:rsid w:val="0016653D"/>
    <w:rsid w:val="00191E4B"/>
    <w:rsid w:val="00194CC3"/>
    <w:rsid w:val="001D56AF"/>
    <w:rsid w:val="001E0E21"/>
    <w:rsid w:val="00201ED4"/>
    <w:rsid w:val="00210C2C"/>
    <w:rsid w:val="00212E0A"/>
    <w:rsid w:val="002153B0"/>
    <w:rsid w:val="0021777F"/>
    <w:rsid w:val="0021791D"/>
    <w:rsid w:val="00241DD0"/>
    <w:rsid w:val="002422BB"/>
    <w:rsid w:val="002A0713"/>
    <w:rsid w:val="002E304C"/>
    <w:rsid w:val="003960B6"/>
    <w:rsid w:val="003C21AC"/>
    <w:rsid w:val="003C5218"/>
    <w:rsid w:val="003C7876"/>
    <w:rsid w:val="003E2308"/>
    <w:rsid w:val="003E2F98"/>
    <w:rsid w:val="003F4C6F"/>
    <w:rsid w:val="00413B00"/>
    <w:rsid w:val="0042574B"/>
    <w:rsid w:val="004330ED"/>
    <w:rsid w:val="00481C91"/>
    <w:rsid w:val="004911E3"/>
    <w:rsid w:val="00492494"/>
    <w:rsid w:val="004945B3"/>
    <w:rsid w:val="00497D57"/>
    <w:rsid w:val="004A1E29"/>
    <w:rsid w:val="004A74E6"/>
    <w:rsid w:val="004A7DD4"/>
    <w:rsid w:val="004B2B4B"/>
    <w:rsid w:val="004B50D8"/>
    <w:rsid w:val="004B5B90"/>
    <w:rsid w:val="004D2AB1"/>
    <w:rsid w:val="00501109"/>
    <w:rsid w:val="00552AFC"/>
    <w:rsid w:val="005703C9"/>
    <w:rsid w:val="00597703"/>
    <w:rsid w:val="005A6097"/>
    <w:rsid w:val="005B1DCC"/>
    <w:rsid w:val="005B7323"/>
    <w:rsid w:val="005C25B9"/>
    <w:rsid w:val="005E5C32"/>
    <w:rsid w:val="006267E6"/>
    <w:rsid w:val="006558D2"/>
    <w:rsid w:val="00672D25"/>
    <w:rsid w:val="006738BC"/>
    <w:rsid w:val="00691E4C"/>
    <w:rsid w:val="006D2B5D"/>
    <w:rsid w:val="006D3E69"/>
    <w:rsid w:val="006E0971"/>
    <w:rsid w:val="007709F6"/>
    <w:rsid w:val="00783215"/>
    <w:rsid w:val="007965FC"/>
    <w:rsid w:val="007B5E72"/>
    <w:rsid w:val="007D2608"/>
    <w:rsid w:val="007D50D9"/>
    <w:rsid w:val="0080398D"/>
    <w:rsid w:val="008060A9"/>
    <w:rsid w:val="008164E5"/>
    <w:rsid w:val="008221EA"/>
    <w:rsid w:val="00830081"/>
    <w:rsid w:val="008467D7"/>
    <w:rsid w:val="00852541"/>
    <w:rsid w:val="00865D47"/>
    <w:rsid w:val="0088452C"/>
    <w:rsid w:val="008A5608"/>
    <w:rsid w:val="008C7023"/>
    <w:rsid w:val="008D7DCB"/>
    <w:rsid w:val="008F69E0"/>
    <w:rsid w:val="009055DB"/>
    <w:rsid w:val="00905ECB"/>
    <w:rsid w:val="0096165D"/>
    <w:rsid w:val="00993E91"/>
    <w:rsid w:val="009A409F"/>
    <w:rsid w:val="009B5845"/>
    <w:rsid w:val="009C0C1F"/>
    <w:rsid w:val="009F225B"/>
    <w:rsid w:val="009F7170"/>
    <w:rsid w:val="00A10505"/>
    <w:rsid w:val="00A1288B"/>
    <w:rsid w:val="00A53203"/>
    <w:rsid w:val="00A62BCE"/>
    <w:rsid w:val="00A772EB"/>
    <w:rsid w:val="00AD4287"/>
    <w:rsid w:val="00AD6174"/>
    <w:rsid w:val="00B01BA6"/>
    <w:rsid w:val="00B06409"/>
    <w:rsid w:val="00B146F4"/>
    <w:rsid w:val="00B160C5"/>
    <w:rsid w:val="00B20039"/>
    <w:rsid w:val="00B30653"/>
    <w:rsid w:val="00B4708A"/>
    <w:rsid w:val="00BA7A15"/>
    <w:rsid w:val="00BF623B"/>
    <w:rsid w:val="00C035D4"/>
    <w:rsid w:val="00C679BF"/>
    <w:rsid w:val="00C81BBD"/>
    <w:rsid w:val="00C83361"/>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A7841"/>
    <w:rsid w:val="00EB40A1"/>
    <w:rsid w:val="00EC3112"/>
    <w:rsid w:val="00ED5E57"/>
    <w:rsid w:val="00EE1BD8"/>
    <w:rsid w:val="00EE7BD3"/>
    <w:rsid w:val="00EF5075"/>
    <w:rsid w:val="00FA5BBE"/>
    <w:rsid w:val="00FD09AB"/>
    <w:rsid w:val="00FE2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C519D"/>
  <w15:docId w15:val="{D9E00805-2E48-4D2F-AF2E-43719B02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0039"/>
    <w:rPr>
      <w:sz w:val="16"/>
      <w:szCs w:val="16"/>
    </w:rPr>
  </w:style>
  <w:style w:type="paragraph" w:styleId="Tekstopmerking">
    <w:name w:val="annotation text"/>
    <w:basedOn w:val="Standaard"/>
    <w:link w:val="TekstopmerkingChar"/>
    <w:semiHidden/>
    <w:unhideWhenUsed/>
    <w:rsid w:val="00B20039"/>
    <w:rPr>
      <w:sz w:val="20"/>
    </w:rPr>
  </w:style>
  <w:style w:type="character" w:customStyle="1" w:styleId="TekstopmerkingChar">
    <w:name w:val="Tekst opmerking Char"/>
    <w:basedOn w:val="Standaardalinea-lettertype"/>
    <w:link w:val="Tekstopmerking"/>
    <w:semiHidden/>
    <w:rsid w:val="00B20039"/>
  </w:style>
  <w:style w:type="paragraph" w:styleId="Onderwerpvanopmerking">
    <w:name w:val="annotation subject"/>
    <w:basedOn w:val="Tekstopmerking"/>
    <w:next w:val="Tekstopmerking"/>
    <w:link w:val="OnderwerpvanopmerkingChar"/>
    <w:semiHidden/>
    <w:unhideWhenUsed/>
    <w:rsid w:val="00B20039"/>
    <w:rPr>
      <w:b/>
      <w:bCs/>
    </w:rPr>
  </w:style>
  <w:style w:type="character" w:customStyle="1" w:styleId="OnderwerpvanopmerkingChar">
    <w:name w:val="Onderwerp van opmerking Char"/>
    <w:basedOn w:val="TekstopmerkingChar"/>
    <w:link w:val="Onderwerpvanopmerking"/>
    <w:semiHidden/>
    <w:rsid w:val="00B20039"/>
    <w:rPr>
      <w:b/>
      <w:bCs/>
    </w:rPr>
  </w:style>
  <w:style w:type="paragraph" w:styleId="Normaalweb">
    <w:name w:val="Normal (Web)"/>
    <w:basedOn w:val="Standaard"/>
    <w:semiHidden/>
    <w:unhideWhenUsed/>
    <w:rsid w:val="00BA7A15"/>
    <w:rPr>
      <w:szCs w:val="24"/>
    </w:rPr>
  </w:style>
  <w:style w:type="paragraph" w:styleId="Revisie">
    <w:name w:val="Revision"/>
    <w:hidden/>
    <w:uiPriority w:val="99"/>
    <w:semiHidden/>
    <w:rsid w:val="00191E4B"/>
    <w:rPr>
      <w:sz w:val="24"/>
    </w:rPr>
  </w:style>
  <w:style w:type="character" w:styleId="Voetnootmarkering">
    <w:name w:val="footnote reference"/>
    <w:basedOn w:val="Standaardalinea-lettertype"/>
    <w:semiHidden/>
    <w:unhideWhenUsed/>
    <w:rsid w:val="00822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518</ap:Words>
  <ap:Characters>2853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2026-05-21T08:12:00.0000000Z</dcterms:created>
  <dcterms:modified xsi:type="dcterms:W3CDTF">2026-05-21T08:12:00.0000000Z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