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5EBC" w:rsidR="00CF605F" w:rsidP="00F15A43" w:rsidRDefault="00CF605F" w14:paraId="251E3EBF" w14:textId="0B27A12B">
      <w:pPr>
        <w:pStyle w:val="Normaalweb"/>
      </w:pPr>
      <w:r w:rsidRPr="00D55EBC">
        <w:t>21501-3</w:t>
      </w:r>
      <w:r w:rsidRPr="00D55EBC" w:rsidR="00EA40DC">
        <w:t>0</w:t>
      </w:r>
      <w:r w:rsidRPr="00D55EBC">
        <w:tab/>
        <w:t>Raad voor Concurrentievermogen</w:t>
      </w:r>
    </w:p>
    <w:p w:rsidRPr="00D55EBC" w:rsidR="00CF605F" w:rsidP="00F15A43" w:rsidRDefault="00CF605F" w14:paraId="1459F82F" w14:textId="1E05A813">
      <w:pPr>
        <w:pStyle w:val="Normaalweb"/>
      </w:pPr>
      <w:r w:rsidRPr="00D55EBC">
        <w:t xml:space="preserve">Nr. </w:t>
      </w:r>
      <w:r w:rsidRPr="00D55EBC">
        <w:tab/>
      </w:r>
      <w:r w:rsidRPr="00D55EBC">
        <w:tab/>
        <w:t>Verslag van een schriftelijk overleg</w:t>
      </w:r>
    </w:p>
    <w:p w:rsidRPr="00D55EBC" w:rsidR="00CF605F" w:rsidP="00F15A43" w:rsidRDefault="00CF605F" w14:paraId="5A92F1E6" w14:textId="77777777">
      <w:pPr>
        <w:pStyle w:val="Normaalweb"/>
      </w:pPr>
      <w:r w:rsidRPr="00D55EBC">
        <w:t>Vastgesteld (…)</w:t>
      </w:r>
    </w:p>
    <w:p w:rsidRPr="00D55EBC" w:rsidR="00C2566A" w:rsidP="00F15A43" w:rsidRDefault="00CF605F" w14:paraId="19488F4A" w14:textId="51E100BE">
      <w:pPr>
        <w:pStyle w:val="Normaalweb"/>
      </w:pPr>
      <w:r w:rsidRPr="00D55EBC">
        <w:t xml:space="preserve">De vaste commissie voor Economische Zaken heeft een aantal vragen en opmerkingen aan </w:t>
      </w:r>
      <w:r w:rsidRPr="00D55EBC" w:rsidR="00A74D29">
        <w:t>het kabinet</w:t>
      </w:r>
      <w:r w:rsidRPr="00D55EBC" w:rsidR="00C2566A">
        <w:t xml:space="preserve"> over </w:t>
      </w:r>
      <w:r w:rsidRPr="00D55EBC" w:rsidR="008210D2">
        <w:t xml:space="preserve">een </w:t>
      </w:r>
      <w:r w:rsidRPr="00D55EBC" w:rsidR="003F7479">
        <w:t>aantal</w:t>
      </w:r>
      <w:r w:rsidRPr="00D55EBC" w:rsidR="008210D2">
        <w:t xml:space="preserve"> </w:t>
      </w:r>
      <w:r w:rsidRPr="00D55EBC" w:rsidR="00432AFC">
        <w:t xml:space="preserve">brieven, waaronder </w:t>
      </w:r>
      <w:r w:rsidRPr="00D55EBC" w:rsidR="00C2566A">
        <w:t>de Geannoteerde agenda voor de</w:t>
      </w:r>
      <w:r w:rsidRPr="00D55EBC" w:rsidR="00DE47B5">
        <w:t xml:space="preserve"> </w:t>
      </w:r>
      <w:r w:rsidRPr="00D55EBC" w:rsidR="00C2566A">
        <w:t xml:space="preserve">formele </w:t>
      </w:r>
      <w:r w:rsidRPr="00D55EBC" w:rsidR="000C6E2B">
        <w:t>Raad voor</w:t>
      </w:r>
      <w:r w:rsidRPr="00D55EBC" w:rsidR="003043D6">
        <w:t xml:space="preserve"> Concurrentievermogen</w:t>
      </w:r>
      <w:r w:rsidRPr="00D55EBC" w:rsidR="00C2566A">
        <w:t xml:space="preserve"> op </w:t>
      </w:r>
      <w:r w:rsidRPr="00D55EBC" w:rsidR="003043D6">
        <w:t>2</w:t>
      </w:r>
      <w:r w:rsidRPr="00D55EBC" w:rsidR="006951C9">
        <w:t>8</w:t>
      </w:r>
      <w:r w:rsidRPr="00D55EBC" w:rsidR="003043D6">
        <w:t xml:space="preserve"> en </w:t>
      </w:r>
      <w:r w:rsidRPr="00D55EBC" w:rsidR="00805D13">
        <w:t>2</w:t>
      </w:r>
      <w:r w:rsidRPr="00D55EBC" w:rsidR="006951C9">
        <w:t xml:space="preserve">9 mei </w:t>
      </w:r>
      <w:r w:rsidRPr="00D55EBC" w:rsidR="00C2566A">
        <w:t>202</w:t>
      </w:r>
      <w:r w:rsidRPr="00D55EBC" w:rsidR="003043D6">
        <w:t>6</w:t>
      </w:r>
      <w:r w:rsidRPr="00D55EBC" w:rsidR="00C2566A">
        <w:t xml:space="preserve"> (Kamerstuk 21501-30, nr. 6</w:t>
      </w:r>
      <w:r w:rsidRPr="00D55EBC" w:rsidR="00513598">
        <w:t>96</w:t>
      </w:r>
      <w:r w:rsidRPr="00D55EBC" w:rsidR="00C2566A">
        <w:t xml:space="preserve">). </w:t>
      </w:r>
    </w:p>
    <w:p w:rsidRPr="00D55EBC" w:rsidR="0092755B" w:rsidP="00F15A43" w:rsidRDefault="0092755B" w14:paraId="5C472DCF" w14:textId="444234E0">
      <w:pPr>
        <w:spacing w:line="240" w:lineRule="auto"/>
        <w:rPr>
          <w:lang w:eastAsia="nl-NL"/>
        </w:rPr>
      </w:pPr>
      <w:r w:rsidRPr="00D55EBC">
        <w:rPr>
          <w:lang w:eastAsia="nl-NL"/>
        </w:rPr>
        <w:t xml:space="preserve">De op </w:t>
      </w:r>
      <w:r w:rsidRPr="00D55EBC" w:rsidR="00C2566A">
        <w:rPr>
          <w:lang w:eastAsia="nl-NL"/>
        </w:rPr>
        <w:t>2</w:t>
      </w:r>
      <w:r w:rsidRPr="00D55EBC" w:rsidR="006B35BB">
        <w:rPr>
          <w:lang w:eastAsia="nl-NL"/>
        </w:rPr>
        <w:t xml:space="preserve">0 mei </w:t>
      </w:r>
      <w:r w:rsidRPr="00D55EBC">
        <w:rPr>
          <w:lang w:eastAsia="nl-NL"/>
        </w:rPr>
        <w:t>202</w:t>
      </w:r>
      <w:r w:rsidRPr="00D55EBC" w:rsidR="00747CB5">
        <w:rPr>
          <w:lang w:eastAsia="nl-NL"/>
        </w:rPr>
        <w:t>6</w:t>
      </w:r>
      <w:r w:rsidRPr="00D55EBC">
        <w:rPr>
          <w:lang w:eastAsia="nl-NL"/>
        </w:rPr>
        <w:t xml:space="preserve"> toegezonden vragen en opmerkingen zijn met de door </w:t>
      </w:r>
      <w:r w:rsidRPr="00D55EBC" w:rsidR="00533580">
        <w:rPr>
          <w:lang w:eastAsia="nl-NL"/>
        </w:rPr>
        <w:t>het kabinet</w:t>
      </w:r>
      <w:r w:rsidRPr="00D55EBC">
        <w:rPr>
          <w:lang w:eastAsia="nl-NL"/>
        </w:rPr>
        <w:t xml:space="preserve"> bij brief van ……. 202</w:t>
      </w:r>
      <w:r w:rsidRPr="00D55EBC" w:rsidR="00747CB5">
        <w:rPr>
          <w:lang w:eastAsia="nl-NL"/>
        </w:rPr>
        <w:t>6</w:t>
      </w:r>
      <w:r w:rsidRPr="00D55EBC">
        <w:rPr>
          <w:lang w:eastAsia="nl-NL"/>
        </w:rPr>
        <w:t xml:space="preserve"> toegezonden antwoorden hieronder afgedrukt.</w:t>
      </w:r>
    </w:p>
    <w:p w:rsidRPr="00D55EBC" w:rsidR="0092755B" w:rsidP="00F15A43" w:rsidRDefault="0092755B" w14:paraId="31B551BD" w14:textId="77777777">
      <w:pPr>
        <w:spacing w:line="240" w:lineRule="auto"/>
      </w:pPr>
    </w:p>
    <w:p w:rsidRPr="00D55EBC" w:rsidR="00CF605F" w:rsidP="00F15A43" w:rsidRDefault="00CF605F" w14:paraId="78AEEE5C" w14:textId="0B68DB82">
      <w:pPr>
        <w:pStyle w:val="Normaalweb"/>
      </w:pPr>
      <w:r w:rsidRPr="00D55EBC">
        <w:t>De voorzitter van de commissie,</w:t>
      </w:r>
      <w:r w:rsidRPr="00D55EBC">
        <w:br/>
      </w:r>
      <w:r w:rsidRPr="00D55EBC" w:rsidR="006D4CA8">
        <w:t>Van E</w:t>
      </w:r>
      <w:r w:rsidRPr="00D55EBC" w:rsidR="00725922">
        <w:t>ijk</w:t>
      </w:r>
    </w:p>
    <w:p w:rsidRPr="00D55EBC" w:rsidR="00CF605F" w:rsidP="00F15A43" w:rsidRDefault="00510391" w14:paraId="69FB447E" w14:textId="01A77CF5">
      <w:pPr>
        <w:pStyle w:val="Normaalweb"/>
      </w:pPr>
      <w:r w:rsidRPr="00D55EBC">
        <w:t xml:space="preserve">De </w:t>
      </w:r>
      <w:r w:rsidRPr="00D55EBC" w:rsidR="00A66A54">
        <w:t>adjunct-</w:t>
      </w:r>
      <w:r w:rsidRPr="00D55EBC" w:rsidR="00CF605F">
        <w:t>griffier van de commissie,</w:t>
      </w:r>
      <w:r w:rsidRPr="00D55EBC" w:rsidR="00CF605F">
        <w:br/>
      </w:r>
      <w:r w:rsidRPr="00D55EBC" w:rsidR="00A66A54">
        <w:t>Krijger</w:t>
      </w:r>
    </w:p>
    <w:p w:rsidRPr="00D55EBC" w:rsidR="00510391" w:rsidP="00F15A43" w:rsidRDefault="00510391" w14:paraId="49CE15BE" w14:textId="77777777">
      <w:pPr>
        <w:spacing w:line="240" w:lineRule="auto"/>
        <w:rPr>
          <w:rFonts w:eastAsia="Times New Roman"/>
          <w:kern w:val="0"/>
          <w:lang w:eastAsia="nl-NL"/>
          <w14:ligatures w14:val="none"/>
        </w:rPr>
      </w:pPr>
      <w:r w:rsidRPr="00D55EBC">
        <w:br w:type="page"/>
      </w:r>
    </w:p>
    <w:p w:rsidRPr="00D55EBC" w:rsidR="00CF605F" w:rsidP="00F15A43" w:rsidRDefault="00CF605F" w14:paraId="677F8663" w14:textId="6A93F941">
      <w:pPr>
        <w:pStyle w:val="Normaalweb"/>
        <w:rPr>
          <w:b/>
          <w:bCs/>
        </w:rPr>
      </w:pPr>
      <w:r w:rsidRPr="00D55EBC">
        <w:rPr>
          <w:b/>
          <w:bCs/>
        </w:rPr>
        <w:lastRenderedPageBreak/>
        <w:t>Inhoudsopgave</w:t>
      </w:r>
    </w:p>
    <w:p w:rsidRPr="00D55EBC" w:rsidR="003E6691" w:rsidP="0015605C" w:rsidRDefault="00CF605F" w14:paraId="4D78ACB6" w14:textId="1F8F3C9D">
      <w:pPr>
        <w:pStyle w:val="Normaalweb"/>
        <w:ind w:left="360" w:hanging="360"/>
        <w:rPr>
          <w:b/>
          <w:bCs/>
        </w:rPr>
      </w:pPr>
      <w:r w:rsidRPr="00D55EBC">
        <w:rPr>
          <w:b/>
          <w:bCs/>
        </w:rPr>
        <w:t>I</w:t>
      </w:r>
      <w:r w:rsidR="00FC6B2C">
        <w:rPr>
          <w:b/>
          <w:bCs/>
        </w:rPr>
        <w:t>.</w:t>
      </w:r>
      <w:r w:rsidRPr="00D55EBC">
        <w:rPr>
          <w:b/>
          <w:bCs/>
        </w:rPr>
        <w:t xml:space="preserve"> </w:t>
      </w:r>
      <w:r w:rsidRPr="00D55EBC">
        <w:rPr>
          <w:b/>
          <w:bCs/>
        </w:rPr>
        <w:tab/>
        <w:t>Vragen en opmerkingen vanuit de fracties</w:t>
      </w:r>
      <w:r w:rsidRPr="00D55EBC" w:rsidR="003E5563">
        <w:rPr>
          <w:b/>
          <w:bCs/>
        </w:rPr>
        <w:t xml:space="preserve"> en </w:t>
      </w:r>
      <w:r w:rsidR="00AC26C2">
        <w:rPr>
          <w:b/>
          <w:bCs/>
        </w:rPr>
        <w:t xml:space="preserve">vanuit </w:t>
      </w:r>
      <w:r w:rsidRPr="00D55EBC" w:rsidR="003E5563">
        <w:rPr>
          <w:b/>
          <w:bCs/>
        </w:rPr>
        <w:t xml:space="preserve">de </w:t>
      </w:r>
      <w:r w:rsidR="00AC26C2">
        <w:rPr>
          <w:b/>
          <w:bCs/>
        </w:rPr>
        <w:t xml:space="preserve">vaste commissie voor Onderwijs, </w:t>
      </w:r>
      <w:r w:rsidR="005F3738">
        <w:rPr>
          <w:b/>
          <w:bCs/>
        </w:rPr>
        <w:t>C</w:t>
      </w:r>
      <w:r w:rsidR="00AC26C2">
        <w:rPr>
          <w:b/>
          <w:bCs/>
        </w:rPr>
        <w:t xml:space="preserve">ultuur en Wetenschappen </w:t>
      </w:r>
      <w:r w:rsidRPr="00D55EBC" w:rsidR="00510391">
        <w:rPr>
          <w:b/>
          <w:bCs/>
        </w:rPr>
        <w:tab/>
      </w:r>
      <w:r w:rsidRPr="00D55EBC" w:rsidR="003E6691">
        <w:rPr>
          <w:b/>
          <w:bCs/>
        </w:rPr>
        <w:tab/>
      </w:r>
      <w:r w:rsidRPr="00D55EBC" w:rsidR="003E6691">
        <w:rPr>
          <w:b/>
          <w:bCs/>
        </w:rPr>
        <w:tab/>
      </w:r>
      <w:r w:rsidRPr="00D55EBC" w:rsidR="003E6691">
        <w:rPr>
          <w:b/>
          <w:bCs/>
        </w:rPr>
        <w:tab/>
      </w:r>
    </w:p>
    <w:p w:rsidRPr="009B165A" w:rsidR="009B165A" w:rsidP="00141928" w:rsidRDefault="003E6691" w14:paraId="6247A326" w14:textId="77777777">
      <w:pPr>
        <w:pStyle w:val="Lijstalinea"/>
        <w:numPr>
          <w:ilvl w:val="0"/>
          <w:numId w:val="3"/>
        </w:numPr>
        <w:spacing w:after="0" w:line="240" w:lineRule="auto"/>
        <w:rPr>
          <w:color w:val="000000"/>
        </w:rPr>
      </w:pPr>
      <w:r w:rsidRPr="00D55EBC">
        <w:t xml:space="preserve">Vragen en </w:t>
      </w:r>
      <w:r w:rsidRPr="00D55EBC" w:rsidR="00454F5F">
        <w:t>opmerkingen van de leden van de D66</w:t>
      </w:r>
      <w:r w:rsidRPr="00D55EBC" w:rsidR="00557224">
        <w:t>-fractie</w:t>
      </w:r>
    </w:p>
    <w:p w:rsidRPr="009B165A" w:rsidR="009B165A" w:rsidP="00141928" w:rsidRDefault="003E6691" w14:paraId="1D37AB02" w14:textId="77777777">
      <w:pPr>
        <w:pStyle w:val="Lijstalinea"/>
        <w:numPr>
          <w:ilvl w:val="0"/>
          <w:numId w:val="3"/>
        </w:numPr>
        <w:spacing w:after="0" w:line="240" w:lineRule="auto"/>
        <w:rPr>
          <w:color w:val="000000"/>
        </w:rPr>
      </w:pPr>
      <w:r w:rsidRPr="00D55EBC">
        <w:t>Vragen en opmerkingen van de leden van de VVD-fractie</w:t>
      </w:r>
      <w:r w:rsidRPr="00D55EBC">
        <w:tab/>
      </w:r>
      <w:r w:rsidRPr="00D55EBC">
        <w:tab/>
      </w:r>
    </w:p>
    <w:p w:rsidRPr="009B165A" w:rsidR="009B165A" w:rsidP="00141928" w:rsidRDefault="003E6691" w14:paraId="264B7694" w14:textId="77777777">
      <w:pPr>
        <w:pStyle w:val="Lijstalinea"/>
        <w:numPr>
          <w:ilvl w:val="0"/>
          <w:numId w:val="3"/>
        </w:numPr>
        <w:spacing w:after="0" w:line="240" w:lineRule="auto"/>
        <w:rPr>
          <w:color w:val="000000"/>
        </w:rPr>
      </w:pPr>
      <w:r w:rsidRPr="00D55EBC">
        <w:t xml:space="preserve">Vragen en opmerkingen van de leden van de </w:t>
      </w:r>
      <w:r w:rsidRPr="00D55EBC" w:rsidR="00557224">
        <w:t>GroenLinks</w:t>
      </w:r>
      <w:r w:rsidRPr="00D55EBC" w:rsidR="00E87073">
        <w:t>-</w:t>
      </w:r>
      <w:r w:rsidRPr="00D55EBC" w:rsidR="006E44BE">
        <w:t>PvdA</w:t>
      </w:r>
      <w:r w:rsidRPr="00D55EBC" w:rsidR="00557224">
        <w:t>-</w:t>
      </w:r>
      <w:r w:rsidRPr="00D55EBC" w:rsidR="00BD4020">
        <w:t>fractie</w:t>
      </w:r>
    </w:p>
    <w:p w:rsidRPr="00141928" w:rsidR="000D2580" w:rsidP="00141928" w:rsidRDefault="006E08FE" w14:paraId="674245BC" w14:textId="7C9975DC">
      <w:pPr>
        <w:pStyle w:val="Lijstalinea"/>
        <w:numPr>
          <w:ilvl w:val="0"/>
          <w:numId w:val="3"/>
        </w:numPr>
        <w:spacing w:after="0" w:line="240" w:lineRule="auto"/>
        <w:rPr>
          <w:color w:val="000000"/>
        </w:rPr>
      </w:pPr>
      <w:r w:rsidRPr="00141928">
        <w:rPr>
          <w:color w:val="000000"/>
        </w:rPr>
        <w:t>V</w:t>
      </w:r>
      <w:r w:rsidRPr="00141928" w:rsidR="003E6691">
        <w:rPr>
          <w:color w:val="000000"/>
        </w:rPr>
        <w:t xml:space="preserve">ragen en opmerkingen van de leden van de </w:t>
      </w:r>
      <w:r w:rsidRPr="00141928" w:rsidR="008162CF">
        <w:rPr>
          <w:color w:val="000000"/>
        </w:rPr>
        <w:t>CDA</w:t>
      </w:r>
      <w:r w:rsidRPr="00141928" w:rsidR="003E6691">
        <w:rPr>
          <w:color w:val="000000"/>
        </w:rPr>
        <w:t>-fractie</w:t>
      </w:r>
    </w:p>
    <w:p w:rsidRPr="00141928" w:rsidR="008A3618" w:rsidP="00141928" w:rsidRDefault="008A3618" w14:paraId="0FEDD9CA" w14:textId="3F0D4B87">
      <w:pPr>
        <w:pStyle w:val="Lijstalinea"/>
        <w:numPr>
          <w:ilvl w:val="0"/>
          <w:numId w:val="3"/>
        </w:numPr>
        <w:spacing w:after="0" w:line="240" w:lineRule="auto"/>
        <w:rPr>
          <w:color w:val="000000"/>
        </w:rPr>
      </w:pPr>
      <w:r w:rsidRPr="00141928">
        <w:rPr>
          <w:color w:val="000000"/>
        </w:rPr>
        <w:t>Vragen en opmerkingen van de leden van de F</w:t>
      </w:r>
      <w:r w:rsidRPr="00141928" w:rsidR="006E08FE">
        <w:rPr>
          <w:color w:val="000000"/>
        </w:rPr>
        <w:t>orum voor Democratie</w:t>
      </w:r>
      <w:r w:rsidRPr="00141928">
        <w:rPr>
          <w:color w:val="000000"/>
        </w:rPr>
        <w:t>-fractie</w:t>
      </w:r>
    </w:p>
    <w:p w:rsidRPr="00141928" w:rsidR="00AE4BCD" w:rsidP="00141928" w:rsidRDefault="008C323A" w14:paraId="512E05FA" w14:textId="7C175A06">
      <w:pPr>
        <w:pStyle w:val="Lijstalinea"/>
        <w:numPr>
          <w:ilvl w:val="0"/>
          <w:numId w:val="3"/>
        </w:numPr>
        <w:spacing w:line="240" w:lineRule="auto"/>
        <w:rPr>
          <w:color w:val="000000"/>
        </w:rPr>
      </w:pPr>
      <w:r w:rsidRPr="00141928">
        <w:rPr>
          <w:color w:val="000000"/>
        </w:rPr>
        <w:t xml:space="preserve">Vragen en opmerkingen van de </w:t>
      </w:r>
      <w:r w:rsidRPr="00141928" w:rsidR="00AE4BCD">
        <w:rPr>
          <w:color w:val="000000"/>
        </w:rPr>
        <w:t xml:space="preserve">EU-rapporteur voor het tiende kaderprogramma voor kennis en innovatie (Horizon Europe), Diederik Boomsma, namens de </w:t>
      </w:r>
      <w:r w:rsidRPr="00141928" w:rsidR="00837B17">
        <w:rPr>
          <w:color w:val="000000"/>
        </w:rPr>
        <w:t xml:space="preserve">vaste </w:t>
      </w:r>
      <w:r w:rsidRPr="00141928" w:rsidR="00AE4BCD">
        <w:rPr>
          <w:color w:val="000000"/>
        </w:rPr>
        <w:t xml:space="preserve">commissie </w:t>
      </w:r>
      <w:r w:rsidRPr="00141928" w:rsidR="00837B17">
        <w:rPr>
          <w:color w:val="000000"/>
        </w:rPr>
        <w:t xml:space="preserve">voor Onderwijs, Cultuur en Wetenschappen. </w:t>
      </w:r>
      <w:r w:rsidRPr="00141928" w:rsidR="00AE4BCD">
        <w:rPr>
          <w:color w:val="000000"/>
        </w:rPr>
        <w:t xml:space="preserve">  </w:t>
      </w:r>
    </w:p>
    <w:p w:rsidRPr="00D55EBC" w:rsidR="00A23964" w:rsidP="00F15A43" w:rsidRDefault="00A23964" w14:paraId="798A3541" w14:textId="0EAA14A6">
      <w:pPr>
        <w:spacing w:line="240" w:lineRule="auto"/>
        <w:rPr>
          <w:b/>
          <w:bCs/>
        </w:rPr>
      </w:pPr>
      <w:r w:rsidRPr="00D55EBC">
        <w:rPr>
          <w:b/>
          <w:bCs/>
        </w:rPr>
        <w:t>II</w:t>
      </w:r>
      <w:r w:rsidR="00FC6B2C">
        <w:rPr>
          <w:b/>
          <w:bCs/>
        </w:rPr>
        <w:t>.</w:t>
      </w:r>
      <w:r w:rsidR="0018657F">
        <w:rPr>
          <w:b/>
          <w:bCs/>
        </w:rPr>
        <w:tab/>
      </w:r>
      <w:r w:rsidRPr="00D55EBC">
        <w:rPr>
          <w:b/>
          <w:bCs/>
        </w:rPr>
        <w:t>Agenda</w:t>
      </w:r>
    </w:p>
    <w:p w:rsidRPr="00D55EBC" w:rsidR="008269F3" w:rsidP="00F15A43" w:rsidRDefault="006D2C68" w14:paraId="49D24D7C" w14:textId="603BAEC1">
      <w:pPr>
        <w:pStyle w:val="Lijstalinea"/>
        <w:numPr>
          <w:ilvl w:val="0"/>
          <w:numId w:val="1"/>
        </w:numPr>
        <w:spacing w:line="240" w:lineRule="auto"/>
      </w:pPr>
      <w:r w:rsidRPr="00D55EBC">
        <w:t>Geannoteerde agenda Raad voor Concurrentievermogen van 28 en 29 mei 2026</w:t>
      </w:r>
      <w:r w:rsidRPr="00D55EBC" w:rsidR="00E33886">
        <w:t xml:space="preserve"> (brief van de minister van Economische Zaken en Klimaat, H.G. Herbert</w:t>
      </w:r>
      <w:r w:rsidRPr="00D55EBC" w:rsidR="00641189">
        <w:t xml:space="preserve"> – </w:t>
      </w:r>
      <w:r w:rsidRPr="00D55EBC" w:rsidR="00641189">
        <w:rPr>
          <w:b/>
          <w:bCs/>
        </w:rPr>
        <w:t>21501-30-696</w:t>
      </w:r>
      <w:r w:rsidRPr="00D55EBC" w:rsidR="00641189">
        <w:t>)</w:t>
      </w:r>
    </w:p>
    <w:p w:rsidRPr="00D55EBC" w:rsidR="00A23964" w:rsidP="00F15A43" w:rsidRDefault="00A23964" w14:paraId="5080F35F" w14:textId="60C50637">
      <w:pPr>
        <w:pStyle w:val="Lijstalinea"/>
        <w:numPr>
          <w:ilvl w:val="0"/>
          <w:numId w:val="1"/>
        </w:numPr>
        <w:spacing w:line="240" w:lineRule="auto"/>
        <w:rPr>
          <w:b/>
          <w:bCs/>
        </w:rPr>
      </w:pPr>
      <w:r w:rsidRPr="00D55EBC">
        <w:t xml:space="preserve">Verslag Raad voor Concurrentievermogen van </w:t>
      </w:r>
      <w:r w:rsidRPr="00D55EBC" w:rsidR="00CC3985">
        <w:t xml:space="preserve">26 en 27 februari </w:t>
      </w:r>
      <w:r w:rsidRPr="00D55EBC">
        <w:t>202</w:t>
      </w:r>
      <w:r w:rsidRPr="00D55EBC" w:rsidR="00CC3985">
        <w:t>6</w:t>
      </w:r>
      <w:r w:rsidRPr="00D55EBC">
        <w:t xml:space="preserve"> (brief van de minister van Economische Zaken</w:t>
      </w:r>
      <w:r w:rsidRPr="00D55EBC" w:rsidR="00CC3985">
        <w:t xml:space="preserve"> en Klimaat</w:t>
      </w:r>
      <w:r w:rsidRPr="00D55EBC">
        <w:t xml:space="preserve">, </w:t>
      </w:r>
      <w:r w:rsidRPr="00D55EBC" w:rsidR="00CC3985">
        <w:t xml:space="preserve">H.G. Herbert </w:t>
      </w:r>
      <w:r w:rsidRPr="00D55EBC">
        <w:t xml:space="preserve">- </w:t>
      </w:r>
      <w:r w:rsidRPr="00D55EBC">
        <w:rPr>
          <w:b/>
          <w:bCs/>
        </w:rPr>
        <w:t>21501-30-6</w:t>
      </w:r>
      <w:r w:rsidRPr="00D55EBC" w:rsidR="0002493E">
        <w:rPr>
          <w:b/>
          <w:bCs/>
        </w:rPr>
        <w:t>90</w:t>
      </w:r>
      <w:r w:rsidRPr="00D55EBC">
        <w:rPr>
          <w:b/>
          <w:bCs/>
        </w:rPr>
        <w:t>)</w:t>
      </w:r>
    </w:p>
    <w:p w:rsidRPr="00D55EBC" w:rsidR="00BA39B8" w:rsidP="00F15A43" w:rsidRDefault="002E79D8" w14:paraId="7286A56F" w14:textId="5A29B458">
      <w:pPr>
        <w:pStyle w:val="Lijstalinea"/>
        <w:numPr>
          <w:ilvl w:val="0"/>
          <w:numId w:val="1"/>
        </w:numPr>
        <w:spacing w:line="240" w:lineRule="auto"/>
      </w:pPr>
      <w:r w:rsidRPr="00D55EBC">
        <w:t>BNC-fiche: Mededeling Europese Industriële Maritieme Strategie (EIMS</w:t>
      </w:r>
      <w:r w:rsidRPr="00D55EBC" w:rsidR="00FA6389">
        <w:t xml:space="preserve">} (brief van de minister </w:t>
      </w:r>
      <w:r w:rsidRPr="00D55EBC" w:rsidR="006B5FCA">
        <w:t>van Buitenlandse Zaken, T.B.W. Berendsen</w:t>
      </w:r>
      <w:r w:rsidRPr="00D55EBC" w:rsidR="00C365AA">
        <w:t xml:space="preserve"> </w:t>
      </w:r>
      <w:r w:rsidRPr="00D55EBC" w:rsidR="0078558A">
        <w:t>–</w:t>
      </w:r>
      <w:r w:rsidRPr="00D55EBC" w:rsidR="00C365AA">
        <w:t xml:space="preserve"> </w:t>
      </w:r>
      <w:r w:rsidRPr="00D55EBC" w:rsidR="0078558A">
        <w:rPr>
          <w:b/>
          <w:bCs/>
        </w:rPr>
        <w:t>22112-4307</w:t>
      </w:r>
      <w:r w:rsidRPr="00D55EBC" w:rsidR="0078558A">
        <w:t>)</w:t>
      </w:r>
    </w:p>
    <w:p w:rsidRPr="00D55EBC" w:rsidR="007F6DE1" w:rsidP="00F15A43" w:rsidRDefault="00CF605F" w14:paraId="524DB40D" w14:textId="2DE6D2E9">
      <w:pPr>
        <w:pStyle w:val="Normaalweb"/>
        <w:rPr>
          <w:b/>
          <w:bCs/>
        </w:rPr>
      </w:pPr>
      <w:r w:rsidRPr="00D55EBC">
        <w:rPr>
          <w:b/>
          <w:bCs/>
        </w:rPr>
        <w:t>II</w:t>
      </w:r>
      <w:r w:rsidRPr="00D55EBC" w:rsidR="00063227">
        <w:rPr>
          <w:b/>
          <w:bCs/>
        </w:rPr>
        <w:t>I</w:t>
      </w:r>
      <w:r w:rsidR="0018657F">
        <w:rPr>
          <w:b/>
          <w:bCs/>
        </w:rPr>
        <w:t>.</w:t>
      </w:r>
      <w:r w:rsidRPr="00D55EBC">
        <w:rPr>
          <w:b/>
          <w:bCs/>
        </w:rPr>
        <w:t xml:space="preserve"> </w:t>
      </w:r>
      <w:r w:rsidRPr="00D55EBC">
        <w:rPr>
          <w:b/>
          <w:bCs/>
        </w:rPr>
        <w:tab/>
        <w:t xml:space="preserve">Antwoord / Reactie van </w:t>
      </w:r>
      <w:r w:rsidRPr="00D55EBC" w:rsidR="00CC6488">
        <w:rPr>
          <w:b/>
          <w:bCs/>
        </w:rPr>
        <w:t>het kabinet</w:t>
      </w:r>
      <w:r w:rsidRPr="00D55EBC" w:rsidR="00510391">
        <w:rPr>
          <w:b/>
          <w:bCs/>
        </w:rPr>
        <w:tab/>
      </w:r>
      <w:r w:rsidRPr="00D55EBC" w:rsidR="00510391">
        <w:rPr>
          <w:b/>
          <w:bCs/>
        </w:rPr>
        <w:tab/>
      </w:r>
      <w:r w:rsidRPr="00D55EBC" w:rsidR="00510391">
        <w:rPr>
          <w:b/>
          <w:bCs/>
        </w:rPr>
        <w:tab/>
      </w:r>
      <w:r w:rsidRPr="00D55EBC" w:rsidR="00510391">
        <w:rPr>
          <w:b/>
          <w:bCs/>
        </w:rPr>
        <w:tab/>
      </w:r>
    </w:p>
    <w:p w:rsidRPr="00D55EBC" w:rsidR="00785345" w:rsidP="00F15A43" w:rsidRDefault="00785345" w14:paraId="5517245B" w14:textId="77777777">
      <w:pPr>
        <w:pStyle w:val="Normaalweb"/>
        <w:rPr>
          <w:b/>
          <w:bCs/>
        </w:rPr>
      </w:pPr>
    </w:p>
    <w:p w:rsidRPr="00D55EBC" w:rsidR="00B5484B" w:rsidP="0018657F" w:rsidRDefault="007F6DE1" w14:paraId="3DF96BC9" w14:textId="7CF7EE05">
      <w:pPr>
        <w:pStyle w:val="Normaalweb"/>
        <w:numPr>
          <w:ilvl w:val="0"/>
          <w:numId w:val="4"/>
        </w:numPr>
        <w:rPr>
          <w:b/>
          <w:bCs/>
        </w:rPr>
      </w:pPr>
      <w:r w:rsidRPr="00D55EBC">
        <w:rPr>
          <w:b/>
          <w:bCs/>
        </w:rPr>
        <w:t>Vragen en opmerkingen vanuit de fracties</w:t>
      </w:r>
      <w:r w:rsidRPr="00D55EBC" w:rsidR="00301390">
        <w:rPr>
          <w:b/>
          <w:bCs/>
        </w:rPr>
        <w:t xml:space="preserve"> en </w:t>
      </w:r>
      <w:r w:rsidRPr="00D55EBC" w:rsidR="00151403">
        <w:rPr>
          <w:b/>
          <w:bCs/>
        </w:rPr>
        <w:t xml:space="preserve">vanuit </w:t>
      </w:r>
      <w:r w:rsidRPr="00D55EBC" w:rsidR="00301390">
        <w:rPr>
          <w:b/>
          <w:bCs/>
        </w:rPr>
        <w:t xml:space="preserve">de </w:t>
      </w:r>
      <w:r w:rsidRPr="00D55EBC" w:rsidR="00151403">
        <w:rPr>
          <w:b/>
          <w:bCs/>
        </w:rPr>
        <w:t xml:space="preserve">vaste </w:t>
      </w:r>
      <w:r w:rsidRPr="00D55EBC" w:rsidR="00301390">
        <w:rPr>
          <w:b/>
          <w:bCs/>
        </w:rPr>
        <w:t xml:space="preserve">commissie </w:t>
      </w:r>
      <w:r w:rsidRPr="00D55EBC" w:rsidR="00151403">
        <w:rPr>
          <w:b/>
          <w:bCs/>
        </w:rPr>
        <w:t>voor Onderwijs, Cultuur en Wetenschappen (</w:t>
      </w:r>
      <w:r w:rsidRPr="00D55EBC" w:rsidR="00301390">
        <w:rPr>
          <w:b/>
          <w:bCs/>
        </w:rPr>
        <w:t>OCW</w:t>
      </w:r>
      <w:r w:rsidRPr="00D55EBC" w:rsidR="00151403">
        <w:rPr>
          <w:b/>
          <w:bCs/>
        </w:rPr>
        <w:t>)</w:t>
      </w:r>
    </w:p>
    <w:p w:rsidRPr="00D55EBC" w:rsidR="00306A73" w:rsidP="00F15A43" w:rsidRDefault="00306A73" w14:paraId="5DF36CD0" w14:textId="512C440A">
      <w:pPr>
        <w:spacing w:line="240" w:lineRule="auto"/>
        <w:rPr>
          <w:b/>
          <w:bCs/>
        </w:rPr>
      </w:pPr>
      <w:r w:rsidRPr="00D55EBC">
        <w:rPr>
          <w:b/>
          <w:bCs/>
        </w:rPr>
        <w:t xml:space="preserve">Vragen en opmerkingen van de leden van de </w:t>
      </w:r>
      <w:r w:rsidRPr="00D55EBC" w:rsidR="00C12F19">
        <w:rPr>
          <w:b/>
          <w:bCs/>
        </w:rPr>
        <w:t>D66</w:t>
      </w:r>
      <w:r w:rsidRPr="00D55EBC">
        <w:rPr>
          <w:b/>
          <w:bCs/>
        </w:rPr>
        <w:t>-fractie</w:t>
      </w:r>
    </w:p>
    <w:p w:rsidRPr="002C1D6E" w:rsidR="00AC322B" w:rsidP="00F15A43" w:rsidRDefault="00AC322B" w14:paraId="4BCBB09A" w14:textId="77777777">
      <w:pPr>
        <w:spacing w:after="80" w:line="240" w:lineRule="auto"/>
        <w:rPr>
          <w:i/>
          <w:iCs/>
        </w:rPr>
      </w:pPr>
      <w:r w:rsidRPr="002C1D6E">
        <w:rPr>
          <w:i/>
          <w:iCs/>
        </w:rPr>
        <w:t>Geannoteerde Agenda Raad voor Concurrentievermogen 28 en 29 mei 2026</w:t>
      </w:r>
    </w:p>
    <w:p w:rsidRPr="009006FC" w:rsidR="00AC322B" w:rsidP="00B36610" w:rsidRDefault="00AC322B" w14:paraId="6042D3E4" w14:textId="5857E09A">
      <w:pPr>
        <w:spacing w:before="280" w:after="140" w:line="240" w:lineRule="auto"/>
        <w:ind w:firstLine="708"/>
      </w:pPr>
      <w:r w:rsidRPr="009006FC">
        <w:t>Industrial Accelerator Act — definitie “koolstofarm” en ambitieniveau productnormen</w:t>
      </w:r>
    </w:p>
    <w:p w:rsidRPr="00D55EBC" w:rsidR="00AC322B" w:rsidP="00F15A43" w:rsidRDefault="00AC322B" w14:paraId="7EC7CAC2" w14:textId="0F0D3323">
      <w:pPr>
        <w:spacing w:line="240" w:lineRule="auto"/>
      </w:pPr>
      <w:r w:rsidRPr="00D55EBC">
        <w:t xml:space="preserve">De leden van de D66-fractie verwelkomen de inzet van het kabinet om de </w:t>
      </w:r>
      <w:r w:rsidRPr="00D55EBC" w:rsidR="001A67E7">
        <w:t xml:space="preserve">Europese </w:t>
      </w:r>
      <w:r w:rsidRPr="00D55EBC">
        <w:t>Commissie op te roepen tot een duidelijke en eenduidige definitie van</w:t>
      </w:r>
      <w:r w:rsidRPr="00D55EBC" w:rsidR="001A67E7">
        <w:t xml:space="preserve"> het begrip</w:t>
      </w:r>
      <w:r w:rsidRPr="00D55EBC">
        <w:t xml:space="preserve"> “koolstofarm” en tot sector-specifieke transitiepaden met gradueel toenemende productnormen. Deze leden onderstrepen dat een eenduidige definitie alleen effect sorteert wanneer zij methodologisch aansluit op het </w:t>
      </w:r>
      <w:r w:rsidRPr="00C073D4">
        <w:rPr>
          <w:i/>
          <w:iCs/>
        </w:rPr>
        <w:t>Carbon</w:t>
      </w:r>
      <w:r w:rsidRPr="00C20804">
        <w:rPr>
          <w:i/>
          <w:iCs/>
        </w:rPr>
        <w:t xml:space="preserve"> Border Adjustment Mechanism</w:t>
      </w:r>
      <w:r w:rsidRPr="00C20804" w:rsidR="004C5548">
        <w:rPr>
          <w:i/>
          <w:iCs/>
        </w:rPr>
        <w:t xml:space="preserve"> </w:t>
      </w:r>
      <w:r w:rsidRPr="00D55EBC" w:rsidR="004C5548">
        <w:t>(CBAM)</w:t>
      </w:r>
      <w:r w:rsidRPr="00D55EBC">
        <w:t xml:space="preserve">, zodat één Europese standaard ontstaat in plaats van twee parallelle systemen die zich tegen elkaar laten uitspelen. Tegelijk hebben deze leden er in </w:t>
      </w:r>
      <w:r w:rsidRPr="00D55EBC" w:rsidR="00FB7C87">
        <w:t xml:space="preserve">een </w:t>
      </w:r>
      <w:r w:rsidRPr="001D7E09">
        <w:t>eerdere</w:t>
      </w:r>
      <w:r w:rsidRPr="00D55EBC">
        <w:t xml:space="preserve"> inbreng </w:t>
      </w:r>
      <w:r w:rsidR="009404D9">
        <w:rPr>
          <w:rStyle w:val="Voetnootmarkering"/>
        </w:rPr>
        <w:footnoteReference w:id="2"/>
      </w:r>
      <w:r w:rsidR="001D7E09">
        <w:t xml:space="preserve"> </w:t>
      </w:r>
      <w:r w:rsidRPr="00D55EBC">
        <w:t>op gewezen dat de huidige percentages voor productnormering te beperkt zijn om op de lange termijn significant effect te sorteren — een conclusie die het kabinet inmiddels deelt.</w:t>
      </w:r>
    </w:p>
    <w:p w:rsidRPr="00D55EBC" w:rsidR="00AC322B" w:rsidP="00F15A43" w:rsidRDefault="00EB2488" w14:paraId="51BA7B1F" w14:textId="66D66C5B">
      <w:pPr>
        <w:spacing w:line="240" w:lineRule="auto"/>
      </w:pPr>
      <w:r w:rsidRPr="00D55EBC">
        <w:t>De leden van de D66-fractie vragen w</w:t>
      </w:r>
      <w:r w:rsidRPr="00D55EBC" w:rsidR="00AC322B">
        <w:t xml:space="preserve">elke methodologie voor de definitie van “koolstofarm”  </w:t>
      </w:r>
      <w:r w:rsidRPr="00D55EBC" w:rsidR="00345AAE">
        <w:t xml:space="preserve">het kabinet </w:t>
      </w:r>
      <w:r w:rsidRPr="00D55EBC" w:rsidR="00AC322B">
        <w:t>in de Raad</w:t>
      </w:r>
      <w:r w:rsidRPr="00D55EBC" w:rsidR="004F6BFC">
        <w:t xml:space="preserve"> verdedigt. Hoe </w:t>
      </w:r>
      <w:r w:rsidRPr="00D55EBC" w:rsidR="00AC322B">
        <w:t xml:space="preserve">waarborgt </w:t>
      </w:r>
      <w:r w:rsidRPr="00D55EBC" w:rsidR="00345AAE">
        <w:t>het kabinet</w:t>
      </w:r>
      <w:r w:rsidRPr="00D55EBC" w:rsidR="00AC322B">
        <w:t xml:space="preserve"> dat deze </w:t>
      </w:r>
      <w:r w:rsidRPr="00D55EBC" w:rsidR="00467136">
        <w:t xml:space="preserve">definitie </w:t>
      </w:r>
      <w:r w:rsidRPr="00D55EBC" w:rsidR="00AC322B">
        <w:t xml:space="preserve">inhoudelijk gelijkloopt met de CBAM-systematiek? Welke sectoren ziet </w:t>
      </w:r>
      <w:r w:rsidRPr="00D55EBC" w:rsidR="004C5548">
        <w:t>het kabinet</w:t>
      </w:r>
      <w:r w:rsidRPr="00D55EBC" w:rsidR="00AC322B">
        <w:t xml:space="preserve"> als eerste kandidaat </w:t>
      </w:r>
      <w:r w:rsidRPr="00D55EBC" w:rsidR="00AC322B">
        <w:lastRenderedPageBreak/>
        <w:t>voor sector-specifieke transitiepaden, en hoe verhouden d</w:t>
      </w:r>
      <w:r w:rsidRPr="00D55EBC" w:rsidR="004B0896">
        <w:t>eze</w:t>
      </w:r>
      <w:r w:rsidRPr="00D55EBC" w:rsidR="00AC322B">
        <w:t xml:space="preserve"> zich tot lopende trajecten zoals de Critical Chemicals Alliance </w:t>
      </w:r>
      <w:r w:rsidR="00065309">
        <w:t xml:space="preserve">(CCA) </w:t>
      </w:r>
      <w:r w:rsidRPr="00D55EBC" w:rsidR="00AC322B">
        <w:t xml:space="preserve">en het </w:t>
      </w:r>
      <w:r w:rsidRPr="00CF6C8C" w:rsidR="00AC322B">
        <w:t>Europe</w:t>
      </w:r>
      <w:r w:rsidRPr="00CF6C8C" w:rsidR="00CF6C8C">
        <w:t>se</w:t>
      </w:r>
      <w:r w:rsidRPr="00D55EBC" w:rsidR="00AC322B">
        <w:t xml:space="preserve"> Concurrentievermogenfonds</w:t>
      </w:r>
      <w:r w:rsidR="00CF6C8C">
        <w:t xml:space="preserve"> (ECF)</w:t>
      </w:r>
      <w:r w:rsidRPr="00D55EBC" w:rsidR="00AC322B">
        <w:t xml:space="preserve">? </w:t>
      </w:r>
      <w:r w:rsidRPr="00D55EBC" w:rsidR="00546B8F">
        <w:t xml:space="preserve">Deze leden vragen </w:t>
      </w:r>
      <w:r w:rsidRPr="00D55EBC" w:rsidR="00AC322B">
        <w:t>concreet</w:t>
      </w:r>
      <w:r w:rsidRPr="00D55EBC" w:rsidR="00546B8F">
        <w:t xml:space="preserve"> </w:t>
      </w:r>
      <w:r w:rsidRPr="00D55EBC" w:rsidR="00AC322B">
        <w:t xml:space="preserve">tot welk minimumniveau het kabinet de huidige percentages voor productnormering </w:t>
      </w:r>
      <w:r w:rsidRPr="00D55EBC" w:rsidR="00546B8F">
        <w:t xml:space="preserve">wil </w:t>
      </w:r>
      <w:r w:rsidRPr="00D55EBC" w:rsidR="00AC322B">
        <w:t xml:space="preserve">aanscherpen, en met welke lidstaten </w:t>
      </w:r>
      <w:r w:rsidRPr="00D55EBC" w:rsidR="00DB3D7E">
        <w:t xml:space="preserve">het kabinet optrekt </w:t>
      </w:r>
      <w:r w:rsidRPr="00D55EBC" w:rsidR="00AC322B">
        <w:t>om dat hogere ambitieniveau in de Raad te realiseren</w:t>
      </w:r>
      <w:r w:rsidRPr="00D55EBC" w:rsidR="00460150">
        <w:t>.</w:t>
      </w:r>
    </w:p>
    <w:p w:rsidRPr="00AC0DA5" w:rsidR="00AC322B" w:rsidP="00BE7B99" w:rsidRDefault="00AC322B" w14:paraId="7A123DD5" w14:textId="4AEF3FE8">
      <w:pPr>
        <w:spacing w:before="280" w:after="140" w:line="240" w:lineRule="auto"/>
        <w:ind w:firstLine="708"/>
      </w:pPr>
      <w:r w:rsidRPr="00AC0DA5">
        <w:t>28ste regime / EU Inc. — snelheid en voltooiing van de interne markt</w:t>
      </w:r>
    </w:p>
    <w:p w:rsidRPr="00D55EBC" w:rsidR="00AC322B" w:rsidP="00F15A43" w:rsidRDefault="00AC322B" w14:paraId="28DB11F6" w14:textId="0F0C537F">
      <w:pPr>
        <w:spacing w:line="240" w:lineRule="auto"/>
      </w:pPr>
      <w:r w:rsidRPr="00D55EBC">
        <w:t xml:space="preserve">De leden van de D66-fractie zien in het 28ste regime een belangrijke stap naar het voltooien van de interne markt en steunen daarmee de doelstelling van het voorstel volmondig. </w:t>
      </w:r>
      <w:r w:rsidR="00392186">
        <w:t xml:space="preserve">De </w:t>
      </w:r>
      <w:r w:rsidRPr="00D55EBC">
        <w:t>Letta- en Draghi-rapport</w:t>
      </w:r>
      <w:r w:rsidR="00392186">
        <w:t xml:space="preserve">en </w:t>
      </w:r>
      <w:r w:rsidRPr="00D55EBC">
        <w:t>hebben helder gemaakt dat de huidige fragmentatie in nationale rechtsvormen een rem is op de schaalsprong die Europese ondernemingen — start-ups, scale-ups en grootbedrijf — moeten maken om internationaal te kunnen concurreren. De Europese Raad heeft eind 2026 als deadline gesteld voor een politiek akkoord met het Europees Parlement</w:t>
      </w:r>
      <w:r w:rsidR="004B0A7A">
        <w:t>.</w:t>
      </w:r>
      <w:r w:rsidRPr="00D55EBC">
        <w:t xml:space="preserve"> </w:t>
      </w:r>
      <w:r w:rsidR="004B0A7A">
        <w:t>D</w:t>
      </w:r>
      <w:r w:rsidRPr="00D55EBC">
        <w:t>eze leden vinden het van groot belang dat Nederland zich actief aansluit bij de lidstaten die d</w:t>
      </w:r>
      <w:r w:rsidRPr="00D55EBC" w:rsidR="000D40AB">
        <w:t>eze</w:t>
      </w:r>
      <w:r w:rsidRPr="00D55EBC">
        <w:t xml:space="preserve"> deadline daadwerkelijk willen halen. Tegelijk delen deze leden de zorgen over rechtsgrondslag en mogelijk misbruik, maar zij wijzen erop dat de risico-afweging tweezijdig is: vertraging benadeelt Europese ondernemers blijvend ten opzichte van Amerikaanse en Chinese concurrenten.</w:t>
      </w:r>
    </w:p>
    <w:p w:rsidRPr="00D55EBC" w:rsidR="00AC322B" w:rsidP="00F15A43" w:rsidRDefault="00351C97" w14:paraId="774CCE53" w14:textId="22A6A8CA">
      <w:pPr>
        <w:spacing w:line="240" w:lineRule="auto"/>
      </w:pPr>
      <w:r w:rsidRPr="00D55EBC">
        <w:t xml:space="preserve">De leden van de D66-fractie vragen voorts welke </w:t>
      </w:r>
      <w:r w:rsidRPr="00D55EBC" w:rsidR="00AC322B">
        <w:t xml:space="preserve">positie </w:t>
      </w:r>
      <w:r w:rsidRPr="00D55EBC">
        <w:t>Nederland in</w:t>
      </w:r>
      <w:r w:rsidRPr="00D55EBC" w:rsidR="00AC322B">
        <w:t>neemt tussen de groep lidstaten die snelheid wil maken en de groep die de zorgen vooropstelt</w:t>
      </w:r>
      <w:r w:rsidR="009B6023">
        <w:t>.</w:t>
      </w:r>
      <w:r w:rsidRPr="00D55EBC" w:rsidR="00AC322B">
        <w:t xml:space="preserve"> Is </w:t>
      </w:r>
      <w:r w:rsidRPr="00D55EBC" w:rsidR="004812D4">
        <w:t xml:space="preserve">het kabinet </w:t>
      </w:r>
      <w:r w:rsidRPr="00D55EBC" w:rsidR="00AC322B">
        <w:t xml:space="preserve">bereid zich aan te sluiten bij een kopgroep die de </w:t>
      </w:r>
      <w:r w:rsidRPr="00D55EBC" w:rsidR="004812D4">
        <w:t xml:space="preserve">deadline van de </w:t>
      </w:r>
      <w:r w:rsidRPr="00D55EBC" w:rsidR="00AC322B">
        <w:t>Europese Raad</w:t>
      </w:r>
      <w:r w:rsidRPr="00D55EBC" w:rsidR="004812D4">
        <w:t xml:space="preserve"> </w:t>
      </w:r>
      <w:r w:rsidRPr="00D55EBC" w:rsidR="00AC322B">
        <w:t xml:space="preserve">van eind 2026 daadwerkelijk vasthoudt? Welke aanvullende waarborgen tegen misbruik en witwassen acht het kabinet noodzakelijk — én voldoende — om dat tempo niet te belemmeren? </w:t>
      </w:r>
      <w:r w:rsidRPr="00D55EBC" w:rsidR="00A9537F">
        <w:t>I</w:t>
      </w:r>
      <w:r w:rsidRPr="00D55EBC" w:rsidR="00AC322B">
        <w:t xml:space="preserve">n hoeverre verhoudt de in het coalitieakkoord aangekondigde “rentmeestervennootschap” zich tot het 28ste regime: zijn dit complementaire of overlappende sporen? Is </w:t>
      </w:r>
      <w:r w:rsidRPr="00D55EBC" w:rsidR="00A9537F">
        <w:t xml:space="preserve">het kabinet </w:t>
      </w:r>
      <w:r w:rsidRPr="00D55EBC" w:rsidR="00AC322B">
        <w:t>bovendien bereid binnen de Raad actief te pleiten voor verdere harmonisatie van rechtsgebieden die de effectiviteit van het 28ste regime bepalen — zoals faillissementsrecht en vennootschapsrecht — zodat fragmentatie binnen de interne markt wordt verminderd en het volledige potentieel van EU Inc. voor start-ups, scale-ups en grensoverschrijdend ondernemerschap kan worden benut?</w:t>
      </w:r>
    </w:p>
    <w:p w:rsidRPr="00147E67" w:rsidR="00AC322B" w:rsidP="00BE7B99" w:rsidRDefault="00AC322B" w14:paraId="58943CB0" w14:textId="2183F117">
      <w:pPr>
        <w:spacing w:before="280" w:after="140" w:line="240" w:lineRule="auto"/>
        <w:ind w:left="708"/>
      </w:pPr>
      <w:r w:rsidRPr="00147E67">
        <w:t xml:space="preserve">Critical Chemicals Alliance — Nederlandse inzet als voorzitter van de </w:t>
      </w:r>
      <w:r w:rsidR="005209B3">
        <w:t>W</w:t>
      </w:r>
      <w:r w:rsidRPr="00147E67">
        <w:t xml:space="preserve">erkgroep </w:t>
      </w:r>
      <w:r w:rsidR="00C839DD">
        <w:t>M</w:t>
      </w:r>
      <w:r w:rsidRPr="00147E67">
        <w:t>arktcreatie</w:t>
      </w:r>
    </w:p>
    <w:p w:rsidRPr="00D55EBC" w:rsidR="00AC322B" w:rsidP="00F15A43" w:rsidRDefault="00AC322B" w14:paraId="0DA05D2C" w14:textId="2FD98E4F">
      <w:pPr>
        <w:spacing w:line="240" w:lineRule="auto"/>
      </w:pPr>
      <w:r w:rsidRPr="00D55EBC">
        <w:t xml:space="preserve">De leden van de D66-fractie constateren dat Nederland binnen de </w:t>
      </w:r>
      <w:r w:rsidR="00B77EA0">
        <w:t xml:space="preserve">CCA </w:t>
      </w:r>
      <w:r w:rsidRPr="00D55EBC">
        <w:t xml:space="preserve">voorzitter is van de </w:t>
      </w:r>
      <w:r w:rsidR="00C839DD">
        <w:t>W</w:t>
      </w:r>
      <w:r w:rsidRPr="00D55EBC">
        <w:t xml:space="preserve">erkgroep </w:t>
      </w:r>
      <w:r w:rsidR="00C839DD">
        <w:t>M</w:t>
      </w:r>
      <w:r w:rsidRPr="00D55EBC">
        <w:t>arktcreatie. Dat is een politiek belangrijke positie op precies het thema waar de chemiesector — voor Nederland van groot strategisch en economisch belang — het meest van afhangt: structurele vraagcreatie naar groene chemie. De Kamer hoort hier echter weinig concreets over.</w:t>
      </w:r>
      <w:r w:rsidR="003E3545">
        <w:t xml:space="preserve"> </w:t>
      </w:r>
      <w:r w:rsidRPr="00D55EBC">
        <w:t xml:space="preserve">Welke concrete voorstellen brengt Nederland als voorzitter van de </w:t>
      </w:r>
      <w:r w:rsidR="00AF7B38">
        <w:t>W</w:t>
      </w:r>
      <w:r w:rsidRPr="00D55EBC">
        <w:t xml:space="preserve">erkgroep </w:t>
      </w:r>
      <w:r w:rsidR="00AF7B38">
        <w:t>M</w:t>
      </w:r>
      <w:r w:rsidRPr="00D55EBC">
        <w:t xml:space="preserve">arktcreatie binnen de </w:t>
      </w:r>
      <w:r w:rsidR="00AF7B38">
        <w:t xml:space="preserve">CCA </w:t>
      </w:r>
      <w:r w:rsidRPr="00D55EBC">
        <w:t xml:space="preserve">op tafel en op welke termijn levert die werkgroep haar opbrengst op? Hoe verhouden die voorstellen zich tot de vraagcreatie-instrumenten in de </w:t>
      </w:r>
      <w:r w:rsidR="002C43DC">
        <w:t xml:space="preserve">verordening </w:t>
      </w:r>
      <w:r w:rsidRPr="00D55EBC">
        <w:t xml:space="preserve">Industrial Accelerator Act </w:t>
      </w:r>
      <w:r w:rsidR="000275F2">
        <w:t xml:space="preserve">(IAA) </w:t>
      </w:r>
      <w:r w:rsidRPr="00D55EBC">
        <w:t xml:space="preserve">— gaat de marktcreatie-aanpak verder dan wat in de </w:t>
      </w:r>
      <w:r w:rsidRPr="001E3A72">
        <w:t>IAA</w:t>
      </w:r>
      <w:r w:rsidRPr="00D55EBC">
        <w:t xml:space="preserve"> is voorzien, en zo ja, op welke punten? Op welk moment kan de Kamer worden geïnformeerd over de tussentijdse opbrengst van deze werkgroep?</w:t>
      </w:r>
    </w:p>
    <w:p w:rsidRPr="00465BBB" w:rsidR="00AC322B" w:rsidP="00BE7B99" w:rsidRDefault="00AC322B" w14:paraId="5C231D00" w14:textId="749F8868">
      <w:pPr>
        <w:spacing w:before="280" w:after="140" w:line="240" w:lineRule="auto"/>
        <w:ind w:left="708"/>
      </w:pPr>
      <w:r w:rsidRPr="00465BBB">
        <w:t>Horizon Europe — geld voor onderzoek en innovatie blijft voor onderzoek en innovatie</w:t>
      </w:r>
    </w:p>
    <w:p w:rsidRPr="00D55EBC" w:rsidR="00AC322B" w:rsidP="00F15A43" w:rsidRDefault="00AC322B" w14:paraId="4A1C75CC" w14:textId="52C8C32B">
      <w:pPr>
        <w:spacing w:line="240" w:lineRule="auto"/>
      </w:pPr>
      <w:r w:rsidRPr="00D55EBC">
        <w:t xml:space="preserve">De leden van de D66-fractie onderschrijven het uitgangspunt uit het coalitieakkoord dat </w:t>
      </w:r>
      <w:r w:rsidRPr="00D55EBC">
        <w:rPr>
          <w:i/>
          <w:iCs/>
        </w:rPr>
        <w:t>dual-use</w:t>
      </w:r>
      <w:r w:rsidRPr="00D55EBC">
        <w:t xml:space="preserve"> </w:t>
      </w:r>
      <w:r w:rsidR="005225C2">
        <w:t>(tw</w:t>
      </w:r>
      <w:r w:rsidR="00CA34AC">
        <w:t>eeërlei gebruik) onderzoek en innovatie (</w:t>
      </w:r>
      <w:r w:rsidRPr="00D55EBC">
        <w:t>O&amp;I</w:t>
      </w:r>
      <w:r w:rsidR="00CA34AC">
        <w:t>)</w:t>
      </w:r>
      <w:r w:rsidRPr="00D55EBC">
        <w:t xml:space="preserve"> mede ten dienste kan staan van </w:t>
      </w:r>
      <w:r w:rsidRPr="00D55EBC">
        <w:lastRenderedPageBreak/>
        <w:t xml:space="preserve">innovatie en het Nederlandse verdienvermogen, in lijn met de aanbevelingen van het </w:t>
      </w:r>
      <w:r w:rsidRPr="00D55EBC" w:rsidR="00F66DE8">
        <w:t>rapport-</w:t>
      </w:r>
      <w:r w:rsidRPr="00B7040C">
        <w:t>Wennink</w:t>
      </w:r>
      <w:r w:rsidRPr="00D55EBC" w:rsidR="00F66DE8">
        <w:t>.</w:t>
      </w:r>
      <w:r w:rsidR="0060015E">
        <w:rPr>
          <w:rStyle w:val="Voetnootmarkering"/>
        </w:rPr>
        <w:footnoteReference w:id="3"/>
      </w:r>
      <w:r w:rsidRPr="00D55EBC" w:rsidR="00F66DE8">
        <w:t xml:space="preserve"> D</w:t>
      </w:r>
      <w:r w:rsidRPr="00D55EBC">
        <w:t xml:space="preserve">e omgekeerde beweging — het Horizon Europe-budget inzetten om defensietoepassingen op te schalen via de Europese Innovatieraad — verhoudt zich naar het oordeel van deze leden slecht tot de kerntaak van dat programma, namelijk fundamenteel onderzoek en innovatie. Het </w:t>
      </w:r>
      <w:r w:rsidR="00750241">
        <w:t xml:space="preserve">ECF </w:t>
      </w:r>
      <w:r w:rsidRPr="00D55EBC">
        <w:t>kent juist een specifiek onderdeel voor “Veerkracht en veiligheid, defensie-industrie en ruimtevaart” en is daarmee het logische instrument voor defensie-opschaling.</w:t>
      </w:r>
    </w:p>
    <w:p w:rsidRPr="00D55EBC" w:rsidR="00AC322B" w:rsidP="00F15A43" w:rsidRDefault="00AC322B" w14:paraId="40DFE30F" w14:textId="5A5FB865">
      <w:pPr>
        <w:spacing w:line="240" w:lineRule="auto"/>
      </w:pPr>
      <w:r w:rsidRPr="00D55EBC">
        <w:t xml:space="preserve">Deelt </w:t>
      </w:r>
      <w:r w:rsidRPr="00D55EBC" w:rsidR="00766B23">
        <w:t>het kabinet</w:t>
      </w:r>
      <w:r w:rsidRPr="00D55EBC">
        <w:t xml:space="preserve"> de redenering dat Horizon Europe primáir een O&amp;I-programma is en geen financieringsbron voor defensie-opschaling? Is </w:t>
      </w:r>
      <w:r w:rsidRPr="00D55EBC" w:rsidR="00766B23">
        <w:t>het kabinet</w:t>
      </w:r>
      <w:r w:rsidRPr="00D55EBC">
        <w:t xml:space="preserve"> bereid zich in de Raad aan te sluiten bij de groep lidstaten die Horizon Europe expliciet civiel wil houden en defensie-opschaling via het </w:t>
      </w:r>
      <w:r w:rsidR="002743E7">
        <w:t xml:space="preserve">ECF </w:t>
      </w:r>
      <w:r w:rsidRPr="00D55EBC">
        <w:t>wil laten verlopen? Onder welke voorwaarden zou Nederland niet kunnen instemmen met een gedeeltelijke algemene oriëntatie op 29 mei</w:t>
      </w:r>
      <w:r w:rsidRPr="00D55EBC" w:rsidR="0081707A">
        <w:t xml:space="preserve"> 2026</w:t>
      </w:r>
      <w:r w:rsidRPr="00D55EBC">
        <w:t>?</w:t>
      </w:r>
    </w:p>
    <w:p w:rsidRPr="00465BBB" w:rsidR="00AC322B" w:rsidP="00BE7B99" w:rsidRDefault="00AC322B" w14:paraId="68168905" w14:textId="7DD55507">
      <w:pPr>
        <w:spacing w:before="280" w:after="140" w:line="240" w:lineRule="auto"/>
        <w:ind w:firstLine="708"/>
      </w:pPr>
      <w:r w:rsidRPr="00465BBB">
        <w:t>Horizon Europe — bescherming van het Nederlandse belang</w:t>
      </w:r>
    </w:p>
    <w:p w:rsidRPr="00D55EBC" w:rsidR="00AC322B" w:rsidP="00F15A43" w:rsidRDefault="00AC322B" w14:paraId="43936519" w14:textId="19A33735">
      <w:pPr>
        <w:spacing w:line="240" w:lineRule="auto"/>
      </w:pPr>
      <w:r w:rsidRPr="00D55EBC">
        <w:t xml:space="preserve">De leden van de D66-fractie wijzen erop dat Nederland uit Horizon Europe sinds 2021 ongeveer €1 miljard per jaar ontvangt, met een retour van 8,6% — bijna tweemaal het Nederlandse aandeel in de Europese begroting. Die positie leunt direct op het excellentie-criterium als toekenningsmechanisme. Erosie van die grondslag — hetzij door verzwaarde </w:t>
      </w:r>
      <w:r w:rsidRPr="00D55EBC">
        <w:rPr>
          <w:i/>
          <w:iCs/>
        </w:rPr>
        <w:t>widening</w:t>
      </w:r>
      <w:r w:rsidRPr="00D55EBC">
        <w:t xml:space="preserve">-maatregelen die geografische verdeling boven kwaliteit stellen, hetzij door vermenging van de O&amp;I-programmering met </w:t>
      </w:r>
      <w:r w:rsidR="00DF114E">
        <w:t xml:space="preserve">het </w:t>
      </w:r>
      <w:r w:rsidRPr="00D55EBC">
        <w:t xml:space="preserve">industriebeleid via het </w:t>
      </w:r>
      <w:r w:rsidR="00B96E82">
        <w:t xml:space="preserve">ECF </w:t>
      </w:r>
      <w:r w:rsidRPr="00D55EBC">
        <w:t>— raakt dus aan een fors Nederlands belang.</w:t>
      </w:r>
    </w:p>
    <w:p w:rsidRPr="00D55EBC" w:rsidR="00AC322B" w:rsidP="00F15A43" w:rsidRDefault="00AC322B" w14:paraId="089A5996" w14:textId="220A139A">
      <w:pPr>
        <w:spacing w:line="240" w:lineRule="auto"/>
      </w:pPr>
      <w:r w:rsidRPr="00D55EBC">
        <w:t xml:space="preserve">Welke harde randvoorwaarden brengt </w:t>
      </w:r>
      <w:r w:rsidRPr="00D55EBC" w:rsidR="005049EB">
        <w:t>het kabinet</w:t>
      </w:r>
      <w:r w:rsidRPr="00D55EBC">
        <w:t xml:space="preserve"> in de Raad in om dit Nederlandse belang te beschermen, en met welke lidstaten trekt </w:t>
      </w:r>
      <w:r w:rsidRPr="00D55EBC" w:rsidR="006F7185">
        <w:t>het</w:t>
      </w:r>
      <w:r w:rsidRPr="00D55EBC">
        <w:t xml:space="preserve"> hierin op? Hoe waarborgt </w:t>
      </w:r>
      <w:r w:rsidRPr="00D55EBC" w:rsidR="006F7185">
        <w:t>het kabinet</w:t>
      </w:r>
      <w:r w:rsidRPr="00D55EBC">
        <w:t xml:space="preserve"> dat de strategische sturing tussen Horizon Europe en het ECF de excellentie-grondslag van pijler I (Excellente Wetenschap) niet ondergraaft? </w:t>
      </w:r>
      <w:r w:rsidRPr="00D55EBC" w:rsidR="008D670D">
        <w:t>W</w:t>
      </w:r>
      <w:r w:rsidRPr="00D55EBC">
        <w:t xml:space="preserve">elke positie neemt het kabinet in over de detailleringsgraad van </w:t>
      </w:r>
      <w:r w:rsidRPr="00D55EBC">
        <w:rPr>
          <w:i/>
          <w:iCs/>
        </w:rPr>
        <w:t>widening</w:t>
      </w:r>
      <w:r w:rsidRPr="00D55EBC">
        <w:t>-maatregelen — waar ligt de Nederlandse rode lijn?</w:t>
      </w:r>
    </w:p>
    <w:p w:rsidRPr="006518BF" w:rsidR="00AC322B" w:rsidP="00BE7B99" w:rsidRDefault="00AC322B" w14:paraId="246B7961" w14:textId="27ACB39B">
      <w:pPr>
        <w:spacing w:before="280" w:after="140" w:line="240" w:lineRule="auto"/>
        <w:ind w:firstLine="708"/>
      </w:pPr>
      <w:r w:rsidRPr="006518BF">
        <w:t>Ruimte als strategisch domein — proactief Nederlands leiderschap</w:t>
      </w:r>
    </w:p>
    <w:p w:rsidRPr="00D55EBC" w:rsidR="001152EA" w:rsidP="00F15A43" w:rsidRDefault="00AC322B" w14:paraId="6EBC7DBB" w14:textId="6130E888">
      <w:pPr>
        <w:spacing w:line="240" w:lineRule="auto"/>
      </w:pPr>
      <w:r w:rsidRPr="00D55EBC">
        <w:t xml:space="preserve">De leden van de D66-fractie merken op dat de Nederlandse inzet bij de </w:t>
      </w:r>
      <w:r w:rsidRPr="004C6B55">
        <w:t>EU</w:t>
      </w:r>
      <w:r w:rsidRPr="00D55EBC">
        <w:t xml:space="preserve">-ruimtevaartverordening en de gedachtewisseling over economische veiligheid overwegend defensief </w:t>
      </w:r>
      <w:r w:rsidRPr="00D55EBC" w:rsidR="001C5CBA">
        <w:t>zijn</w:t>
      </w:r>
      <w:r w:rsidRPr="00D55EBC">
        <w:t xml:space="preserve"> geformuleerd: proportioneel, uitvoerbaar, defensie-uitzondering, niet overlappend. Dat is begrijpelijk</w:t>
      </w:r>
      <w:r w:rsidRPr="00D55EBC" w:rsidR="001C5CBA">
        <w:t>,</w:t>
      </w:r>
      <w:r w:rsidRPr="00D55EBC">
        <w:t xml:space="preserve"> maar past niet bij een land met een sterke ruimtevaartsector — Brainport, Leiden, </w:t>
      </w:r>
      <w:r w:rsidR="00E1166C">
        <w:t>het Europees Ruimteonderzoek</w:t>
      </w:r>
      <w:r w:rsidR="0040554A">
        <w:t xml:space="preserve">- en Technologie </w:t>
      </w:r>
      <w:r w:rsidRPr="00123E3F" w:rsidR="0040554A">
        <w:t>Centrum (</w:t>
      </w:r>
      <w:r w:rsidRPr="00123E3F">
        <w:t>ESTEC</w:t>
      </w:r>
      <w:r w:rsidR="0040554A">
        <w:t>)</w:t>
      </w:r>
      <w:r w:rsidRPr="00D55EBC">
        <w:t>. Deze leden constateren bovendien dat Nederlandse bedrijven in de ruimtevaartketen overwegend op subsysteemniveau actief zijn, terwijl strategische waarde juist op systeem- en ketenposities ligt; wil</w:t>
      </w:r>
      <w:r w:rsidR="00123E3F">
        <w:t xml:space="preserve"> Nederland</w:t>
      </w:r>
      <w:r w:rsidRPr="00D55EBC">
        <w:t xml:space="preserve"> in Europa zelfstandig kunnen blijven opereren, dan moet ook deze sector ruimte krijgen om door te groeien naar het niveau van een Nederlandse systeemkampioen, vergelijkbaar met wat ASML in de halfgeleiderketen is. Het Cypriotisch voorzitterschap stelt expliciet de vraag hoe civiele, commerciële en veiligheidsaspecten van ruimtebeleid kunnen bijdragen aan Europese economische veiligheid “met behoud van openheid, innovatie en internationale samenwerking”. Dat raakt precies aan de kern van open strategische autonomie.</w:t>
      </w:r>
      <w:r w:rsidR="005F0DD4">
        <w:t xml:space="preserve"> </w:t>
      </w:r>
    </w:p>
    <w:p w:rsidRPr="00D55EBC" w:rsidR="00AC322B" w:rsidP="00F15A43" w:rsidRDefault="001152EA" w14:paraId="39C28797" w14:textId="0980FB7F">
      <w:pPr>
        <w:spacing w:line="240" w:lineRule="auto"/>
      </w:pPr>
      <w:r>
        <w:t>De leden</w:t>
      </w:r>
      <w:r w:rsidRPr="00D55EBC">
        <w:t xml:space="preserve"> van de D66-fractie</w:t>
      </w:r>
      <w:r>
        <w:t xml:space="preserve"> vragen</w:t>
      </w:r>
      <w:r w:rsidRPr="00D55EBC">
        <w:t xml:space="preserve"> </w:t>
      </w:r>
      <w:r>
        <w:t>w</w:t>
      </w:r>
      <w:r w:rsidRPr="00D55EBC" w:rsidR="00AC322B">
        <w:t>elke concrete voorstellen Nederland zelf in</w:t>
      </w:r>
      <w:r>
        <w:t>brengt</w:t>
      </w:r>
      <w:r w:rsidRPr="00D55EBC" w:rsidR="00AC322B">
        <w:t xml:space="preserve"> om de Europese ruimtevaartsector te versterken — verder dan het bewaken van proportionaliteit en defensie-uitzonderingen</w:t>
      </w:r>
      <w:r w:rsidRPr="00D55EBC" w:rsidR="00DE1C10">
        <w:t>.</w:t>
      </w:r>
      <w:r w:rsidRPr="00D55EBC" w:rsidR="00AC322B">
        <w:t xml:space="preserve"> Hoe wil </w:t>
      </w:r>
      <w:r w:rsidRPr="00D55EBC" w:rsidR="00193DB9">
        <w:t xml:space="preserve">het kabinet </w:t>
      </w:r>
      <w:r w:rsidRPr="00D55EBC" w:rsidR="00AC322B">
        <w:t xml:space="preserve">bevorderen dat Nederlandse bedrijven binnen </w:t>
      </w:r>
      <w:r w:rsidRPr="00D55EBC" w:rsidR="00AC322B">
        <w:lastRenderedPageBreak/>
        <w:t xml:space="preserve">Europese programma’s zoals </w:t>
      </w:r>
      <w:r w:rsidRPr="006004D6" w:rsidR="00AC322B">
        <w:t>IRIS</w:t>
      </w:r>
      <w:r w:rsidRPr="00D55EBC" w:rsidR="00AC322B">
        <w:t xml:space="preserve">, Galileo en Copernicus doorgroeien van subsystemen naar strategische systeem- en ketenposities? Hoe beantwoordt </w:t>
      </w:r>
      <w:r w:rsidRPr="00D55EBC" w:rsidR="00CB1AB1">
        <w:t xml:space="preserve">het kabinet </w:t>
      </w:r>
      <w:r w:rsidRPr="00D55EBC" w:rsidR="00AC322B">
        <w:t xml:space="preserve">de tweede voorzitterschapsvraag: welke instrumenten zet </w:t>
      </w:r>
      <w:r w:rsidRPr="00D55EBC" w:rsidR="00B939B4">
        <w:t>het kabinet</w:t>
      </w:r>
      <w:r w:rsidRPr="00D55EBC" w:rsidR="00AC322B">
        <w:t xml:space="preserve"> in om openheid en internationale samenwerking in de ruimtevaart te waarborgen terwijl strategische afhankelijkheden worden afgebouwd? In hoeverre is bescherming tegen verstoring van satellietsignalen — </w:t>
      </w:r>
      <w:r w:rsidRPr="00D55EBC" w:rsidR="00AC322B">
        <w:rPr>
          <w:i/>
          <w:iCs/>
        </w:rPr>
        <w:t>jamming</w:t>
      </w:r>
      <w:r w:rsidRPr="00D55EBC" w:rsidR="00AC322B">
        <w:t xml:space="preserve"> en </w:t>
      </w:r>
      <w:r w:rsidRPr="00D55EBC" w:rsidR="00AC322B">
        <w:rPr>
          <w:i/>
          <w:iCs/>
        </w:rPr>
        <w:t>spoofing</w:t>
      </w:r>
      <w:r w:rsidRPr="00D55EBC" w:rsidR="00AC322B">
        <w:t xml:space="preserve">, die op </w:t>
      </w:r>
      <w:r w:rsidRPr="00D55EBC" w:rsidR="007D6E59">
        <w:t xml:space="preserve">de </w:t>
      </w:r>
      <w:r w:rsidRPr="00D55EBC" w:rsidR="00AC322B">
        <w:t xml:space="preserve">civiele luchtvaart, </w:t>
      </w:r>
      <w:r w:rsidRPr="00D55EBC" w:rsidR="007D6E59">
        <w:t xml:space="preserve">de </w:t>
      </w:r>
      <w:r w:rsidRPr="00D55EBC" w:rsidR="00AC322B">
        <w:t xml:space="preserve">scheepvaart en </w:t>
      </w:r>
      <w:r w:rsidRPr="00D55EBC" w:rsidR="007D6E59">
        <w:t xml:space="preserve">het </w:t>
      </w:r>
      <w:r w:rsidRPr="00D55EBC" w:rsidR="00AC322B">
        <w:t>betalingsverkeer reeds aantoonbare</w:t>
      </w:r>
      <w:r w:rsidRPr="00D55EBC" w:rsidR="007D6E59">
        <w:t xml:space="preserve"> invloed</w:t>
      </w:r>
      <w:r w:rsidRPr="00D55EBC" w:rsidR="00AC322B">
        <w:t xml:space="preserve"> heeft — onderdeel van de Nederlandse inzet? </w:t>
      </w:r>
      <w:r w:rsidRPr="00D55EBC" w:rsidR="001979B6">
        <w:t>W</w:t>
      </w:r>
      <w:r w:rsidRPr="00D55EBC" w:rsidR="00AC322B">
        <w:t xml:space="preserve">elke positie neemt </w:t>
      </w:r>
      <w:r w:rsidRPr="00D55EBC" w:rsidR="001979B6">
        <w:t xml:space="preserve">het kabinet </w:t>
      </w:r>
      <w:r w:rsidRPr="00D55EBC" w:rsidR="00AC322B">
        <w:t xml:space="preserve">in over de rolverdeling tussen </w:t>
      </w:r>
      <w:r w:rsidRPr="00D55EBC" w:rsidR="001979B6">
        <w:t xml:space="preserve">de </w:t>
      </w:r>
      <w:r w:rsidRPr="00D55EBC" w:rsidR="00AC322B">
        <w:t xml:space="preserve">Europese Commissie, </w:t>
      </w:r>
      <w:r w:rsidR="00B8391D">
        <w:t>het Europees Ruimteagentschap (</w:t>
      </w:r>
      <w:r w:rsidRPr="004A1A7E" w:rsidR="00AC322B">
        <w:t>ESA</w:t>
      </w:r>
      <w:r w:rsidR="00B8391D">
        <w:t>)</w:t>
      </w:r>
      <w:r w:rsidRPr="00D55EBC" w:rsidR="00AC322B">
        <w:t xml:space="preserve"> en </w:t>
      </w:r>
      <w:r w:rsidRPr="00D55EBC" w:rsidR="001979B6">
        <w:t xml:space="preserve">de </w:t>
      </w:r>
      <w:r w:rsidRPr="00D55EBC" w:rsidR="00AC322B">
        <w:t>lidstaten, op een wijze die de Nederlandse ruimtevaartsector Europees zichtbaar leiderschap geeft?</w:t>
      </w:r>
    </w:p>
    <w:p w:rsidRPr="00C851B1" w:rsidR="00AC322B" w:rsidP="00BE7B99" w:rsidRDefault="00AC322B" w14:paraId="76D8707D" w14:textId="4EFB3CAE">
      <w:pPr>
        <w:spacing w:before="280" w:after="140" w:line="240" w:lineRule="auto"/>
        <w:ind w:firstLine="708"/>
      </w:pPr>
      <w:r w:rsidRPr="00C851B1">
        <w:t>European Product Act non-paper — circulariteit als ontbrekende dimensie</w:t>
      </w:r>
    </w:p>
    <w:p w:rsidRPr="00D55EBC" w:rsidR="00AC322B" w:rsidP="00F15A43" w:rsidRDefault="00AC322B" w14:paraId="686053EF" w14:textId="6BFCA310">
      <w:pPr>
        <w:spacing w:line="240" w:lineRule="auto"/>
      </w:pPr>
      <w:r w:rsidRPr="00D55EBC">
        <w:t xml:space="preserve">De leden van de D66-fractie hebben kennisgenomen van het non-paper dat Nederland samen met Finland, Portugal en Zweden bij de Raad zal inbrengen ter beïnvloeding van de European Product </w:t>
      </w:r>
      <w:r w:rsidRPr="00AF6B5C">
        <w:t>Act</w:t>
      </w:r>
      <w:r w:rsidR="00AF6B5C">
        <w:t xml:space="preserve"> (EPA)</w:t>
      </w:r>
      <w:r w:rsidRPr="00D55EBC">
        <w:t xml:space="preserve">. Het non-paper richt zich op modernisering van het wetgevend kader, digitalisering en gelijk speelveld, met regeldrukvermindering als overkoepelend thema. Deze leden onderschrijven het belang van een goed werkende interne markt voor producten, maar wijzen erop dat de </w:t>
      </w:r>
      <w:r w:rsidRPr="00A80DBE">
        <w:t>EPA</w:t>
      </w:r>
      <w:r w:rsidRPr="00D55EBC">
        <w:t xml:space="preserve"> tegelijk de markttoezichtverordening, </w:t>
      </w:r>
      <w:r w:rsidRPr="00D55EBC" w:rsidR="00506EC6">
        <w:t xml:space="preserve">de </w:t>
      </w:r>
      <w:r w:rsidRPr="00D55EBC">
        <w:t xml:space="preserve">conformiteitsbeoordeling en </w:t>
      </w:r>
      <w:r w:rsidRPr="00D55EBC" w:rsidR="00506EC6">
        <w:t xml:space="preserve">de </w:t>
      </w:r>
      <w:r w:rsidRPr="00D55EBC">
        <w:t xml:space="preserve">normalisatieverordening herziet — precies de plekken waar circulaire-economie-ambities zoals het digitaal productpaspoort, eisen aan repareerbaarheid en aansluiting op de Ecodesign-verordening </w:t>
      </w:r>
      <w:r w:rsidR="00412F52">
        <w:t>voor</w:t>
      </w:r>
      <w:r w:rsidR="000228B0">
        <w:t xml:space="preserve"> duurzame producten (ESPR) </w:t>
      </w:r>
      <w:r w:rsidRPr="00D55EBC">
        <w:t>hun beslag moeten krijgen. Het non-paper noemt deze dimensie niet expliciet, terwijl het coalitieakkoord vasthoudt aan het doel van een volledig circulaire economie in 2050.</w:t>
      </w:r>
    </w:p>
    <w:p w:rsidRPr="00D55EBC" w:rsidR="00AC322B" w:rsidP="00F15A43" w:rsidRDefault="00AC322B" w14:paraId="5280E0A6" w14:textId="3E2CFC41">
      <w:pPr>
        <w:spacing w:line="240" w:lineRule="auto"/>
      </w:pPr>
      <w:r w:rsidRPr="00D55EBC">
        <w:t xml:space="preserve">Hoe waarborgt </w:t>
      </w:r>
      <w:r w:rsidRPr="00D55EBC" w:rsidR="00B7123C">
        <w:t>het kabinet</w:t>
      </w:r>
      <w:r w:rsidRPr="00D55EBC">
        <w:t xml:space="preserve"> dat de </w:t>
      </w:r>
      <w:r w:rsidR="000228B0">
        <w:t xml:space="preserve">EPA </w:t>
      </w:r>
      <w:r w:rsidRPr="00D55EBC">
        <w:t xml:space="preserve">ook actief bijdraagt aan de circulaire transitie, en niet uitsluitend wordt benaderd vanuit het perspectief van regeldrukvermindering? Op welke punten in het non-paper komt deze circulariteitsdimensie terug, en zo niet, is </w:t>
      </w:r>
      <w:r w:rsidRPr="00D55EBC" w:rsidR="00347E82">
        <w:t>het kabinet</w:t>
      </w:r>
      <w:r w:rsidRPr="00D55EBC">
        <w:t xml:space="preserve"> bereid dit alsnog actief in te brengen — eventueel in samenwerking met de partners Finland, Portugal en Zweden?</w:t>
      </w:r>
    </w:p>
    <w:p w:rsidRPr="00C851B1" w:rsidR="00AC322B" w:rsidP="00BE7B99" w:rsidRDefault="00AC322B" w14:paraId="1E9C677C" w14:textId="19E1D41A">
      <w:pPr>
        <w:spacing w:line="240" w:lineRule="auto"/>
        <w:ind w:firstLine="708"/>
      </w:pPr>
      <w:r w:rsidRPr="00C851B1">
        <w:t>Toerisme</w:t>
      </w:r>
    </w:p>
    <w:p w:rsidRPr="00D55EBC" w:rsidR="00AC322B" w:rsidP="00F15A43" w:rsidRDefault="00AC322B" w14:paraId="713ACC79" w14:textId="343CE585">
      <w:pPr>
        <w:spacing w:line="240" w:lineRule="auto"/>
      </w:pPr>
      <w:r w:rsidRPr="00D55EBC">
        <w:t xml:space="preserve">De leden van de </w:t>
      </w:r>
      <w:r w:rsidRPr="00D55EBC" w:rsidR="00347E82">
        <w:t>D66-</w:t>
      </w:r>
      <w:r w:rsidRPr="00D55EBC">
        <w:t xml:space="preserve">fractie steunen </w:t>
      </w:r>
      <w:r w:rsidR="001152EA">
        <w:t>het</w:t>
      </w:r>
      <w:r w:rsidRPr="00D55EBC">
        <w:t xml:space="preserve"> </w:t>
      </w:r>
      <w:r w:rsidR="00817DF1">
        <w:t>kabinet in het streven</w:t>
      </w:r>
      <w:r w:rsidRPr="00D55EBC">
        <w:t xml:space="preserve"> naar Europese samenwerking op het gebied van duurzame toeristische mobiliteit. </w:t>
      </w:r>
      <w:r w:rsidRPr="00D55EBC" w:rsidR="00EA2493">
        <w:t xml:space="preserve">Deze leden </w:t>
      </w:r>
      <w:r w:rsidRPr="00D55EBC">
        <w:t xml:space="preserve">vragen of </w:t>
      </w:r>
      <w:r w:rsidRPr="00D55EBC" w:rsidR="00EA2493">
        <w:t>het kabinet t</w:t>
      </w:r>
      <w:r w:rsidRPr="00D55EBC">
        <w:t xml:space="preserve">ijdens de Raad </w:t>
      </w:r>
      <w:r w:rsidRPr="00D55EBC" w:rsidR="00A22CA0">
        <w:t xml:space="preserve">kan pleiten </w:t>
      </w:r>
      <w:r w:rsidRPr="00D55EBC">
        <w:t>voor betere internationale treinverbindingen als alternatief voor korte afstandsvluchten.</w:t>
      </w:r>
    </w:p>
    <w:p w:rsidRPr="00D55EBC" w:rsidR="00C2566A" w:rsidP="00F15A43" w:rsidRDefault="00C2566A" w14:paraId="7C59C57F" w14:textId="203ABABB">
      <w:pPr>
        <w:spacing w:line="240" w:lineRule="auto"/>
        <w:rPr>
          <w:b/>
          <w:bCs/>
        </w:rPr>
      </w:pPr>
      <w:r w:rsidRPr="00D55EBC">
        <w:rPr>
          <w:b/>
          <w:bCs/>
        </w:rPr>
        <w:t>Vragen en opmerkingen van de leden van de VVD-fractie</w:t>
      </w:r>
    </w:p>
    <w:p w:rsidRPr="00D55EBC" w:rsidR="00781E25" w:rsidP="00F15A43" w:rsidRDefault="00781E25" w14:paraId="03E3FBEF" w14:textId="77777777">
      <w:pPr>
        <w:spacing w:line="240" w:lineRule="auto"/>
        <w:rPr>
          <w:color w:val="000000" w:themeColor="text1"/>
        </w:rPr>
      </w:pPr>
      <w:r w:rsidRPr="00D55EBC">
        <w:rPr>
          <w:color w:val="000000" w:themeColor="text1"/>
        </w:rPr>
        <w:t xml:space="preserve">De leden van de VVD-fractie hebben kennisgenomen van de geannoteerde agenda voor de Raad voor Concurrentievermogen van 28 en 29 mei 2026. Deze leden hebben hierover nog enkele vragen en opmerkingen. </w:t>
      </w:r>
    </w:p>
    <w:p w:rsidRPr="0050445E" w:rsidR="000226DC" w:rsidP="00566919" w:rsidRDefault="00781E25" w14:paraId="1413AAD4" w14:textId="2A61225C">
      <w:pPr>
        <w:spacing w:after="0" w:line="240" w:lineRule="auto"/>
        <w:ind w:firstLine="709"/>
        <w:rPr>
          <w:color w:val="000000" w:themeColor="text1"/>
        </w:rPr>
      </w:pPr>
      <w:r w:rsidRPr="0050445E">
        <w:rPr>
          <w:color w:val="000000" w:themeColor="text1"/>
        </w:rPr>
        <w:t>Industrial Accelerator Act</w:t>
      </w:r>
      <w:r w:rsidRPr="0050445E">
        <w:rPr>
          <w:color w:val="000000" w:themeColor="text1"/>
        </w:rPr>
        <w:br/>
      </w:r>
    </w:p>
    <w:p w:rsidRPr="00D55EBC" w:rsidR="00781E25" w:rsidP="00F15A43" w:rsidRDefault="00781E25" w14:paraId="5C44AA15" w14:textId="39B2064C">
      <w:pPr>
        <w:spacing w:line="240" w:lineRule="auto"/>
        <w:rPr>
          <w:color w:val="000000" w:themeColor="text1"/>
        </w:rPr>
      </w:pPr>
      <w:r w:rsidRPr="00D55EBC">
        <w:rPr>
          <w:color w:val="000000" w:themeColor="text1"/>
        </w:rPr>
        <w:t xml:space="preserve">De leden van de </w:t>
      </w:r>
      <w:r w:rsidR="00D55EBC">
        <w:rPr>
          <w:color w:val="000000" w:themeColor="text1"/>
        </w:rPr>
        <w:t>VVD-</w:t>
      </w:r>
      <w:r w:rsidRPr="00D55EBC">
        <w:rPr>
          <w:color w:val="000000" w:themeColor="text1"/>
        </w:rPr>
        <w:t xml:space="preserve">fractie </w:t>
      </w:r>
      <w:r w:rsidR="00D55EBC">
        <w:rPr>
          <w:color w:val="000000" w:themeColor="text1"/>
        </w:rPr>
        <w:t>l</w:t>
      </w:r>
      <w:r w:rsidRPr="00D55EBC">
        <w:rPr>
          <w:color w:val="000000" w:themeColor="text1"/>
        </w:rPr>
        <w:t xml:space="preserve">ezen </w:t>
      </w:r>
      <w:r w:rsidR="00D55EBC">
        <w:rPr>
          <w:color w:val="000000" w:themeColor="text1"/>
        </w:rPr>
        <w:t xml:space="preserve">in de geannoteerde agenda </w:t>
      </w:r>
      <w:r w:rsidRPr="00D55EBC">
        <w:rPr>
          <w:color w:val="000000" w:themeColor="text1"/>
        </w:rPr>
        <w:t>dat bij de aankomende Raad gesproken zal worden over de</w:t>
      </w:r>
      <w:r w:rsidR="00BD535A">
        <w:rPr>
          <w:color w:val="000000" w:themeColor="text1"/>
        </w:rPr>
        <w:t xml:space="preserve"> verordening</w:t>
      </w:r>
      <w:r w:rsidRPr="00D55EBC">
        <w:rPr>
          <w:color w:val="000000" w:themeColor="text1"/>
        </w:rPr>
        <w:t xml:space="preserve"> Industrial Accelerator Act</w:t>
      </w:r>
      <w:r w:rsidR="00BD535A">
        <w:rPr>
          <w:color w:val="000000" w:themeColor="text1"/>
        </w:rPr>
        <w:t xml:space="preserve"> (IAA)</w:t>
      </w:r>
      <w:r w:rsidRPr="00D55EBC">
        <w:rPr>
          <w:color w:val="000000" w:themeColor="text1"/>
        </w:rPr>
        <w:t>. Deze leden weten dat er in deze</w:t>
      </w:r>
      <w:r w:rsidR="00DD13CF">
        <w:rPr>
          <w:color w:val="000000" w:themeColor="text1"/>
        </w:rPr>
        <w:t xml:space="preserve"> verordening </w:t>
      </w:r>
      <w:r w:rsidRPr="00D55EBC">
        <w:rPr>
          <w:color w:val="000000" w:themeColor="text1"/>
        </w:rPr>
        <w:t xml:space="preserve">ruimte wordt geboden voor </w:t>
      </w:r>
      <w:r w:rsidRPr="00D55EBC">
        <w:rPr>
          <w:i/>
          <w:iCs/>
          <w:color w:val="000000" w:themeColor="text1"/>
        </w:rPr>
        <w:t>acceleration areas</w:t>
      </w:r>
      <w:r w:rsidRPr="00D55EBC">
        <w:rPr>
          <w:color w:val="000000" w:themeColor="text1"/>
        </w:rPr>
        <w:t>, ook wel bekend als regelvrije zones. Is het kabinet van plan gebruik te maken van deze mogelijkheid tot het creëren van zo</w:t>
      </w:r>
      <w:r w:rsidR="0038601A">
        <w:rPr>
          <w:color w:val="000000" w:themeColor="text1"/>
        </w:rPr>
        <w:t>’</w:t>
      </w:r>
      <w:r w:rsidRPr="00D55EBC">
        <w:rPr>
          <w:color w:val="000000" w:themeColor="text1"/>
        </w:rPr>
        <w:t xml:space="preserve">n </w:t>
      </w:r>
      <w:r w:rsidR="0038601A">
        <w:rPr>
          <w:color w:val="000000" w:themeColor="text1"/>
        </w:rPr>
        <w:t xml:space="preserve">zone </w:t>
      </w:r>
      <w:r w:rsidRPr="00D55EBC">
        <w:rPr>
          <w:color w:val="000000" w:themeColor="text1"/>
        </w:rPr>
        <w:t xml:space="preserve">en zo ja, op welke manier? Graag ontvangen deze leden daarnaast een uitputtend overzicht van de mogelijkheden die EU-regelgeving biedt tot </w:t>
      </w:r>
      <w:r w:rsidRPr="00D55EBC">
        <w:rPr>
          <w:color w:val="000000" w:themeColor="text1"/>
        </w:rPr>
        <w:lastRenderedPageBreak/>
        <w:t xml:space="preserve">regelvrije zones, </w:t>
      </w:r>
      <w:r w:rsidR="0038601A">
        <w:rPr>
          <w:color w:val="000000" w:themeColor="text1"/>
        </w:rPr>
        <w:t xml:space="preserve">en beantwoording van de vraag </w:t>
      </w:r>
      <w:r w:rsidRPr="00D55EBC">
        <w:rPr>
          <w:color w:val="000000" w:themeColor="text1"/>
        </w:rPr>
        <w:t xml:space="preserve">of Nederland daar momenteel gebruik van maakt en zo ja, of hier op maximale wijze gebruik van wordt gemaakt. </w:t>
      </w:r>
    </w:p>
    <w:p w:rsidR="0050445E" w:rsidP="0050445E" w:rsidRDefault="00781E25" w14:paraId="5B3EABAA" w14:textId="77777777">
      <w:pPr>
        <w:spacing w:after="0" w:line="240" w:lineRule="auto"/>
        <w:ind w:firstLine="709"/>
        <w:rPr>
          <w:color w:val="000000" w:themeColor="text1"/>
        </w:rPr>
      </w:pPr>
      <w:r w:rsidRPr="008F1906">
        <w:rPr>
          <w:color w:val="000000" w:themeColor="text1"/>
        </w:rPr>
        <w:t>Toerisme</w:t>
      </w:r>
      <w:r w:rsidRPr="008F1906">
        <w:rPr>
          <w:b/>
          <w:bCs/>
          <w:color w:val="000000" w:themeColor="text1"/>
        </w:rPr>
        <w:br/>
      </w:r>
    </w:p>
    <w:p w:rsidRPr="008F1906" w:rsidR="00781E25" w:rsidP="0050445E" w:rsidRDefault="00781E25" w14:paraId="513DD28D" w14:textId="462A2E4A">
      <w:pPr>
        <w:spacing w:line="240" w:lineRule="auto"/>
        <w:rPr>
          <w:b/>
          <w:bCs/>
          <w:color w:val="000000" w:themeColor="text1"/>
        </w:rPr>
      </w:pPr>
      <w:r w:rsidRPr="008F1906">
        <w:rPr>
          <w:color w:val="000000" w:themeColor="text1"/>
        </w:rPr>
        <w:t xml:space="preserve">De leden van de </w:t>
      </w:r>
      <w:r w:rsidRPr="008F1906" w:rsidR="001838B4">
        <w:rPr>
          <w:color w:val="000000" w:themeColor="text1"/>
        </w:rPr>
        <w:t>VVD-</w:t>
      </w:r>
      <w:r w:rsidRPr="008F1906">
        <w:rPr>
          <w:color w:val="000000" w:themeColor="text1"/>
        </w:rPr>
        <w:t xml:space="preserve">fractie lezen dat er bij de aankomende Raad stilgestaan zal worden bij de gevolgen van de oorlog in het Midden-Oosten voor de Europese toerismesector. Deze leden lezen dat het kabinet het effect voor de Nederlandse sector ‘tot nu toe beperkt’ noemt. Deze leden verzoeken het kabinet uiteen te zetten wat specifiek de gevolgen zijn voor de Nederlandse congressector. </w:t>
      </w:r>
    </w:p>
    <w:p w:rsidRPr="00D55EBC" w:rsidR="00781E25" w:rsidP="00F15A43" w:rsidRDefault="00781E25" w14:paraId="4BC34CC7" w14:textId="26128FC3">
      <w:pPr>
        <w:spacing w:line="240" w:lineRule="auto"/>
        <w:rPr>
          <w:rFonts w:eastAsia="Verdana"/>
        </w:rPr>
      </w:pPr>
      <w:r w:rsidRPr="00D55EBC">
        <w:rPr>
          <w:color w:val="000000" w:themeColor="text1"/>
        </w:rPr>
        <w:t xml:space="preserve">De leden </w:t>
      </w:r>
      <w:r w:rsidR="00853A74">
        <w:rPr>
          <w:color w:val="000000" w:themeColor="text1"/>
        </w:rPr>
        <w:t xml:space="preserve">van de VVD-fractie </w:t>
      </w:r>
      <w:r w:rsidRPr="00D55EBC">
        <w:rPr>
          <w:color w:val="000000" w:themeColor="text1"/>
        </w:rPr>
        <w:t xml:space="preserve">lezen daarnaast dat er </w:t>
      </w:r>
      <w:r w:rsidRPr="00D55EBC">
        <w:rPr>
          <w:rFonts w:eastAsia="Verdana"/>
        </w:rPr>
        <w:t>enkele landen zijn die graag zien dat er extra ruimte voor staatsteun komt voor de toerismesector. Het kabinet schrijft vervolgens niet hoe het zich tot dit verzoek verhoudt. De</w:t>
      </w:r>
      <w:r w:rsidR="009F4A81">
        <w:rPr>
          <w:rFonts w:eastAsia="Verdana"/>
        </w:rPr>
        <w:t>ze</w:t>
      </w:r>
      <w:r w:rsidRPr="00D55EBC">
        <w:rPr>
          <w:rFonts w:eastAsia="Verdana"/>
        </w:rPr>
        <w:t xml:space="preserve"> leden verzoeken het kabinet hier stevig verzet bij aan te tekenen, omdat dit leidt tot oneerlijke concurrentie voor </w:t>
      </w:r>
      <w:r w:rsidR="000B65C3">
        <w:rPr>
          <w:rFonts w:eastAsia="Verdana"/>
        </w:rPr>
        <w:t xml:space="preserve">Nederlandse </w:t>
      </w:r>
      <w:r w:rsidRPr="00D55EBC">
        <w:rPr>
          <w:rFonts w:eastAsia="Verdana"/>
        </w:rPr>
        <w:t>ondernemers en de financiële positie van landen (nog verder) kan verslechteren. Is het kabinet hiertoe bereid?</w:t>
      </w:r>
    </w:p>
    <w:p w:rsidRPr="00325B16" w:rsidR="00C20755" w:rsidP="0043795D" w:rsidRDefault="00781E25" w14:paraId="721E5CD9" w14:textId="77777777">
      <w:pPr>
        <w:spacing w:after="0" w:line="240" w:lineRule="auto"/>
        <w:ind w:firstLine="708"/>
        <w:rPr>
          <w:rFonts w:eastAsia="Verdana"/>
        </w:rPr>
      </w:pPr>
      <w:r w:rsidRPr="00325B16">
        <w:t xml:space="preserve">Inzet </w:t>
      </w:r>
      <w:r w:rsidRPr="00325B16">
        <w:rPr>
          <w:i/>
          <w:iCs/>
        </w:rPr>
        <w:t>Skills Portability Initiative</w:t>
      </w:r>
      <w:r w:rsidRPr="00325B16">
        <w:rPr>
          <w:rFonts w:eastAsia="Verdana"/>
        </w:rPr>
        <w:br/>
      </w:r>
    </w:p>
    <w:p w:rsidRPr="00D55EBC" w:rsidR="00781E25" w:rsidP="00F15A43" w:rsidRDefault="00781E25" w14:paraId="1E655B2B" w14:textId="105042C6">
      <w:pPr>
        <w:spacing w:line="240" w:lineRule="auto"/>
        <w:rPr>
          <w:rFonts w:eastAsia="Verdana"/>
        </w:rPr>
      </w:pPr>
      <w:r w:rsidRPr="00D55EBC">
        <w:rPr>
          <w:rFonts w:eastAsia="Verdana"/>
        </w:rPr>
        <w:t xml:space="preserve">De leden van de </w:t>
      </w:r>
      <w:r w:rsidR="000B65C3">
        <w:rPr>
          <w:rFonts w:eastAsia="Verdana"/>
        </w:rPr>
        <w:t>VVD-</w:t>
      </w:r>
      <w:r w:rsidRPr="00D55EBC">
        <w:rPr>
          <w:rFonts w:eastAsia="Verdana"/>
        </w:rPr>
        <w:t>fractie hebben kennisgenomen van het non-paper van de Benelux, welke is gericht op een bredere erkenning van vaardigheden in de EU. Welke waarborgen heeft het kabinet hierbij ingebouwd om de kwaliteit van Nederlandse beroepskwalificaties te waarborgen?</w:t>
      </w:r>
    </w:p>
    <w:p w:rsidR="00BE19B3" w:rsidP="0043795D" w:rsidRDefault="00781E25" w14:paraId="27D0986F" w14:textId="77777777">
      <w:pPr>
        <w:spacing w:after="0" w:line="240" w:lineRule="auto"/>
        <w:ind w:firstLine="708"/>
      </w:pPr>
      <w:r w:rsidRPr="00BE19B3">
        <w:t>Regeldruk</w:t>
      </w:r>
      <w:r w:rsidRPr="00D55EBC">
        <w:rPr>
          <w:b/>
          <w:bCs/>
        </w:rPr>
        <w:br/>
      </w:r>
    </w:p>
    <w:p w:rsidRPr="00D55EBC" w:rsidR="00781E25" w:rsidP="00F15A43" w:rsidRDefault="00781E25" w14:paraId="3167312D" w14:textId="0F8CCE3C">
      <w:pPr>
        <w:spacing w:line="240" w:lineRule="auto"/>
        <w:rPr>
          <w:b/>
          <w:bCs/>
        </w:rPr>
      </w:pPr>
      <w:r w:rsidRPr="00D55EBC">
        <w:t xml:space="preserve">De leden van de </w:t>
      </w:r>
      <w:r w:rsidR="00B05804">
        <w:t>VVD-</w:t>
      </w:r>
      <w:r w:rsidRPr="00D55EBC">
        <w:t>fractie lezen dat Eurocommissaris Séjourné tijdens de afgelopen Raad heeft beloofd een overzicht rond te sturen van regels die inmiddels zijn afgeschaft, als onderdeel van de inspanningen om de regeldruk te verminderen. De</w:t>
      </w:r>
      <w:r w:rsidR="001B43DA">
        <w:t>ze</w:t>
      </w:r>
      <w:r w:rsidRPr="00D55EBC">
        <w:t xml:space="preserve"> leden </w:t>
      </w:r>
      <w:r w:rsidR="001B43DA">
        <w:t xml:space="preserve">verzoeken het kabinet </w:t>
      </w:r>
      <w:r w:rsidRPr="00D55EBC">
        <w:t xml:space="preserve">dit overzicht </w:t>
      </w:r>
      <w:r w:rsidR="001B43DA">
        <w:t xml:space="preserve">naar de Kamer te sturen. </w:t>
      </w:r>
      <w:r w:rsidRPr="00D55EBC">
        <w:t xml:space="preserve"> </w:t>
      </w:r>
    </w:p>
    <w:p w:rsidRPr="00D55EBC" w:rsidR="00781E25" w:rsidP="00F15A43" w:rsidRDefault="00781E25" w14:paraId="5ED659CC" w14:textId="3EA30A09">
      <w:pPr>
        <w:spacing w:line="240" w:lineRule="auto"/>
      </w:pPr>
      <w:r w:rsidRPr="00D55EBC">
        <w:t xml:space="preserve">Daarnaast lezen de leden van de </w:t>
      </w:r>
      <w:r w:rsidR="00F96F02">
        <w:t>VVD-</w:t>
      </w:r>
      <w:r w:rsidRPr="00D55EBC">
        <w:t>fractie dat er tijdens de afgelopen Raad is gesproken over territoriale leveringsbeperkingen. Wat is de actuele stand van zaken in dit dossier? Wat is de voort</w:t>
      </w:r>
      <w:r w:rsidR="00F96F02">
        <w:t>g</w:t>
      </w:r>
      <w:r w:rsidRPr="00D55EBC">
        <w:t>ang in de ontwikkeling naar een QR-code, nadat dit onder andere is omarmd in de interne marktstrategie van de Europese Commissie? Hoe zit het met de aanpak van discriminatie, zoals geconstateerd in onderzoek uit 2023 in opdracht van het ministerie van Economische Zaken</w:t>
      </w:r>
      <w:r w:rsidR="005A015D">
        <w:t>,</w:t>
      </w:r>
      <w:r w:rsidRPr="00D55EBC">
        <w:rPr>
          <w:rStyle w:val="Voetnootmarkering"/>
        </w:rPr>
        <w:footnoteReference w:id="4"/>
      </w:r>
      <w:r w:rsidRPr="00D55EBC">
        <w:t xml:space="preserve"> namelijk dat consumenten momenteel goedkopere producten online kunnen kopen in een ander</w:t>
      </w:r>
      <w:r w:rsidR="00322BD6">
        <w:t>e</w:t>
      </w:r>
      <w:r w:rsidRPr="00D55EBC">
        <w:t xml:space="preserve"> EU-lidstaat, terwijl detailhandelaren als wederverkoper (en niet als eindgebruikers) dat niet altijd kunnen?  </w:t>
      </w:r>
    </w:p>
    <w:p w:rsidRPr="00D55EBC" w:rsidR="00944AE1" w:rsidP="00F15A43" w:rsidRDefault="00C2566A" w14:paraId="55B7D56E" w14:textId="378EE100">
      <w:pPr>
        <w:spacing w:line="240" w:lineRule="auto"/>
        <w:rPr>
          <w:b/>
          <w:bCs/>
        </w:rPr>
      </w:pPr>
      <w:r w:rsidRPr="00D55EBC">
        <w:rPr>
          <w:b/>
          <w:bCs/>
        </w:rPr>
        <w:t xml:space="preserve">Vragen en opmerkingen van de leden van de </w:t>
      </w:r>
      <w:r w:rsidRPr="00D55EBC" w:rsidR="009F4F91">
        <w:rPr>
          <w:b/>
          <w:bCs/>
        </w:rPr>
        <w:t>GroenLinks-PvdA</w:t>
      </w:r>
      <w:r w:rsidRPr="00D55EBC">
        <w:rPr>
          <w:b/>
          <w:bCs/>
        </w:rPr>
        <w:t>-fractie</w:t>
      </w:r>
    </w:p>
    <w:p w:rsidRPr="00D55EBC" w:rsidR="00A172D2" w:rsidP="00F15A43" w:rsidRDefault="00A172D2" w14:paraId="21ACC8A4" w14:textId="46949230">
      <w:pPr>
        <w:spacing w:line="240" w:lineRule="auto"/>
        <w:rPr>
          <w:rStyle w:val="normaltextrun"/>
          <w:rFonts w:eastAsiaTheme="majorEastAsia"/>
        </w:rPr>
      </w:pPr>
      <w:r w:rsidRPr="00D55EBC">
        <w:rPr>
          <w:rStyle w:val="normaltextrun"/>
          <w:rFonts w:eastAsiaTheme="majorEastAsia"/>
        </w:rPr>
        <w:t>De leden van de GroenLinks-PvdA-fractie hebben met interesse kennisgenomen van de geannoteerde agenda van de volgende Raad voor Concurrentievermogen. De</w:t>
      </w:r>
      <w:r w:rsidR="00D209C8">
        <w:rPr>
          <w:rStyle w:val="normaltextrun"/>
          <w:rFonts w:eastAsiaTheme="majorEastAsia"/>
        </w:rPr>
        <w:t>ze</w:t>
      </w:r>
      <w:r w:rsidRPr="00D55EBC">
        <w:rPr>
          <w:rStyle w:val="normaltextrun"/>
          <w:rFonts w:eastAsiaTheme="majorEastAsia"/>
        </w:rPr>
        <w:t xml:space="preserve"> leden hebben hierover nog enkele vragen.</w:t>
      </w:r>
      <w:r w:rsidRPr="00D55EBC">
        <w:rPr>
          <w:rStyle w:val="normaltextrun"/>
        </w:rPr>
        <w:t> </w:t>
      </w:r>
    </w:p>
    <w:p w:rsidRPr="00D55EBC" w:rsidR="00A172D2" w:rsidP="00F15A43" w:rsidRDefault="00A172D2" w14:paraId="7C9A1052" w14:textId="1F3DE381">
      <w:pPr>
        <w:spacing w:line="240" w:lineRule="auto"/>
        <w:rPr>
          <w:rStyle w:val="normaltextrun"/>
        </w:rPr>
      </w:pPr>
      <w:r w:rsidRPr="00D55EBC">
        <w:rPr>
          <w:rStyle w:val="normaltextrun"/>
          <w:rFonts w:eastAsiaTheme="majorEastAsia"/>
        </w:rPr>
        <w:t xml:space="preserve">De leden van de GroenLinks-PvdA-fractie hebben met veel interesse kennisgenomen van het BNC-fiche </w:t>
      </w:r>
      <w:r w:rsidR="002315E5">
        <w:rPr>
          <w:rStyle w:val="normaltextrun"/>
          <w:rFonts w:eastAsiaTheme="majorEastAsia"/>
        </w:rPr>
        <w:t>over</w:t>
      </w:r>
      <w:r w:rsidRPr="00D55EBC">
        <w:rPr>
          <w:rStyle w:val="normaltextrun"/>
          <w:rFonts w:eastAsiaTheme="majorEastAsia"/>
        </w:rPr>
        <w:t xml:space="preserve"> de Industrial Accelerator Act</w:t>
      </w:r>
      <w:r w:rsidR="00AA5F68">
        <w:rPr>
          <w:rStyle w:val="normaltextrun"/>
          <w:rFonts w:eastAsiaTheme="majorEastAsia"/>
        </w:rPr>
        <w:t xml:space="preserve">. Zij hebben </w:t>
      </w:r>
      <w:r w:rsidRPr="00D55EBC">
        <w:rPr>
          <w:rStyle w:val="normaltextrun"/>
          <w:rFonts w:eastAsiaTheme="majorEastAsia"/>
        </w:rPr>
        <w:t xml:space="preserve">hierover onlangs </w:t>
      </w:r>
      <w:r w:rsidR="00AA5F68">
        <w:rPr>
          <w:rStyle w:val="normaltextrun"/>
          <w:rFonts w:eastAsiaTheme="majorEastAsia"/>
        </w:rPr>
        <w:t xml:space="preserve">het kabinet </w:t>
      </w:r>
      <w:r w:rsidRPr="00D55EBC">
        <w:rPr>
          <w:rStyle w:val="normaltextrun"/>
          <w:rFonts w:eastAsiaTheme="majorEastAsia"/>
        </w:rPr>
        <w:t>al in</w:t>
      </w:r>
      <w:r w:rsidR="001367D2">
        <w:rPr>
          <w:rStyle w:val="normaltextrun"/>
          <w:rFonts w:eastAsiaTheme="majorEastAsia"/>
        </w:rPr>
        <w:t xml:space="preserve"> </w:t>
      </w:r>
      <w:r w:rsidR="00ED74B9">
        <w:rPr>
          <w:rStyle w:val="normaltextrun"/>
          <w:rFonts w:eastAsiaTheme="majorEastAsia"/>
        </w:rPr>
        <w:t xml:space="preserve">een </w:t>
      </w:r>
      <w:r w:rsidRPr="00D55EBC" w:rsidR="00ED74B9">
        <w:rPr>
          <w:rStyle w:val="normaltextrun"/>
          <w:rFonts w:eastAsiaTheme="majorEastAsia"/>
        </w:rPr>
        <w:t>schriftelijk</w:t>
      </w:r>
      <w:r w:rsidRPr="00D55EBC">
        <w:rPr>
          <w:rStyle w:val="normaltextrun"/>
          <w:rFonts w:eastAsiaTheme="majorEastAsia"/>
        </w:rPr>
        <w:t xml:space="preserve"> overleg over </w:t>
      </w:r>
      <w:r w:rsidRPr="00234C05">
        <w:rPr>
          <w:rStyle w:val="normaltextrun"/>
          <w:rFonts w:eastAsiaTheme="majorEastAsia"/>
        </w:rPr>
        <w:t>bevraagd</w:t>
      </w:r>
      <w:r w:rsidRPr="00D55EBC">
        <w:rPr>
          <w:rStyle w:val="normaltextrun"/>
          <w:rFonts w:eastAsiaTheme="majorEastAsia"/>
        </w:rPr>
        <w:t>.</w:t>
      </w:r>
      <w:r w:rsidR="0020049E">
        <w:rPr>
          <w:rStyle w:val="Voetnootmarkering"/>
          <w:rFonts w:eastAsiaTheme="majorEastAsia"/>
        </w:rPr>
        <w:footnoteReference w:id="5"/>
      </w:r>
      <w:r w:rsidRPr="00D55EBC">
        <w:rPr>
          <w:rStyle w:val="normaltextrun"/>
          <w:rFonts w:eastAsiaTheme="majorEastAsia"/>
        </w:rPr>
        <w:t xml:space="preserve"> De</w:t>
      </w:r>
      <w:r w:rsidR="0067703A">
        <w:rPr>
          <w:rStyle w:val="normaltextrun"/>
          <w:rFonts w:eastAsiaTheme="majorEastAsia"/>
        </w:rPr>
        <w:t>ze</w:t>
      </w:r>
      <w:r w:rsidRPr="00D55EBC">
        <w:rPr>
          <w:rStyle w:val="normaltextrun"/>
          <w:rFonts w:eastAsiaTheme="majorEastAsia"/>
        </w:rPr>
        <w:t xml:space="preserve"> leden kijken uit naar een spoedig antwoord.</w:t>
      </w:r>
      <w:r w:rsidRPr="00D55EBC">
        <w:rPr>
          <w:rStyle w:val="normaltextrun"/>
          <w:rFonts w:eastAsiaTheme="majorEastAsia"/>
        </w:rPr>
        <w:br/>
      </w:r>
      <w:r w:rsidRPr="00D55EBC">
        <w:rPr>
          <w:rStyle w:val="normaltextrun"/>
          <w:rFonts w:eastAsiaTheme="majorEastAsia"/>
        </w:rPr>
        <w:lastRenderedPageBreak/>
        <w:br/>
        <w:t>De leden van de GroenLinks-PvdA-fractie zijn voorstander van het beslechte</w:t>
      </w:r>
      <w:r w:rsidR="0067703A">
        <w:rPr>
          <w:rStyle w:val="normaltextrun"/>
          <w:rFonts w:eastAsiaTheme="majorEastAsia"/>
        </w:rPr>
        <w:t>n</w:t>
      </w:r>
      <w:r w:rsidRPr="00D55EBC">
        <w:rPr>
          <w:rStyle w:val="normaltextrun"/>
          <w:rFonts w:eastAsiaTheme="majorEastAsia"/>
        </w:rPr>
        <w:t xml:space="preserve"> van interne handelsbarrières in de </w:t>
      </w:r>
      <w:r w:rsidR="0067703A">
        <w:rPr>
          <w:rStyle w:val="normaltextrun"/>
          <w:rFonts w:eastAsiaTheme="majorEastAsia"/>
        </w:rPr>
        <w:t xml:space="preserve">Europese </w:t>
      </w:r>
      <w:r w:rsidRPr="00D55EBC">
        <w:rPr>
          <w:rStyle w:val="normaltextrun"/>
          <w:rFonts w:eastAsiaTheme="majorEastAsia"/>
        </w:rPr>
        <w:t xml:space="preserve">Unie, </w:t>
      </w:r>
      <w:r w:rsidR="00466173">
        <w:rPr>
          <w:rStyle w:val="normaltextrun"/>
          <w:rFonts w:eastAsiaTheme="majorEastAsia"/>
        </w:rPr>
        <w:t xml:space="preserve">maar </w:t>
      </w:r>
      <w:r w:rsidRPr="00D55EBC">
        <w:rPr>
          <w:rStyle w:val="normaltextrun"/>
          <w:rFonts w:eastAsiaTheme="majorEastAsia"/>
        </w:rPr>
        <w:t xml:space="preserve">tegelijk moet Nederland zorgdragen voor een verantwoordelijke positie van bedrijven waarbij de rechten van werknemers, milieustandaarden en een eerlijke bijdrage aan de samenleving, ook via belastingen, </w:t>
      </w:r>
      <w:r w:rsidR="00466173">
        <w:rPr>
          <w:rStyle w:val="normaltextrun"/>
          <w:rFonts w:eastAsiaTheme="majorEastAsia"/>
        </w:rPr>
        <w:t xml:space="preserve">zijn </w:t>
      </w:r>
      <w:r w:rsidRPr="00D55EBC">
        <w:rPr>
          <w:rStyle w:val="normaltextrun"/>
          <w:rFonts w:eastAsiaTheme="majorEastAsia"/>
        </w:rPr>
        <w:t xml:space="preserve">verankerd. Hoe gaat het kabinet voorkomen dat een nieuw en optioneel regime niet leidt tot een race naar de bodem wat betreft maatschappelijke eisen aan bedrijven? Hoe houdt Nederland bedrijven die in dit regime zullen </w:t>
      </w:r>
      <w:r w:rsidR="00B8591D">
        <w:rPr>
          <w:rStyle w:val="normaltextrun"/>
          <w:rFonts w:eastAsiaTheme="majorEastAsia"/>
        </w:rPr>
        <w:t>om</w:t>
      </w:r>
      <w:r w:rsidRPr="00D55EBC">
        <w:rPr>
          <w:rStyle w:val="normaltextrun"/>
          <w:rFonts w:eastAsiaTheme="majorEastAsia"/>
        </w:rPr>
        <w:t xml:space="preserve">vallen op eenzelfde wijze verantwoordelijk als bedrijven die werken op een Nederlandse rechtsbasis? </w:t>
      </w:r>
      <w:r w:rsidR="00B33B7C">
        <w:rPr>
          <w:rStyle w:val="normaltextrun"/>
          <w:rFonts w:eastAsiaTheme="majorEastAsia"/>
        </w:rPr>
        <w:t xml:space="preserve">Wat is de visie van </w:t>
      </w:r>
      <w:r w:rsidRPr="00D55EBC">
        <w:rPr>
          <w:rStyle w:val="normaltextrun"/>
          <w:rFonts w:eastAsiaTheme="majorEastAsia"/>
        </w:rPr>
        <w:t xml:space="preserve">het kabinet </w:t>
      </w:r>
      <w:r w:rsidR="00077AE0">
        <w:rPr>
          <w:rStyle w:val="normaltextrun"/>
          <w:rFonts w:eastAsiaTheme="majorEastAsia"/>
        </w:rPr>
        <w:t>op</w:t>
      </w:r>
      <w:r w:rsidRPr="00D55EBC">
        <w:rPr>
          <w:rStyle w:val="normaltextrun"/>
          <w:rFonts w:eastAsiaTheme="majorEastAsia"/>
        </w:rPr>
        <w:t xml:space="preserve"> de impact van het voorstel op werknemersrechten? Z</w:t>
      </w:r>
      <w:r w:rsidR="00077AE0">
        <w:rPr>
          <w:rStyle w:val="normaltextrun"/>
          <w:rFonts w:eastAsiaTheme="majorEastAsia"/>
        </w:rPr>
        <w:t>et</w:t>
      </w:r>
      <w:r w:rsidRPr="00D55EBC">
        <w:rPr>
          <w:rStyle w:val="normaltextrun"/>
          <w:rFonts w:eastAsiaTheme="majorEastAsia"/>
        </w:rPr>
        <w:t xml:space="preserve"> het kabinet er zich voor</w:t>
      </w:r>
      <w:r w:rsidR="00077AE0">
        <w:rPr>
          <w:rStyle w:val="normaltextrun"/>
          <w:rFonts w:eastAsiaTheme="majorEastAsia"/>
        </w:rPr>
        <w:t xml:space="preserve"> </w:t>
      </w:r>
      <w:r w:rsidRPr="00D55EBC">
        <w:rPr>
          <w:rStyle w:val="normaltextrun"/>
          <w:rFonts w:eastAsiaTheme="majorEastAsia"/>
        </w:rPr>
        <w:t>in</w:t>
      </w:r>
      <w:r w:rsidR="00077AE0">
        <w:rPr>
          <w:rStyle w:val="normaltextrun"/>
          <w:rFonts w:eastAsiaTheme="majorEastAsia"/>
        </w:rPr>
        <w:t xml:space="preserve"> </w:t>
      </w:r>
      <w:r w:rsidRPr="00D55EBC">
        <w:rPr>
          <w:rStyle w:val="normaltextrun"/>
          <w:rFonts w:eastAsiaTheme="majorEastAsia"/>
        </w:rPr>
        <w:t>dat het voorstel op dit vlak verduidelijkt wordt</w:t>
      </w:r>
      <w:r w:rsidR="00077AE0">
        <w:rPr>
          <w:rStyle w:val="normaltextrun"/>
          <w:rFonts w:eastAsiaTheme="majorEastAsia"/>
        </w:rPr>
        <w:t>,</w:t>
      </w:r>
      <w:r w:rsidRPr="00D55EBC">
        <w:rPr>
          <w:rStyle w:val="normaltextrun"/>
          <w:rFonts w:eastAsiaTheme="majorEastAsia"/>
        </w:rPr>
        <w:t xml:space="preserve"> zodat de arbeidswetgeving van het land waar de werknemer effectief werkt</w:t>
      </w:r>
      <w:r w:rsidR="00D50905">
        <w:rPr>
          <w:rStyle w:val="normaltextrun"/>
          <w:rFonts w:eastAsiaTheme="majorEastAsia"/>
        </w:rPr>
        <w:t>,</w:t>
      </w:r>
      <w:r w:rsidRPr="00D55EBC">
        <w:rPr>
          <w:rStyle w:val="normaltextrun"/>
          <w:rFonts w:eastAsiaTheme="majorEastAsia"/>
        </w:rPr>
        <w:t xml:space="preserve"> blijft gelden om zo te voorkomen dat het 28ste regime een nieuwe route wordt voor sociale dumping?</w:t>
      </w:r>
    </w:p>
    <w:p w:rsidRPr="00D55EBC" w:rsidR="00A172D2" w:rsidP="00F15A43" w:rsidRDefault="00A172D2" w14:paraId="3D710456" w14:textId="49132689">
      <w:pPr>
        <w:spacing w:line="240" w:lineRule="auto"/>
        <w:rPr>
          <w:rStyle w:val="normaltextrun"/>
          <w:rFonts w:eastAsiaTheme="majorEastAsia"/>
        </w:rPr>
      </w:pPr>
      <w:r w:rsidRPr="00D55EBC">
        <w:rPr>
          <w:rStyle w:val="normaltextrun"/>
          <w:rFonts w:eastAsiaTheme="majorEastAsia"/>
        </w:rPr>
        <w:t xml:space="preserve">De leden van de GroenLinks-PvdA-fractie delen de zorgen </w:t>
      </w:r>
      <w:r w:rsidR="00D50905">
        <w:rPr>
          <w:rStyle w:val="normaltextrun"/>
          <w:rFonts w:eastAsiaTheme="majorEastAsia"/>
        </w:rPr>
        <w:t>van</w:t>
      </w:r>
      <w:r w:rsidRPr="00D55EBC">
        <w:rPr>
          <w:rStyle w:val="normaltextrun"/>
          <w:rFonts w:eastAsiaTheme="majorEastAsia"/>
        </w:rPr>
        <w:t xml:space="preserve"> dit kabinet over de toekomst van de chemie en zien tevens de urgentie van actie op Europees niveau om strategische chemische ketens te versterken en </w:t>
      </w:r>
      <w:r w:rsidR="00E912F3">
        <w:rPr>
          <w:rStyle w:val="normaltextrun"/>
          <w:rFonts w:eastAsiaTheme="majorEastAsia"/>
        </w:rPr>
        <w:t xml:space="preserve">te </w:t>
      </w:r>
      <w:r w:rsidRPr="00D55EBC">
        <w:rPr>
          <w:rStyle w:val="normaltextrun"/>
          <w:rFonts w:eastAsiaTheme="majorEastAsia"/>
        </w:rPr>
        <w:t xml:space="preserve">verduurzamen. Daarmee delen </w:t>
      </w:r>
      <w:r w:rsidR="00E912F3">
        <w:rPr>
          <w:rStyle w:val="normaltextrun"/>
          <w:rFonts w:eastAsiaTheme="majorEastAsia"/>
        </w:rPr>
        <w:t>deze leden</w:t>
      </w:r>
      <w:r w:rsidRPr="00D55EBC">
        <w:rPr>
          <w:rStyle w:val="normaltextrun"/>
          <w:rFonts w:eastAsiaTheme="majorEastAsia"/>
        </w:rPr>
        <w:t xml:space="preserve"> ook de </w:t>
      </w:r>
      <w:r w:rsidR="00E912F3">
        <w:rPr>
          <w:rStyle w:val="normaltextrun"/>
          <w:rFonts w:eastAsiaTheme="majorEastAsia"/>
        </w:rPr>
        <w:t xml:space="preserve">noodzaak tot </w:t>
      </w:r>
      <w:r w:rsidRPr="00D55EBC">
        <w:rPr>
          <w:rStyle w:val="normaltextrun"/>
          <w:rFonts w:eastAsiaTheme="majorEastAsia"/>
        </w:rPr>
        <w:t xml:space="preserve">urgentie om snel tot meer vraagcreatie te komen op Europees niveau. </w:t>
      </w:r>
      <w:r w:rsidR="00806FDB">
        <w:rPr>
          <w:rStyle w:val="normaltextrun"/>
          <w:rFonts w:eastAsiaTheme="majorEastAsia"/>
        </w:rPr>
        <w:t xml:space="preserve">Welke plannen heeft het kabinet hierin concreet? </w:t>
      </w:r>
      <w:r w:rsidR="00203CD3">
        <w:rPr>
          <w:rStyle w:val="normaltextrun"/>
          <w:rFonts w:eastAsiaTheme="majorEastAsia"/>
        </w:rPr>
        <w:t>W</w:t>
      </w:r>
      <w:r w:rsidRPr="00D55EBC">
        <w:rPr>
          <w:rStyle w:val="normaltextrun"/>
          <w:rFonts w:eastAsiaTheme="majorEastAsia"/>
        </w:rPr>
        <w:t>elke kansen ziet het kabinet voor de versterking van de</w:t>
      </w:r>
      <w:r w:rsidR="0053299E">
        <w:rPr>
          <w:rStyle w:val="normaltextrun"/>
          <w:rFonts w:eastAsiaTheme="majorEastAsia"/>
        </w:rPr>
        <w:t xml:space="preserve"> IAA, </w:t>
      </w:r>
      <w:r w:rsidRPr="00D55EBC">
        <w:rPr>
          <w:rStyle w:val="normaltextrun"/>
          <w:rFonts w:eastAsiaTheme="majorEastAsia"/>
        </w:rPr>
        <w:t xml:space="preserve">maar bijvoorbeeld ook de Circulair Economy Act </w:t>
      </w:r>
      <w:r w:rsidR="002134D3">
        <w:rPr>
          <w:rStyle w:val="normaltextrun"/>
          <w:rFonts w:eastAsiaTheme="majorEastAsia"/>
        </w:rPr>
        <w:t xml:space="preserve">(CEA) </w:t>
      </w:r>
      <w:r w:rsidRPr="00D55EBC">
        <w:rPr>
          <w:rStyle w:val="normaltextrun"/>
          <w:rFonts w:eastAsiaTheme="majorEastAsia"/>
        </w:rPr>
        <w:t xml:space="preserve">en het </w:t>
      </w:r>
      <w:r w:rsidR="002F12B6">
        <w:rPr>
          <w:rStyle w:val="normaltextrun"/>
          <w:rFonts w:eastAsiaTheme="majorEastAsia"/>
        </w:rPr>
        <w:t>P</w:t>
      </w:r>
      <w:r w:rsidRPr="00D55EBC">
        <w:rPr>
          <w:rStyle w:val="normaltextrun"/>
          <w:rFonts w:eastAsiaTheme="majorEastAsia"/>
        </w:rPr>
        <w:t xml:space="preserve">ost 2030 </w:t>
      </w:r>
      <w:r w:rsidR="00B73310">
        <w:rPr>
          <w:rStyle w:val="normaltextrun"/>
          <w:rFonts w:eastAsiaTheme="majorEastAsia"/>
        </w:rPr>
        <w:t xml:space="preserve">Renewable energy </w:t>
      </w:r>
      <w:r w:rsidRPr="00D55EBC">
        <w:rPr>
          <w:rStyle w:val="normaltextrun"/>
          <w:rFonts w:eastAsiaTheme="majorEastAsia"/>
        </w:rPr>
        <w:t xml:space="preserve">framework voor duurzame energie? Bereid het kabinet concrete inzet voor om in al deze wetten vraagcreatie een stevige wettelijke basis te geven, bijvoorbeeld via productmandaten? </w:t>
      </w:r>
      <w:r w:rsidR="00203CD3">
        <w:rPr>
          <w:rStyle w:val="normaltextrun"/>
          <w:rFonts w:eastAsiaTheme="majorEastAsia"/>
        </w:rPr>
        <w:t>Z</w:t>
      </w:r>
      <w:r w:rsidRPr="00D55EBC">
        <w:rPr>
          <w:rStyle w:val="normaltextrun"/>
          <w:rFonts w:eastAsiaTheme="majorEastAsia"/>
        </w:rPr>
        <w:t>iet het kabinet in dit kader ook kans om Europese voorkeursprincipes voor duurzame producten te verankeren in deze wetgeving? Iets waar de chemische industrie in toenemende mate om vraagt.</w:t>
      </w:r>
    </w:p>
    <w:p w:rsidRPr="00D55EBC" w:rsidR="00A172D2" w:rsidP="00F15A43" w:rsidRDefault="00A172D2" w14:paraId="33C03C79" w14:textId="3094796A">
      <w:pPr>
        <w:spacing w:line="240" w:lineRule="auto"/>
      </w:pPr>
      <w:r w:rsidRPr="00D55EBC">
        <w:rPr>
          <w:rStyle w:val="normaltextrun"/>
          <w:rFonts w:eastAsiaTheme="majorEastAsia"/>
        </w:rPr>
        <w:t xml:space="preserve">De leden van de GroenLinks-PvdA-fractie hebben tevens enkele vragen over de Critical Chemicals Alliance. Ziet </w:t>
      </w:r>
      <w:r w:rsidRPr="00D55EBC" w:rsidR="004721DE">
        <w:rPr>
          <w:rStyle w:val="normaltextrun"/>
          <w:rFonts w:eastAsiaTheme="majorEastAsia"/>
        </w:rPr>
        <w:t>het kabinet</w:t>
      </w:r>
      <w:r w:rsidRPr="00D55EBC">
        <w:rPr>
          <w:rStyle w:val="normaltextrun"/>
          <w:rFonts w:eastAsiaTheme="majorEastAsia"/>
        </w:rPr>
        <w:t xml:space="preserve"> </w:t>
      </w:r>
      <w:r w:rsidR="00047B15">
        <w:rPr>
          <w:rStyle w:val="normaltextrun"/>
          <w:rFonts w:eastAsiaTheme="majorEastAsia"/>
        </w:rPr>
        <w:t xml:space="preserve">de Alliance </w:t>
      </w:r>
      <w:r w:rsidRPr="00D55EBC">
        <w:rPr>
          <w:rStyle w:val="normaltextrun"/>
          <w:rFonts w:eastAsiaTheme="majorEastAsia"/>
        </w:rPr>
        <w:t xml:space="preserve">als plek om prioriteiten te stellen en tot beleid te komen voor het verduurzamen van specifieke strategische ketens? Ziet het kabinet ruimte om op Europees niveau een strategische afweging te maken waar landen – gezien hun industriële opbouw, kennis en ligging - op moeten inzetten? Zodat lidstaten elkaar kunnen versterken en aanvullen, in plaats van beconcurreren in een race naar de bodem van minder belastingen en meer subsidies. </w:t>
      </w:r>
      <w:r w:rsidR="00047B15">
        <w:rPr>
          <w:rStyle w:val="normaltextrun"/>
          <w:rFonts w:eastAsiaTheme="majorEastAsia"/>
        </w:rPr>
        <w:t>B</w:t>
      </w:r>
      <w:r w:rsidRPr="00D55EBC">
        <w:rPr>
          <w:rStyle w:val="normaltextrun"/>
          <w:rFonts w:eastAsiaTheme="majorEastAsia"/>
        </w:rPr>
        <w:t>rengt het kabinet hier ook het perspectief in van de nieuwe industriële spelers, die alternatieve ketens en technologie willen opschalen, soms ook ten</w:t>
      </w:r>
      <w:r w:rsidR="00014111">
        <w:rPr>
          <w:rStyle w:val="normaltextrun"/>
          <w:rFonts w:eastAsiaTheme="majorEastAsia"/>
        </w:rPr>
        <w:t xml:space="preserve"> </w:t>
      </w:r>
      <w:r w:rsidRPr="00D55EBC">
        <w:rPr>
          <w:rStyle w:val="normaltextrun"/>
          <w:rFonts w:eastAsiaTheme="majorEastAsia"/>
        </w:rPr>
        <w:t xml:space="preserve">koste van de bestaande industrie? </w:t>
      </w:r>
      <w:r w:rsidR="00D532D3">
        <w:rPr>
          <w:rStyle w:val="normaltextrun"/>
          <w:rFonts w:eastAsiaTheme="majorEastAsia"/>
        </w:rPr>
        <w:t>H</w:t>
      </w:r>
      <w:r w:rsidRPr="00D55EBC">
        <w:rPr>
          <w:rStyle w:val="normaltextrun"/>
          <w:rFonts w:eastAsiaTheme="majorEastAsia"/>
        </w:rPr>
        <w:t xml:space="preserve">oe wordt de veranderende markvraag naar producten meegewogen (bijvoorbeeld minder raffinage door elektrificatie, kunstmest door biologische landbouw of </w:t>
      </w:r>
      <w:r w:rsidR="00DF74A6">
        <w:rPr>
          <w:rStyle w:val="normaltextrun"/>
          <w:rFonts w:eastAsiaTheme="majorEastAsia"/>
        </w:rPr>
        <w:t xml:space="preserve">nieuw </w:t>
      </w:r>
      <w:r w:rsidRPr="00D55EBC">
        <w:rPr>
          <w:rStyle w:val="normaltextrun"/>
          <w:rFonts w:eastAsiaTheme="majorEastAsia"/>
        </w:rPr>
        <w:t>plastic door circulariteit)?</w:t>
      </w:r>
    </w:p>
    <w:p w:rsidR="00342990" w:rsidP="00050204" w:rsidRDefault="00B5484B" w14:paraId="07CF6F91" w14:textId="77777777">
      <w:pPr>
        <w:spacing w:after="0" w:line="240" w:lineRule="auto"/>
      </w:pPr>
      <w:r w:rsidRPr="00D55EBC">
        <w:rPr>
          <w:b/>
          <w:color w:val="000000"/>
        </w:rPr>
        <w:t xml:space="preserve">Vragen en opmerkingen van de leden van de </w:t>
      </w:r>
      <w:r w:rsidRPr="00D55EBC" w:rsidR="00944AE1">
        <w:rPr>
          <w:b/>
          <w:color w:val="000000"/>
        </w:rPr>
        <w:t>CDA</w:t>
      </w:r>
      <w:r w:rsidRPr="00D55EBC">
        <w:rPr>
          <w:b/>
          <w:color w:val="000000"/>
        </w:rPr>
        <w:t>-</w:t>
      </w:r>
      <w:r w:rsidRPr="00D55EBC" w:rsidR="00811A39">
        <w:rPr>
          <w:b/>
          <w:color w:val="000000"/>
        </w:rPr>
        <w:t>f</w:t>
      </w:r>
      <w:r w:rsidRPr="00D55EBC">
        <w:rPr>
          <w:b/>
          <w:color w:val="000000"/>
        </w:rPr>
        <w:t>ractie</w:t>
      </w:r>
      <w:r w:rsidRPr="00D55EBC">
        <w:rPr>
          <w:color w:val="000000"/>
        </w:rPr>
        <w:br/>
      </w:r>
    </w:p>
    <w:p w:rsidRPr="00D55EBC" w:rsidR="00686780" w:rsidP="00F15A43" w:rsidRDefault="00686780" w14:paraId="3CF12128" w14:textId="376FEF74">
      <w:pPr>
        <w:spacing w:line="240" w:lineRule="auto"/>
      </w:pPr>
      <w:r w:rsidRPr="00D55EBC">
        <w:t>De leden van de CDA-</w:t>
      </w:r>
      <w:r w:rsidR="00050204">
        <w:t>f</w:t>
      </w:r>
      <w:r w:rsidRPr="00D55EBC">
        <w:t>ractie hebben kennisgenomen van de geannoteerde agenda voor de Raad voor Concurrentievermogen van 28 en 29 mei. Hierbij hebben zij een aantal vragen.  </w:t>
      </w:r>
    </w:p>
    <w:p w:rsidRPr="009462A2" w:rsidR="00686780" w:rsidP="009462A2" w:rsidRDefault="00686780" w14:paraId="0991C32B" w14:textId="77777777">
      <w:pPr>
        <w:spacing w:line="240" w:lineRule="auto"/>
        <w:ind w:firstLine="708"/>
      </w:pPr>
      <w:r w:rsidRPr="009462A2">
        <w:t>Non paper skill portability initiative </w:t>
      </w:r>
    </w:p>
    <w:p w:rsidRPr="00D55EBC" w:rsidR="00686780" w:rsidP="00F15A43" w:rsidRDefault="00686780" w14:paraId="37F8EE9C" w14:textId="6B34CFD6">
      <w:pPr>
        <w:spacing w:line="240" w:lineRule="auto"/>
      </w:pPr>
      <w:r w:rsidRPr="00D55EBC">
        <w:t xml:space="preserve">De leden van de CDA-fractie waarderen de inzet van </w:t>
      </w:r>
      <w:r w:rsidR="00050204">
        <w:t>het kabinet</w:t>
      </w:r>
      <w:r w:rsidRPr="00D55EBC">
        <w:t xml:space="preserve"> om samen met de Benelux-partners in Europa te pleiten voor het eenvoudiger erkennen van diploma’s, vaardigheden en werkervaring over landsgrenzen heen. Deze leden zijn ervan overtuigd dat juist in grensregio’s grote kansen liggen voor het wegnemen van belemmeringen voor werknemers, studenten en werkgevers door </w:t>
      </w:r>
      <w:r w:rsidR="00CA0098">
        <w:t xml:space="preserve">de </w:t>
      </w:r>
      <w:r w:rsidRPr="00D55EBC">
        <w:t xml:space="preserve">wederzijdse erkenning </w:t>
      </w:r>
      <w:r w:rsidR="00CA0098">
        <w:t xml:space="preserve">te verbeteren </w:t>
      </w:r>
      <w:r w:rsidRPr="00D55EBC">
        <w:t>van diploma’s en beroepsvaardigheden</w:t>
      </w:r>
      <w:r w:rsidR="00FD7DE6">
        <w:t xml:space="preserve">. </w:t>
      </w:r>
      <w:r w:rsidRPr="00D55EBC">
        <w:t> </w:t>
      </w:r>
    </w:p>
    <w:p w:rsidRPr="00D55EBC" w:rsidR="00686780" w:rsidP="00F15A43" w:rsidRDefault="00686780" w14:paraId="63E6B408" w14:textId="244D8A95">
      <w:pPr>
        <w:spacing w:line="240" w:lineRule="auto"/>
      </w:pPr>
      <w:r w:rsidRPr="00D55EBC">
        <w:lastRenderedPageBreak/>
        <w:t>De leden van de CDA-fractie constateren echter dat de Europese Commissie pas in het najaar</w:t>
      </w:r>
      <w:r w:rsidR="00FD7DE6">
        <w:t xml:space="preserve"> 2026</w:t>
      </w:r>
      <w:r w:rsidRPr="00D55EBC">
        <w:t xml:space="preserve"> met nadere wetsvoorstellen komt. Zij vragen in hoeverre het mogelijk is om binnen Benelux-verband alvast vooruit te lopen op bredere Europese besluitvorming en te fungeren als proeftuin voor verdere samenwerking op het gebied van skillspaspoorten, diplomawaardering en de uitwisseling van beroepskwalificaties. Welke juridische en praktische ruimte ziet </w:t>
      </w:r>
      <w:r w:rsidR="0011205E">
        <w:t>het kabinet</w:t>
      </w:r>
      <w:r w:rsidRPr="00D55EBC">
        <w:t xml:space="preserve"> hiervoor binnen de huidige Europese kaders? Is </w:t>
      </w:r>
      <w:r w:rsidR="0011205E">
        <w:t>het kabinet</w:t>
      </w:r>
      <w:r w:rsidR="009A01D2">
        <w:t xml:space="preserve"> </w:t>
      </w:r>
      <w:r w:rsidRPr="00D55EBC">
        <w:t xml:space="preserve"> bereid </w:t>
      </w:r>
      <w:r w:rsidR="00E75979">
        <w:t xml:space="preserve">om </w:t>
      </w:r>
      <w:r w:rsidRPr="00D55EBC">
        <w:t>samen met de Benelux-partners te onderzoeken welke concrete stappen </w:t>
      </w:r>
      <w:r w:rsidR="00CF3AF4">
        <w:t>al</w:t>
      </w:r>
      <w:r w:rsidRPr="00D55EBC" w:rsidR="00CF3AF4">
        <w:t> </w:t>
      </w:r>
      <w:r w:rsidRPr="00D55EBC">
        <w:t>op korte termijn gezet kunnen worden? </w:t>
      </w:r>
    </w:p>
    <w:p w:rsidRPr="00D55EBC" w:rsidR="00686780" w:rsidP="00F15A43" w:rsidRDefault="00686780" w14:paraId="24957D2F" w14:textId="3BB90DE3">
      <w:pPr>
        <w:spacing w:line="240" w:lineRule="auto"/>
      </w:pPr>
      <w:r w:rsidRPr="00D55EBC">
        <w:t>Deze leden van de CDA -</w:t>
      </w:r>
      <w:r w:rsidR="00E75979">
        <w:t>f</w:t>
      </w:r>
      <w:r w:rsidRPr="00D55EBC">
        <w:t>ractie vragen daarnaast hoe het Skills Portability Initiative </w:t>
      </w:r>
      <w:r w:rsidR="004C7D26">
        <w:t xml:space="preserve">(SPI) </w:t>
      </w:r>
      <w:r w:rsidRPr="00D55EBC">
        <w:t xml:space="preserve">van de Europese </w:t>
      </w:r>
      <w:r w:rsidR="00E75979">
        <w:t>C</w:t>
      </w:r>
      <w:r w:rsidRPr="00D55EBC">
        <w:t xml:space="preserve">ommissie meegenomen wordt in de talentstategie zoals aangekondigd in de opdachtbrief Toekomstige Welvaart en </w:t>
      </w:r>
      <w:r w:rsidRPr="00874EEF">
        <w:t>Vestigingsklimaat</w:t>
      </w:r>
      <w:r w:rsidR="00874EEF">
        <w:t xml:space="preserve"> (TTWenV)</w:t>
      </w:r>
      <w:r w:rsidRPr="00D55EBC">
        <w:t>.</w:t>
      </w:r>
      <w:r w:rsidR="00644F4F">
        <w:rPr>
          <w:rStyle w:val="Voetnootmarkering"/>
        </w:rPr>
        <w:footnoteReference w:id="6"/>
      </w:r>
      <w:r w:rsidRPr="00D55EBC">
        <w:t>  </w:t>
      </w:r>
    </w:p>
    <w:p w:rsidRPr="009462A2" w:rsidR="00686780" w:rsidP="009462A2" w:rsidRDefault="00686780" w14:paraId="15F04B98" w14:textId="77777777">
      <w:pPr>
        <w:spacing w:line="240" w:lineRule="auto"/>
        <w:ind w:firstLine="708"/>
      </w:pPr>
      <w:r w:rsidRPr="009462A2">
        <w:t>28</w:t>
      </w:r>
      <w:r w:rsidRPr="009462A2">
        <w:rPr>
          <w:vertAlign w:val="superscript"/>
        </w:rPr>
        <w:t>ste</w:t>
      </w:r>
      <w:r w:rsidRPr="009462A2">
        <w:t> regime </w:t>
      </w:r>
    </w:p>
    <w:p w:rsidRPr="00D55EBC" w:rsidR="00686780" w:rsidP="00F15A43" w:rsidRDefault="00686780" w14:paraId="3E90BFB0" w14:textId="4DCA2AE1">
      <w:pPr>
        <w:spacing w:line="240" w:lineRule="auto"/>
      </w:pPr>
      <w:r w:rsidRPr="00D55EBC">
        <w:t xml:space="preserve">De leden van de CDA-fractie zullen het schriftelijk overleg over het </w:t>
      </w:r>
      <w:r w:rsidR="00FF4748">
        <w:t>BNC-</w:t>
      </w:r>
      <w:r w:rsidRPr="00D55EBC">
        <w:t xml:space="preserve">fiche inzake het voorstel voor een 28e regime voor ondernemingen (“EU Inc.”) benutten om uitgebreider in te gaan op hun appreciatie en weging van dit </w:t>
      </w:r>
      <w:r w:rsidRPr="005F010C">
        <w:t>voorstel</w:t>
      </w:r>
      <w:r w:rsidRPr="00D55EBC">
        <w:t>.</w:t>
      </w:r>
      <w:r w:rsidR="00CB28BC">
        <w:rPr>
          <w:rStyle w:val="Voetnootmarkering"/>
        </w:rPr>
        <w:footnoteReference w:id="7"/>
      </w:r>
    </w:p>
    <w:p w:rsidRPr="00D55EBC" w:rsidR="00686780" w:rsidP="00F15A43" w:rsidRDefault="00686780" w14:paraId="4A5DDAE2" w14:textId="12737714">
      <w:pPr>
        <w:spacing w:line="240" w:lineRule="auto"/>
      </w:pPr>
      <w:r w:rsidRPr="00D55EBC">
        <w:t>De leden van de CDA-fractie wensen </w:t>
      </w:r>
      <w:r w:rsidR="00FF4748">
        <w:t xml:space="preserve">voorts </w:t>
      </w:r>
      <w:r w:rsidRPr="00D55EBC">
        <w:t>alvast nadere informatie over de ervaringen met de rechtsvorm van de </w:t>
      </w:r>
      <w:r w:rsidRPr="00D55EBC">
        <w:rPr>
          <w:i/>
          <w:iCs/>
        </w:rPr>
        <w:t>Societas Europaea</w:t>
      </w:r>
      <w:r w:rsidRPr="00D55EBC">
        <w:t xml:space="preserve"> (SE). Hoewel deze Europese rechtsvorm reeds in 2001 is ingevoerd met als doel grensoverschrijdend ondernemen binnen de Europese Unie te vergemakkelijken, is het gebruik ervan in de praktijk relatief beperkt gebleven. Deze leden vragen welke lessen uit de beperkte populariteit en toepassing van de SE zijn getrokken en in hoeverre deze lessen zijn meegenomen bij de uitwerking van de nieuwe voorgestelde rechtsvorm. Daarbij vragen zij in het bijzonder aandacht voor de praktische uitvoerbaarheid, administratieve lasten, rechtszekerheid en aantrekkelijkheid voor ondernemingen om daadwerkelijk van een Europese rechtsvorm gebruik te </w:t>
      </w:r>
      <w:r w:rsidR="00C85832">
        <w:t xml:space="preserve">kunnen </w:t>
      </w:r>
      <w:r w:rsidRPr="00D55EBC">
        <w:t>maken. </w:t>
      </w:r>
    </w:p>
    <w:p w:rsidRPr="009462A2" w:rsidR="00686780" w:rsidP="009462A2" w:rsidRDefault="00686780" w14:paraId="0DA2FC4D" w14:textId="77777777">
      <w:pPr>
        <w:spacing w:line="240" w:lineRule="auto"/>
        <w:ind w:firstLine="708"/>
      </w:pPr>
      <w:r w:rsidRPr="009462A2">
        <w:t>Toerisme </w:t>
      </w:r>
    </w:p>
    <w:p w:rsidRPr="00D55EBC" w:rsidR="00686780" w:rsidP="00F15A43" w:rsidRDefault="00686780" w14:paraId="1AA77F50" w14:textId="5446CB15">
      <w:pPr>
        <w:spacing w:line="240" w:lineRule="auto"/>
      </w:pPr>
      <w:r w:rsidRPr="00D55EBC">
        <w:t>De leden van de CDA-fractie waarderen</w:t>
      </w:r>
      <w:r w:rsidR="00276D17">
        <w:t xml:space="preserve"> het</w:t>
      </w:r>
      <w:r w:rsidRPr="00D55EBC">
        <w:t xml:space="preserve"> dat het kabinet de effecten van de crisis in het Midden-Oosten op het toerisme blijft monitoren. Deze leden achten het van belang dat consumenten duidelijkheid hebben over hun rechten en plichten wanneer luchtvaartmaatschappijen zich door stijgende brandstofprijzen of andere geopolitieke ontwikkelingen genoodzaakt voelen </w:t>
      </w:r>
      <w:r w:rsidR="00276D17">
        <w:t xml:space="preserve">om </w:t>
      </w:r>
      <w:r w:rsidRPr="00D55EBC">
        <w:t>vluchten te annuleren. In dat kader zijn deze leden positief over de recente toelichting van de Europese Commissie via een commissiemededeling o</w:t>
      </w:r>
      <w:r w:rsidR="00A5452C">
        <w:t>p</w:t>
      </w:r>
      <w:r w:rsidRPr="00D55EBC">
        <w:t xml:space="preserve"> de toepassing van passagiersrechten. Zij vragen in hoeverre deze Europese mededeling aanleiding geeft tot nadere implementatie, beleidsaanpassing of verduidelijking in Nederland. Indien hiervan sprake is, wat is dan de huidige stand van zaken? </w:t>
      </w:r>
    </w:p>
    <w:p w:rsidRPr="00D55EBC" w:rsidR="00686780" w:rsidP="00F15A43" w:rsidRDefault="00686780" w14:paraId="26CBD6FD" w14:textId="676DF3D2">
      <w:pPr>
        <w:spacing w:line="240" w:lineRule="auto"/>
      </w:pPr>
      <w:r w:rsidRPr="00D55EBC">
        <w:t>De leden van de CDA-fractie willen los hiervan benadrukken dat recreatie en toerisme van groot belang zijn voor zowel de regionale economie als de leefbaarheid van steden, dorpen en het landelijk gebied binnen Europa. Een sterke en toekomstbestendige toeristische sector kan een belangrijke rol spelen bij het behoud van voorzieningen, de vitaliteit van regio’s, de aantrekkelijkheid van binnensteden en de leefbaarheid van plattelandsgebieden. </w:t>
      </w:r>
    </w:p>
    <w:p w:rsidRPr="00D55EBC" w:rsidR="00686780" w:rsidP="00F15A43" w:rsidRDefault="00686780" w14:paraId="750360DA" w14:textId="77777777">
      <w:pPr>
        <w:spacing w:line="240" w:lineRule="auto"/>
      </w:pPr>
      <w:r w:rsidRPr="00D55EBC">
        <w:lastRenderedPageBreak/>
        <w:t>Deze leden zijn van mening dat recreatie en toerisme in Europees verband nadrukkelijker verbonden zouden moeten worden met bredere Europese opgaven, zoals regionale ontwikkeling, brede welvaart, demografische krimp, duurzaamheid en strategische economische weerbaarheid. Zij vragen hoe en op welke wijze toerisme wordt meegenomen in de bredere agenda voor concurrentiekracht en cohesie binnen de Europese Unie?  </w:t>
      </w:r>
    </w:p>
    <w:p w:rsidRPr="00D55EBC" w:rsidR="00686780" w:rsidP="00F15A43" w:rsidRDefault="00686780" w14:paraId="1DA78D33" w14:textId="6A0EC25F">
      <w:pPr>
        <w:spacing w:line="240" w:lineRule="auto"/>
      </w:pPr>
      <w:r w:rsidRPr="00D55EBC">
        <w:t xml:space="preserve">Daarnaast vragen </w:t>
      </w:r>
      <w:r w:rsidR="0041510D">
        <w:t xml:space="preserve">deze leden </w:t>
      </w:r>
      <w:r w:rsidRPr="00D55EBC">
        <w:t>hoe ervoor gezorgd wordt dat Europees beleid en Europese fondsen beter bijdragen aan een vitale toeristische sector die niet alleen economische waarde creëert, maar ook bijdraagt aan leefbare regio’s en sterke lokale gemeenschappen. </w:t>
      </w:r>
    </w:p>
    <w:p w:rsidRPr="00A30344" w:rsidR="00686780" w:rsidP="00A30344" w:rsidRDefault="00686780" w14:paraId="3FE096B3" w14:textId="77777777">
      <w:pPr>
        <w:spacing w:line="240" w:lineRule="auto"/>
        <w:ind w:firstLine="708"/>
      </w:pPr>
      <w:r w:rsidRPr="00A30344">
        <w:t>De Europese Chemische industrie </w:t>
      </w:r>
    </w:p>
    <w:p w:rsidRPr="00D55EBC" w:rsidR="00686780" w:rsidP="00F15A43" w:rsidRDefault="00686780" w14:paraId="26021B35" w14:textId="2E92FC8B">
      <w:pPr>
        <w:spacing w:line="240" w:lineRule="auto"/>
      </w:pPr>
      <w:r w:rsidRPr="00D55EBC">
        <w:t xml:space="preserve">De leden van de CDA-fractie vinden het positief om te vernemen dat er in Europees verband gesproken wordt over de toekomst van de Europese chemische industrie. Een sterke chemische sector is niet alleen belangrijk voor </w:t>
      </w:r>
      <w:r w:rsidR="00E13462">
        <w:t>het Nederlandse</w:t>
      </w:r>
      <w:r w:rsidRPr="00D55EBC">
        <w:t xml:space="preserve"> verdienvermogen</w:t>
      </w:r>
      <w:r w:rsidR="00E13462">
        <w:t xml:space="preserve">, </w:t>
      </w:r>
      <w:r w:rsidRPr="00D55EBC">
        <w:t>maar is ook van groot strategisch belang voor onder meer onze hightech, defensie, de zorg, de bouw en tal van achterliggende waardeketens. De leden van de CDA-</w:t>
      </w:r>
      <w:r w:rsidR="00E13462">
        <w:t>f</w:t>
      </w:r>
      <w:r w:rsidRPr="00D55EBC">
        <w:t>ractie vragen daarom wat de huidige stand van zaken is </w:t>
      </w:r>
      <w:r w:rsidR="001000AF">
        <w:t>bij</w:t>
      </w:r>
      <w:r w:rsidRPr="00D55EBC">
        <w:t xml:space="preserve"> de genoemde adviezen van de Critical Chemical Alliance.  </w:t>
      </w:r>
    </w:p>
    <w:p w:rsidRPr="00D55EBC" w:rsidR="00686780" w:rsidP="00F15A43" w:rsidRDefault="00686780" w14:paraId="39DA935A" w14:textId="697AAEA1">
      <w:pPr>
        <w:spacing w:line="240" w:lineRule="auto"/>
      </w:pPr>
      <w:r w:rsidRPr="00D55EBC">
        <w:t>De leden van de CDA-</w:t>
      </w:r>
      <w:r w:rsidR="001000AF">
        <w:t>f</w:t>
      </w:r>
      <w:r w:rsidRPr="00D55EBC">
        <w:t>ractie maken zich in het bijzonder zorgen over de toenemende druk van grootschalige, door de staat gesteunde overcapaciteit uit China,</w:t>
      </w:r>
      <w:r w:rsidR="001000AF">
        <w:t xml:space="preserve"> </w:t>
      </w:r>
      <w:r w:rsidRPr="00D55EBC">
        <w:t xml:space="preserve">waarbij chemische producten tegen zeer lage prijzen op de Europese markt terechtkomen. Zij vragen het kabinet na te gaan in hoeverre </w:t>
      </w:r>
      <w:r w:rsidR="00670D50">
        <w:t xml:space="preserve">de EU </w:t>
      </w:r>
      <w:r w:rsidRPr="00D55EBC">
        <w:t xml:space="preserve">voldoende is toegerust om dergelijke vormen van dumping en marktverstoring tijdig te signaleren en daadkrachtig tegen te gaan, zodat strategische industriële capaciteit en hoogwaardige werkgelegenheid in </w:t>
      </w:r>
      <w:r w:rsidR="00670D50">
        <w:t xml:space="preserve">de </w:t>
      </w:r>
      <w:r w:rsidR="005358B5">
        <w:t xml:space="preserve">EU </w:t>
      </w:r>
      <w:r w:rsidRPr="00D55EBC">
        <w:t xml:space="preserve">behouden blijven. Zij vragen specifiek in hoeverre in Europees verband wordt gekeken naar effectieve handelsbeschermende instrumenten, zoals vrijwaringsmaatregelen, anti-dumpingonderzoeken en anti-subsidieonderzoeken. Kan </w:t>
      </w:r>
      <w:r w:rsidR="005358B5">
        <w:t>het kabinet</w:t>
      </w:r>
      <w:r w:rsidRPr="00D55EBC">
        <w:t xml:space="preserve"> zich hiervoor hard maken in Europees verband, specifiek voor de chemiesector?  </w:t>
      </w:r>
    </w:p>
    <w:p w:rsidRPr="00D55EBC" w:rsidR="00686780" w:rsidP="00F15A43" w:rsidRDefault="00686780" w14:paraId="1153A808" w14:textId="77777777">
      <w:pPr>
        <w:spacing w:line="240" w:lineRule="auto"/>
      </w:pPr>
      <w:r w:rsidRPr="00D55EBC">
        <w:t>De leden van de CDA-fractie maken zich zorgen over de verslechterende concurrentiepositie van de Europese en Nederlandse plasticrecyclingsector. Zij constateren dat recyclers onder druk staan door hoge energieprijzen, goedkope import van nieuw en gerecycled plastic en een achterblijvende vraag naar recyclaat, waardoor recyclecapaciteit uit Europa dreigt te verdwijnen. </w:t>
      </w:r>
    </w:p>
    <w:p w:rsidRPr="00D55EBC" w:rsidR="00686780" w:rsidP="00F15A43" w:rsidRDefault="00686780" w14:paraId="5162078F" w14:textId="77777777">
      <w:pPr>
        <w:spacing w:line="240" w:lineRule="auto"/>
      </w:pPr>
      <w:r w:rsidRPr="00D55EBC">
        <w:t>De leden van de CDA-fractie onderschrijven het belang van een sterke Europese recyclingketen, niet alleen vanuit duurzaamheidsperspectief, maar ook met het oog op strategische autonomie, leveringszekerheid van grondstoffen en het behoud van industriële werkgelegenheid. Zij vragen of het kabinet verwacht dat de huidige geopolitieke verstoringen en kwetsbaarheden in mondiale aanvoerketens het strategisch belang van Europese recyclingcapaciteit verder vergroten, en welke kansen dit biedt voor de Nederlandse en Europese plasticrecyclingsector. </w:t>
      </w:r>
    </w:p>
    <w:p w:rsidRPr="00D55EBC" w:rsidR="00686780" w:rsidP="00F15A43" w:rsidRDefault="00686780" w14:paraId="38C8CBD2" w14:textId="767055BD">
      <w:pPr>
        <w:spacing w:line="240" w:lineRule="auto"/>
      </w:pPr>
      <w:r w:rsidRPr="00D55EBC">
        <w:t xml:space="preserve">Daarnaast vragen deze leden welke aanvullende Europese maatregelen mogelijk zijn om een gelijker speelveld te creëren, bijvoorbeeld via strengere handhaving tegen dumping. </w:t>
      </w:r>
      <w:r w:rsidR="00952F29">
        <w:t xml:space="preserve">Tevens </w:t>
      </w:r>
      <w:r w:rsidRPr="00D55EBC">
        <w:t xml:space="preserve"> vragen zij hoe Nederland zich opstelt ten aanzien van de aangekondigde voorstellen onder de Circular Economy Act. </w:t>
      </w:r>
    </w:p>
    <w:p w:rsidRPr="00D55EBC" w:rsidR="00D64BAA" w:rsidP="00F15A43" w:rsidRDefault="00D64BAA" w14:paraId="30D90282" w14:textId="4BE7C805">
      <w:pPr>
        <w:spacing w:line="240" w:lineRule="auto"/>
        <w:rPr>
          <w:b/>
          <w:bCs/>
        </w:rPr>
      </w:pPr>
      <w:r w:rsidRPr="00D55EBC">
        <w:rPr>
          <w:b/>
          <w:bCs/>
        </w:rPr>
        <w:t>Vragen en opmerkingen van de leden van de FvD-fractie</w:t>
      </w:r>
    </w:p>
    <w:p w:rsidRPr="00D55EBC" w:rsidR="00D64BAA" w:rsidP="00F15A43" w:rsidRDefault="00E06FE8" w14:paraId="38BA4001" w14:textId="21442C65">
      <w:pPr>
        <w:spacing w:line="240" w:lineRule="auto"/>
      </w:pPr>
      <w:r>
        <w:t xml:space="preserve">De leden van de </w:t>
      </w:r>
      <w:r w:rsidRPr="00D55EBC" w:rsidR="00D64BAA">
        <w:t>Forum voor Democratie</w:t>
      </w:r>
      <w:r>
        <w:t>-fractie</w:t>
      </w:r>
      <w:r w:rsidR="00A44212">
        <w:t xml:space="preserve"> maken </w:t>
      </w:r>
      <w:r w:rsidRPr="00D55EBC" w:rsidR="00D64BAA">
        <w:t xml:space="preserve">zich zorgen over de richting waarin het industriebeleid binnen de Europese Unie zich beweegt. Onder het mom van ambitieus klinkende termen als ‘strategische autonomie’, ‘transitie’ en ‘concurrentievermogen’ gaat </w:t>
      </w:r>
      <w:r w:rsidRPr="00D55EBC" w:rsidR="00D64BAA">
        <w:lastRenderedPageBreak/>
        <w:t>uiteindelijk beleid schuil dat alsmaar leidt tot meer centrale sturing, meer regeldruk, hogere kosten en daarmee een verzwakking van de Europese industrie in zijn geheel.</w:t>
      </w:r>
    </w:p>
    <w:p w:rsidRPr="00D55EBC" w:rsidR="00D64BAA" w:rsidP="00F15A43" w:rsidRDefault="00D64BAA" w14:paraId="27DF8159" w14:textId="359E635C">
      <w:pPr>
        <w:spacing w:line="240" w:lineRule="auto"/>
      </w:pPr>
      <w:r w:rsidRPr="00D55EBC">
        <w:t xml:space="preserve">CBS-cijfers laten zien dat steeds meer Nederlandse en Europese bedrijven overwegen (activiteiten) naar het buitenland te verplaatsen of </w:t>
      </w:r>
      <w:r w:rsidR="00BD7C95">
        <w:t xml:space="preserve">hebben </w:t>
      </w:r>
      <w:r w:rsidRPr="00D55EBC">
        <w:t>dit al gedaan. Dit vanwege regeldruk, belastingdruk, hoge energieprijzen en onzeker beleid vanuit de overheid</w:t>
      </w:r>
      <w:r w:rsidR="00195FBA">
        <w:t>.</w:t>
      </w:r>
      <w:r w:rsidR="00A0794F">
        <w:rPr>
          <w:rStyle w:val="Voetnootmarkering"/>
        </w:rPr>
        <w:footnoteReference w:id="8"/>
      </w:r>
      <w:r w:rsidRPr="00D55EBC">
        <w:t xml:space="preserve"> Ook de chemische sector waarschuwt voor grootschalige afbouw van productie in Nederland en</w:t>
      </w:r>
      <w:r w:rsidR="00E577E4">
        <w:t xml:space="preserve"> </w:t>
      </w:r>
      <w:r w:rsidRPr="00D55EBC">
        <w:t xml:space="preserve"> Europa</w:t>
      </w:r>
      <w:r w:rsidR="00E577E4">
        <w:t xml:space="preserve">. </w:t>
      </w:r>
      <w:r w:rsidR="00E577E4">
        <w:rPr>
          <w:rStyle w:val="Voetnootmarkering"/>
        </w:rPr>
        <w:footnoteReference w:id="9"/>
      </w:r>
      <w:r w:rsidRPr="00D55EBC">
        <w:t xml:space="preserve"> Kan </w:t>
      </w:r>
      <w:r w:rsidR="00BD7C95">
        <w:t>het kabinet</w:t>
      </w:r>
      <w:r w:rsidRPr="00D55EBC">
        <w:t xml:space="preserve"> hierop reflecteren? In hoeverre leidt het huidige Europese beleid, en dan met name het industrie- en klimaatbeleid, juist tot de-industrialisatie van Europa? Hoe wenselijk vindt </w:t>
      </w:r>
      <w:r w:rsidR="001561C0">
        <w:t>het kabinet</w:t>
      </w:r>
      <w:r w:rsidRPr="00D55EBC">
        <w:t xml:space="preserve"> deze ontwikkelingen?</w:t>
      </w:r>
    </w:p>
    <w:p w:rsidRPr="00D55EBC" w:rsidR="00D64BAA" w:rsidP="00F15A43" w:rsidRDefault="001561C0" w14:paraId="6639851D" w14:textId="185691A6">
      <w:pPr>
        <w:spacing w:line="240" w:lineRule="auto"/>
      </w:pPr>
      <w:r>
        <w:t xml:space="preserve">Het kabinet </w:t>
      </w:r>
      <w:r w:rsidRPr="00D55EBC" w:rsidR="00D64BAA">
        <w:t xml:space="preserve">schrijft positief </w:t>
      </w:r>
      <w:r>
        <w:t xml:space="preserve">te staan </w:t>
      </w:r>
      <w:r w:rsidRPr="00D55EBC" w:rsidR="00D64BAA">
        <w:t xml:space="preserve">tegenover verdere productnormering en vraagcreatie voor ‘schone’ en ‘koolstofarme’ industrie als gevolg van de </w:t>
      </w:r>
      <w:r w:rsidR="00743A34">
        <w:t>IAA</w:t>
      </w:r>
      <w:r w:rsidR="0071438D">
        <w:t>-</w:t>
      </w:r>
      <w:r w:rsidR="00743A34">
        <w:t xml:space="preserve">verordening. </w:t>
      </w:r>
      <w:r w:rsidRPr="00D55EBC" w:rsidR="00D64BAA">
        <w:t xml:space="preserve">Kan </w:t>
      </w:r>
      <w:r w:rsidR="00183AB1">
        <w:t xml:space="preserve">het kabinet </w:t>
      </w:r>
      <w:r w:rsidRPr="00D55EBC" w:rsidR="00D64BAA">
        <w:t xml:space="preserve">concreet uiteenzetten wat precies onder ‘koolstofarm’ wordt verstaan? Op basis van welke objectieve criteria wordt bepaald of iets als ‘koolstofarm’ geldt? Indien dit onduidelijk is, wat gaat </w:t>
      </w:r>
      <w:r w:rsidR="00183AB1">
        <w:t>het kabinet</w:t>
      </w:r>
      <w:r w:rsidRPr="00D55EBC" w:rsidR="00D64BAA">
        <w:t xml:space="preserve"> doen om deze duidelijkheid toch te creëren?</w:t>
      </w:r>
    </w:p>
    <w:p w:rsidRPr="00D55EBC" w:rsidR="00D64BAA" w:rsidP="00F15A43" w:rsidRDefault="00D64BAA" w14:paraId="734BE99B" w14:textId="1570001A">
      <w:pPr>
        <w:spacing w:line="240" w:lineRule="auto"/>
      </w:pPr>
      <w:r w:rsidRPr="00D55EBC">
        <w:t xml:space="preserve">Daarnaast schrijft </w:t>
      </w:r>
      <w:r w:rsidR="00744B91">
        <w:t xml:space="preserve">het kabinet </w:t>
      </w:r>
      <w:r w:rsidRPr="00D55EBC">
        <w:t>dat Nederland inzet op gradueel toenemende productnormen per strategische sector</w:t>
      </w:r>
      <w:r w:rsidR="00744B91">
        <w:t xml:space="preserve">, zo lezen de </w:t>
      </w:r>
      <w:r w:rsidR="00507360">
        <w:t>leden van de FvD-fractie</w:t>
      </w:r>
      <w:r w:rsidRPr="00D55EBC">
        <w:t xml:space="preserve">. Hoeveel extra regeldruk zullen dergelijke normen naar verwachting veroorzaken voor Nederlandse bedrijven? Hoe beoordeelt </w:t>
      </w:r>
      <w:r w:rsidR="00507360">
        <w:t>het kabinet</w:t>
      </w:r>
      <w:r w:rsidR="002530A3">
        <w:t xml:space="preserve"> </w:t>
      </w:r>
      <w:r w:rsidRPr="00D55EBC">
        <w:t xml:space="preserve">deze realiteit? Hoe voorkomt </w:t>
      </w:r>
      <w:r w:rsidR="00507360">
        <w:t>het kabinet</w:t>
      </w:r>
      <w:r w:rsidRPr="00D55EBC">
        <w:t xml:space="preserve"> dat dergelijke maatregelen juist leiden tot verdere verplaatsing van industrie naar landen buiten Europa waar lagere energiekosten, minder regelgeving en minder verplichtingen als gevolg van klimaatbeleid gelden? Hoe voorkomt het kabinet dat Europese bedrijven hierdoor structureel op achterstand worden gezet ten opzichte van concurrenten uit onder meer China en de Verenigde Staten?</w:t>
      </w:r>
    </w:p>
    <w:p w:rsidRPr="00D55EBC" w:rsidR="00D64BAA" w:rsidP="00F15A43" w:rsidRDefault="00BB0F72" w14:paraId="3CEF7F84" w14:textId="2A61B8DD">
      <w:pPr>
        <w:spacing w:line="240" w:lineRule="auto"/>
      </w:pPr>
      <w:r>
        <w:t xml:space="preserve">De leden van de </w:t>
      </w:r>
      <w:r w:rsidRPr="00D55EBC" w:rsidR="00D64BAA">
        <w:t>Forum voor Democratie</w:t>
      </w:r>
      <w:r>
        <w:t xml:space="preserve">-fractie begrijpen </w:t>
      </w:r>
      <w:r w:rsidRPr="00D55EBC" w:rsidR="00D64BAA">
        <w:t>de wens om grensoverschrijdend ondernemen eenvoudiger te maken, maar constate</w:t>
      </w:r>
      <w:r>
        <w:t>ren</w:t>
      </w:r>
      <w:r w:rsidRPr="00D55EBC" w:rsidR="00D64BAA">
        <w:t xml:space="preserve"> tegelijkertijd dat hiermee opnieuw een extra Europese bestuurslaag lijkt te ontstaan naast bestaande nationale rechtsvormen, namelijk EU Inc. (28ste regime). Waarom functioneren bestaande nationale rechtsvormen volgens het kabinet onvoldoende? Welke concrete problemen worden met </w:t>
      </w:r>
      <w:r w:rsidR="00AA5616">
        <w:t>het 28</w:t>
      </w:r>
      <w:r w:rsidRPr="00AA5616" w:rsidR="00AA5616">
        <w:rPr>
          <w:vertAlign w:val="superscript"/>
        </w:rPr>
        <w:t>ste</w:t>
      </w:r>
      <w:r w:rsidR="00AA5616">
        <w:t xml:space="preserve"> regime </w:t>
      </w:r>
      <w:r w:rsidRPr="00D55EBC" w:rsidR="00D64BAA">
        <w:t xml:space="preserve">EU Inc. opgelost die momenteel niet opgelost kunnen worden binnen bestaande nationale vennootschapsvormen? </w:t>
      </w:r>
      <w:r w:rsidR="00174353">
        <w:t>Het kabinet</w:t>
      </w:r>
      <w:r w:rsidRPr="00D55EBC" w:rsidR="00D64BAA">
        <w:t xml:space="preserve"> schrijft daarnaast zelf zorgen te hebben over fraude, witwassen en misbruik. Kan</w:t>
      </w:r>
      <w:r w:rsidR="00622C71">
        <w:t xml:space="preserve"> het kabinet </w:t>
      </w:r>
      <w:r w:rsidRPr="00D55EBC" w:rsidR="00D64BAA">
        <w:t xml:space="preserve">concreet uiteenzetten hoe groot deze risico’s zijn en welke waarborgen momenteel precies ontbreken? Wat wordt de concrete inzet van </w:t>
      </w:r>
      <w:r w:rsidR="00622C71">
        <w:t xml:space="preserve">het kabinet in de EU </w:t>
      </w:r>
      <w:r w:rsidRPr="00D55EBC" w:rsidR="00D64BAA">
        <w:t>om hier aandacht voor te vragen? Waarom acht het kabinet snelheid in dit dossier wenselijk terwijl tegelijkertijd nog fundamentele vragen bestaan over rechtsgrondslag, toezicht en fraudebestendigheid? Wat gebeurt er als deze rechtsvorm eenmaal geïmplementeerd is, maar problemen met zich meebrengt? Zijn er dan nog mogelijkheden om er onderuit te kunnen? Zo ja, hoe?</w:t>
      </w:r>
    </w:p>
    <w:p w:rsidRPr="00D55EBC" w:rsidR="00D64BAA" w:rsidP="00F15A43" w:rsidRDefault="009B6AD6" w14:paraId="3932007A" w14:textId="25CA0660">
      <w:pPr>
        <w:spacing w:line="240" w:lineRule="auto"/>
      </w:pPr>
      <w:r>
        <w:t>De leden</w:t>
      </w:r>
      <w:r w:rsidR="00A0551B">
        <w:t xml:space="preserve"> van de </w:t>
      </w:r>
      <w:r w:rsidRPr="00D55EBC" w:rsidR="00D64BAA">
        <w:t>Forum voor Democratie</w:t>
      </w:r>
      <w:r w:rsidR="00A0551B">
        <w:t xml:space="preserve">-fractie maken </w:t>
      </w:r>
      <w:r w:rsidRPr="00D55EBC" w:rsidR="00D64BAA">
        <w:t xml:space="preserve">zich daarnaast zorgen over de staat van de Nederlandse en Europese chemische industrie. Vanuit de sector zelf wordt gewaarschuwd voor sluitingen en verlies van productiecapaciteit. Volgens vertegenwoordigers uit de chemische industrie verdwijnen inmiddels op grote schaal installaties uit Nederland en Europa vanwege onder meer hoge energieprijzen, oplopende kosten en gebrek aan </w:t>
      </w:r>
      <w:r w:rsidRPr="00D55EBC" w:rsidR="00D64BAA">
        <w:lastRenderedPageBreak/>
        <w:t>voorspelbaar beleid</w:t>
      </w:r>
      <w:r w:rsidR="001E4699">
        <w:t>.</w:t>
      </w:r>
      <w:r w:rsidR="00D857AF">
        <w:t xml:space="preserve"> </w:t>
      </w:r>
      <w:r w:rsidR="00D857AF">
        <w:rPr>
          <w:rStyle w:val="Voetnootmarkering"/>
        </w:rPr>
        <w:footnoteReference w:id="10"/>
      </w:r>
      <w:r w:rsidRPr="00D55EBC" w:rsidR="00D64BAA">
        <w:t xml:space="preserve"> Kan </w:t>
      </w:r>
      <w:r w:rsidR="000C1AE4">
        <w:t>het kabinet</w:t>
      </w:r>
      <w:r w:rsidRPr="00D55EBC" w:rsidR="00D64BAA">
        <w:t xml:space="preserve"> aangeven hoeveel chemische productiecapaciteit Nederland de afgelopen vijf jaar heeft verloren? Hoeveel directe en indirecte banen zijn hierdoor geraakt? Hoe beoordeelt </w:t>
      </w:r>
      <w:r w:rsidR="000C1AE4">
        <w:t>het kabinet</w:t>
      </w:r>
      <w:r w:rsidRPr="00D55EBC" w:rsidR="00D64BAA">
        <w:t xml:space="preserve"> deze realiteit?</w:t>
      </w:r>
    </w:p>
    <w:p w:rsidRPr="00D55EBC" w:rsidR="00D64BAA" w:rsidP="00F15A43" w:rsidRDefault="00786827" w14:paraId="64DACB68" w14:textId="647F0F8D">
      <w:pPr>
        <w:spacing w:line="240" w:lineRule="auto"/>
      </w:pPr>
      <w:r>
        <w:t>Het kabinet</w:t>
      </w:r>
      <w:r w:rsidRPr="00D55EBC" w:rsidR="00D64BAA">
        <w:t xml:space="preserve"> schrijft dat koolstofbeprijzing een factor is die de concurrentiepositie van de Europese chemische industrie verzwakt. Erkent </w:t>
      </w:r>
      <w:r>
        <w:t>het kabinet</w:t>
      </w:r>
      <w:r w:rsidRPr="00D55EBC" w:rsidR="00D64BAA">
        <w:t xml:space="preserve"> dat het ETS-systeem en bredere Europese verplichtingen als gevolg van klimaatbeleid bijdragen aan hogere productiekosten voor Europese bedrijven? </w:t>
      </w:r>
      <w:r w:rsidR="00CB0B7A">
        <w:t>D</w:t>
      </w:r>
      <w:r w:rsidRPr="00D55EBC" w:rsidR="00D64BAA">
        <w:t xml:space="preserve">us </w:t>
      </w:r>
      <w:r w:rsidR="00CB0B7A">
        <w:t xml:space="preserve">ook </w:t>
      </w:r>
      <w:r w:rsidRPr="00D55EBC" w:rsidR="00D64BAA">
        <w:t xml:space="preserve">tot een verslechterende concurrentiepositie? Hoe voorkomt het kabinet dat de Europese industrie steeds verder wordt weggeconcurreerd door bedrijven uit landen waar dergelijk klimaatbeleid niet bestaat? Kan </w:t>
      </w:r>
      <w:r w:rsidR="008B2EED">
        <w:t>het kabinet</w:t>
      </w:r>
      <w:r w:rsidRPr="00D55EBC" w:rsidR="00D64BAA">
        <w:t xml:space="preserve"> tot slot reflecteren op de fundamentele spanning tussen enerzijds de Europese klimaatdoelen en anderzijds het behoud van industrie, strategische autonomie en werkgelegenheid in Nederland, zoals blijkt uit een recent onderzoek van het </w:t>
      </w:r>
      <w:r w:rsidR="00603538">
        <w:t>Centraal Planbureau (</w:t>
      </w:r>
      <w:r w:rsidRPr="00D55EBC" w:rsidR="00D64BAA">
        <w:t>CPB</w:t>
      </w:r>
      <w:r w:rsidR="00603538">
        <w:t>)</w:t>
      </w:r>
      <w:r w:rsidRPr="00D55EBC" w:rsidR="00D64BAA">
        <w:t xml:space="preserve"> en het </w:t>
      </w:r>
      <w:r w:rsidR="003241E3">
        <w:t>Planbureau voor de Leefomgeving (</w:t>
      </w:r>
      <w:r w:rsidRPr="00D55EBC" w:rsidR="00D64BAA">
        <w:t>PBL</w:t>
      </w:r>
      <w:r w:rsidR="003241E3">
        <w:t>)</w:t>
      </w:r>
      <w:r w:rsidR="00603538">
        <w:t>?</w:t>
      </w:r>
      <w:r w:rsidR="003241E3">
        <w:rPr>
          <w:rStyle w:val="Voetnootmarkering"/>
        </w:rPr>
        <w:footnoteReference w:id="11"/>
      </w:r>
      <w:r w:rsidRPr="00D55EBC" w:rsidR="00D64BAA">
        <w:t xml:space="preserve"> </w:t>
      </w:r>
    </w:p>
    <w:p w:rsidRPr="00D55EBC" w:rsidR="005F0605" w:rsidP="00F15A43" w:rsidRDefault="005F0605" w14:paraId="25D20817" w14:textId="74F3E067">
      <w:pPr>
        <w:spacing w:line="240" w:lineRule="auto"/>
        <w:rPr>
          <w:b/>
          <w:bCs/>
        </w:rPr>
      </w:pPr>
      <w:r w:rsidRPr="00D55EBC">
        <w:rPr>
          <w:rFonts w:eastAsia="Verdana"/>
          <w:b/>
          <w:bCs/>
          <w:color w:val="000000" w:themeColor="text1"/>
        </w:rPr>
        <w:t xml:space="preserve">Vragen en opmerkingen van de EU-rapporteur </w:t>
      </w:r>
      <w:r w:rsidRPr="00D55EBC">
        <w:rPr>
          <w:b/>
          <w:bCs/>
        </w:rPr>
        <w:t xml:space="preserve">voor het tiende kaderprogramma voor kennis en innovatie (Horizon Europe) </w:t>
      </w:r>
      <w:r w:rsidRPr="00D55EBC">
        <w:rPr>
          <w:rFonts w:eastAsia="Verdana"/>
          <w:b/>
          <w:bCs/>
          <w:color w:val="000000" w:themeColor="text1"/>
        </w:rPr>
        <w:t xml:space="preserve">van de </w:t>
      </w:r>
      <w:r w:rsidRPr="00D55EBC">
        <w:rPr>
          <w:b/>
          <w:bCs/>
        </w:rPr>
        <w:t>vaste commissie voor Onderwijs, Cultuur en Wetenschap (OCW)</w:t>
      </w:r>
    </w:p>
    <w:p w:rsidRPr="00D55EBC" w:rsidR="005F0605" w:rsidP="00F15A43" w:rsidRDefault="005F0605" w14:paraId="058D1B2C" w14:textId="6A136C87">
      <w:pPr>
        <w:spacing w:line="240" w:lineRule="auto"/>
      </w:pPr>
      <w:r w:rsidRPr="00D55EBC">
        <w:t xml:space="preserve">De EU-rapporteur heeft kennisgenomen </w:t>
      </w:r>
      <w:r w:rsidRPr="00D55EBC" w:rsidR="002E4406">
        <w:t xml:space="preserve">van het feit </w:t>
      </w:r>
      <w:r w:rsidRPr="00D55EBC">
        <w:t xml:space="preserve">dat in de Raad van Concurrentievermogen, Interne Markt, Industrie en Onderzoek van 28 </w:t>
      </w:r>
      <w:r w:rsidRPr="00D55EBC" w:rsidR="000F3B17">
        <w:t xml:space="preserve">en </w:t>
      </w:r>
      <w:r w:rsidRPr="00D55EBC">
        <w:t xml:space="preserve">29 mei </w:t>
      </w:r>
      <w:r w:rsidRPr="00D55EBC" w:rsidR="000F3B17">
        <w:t xml:space="preserve">2026 </w:t>
      </w:r>
      <w:r w:rsidRPr="00D55EBC">
        <w:t xml:space="preserve">de Raad waarschijnlijk tot een gedeeltelijke algemene oriëntatie komt voor het tiende kaderprogramma voor kennis en innovatie, Horizon Europe. Op basis van zijn bevindingen als EU-rapporteur heeft </w:t>
      </w:r>
      <w:r w:rsidRPr="00D55EBC" w:rsidR="00177266">
        <w:t>de</w:t>
      </w:r>
      <w:r w:rsidRPr="00D55EBC" w:rsidR="00DA252F">
        <w:t>ze</w:t>
      </w:r>
      <w:r w:rsidRPr="00D55EBC" w:rsidR="00177266">
        <w:t xml:space="preserve"> rapporteur </w:t>
      </w:r>
      <w:r w:rsidRPr="00D55EBC">
        <w:t xml:space="preserve">een aantal vragen en opmerkingen. </w:t>
      </w:r>
    </w:p>
    <w:p w:rsidRPr="00D55EBC" w:rsidR="005F0605" w:rsidP="00F15A43" w:rsidRDefault="005F0605" w14:paraId="11581F09" w14:textId="604D3CA9">
      <w:pPr>
        <w:spacing w:line="240" w:lineRule="auto"/>
      </w:pPr>
      <w:r w:rsidRPr="00D55EBC">
        <w:t xml:space="preserve">Nederland is in absolute aantallen momenteel één van de grootste ontvangers van de middelen uit Horizon Europe 2021-2027. De Europese Commissie stelt voor </w:t>
      </w:r>
      <w:r w:rsidRPr="00D55EBC" w:rsidR="00CC4C83">
        <w:t xml:space="preserve">om </w:t>
      </w:r>
      <w:r w:rsidRPr="00D55EBC">
        <w:t xml:space="preserve">een budget van €175 miljard beschikbaar te stellen voor Horizon Europe. Dat is bijna een verdubbeling van het oorspronkelijke budget van het huidige programma van €95,5 miljard. Wat is de inzet van het kabinet in de onderhandelingen </w:t>
      </w:r>
      <w:r w:rsidRPr="00D55EBC" w:rsidR="0092758A">
        <w:t xml:space="preserve">over het Meerjarig Financieel Kader </w:t>
      </w:r>
      <w:r w:rsidRPr="00D55EBC" w:rsidR="00AA3C81">
        <w:t>(</w:t>
      </w:r>
      <w:r w:rsidRPr="00D55EBC" w:rsidR="0092758A">
        <w:t>MFK)</w:t>
      </w:r>
      <w:r w:rsidRPr="00D55EBC" w:rsidR="00AA3C81">
        <w:t xml:space="preserve"> </w:t>
      </w:r>
      <w:r w:rsidRPr="00D55EBC">
        <w:t xml:space="preserve">voor het budget van Horizon Europe? Is het kabinet van mening dat dit op het niveau van het </w:t>
      </w:r>
      <w:r w:rsidRPr="00D55EBC" w:rsidR="00994AF2">
        <w:t>C</w:t>
      </w:r>
      <w:r w:rsidRPr="00D55EBC">
        <w:t xml:space="preserve">ommissievoorstel moet blijven? </w:t>
      </w:r>
    </w:p>
    <w:p w:rsidRPr="0047658F" w:rsidR="005F0605" w:rsidP="00F15A43" w:rsidRDefault="005F0605" w14:paraId="7CAB4AA6" w14:textId="1D5F4620">
      <w:pPr>
        <w:spacing w:line="240" w:lineRule="auto"/>
      </w:pPr>
      <w:r w:rsidRPr="00D55EBC">
        <w:t xml:space="preserve">Meerdere lidstaten hebben zich in de Raad uitgesproken over onduidelijkheden in het voorstel van de Europese Commissie. In de onderhandelingen lijkt de Europese Commissie onvoldoende transparant te zijn over </w:t>
      </w:r>
      <w:r w:rsidRPr="00D55EBC" w:rsidR="00655C4B">
        <w:t xml:space="preserve">de vraag </w:t>
      </w:r>
      <w:r w:rsidRPr="00D55EBC">
        <w:t xml:space="preserve">hoe het programma er precies uit komt te zien. Dit gebrek aan transparantie zou ook vragen opleveren bij kennisinstellingen. Kan </w:t>
      </w:r>
      <w:r w:rsidRPr="00D55EBC" w:rsidR="00BA69E7">
        <w:t xml:space="preserve">het kabinet </w:t>
      </w:r>
      <w:r w:rsidRPr="00D55EBC">
        <w:t xml:space="preserve"> aangeven of Nederland kan instemmen met de </w:t>
      </w:r>
      <w:r w:rsidRPr="0047658F">
        <w:t>gedeeltelijke algemene oriëntatie</w:t>
      </w:r>
      <w:r w:rsidRPr="0047658F" w:rsidR="0058679C">
        <w:t>,</w:t>
      </w:r>
      <w:r w:rsidRPr="0047658F">
        <w:t xml:space="preserve"> zolang er op bepaalde onderdelen nog onvoldoende duidelijkheid is vanuit de Europese Commissie?</w:t>
      </w:r>
    </w:p>
    <w:p w:rsidRPr="00D55EBC" w:rsidR="005F0605" w:rsidP="00F15A43" w:rsidRDefault="005F0605" w14:paraId="525BACDA" w14:textId="1874F1C3">
      <w:pPr>
        <w:spacing w:line="240" w:lineRule="auto"/>
        <w:rPr>
          <w:bCs/>
        </w:rPr>
      </w:pPr>
      <w:r w:rsidRPr="0047658F">
        <w:t>Samenhang met het ECF is één van de grote vraagstukken i</w:t>
      </w:r>
      <w:r w:rsidRPr="00D55EBC">
        <w:t xml:space="preserve">n de onderhandelingen. De rapporteur heeft vastgesteld dat er in de Raadsonderhandelingen discussie </w:t>
      </w:r>
      <w:r w:rsidRPr="00D55EBC" w:rsidR="00FE1933">
        <w:t>is over</w:t>
      </w:r>
      <w:r w:rsidRPr="00D55EBC">
        <w:t xml:space="preserve"> de samenhang tussen Horizon Europe en het ECF, en de </w:t>
      </w:r>
      <w:r w:rsidRPr="00D55EBC">
        <w:rPr>
          <w:i/>
          <w:iCs/>
        </w:rPr>
        <w:t>governance</w:t>
      </w:r>
      <w:r w:rsidRPr="00D55EBC">
        <w:t xml:space="preserve">-structuur hierbij. </w:t>
      </w:r>
      <w:r w:rsidRPr="00D55EBC">
        <w:rPr>
          <w:bCs/>
        </w:rPr>
        <w:t xml:space="preserve">In welke mate zet </w:t>
      </w:r>
      <w:r w:rsidRPr="00D55EBC" w:rsidR="0003322D">
        <w:rPr>
          <w:bCs/>
        </w:rPr>
        <w:t>het kabinet</w:t>
      </w:r>
      <w:r w:rsidRPr="00D55EBC">
        <w:rPr>
          <w:bCs/>
        </w:rPr>
        <w:t xml:space="preserve"> zich in de onderhandelingen in om de zelfstandigheid van de </w:t>
      </w:r>
      <w:r w:rsidRPr="00D55EBC">
        <w:rPr>
          <w:bCs/>
          <w:i/>
          <w:iCs/>
        </w:rPr>
        <w:t>governance</w:t>
      </w:r>
      <w:r w:rsidRPr="00D55EBC">
        <w:rPr>
          <w:bCs/>
        </w:rPr>
        <w:t xml:space="preserve">-structuur van Horizon Europe ten opzichte van het ECF te waarborgen? Ziet </w:t>
      </w:r>
      <w:r w:rsidRPr="00D55EBC" w:rsidR="00176304">
        <w:rPr>
          <w:bCs/>
        </w:rPr>
        <w:t xml:space="preserve">het kabinet </w:t>
      </w:r>
      <w:r w:rsidRPr="00D55EBC">
        <w:rPr>
          <w:bCs/>
        </w:rPr>
        <w:t>onderdelen die hierop aangepast moeten worden?</w:t>
      </w:r>
    </w:p>
    <w:p w:rsidRPr="00D55EBC" w:rsidR="005F0605" w:rsidP="00F15A43" w:rsidRDefault="005F0605" w14:paraId="22030C6D" w14:textId="42F5867F">
      <w:pPr>
        <w:spacing w:line="240" w:lineRule="auto"/>
      </w:pPr>
      <w:r w:rsidRPr="00D55EBC">
        <w:lastRenderedPageBreak/>
        <w:t xml:space="preserve">Een ander belangrijk discussiepunt </w:t>
      </w:r>
      <w:r w:rsidRPr="00D55EBC" w:rsidR="000D4849">
        <w:t>betreft</w:t>
      </w:r>
      <w:r w:rsidRPr="00D55EBC">
        <w:t xml:space="preserve"> de vraag of de focus van het programma moet liggen op excellentie (het beste onderzoek en de beste onderzoekers) of </w:t>
      </w:r>
      <w:r w:rsidRPr="00D55EBC" w:rsidR="008914AE">
        <w:t xml:space="preserve">op </w:t>
      </w:r>
      <w:r w:rsidRPr="00D55EBC">
        <w:t>geografische spreiding (</w:t>
      </w:r>
      <w:r w:rsidRPr="00D55EBC">
        <w:rPr>
          <w:i/>
          <w:iCs/>
        </w:rPr>
        <w:t>widening</w:t>
      </w:r>
      <w:r w:rsidRPr="00D55EBC">
        <w:t xml:space="preserve">) van deelname aan Horizon Europe binnen de Europese Unie. </w:t>
      </w:r>
      <w:r w:rsidRPr="00D55EBC">
        <w:rPr>
          <w:bCs/>
        </w:rPr>
        <w:t xml:space="preserve">Wat is de balans in de </w:t>
      </w:r>
      <w:r w:rsidRPr="00D55EBC">
        <w:t xml:space="preserve">discussie over het onderdeel </w:t>
      </w:r>
      <w:r w:rsidRPr="00D55EBC">
        <w:rPr>
          <w:i/>
          <w:iCs/>
        </w:rPr>
        <w:t>widening</w:t>
      </w:r>
      <w:r w:rsidRPr="00D55EBC">
        <w:t xml:space="preserve"> tegenover excellentie op dit moment in de Raad?</w:t>
      </w:r>
    </w:p>
    <w:p w:rsidRPr="00D55EBC" w:rsidR="005F0605" w:rsidP="00F15A43" w:rsidRDefault="005F0605" w14:paraId="6A007448" w14:textId="16FC8508">
      <w:pPr>
        <w:spacing w:line="240" w:lineRule="auto"/>
        <w:rPr>
          <w:b/>
          <w:bCs/>
        </w:rPr>
      </w:pPr>
      <w:r w:rsidRPr="00D55EBC">
        <w:t xml:space="preserve">De Europese Commissie </w:t>
      </w:r>
      <w:r w:rsidRPr="00D55EBC" w:rsidR="0001732B">
        <w:t>heeft toege</w:t>
      </w:r>
      <w:r w:rsidRPr="00D55EBC" w:rsidR="002D2184">
        <w:t>licht</w:t>
      </w:r>
      <w:r w:rsidRPr="00D55EBC">
        <w:t xml:space="preserve"> gebruik te willen maken van </w:t>
      </w:r>
      <w:r w:rsidRPr="002C4B14">
        <w:t>een observatorium</w:t>
      </w:r>
      <w:r w:rsidRPr="00D55EBC">
        <w:t xml:space="preserve"> voor opkomende technologieën om nieuwe technologieën in beeld te brengen en aan de hand daarvan </w:t>
      </w:r>
      <w:r w:rsidRPr="00D55EBC" w:rsidR="00DC1CBA">
        <w:t xml:space="preserve">te </w:t>
      </w:r>
      <w:r w:rsidRPr="00D55EBC">
        <w:t xml:space="preserve">kunnen bepalen welke onderwerpen in de jaarlijkse werkprogramma’s moeten worden opgenomen. </w:t>
      </w:r>
      <w:r w:rsidRPr="00D55EBC">
        <w:rPr>
          <w:bCs/>
        </w:rPr>
        <w:t xml:space="preserve">Zal </w:t>
      </w:r>
      <w:r w:rsidRPr="00D55EBC" w:rsidR="00357950">
        <w:rPr>
          <w:bCs/>
        </w:rPr>
        <w:t>het kabinet</w:t>
      </w:r>
      <w:r w:rsidRPr="00D55EBC">
        <w:rPr>
          <w:bCs/>
        </w:rPr>
        <w:t xml:space="preserve"> </w:t>
      </w:r>
      <w:r w:rsidRPr="00D55EBC">
        <w:t>er in de Raad op aandringen om snel verduidelijking te krijgen hoe de EC dit wil vormgeven?</w:t>
      </w:r>
      <w:r w:rsidRPr="00D55EBC">
        <w:rPr>
          <w:b/>
          <w:bCs/>
        </w:rPr>
        <w:t xml:space="preserve">  </w:t>
      </w:r>
    </w:p>
    <w:p w:rsidRPr="00D55EBC" w:rsidR="005F0605" w:rsidP="00F15A43" w:rsidRDefault="005F0605" w14:paraId="2E79E153" w14:textId="1B0A6BA7">
      <w:pPr>
        <w:spacing w:line="240" w:lineRule="auto"/>
      </w:pPr>
      <w:r w:rsidRPr="00D55EBC">
        <w:t>Het Commissievoorstel zet in op een lump-sumvergoeding. De rapporteur heeft</w:t>
      </w:r>
      <w:r w:rsidRPr="00D55EBC" w:rsidR="00722314">
        <w:t xml:space="preserve"> er</w:t>
      </w:r>
      <w:r w:rsidRPr="00D55EBC">
        <w:t xml:space="preserve"> kennis</w:t>
      </w:r>
      <w:r w:rsidRPr="00D55EBC" w:rsidR="00722314">
        <w:t xml:space="preserve"> van </w:t>
      </w:r>
      <w:r w:rsidRPr="00D55EBC">
        <w:t xml:space="preserve">genomen dat het kabinet </w:t>
      </w:r>
      <w:r w:rsidRPr="00D55EBC" w:rsidR="00FB0E06">
        <w:t>van mening is</w:t>
      </w:r>
      <w:r w:rsidRPr="00D55EBC">
        <w:t xml:space="preserve"> dat lump-sumbetalingen niet altijd de standaard hoeven te zijn</w:t>
      </w:r>
      <w:r w:rsidRPr="00D55EBC" w:rsidR="00FB0E06">
        <w:t>. H</w:t>
      </w:r>
      <w:r w:rsidRPr="00D55EBC">
        <w:t>ierbij moeten uitzonderingen mogelijk blijven.</w:t>
      </w:r>
      <w:r w:rsidRPr="00D55EBC">
        <w:rPr>
          <w:bCs/>
        </w:rPr>
        <w:t xml:space="preserve"> Kan </w:t>
      </w:r>
      <w:r w:rsidRPr="00D55EBC" w:rsidR="00FB0E06">
        <w:rPr>
          <w:bCs/>
        </w:rPr>
        <w:t xml:space="preserve">het kabinet </w:t>
      </w:r>
      <w:r w:rsidRPr="00D55EBC">
        <w:rPr>
          <w:bCs/>
        </w:rPr>
        <w:t xml:space="preserve">toelichten </w:t>
      </w:r>
      <w:r w:rsidRPr="00D55EBC">
        <w:t xml:space="preserve">voor welke onderdelen </w:t>
      </w:r>
      <w:r w:rsidRPr="00D55EBC" w:rsidR="001B6B8F">
        <w:t xml:space="preserve">men </w:t>
      </w:r>
      <w:r w:rsidRPr="00D55EBC">
        <w:t>uitzonderingen zou willen? Kan het kabinet hier medestanders vinden?</w:t>
      </w:r>
    </w:p>
    <w:p w:rsidRPr="00D55EBC" w:rsidR="005F0605" w:rsidP="00F15A43" w:rsidRDefault="005F0605" w14:paraId="14C5E799" w14:textId="12053807">
      <w:pPr>
        <w:spacing w:line="240" w:lineRule="auto"/>
      </w:pPr>
      <w:r w:rsidRPr="00D55EBC">
        <w:t xml:space="preserve">De rapporteur heeft vernomen dat de inzet van Horizon Europe voor </w:t>
      </w:r>
      <w:r w:rsidRPr="00D55EBC">
        <w:rPr>
          <w:i/>
          <w:iCs/>
        </w:rPr>
        <w:t>dual-use</w:t>
      </w:r>
      <w:r w:rsidRPr="00D55EBC">
        <w:t xml:space="preserve"> onderzoeken in het Commissievoorstel breed wordt gesteund. Er </w:t>
      </w:r>
      <w:r w:rsidRPr="00D55EBC" w:rsidR="00200EBB">
        <w:t>is wel</w:t>
      </w:r>
      <w:r w:rsidRPr="00D55EBC">
        <w:t xml:space="preserve"> discussie over </w:t>
      </w:r>
      <w:r w:rsidRPr="00D55EBC" w:rsidR="009F48EE">
        <w:t xml:space="preserve">de vraag </w:t>
      </w:r>
      <w:r w:rsidRPr="00D55EBC">
        <w:t xml:space="preserve">waar en hoe </w:t>
      </w:r>
      <w:r w:rsidRPr="00D55EBC">
        <w:rPr>
          <w:i/>
          <w:iCs/>
        </w:rPr>
        <w:t>dual-use</w:t>
      </w:r>
      <w:r w:rsidRPr="00D55EBC">
        <w:t xml:space="preserve"> onderzoek moet worden ingezet. Zo leidt de inzet op </w:t>
      </w:r>
      <w:r w:rsidRPr="00D55EBC">
        <w:rPr>
          <w:i/>
          <w:iCs/>
        </w:rPr>
        <w:t>dual-use</w:t>
      </w:r>
      <w:r w:rsidRPr="00D55EBC">
        <w:t xml:space="preserve">-onderzoek onder kennisinstellingen tot veel discussie en onduidelijkheid over </w:t>
      </w:r>
      <w:r w:rsidRPr="00D55EBC" w:rsidR="004E4FB2">
        <w:t xml:space="preserve">de vraag </w:t>
      </w:r>
      <w:r w:rsidRPr="00D55EBC">
        <w:t xml:space="preserve">of dit kan leiden tot andere regels voor export, kennisveiligheid en </w:t>
      </w:r>
      <w:r w:rsidRPr="00D55EBC">
        <w:rPr>
          <w:i/>
          <w:iCs/>
        </w:rPr>
        <w:t>compliance</w:t>
      </w:r>
      <w:r w:rsidRPr="00D55EBC">
        <w:t xml:space="preserve"> en het ontbreken van een definitie van </w:t>
      </w:r>
      <w:r w:rsidRPr="00D55EBC">
        <w:rPr>
          <w:i/>
          <w:iCs/>
        </w:rPr>
        <w:t>dual-use</w:t>
      </w:r>
      <w:r w:rsidRPr="00D55EBC">
        <w:t xml:space="preserve"> onderzoek.</w:t>
      </w:r>
      <w:r w:rsidRPr="00D55EBC">
        <w:rPr>
          <w:bCs/>
        </w:rPr>
        <w:t xml:space="preserve"> Neemt </w:t>
      </w:r>
      <w:r w:rsidRPr="00D55EBC" w:rsidR="005258F7">
        <w:rPr>
          <w:bCs/>
        </w:rPr>
        <w:t>het kabinet</w:t>
      </w:r>
      <w:r w:rsidRPr="00D55EBC">
        <w:rPr>
          <w:bCs/>
        </w:rPr>
        <w:t xml:space="preserve"> de </w:t>
      </w:r>
      <w:r w:rsidRPr="00D55EBC">
        <w:t xml:space="preserve">zorgen van kennisinstellingen met betrekking tot nieuwe regels voor </w:t>
      </w:r>
      <w:r w:rsidRPr="00D55EBC">
        <w:rPr>
          <w:i/>
          <w:iCs/>
        </w:rPr>
        <w:t xml:space="preserve">dual-use </w:t>
      </w:r>
      <w:r w:rsidRPr="00D55EBC">
        <w:t xml:space="preserve">onderzoek met betrekking tot export, kennisveiligheid en </w:t>
      </w:r>
      <w:r w:rsidRPr="00D55EBC">
        <w:rPr>
          <w:i/>
          <w:iCs/>
        </w:rPr>
        <w:t>compliance</w:t>
      </w:r>
      <w:r w:rsidRPr="00D55EBC">
        <w:t xml:space="preserve"> mee in de </w:t>
      </w:r>
      <w:r w:rsidRPr="00D55EBC" w:rsidR="00145905">
        <w:t>R</w:t>
      </w:r>
      <w:r w:rsidRPr="00D55EBC">
        <w:t>aadsonderhandelingen?</w:t>
      </w:r>
    </w:p>
    <w:p w:rsidRPr="00D55EBC" w:rsidR="005F0605" w:rsidP="00F15A43" w:rsidRDefault="005F0605" w14:paraId="0752A623" w14:textId="5B3D9067">
      <w:pPr>
        <w:spacing w:line="240" w:lineRule="auto"/>
      </w:pPr>
      <w:r w:rsidRPr="00D55EBC">
        <w:rPr>
          <w:lang w:val="en-US"/>
        </w:rPr>
        <w:t xml:space="preserve">De Europese Commissie zet ook in op </w:t>
      </w:r>
      <w:r w:rsidRPr="00D55EBC">
        <w:rPr>
          <w:i/>
          <w:iCs/>
          <w:lang w:val="en-US"/>
        </w:rPr>
        <w:t>open science</w:t>
      </w:r>
      <w:r w:rsidRPr="00D55EBC">
        <w:rPr>
          <w:lang w:val="en-US"/>
        </w:rPr>
        <w:t xml:space="preserve"> en internationale samenwerking (</w:t>
      </w:r>
      <w:r w:rsidR="006A75B6">
        <w:rPr>
          <w:lang w:val="en-US"/>
        </w:rPr>
        <w:t>‘</w:t>
      </w:r>
      <w:r w:rsidRPr="00D55EBC">
        <w:rPr>
          <w:i/>
          <w:iCs/>
          <w:lang w:val="en-US"/>
        </w:rPr>
        <w:t>as open as possible, as closed as necessary</w:t>
      </w:r>
      <w:r w:rsidR="006A75B6">
        <w:rPr>
          <w:i/>
          <w:iCs/>
          <w:lang w:val="en-US"/>
        </w:rPr>
        <w:t>’</w:t>
      </w:r>
      <w:r w:rsidRPr="00D55EBC">
        <w:rPr>
          <w:i/>
          <w:iCs/>
          <w:lang w:val="en-US"/>
        </w:rPr>
        <w:t>)</w:t>
      </w:r>
      <w:r w:rsidRPr="00D55EBC">
        <w:rPr>
          <w:lang w:val="en-US"/>
        </w:rPr>
        <w:t xml:space="preserve">. </w:t>
      </w:r>
      <w:r w:rsidRPr="00D55EBC">
        <w:t xml:space="preserve">De gesprekspartners bij de Commissie gaven aan dat de doelstelling voor </w:t>
      </w:r>
      <w:r w:rsidRPr="00D55EBC">
        <w:rPr>
          <w:i/>
          <w:iCs/>
        </w:rPr>
        <w:t>open science</w:t>
      </w:r>
      <w:r w:rsidRPr="00D55EBC">
        <w:t xml:space="preserve"> met name zit in het openstellen van resultaten. Voor</w:t>
      </w:r>
      <w:r w:rsidRPr="00D55EBC">
        <w:rPr>
          <w:i/>
          <w:iCs/>
        </w:rPr>
        <w:t xml:space="preserve"> open science </w:t>
      </w:r>
      <w:r w:rsidRPr="00D55EBC">
        <w:t xml:space="preserve">zijn volgens Neth-ER in de huidige tekst onvoldoende specifieke regels opgenomen in het kader van kennisveiligheid. </w:t>
      </w:r>
      <w:r w:rsidRPr="00D55EBC">
        <w:rPr>
          <w:bCs/>
        </w:rPr>
        <w:t xml:space="preserve">Wat is het standpunt </w:t>
      </w:r>
      <w:r w:rsidRPr="00D55EBC">
        <w:t xml:space="preserve">van het kabinet met betrekking tot het opnemen van regels over </w:t>
      </w:r>
      <w:r w:rsidRPr="00D55EBC">
        <w:rPr>
          <w:i/>
          <w:iCs/>
        </w:rPr>
        <w:t>open science</w:t>
      </w:r>
      <w:r w:rsidRPr="00D55EBC">
        <w:t xml:space="preserve"> met het oog op kennisveiligheid? Zijn er wijzigingen nodig in het voorstel om waarborgen in te bouwen?</w:t>
      </w:r>
    </w:p>
    <w:p w:rsidRPr="00D55EBC" w:rsidR="005F0605" w:rsidP="00F15A43" w:rsidRDefault="005F0605" w14:paraId="08BC401F" w14:textId="17DA41B9">
      <w:pPr>
        <w:spacing w:line="240" w:lineRule="auto"/>
      </w:pPr>
      <w:r w:rsidRPr="00D55EBC">
        <w:t>Ziet het kabinet in het kader van Europese samenwerking in onderzoek en innovatie noodzaak voor Europese maatregelen voor kennisveiligheid, zoals in de Europese Onderzoeksruimtewet</w:t>
      </w:r>
      <w:r w:rsidR="004323D2">
        <w:t xml:space="preserve"> (EOR/ERA)</w:t>
      </w:r>
      <w:r w:rsidRPr="00D55EBC">
        <w:t>?</w:t>
      </w:r>
    </w:p>
    <w:p w:rsidRPr="00D55EBC" w:rsidR="008E4CCE" w:rsidP="00F15A43" w:rsidRDefault="008E4CCE" w14:paraId="5B84E51D" w14:textId="77777777">
      <w:pPr>
        <w:spacing w:line="240" w:lineRule="auto"/>
      </w:pPr>
    </w:p>
    <w:p w:rsidRPr="00D55EBC" w:rsidR="00B70CE5" w:rsidP="00F15A43" w:rsidRDefault="00AE40B1" w14:paraId="2C8B53A5" w14:textId="310B4D89">
      <w:pPr>
        <w:spacing w:line="240" w:lineRule="auto"/>
        <w:rPr>
          <w:b/>
          <w:bCs/>
        </w:rPr>
      </w:pPr>
      <w:r w:rsidRPr="00D55EBC">
        <w:rPr>
          <w:b/>
          <w:bCs/>
        </w:rPr>
        <w:t>II</w:t>
      </w:r>
      <w:r w:rsidRPr="00D55EBC" w:rsidR="008E4CCE">
        <w:rPr>
          <w:b/>
          <w:bCs/>
        </w:rPr>
        <w:t>I</w:t>
      </w:r>
      <w:r w:rsidR="005F243F">
        <w:rPr>
          <w:b/>
          <w:bCs/>
        </w:rPr>
        <w:t>.</w:t>
      </w:r>
      <w:r w:rsidRPr="00D55EBC">
        <w:rPr>
          <w:b/>
          <w:bCs/>
        </w:rPr>
        <w:t xml:space="preserve"> </w:t>
      </w:r>
      <w:r w:rsidRPr="00D55EBC">
        <w:rPr>
          <w:b/>
          <w:bCs/>
        </w:rPr>
        <w:tab/>
        <w:t xml:space="preserve">Antwoord / Reactie van </w:t>
      </w:r>
      <w:r w:rsidRPr="00D55EBC" w:rsidR="008E4CCE">
        <w:rPr>
          <w:b/>
          <w:bCs/>
        </w:rPr>
        <w:t>het kabinet</w:t>
      </w:r>
    </w:p>
    <w:sectPr w:rsidRPr="00D55EBC" w:rsidR="00B70C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4C1C" w14:textId="77777777" w:rsidR="00A85CF6" w:rsidRDefault="00A85CF6" w:rsidP="00FA5636">
      <w:r>
        <w:separator/>
      </w:r>
    </w:p>
  </w:endnote>
  <w:endnote w:type="continuationSeparator" w:id="0">
    <w:p w14:paraId="593EA5CB" w14:textId="77777777" w:rsidR="00A85CF6" w:rsidRDefault="00A85CF6" w:rsidP="00FA5636">
      <w:r>
        <w:continuationSeparator/>
      </w:r>
    </w:p>
  </w:endnote>
  <w:endnote w:type="continuationNotice" w:id="1">
    <w:p w14:paraId="552DB23D" w14:textId="77777777" w:rsidR="00A85CF6" w:rsidRDefault="00A85CF6" w:rsidP="00FA5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Content>
      <w:p w14:paraId="10572C71" w14:textId="611D58D9" w:rsidR="00FA5BDB" w:rsidRDefault="00FA5BDB" w:rsidP="00FA5636">
        <w:pPr>
          <w:pStyle w:val="Voettekst"/>
        </w:pPr>
        <w:r>
          <w:fldChar w:fldCharType="begin"/>
        </w:r>
        <w:r>
          <w:instrText>PAGE   \* MERGEFORMAT</w:instrText>
        </w:r>
        <w:r>
          <w:fldChar w:fldCharType="separate"/>
        </w:r>
        <w:r>
          <w:t>2</w:t>
        </w:r>
        <w:r>
          <w:fldChar w:fldCharType="end"/>
        </w:r>
      </w:p>
    </w:sdtContent>
  </w:sdt>
  <w:p w14:paraId="57C92F7A" w14:textId="77777777" w:rsidR="00FA5BDB" w:rsidRDefault="00FA5BDB" w:rsidP="00FA56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111C" w14:textId="77777777" w:rsidR="00A85CF6" w:rsidRDefault="00A85CF6" w:rsidP="00FA5636">
      <w:r>
        <w:separator/>
      </w:r>
    </w:p>
  </w:footnote>
  <w:footnote w:type="continuationSeparator" w:id="0">
    <w:p w14:paraId="0EC71181" w14:textId="77777777" w:rsidR="00A85CF6" w:rsidRDefault="00A85CF6" w:rsidP="00FA5636">
      <w:r>
        <w:continuationSeparator/>
      </w:r>
    </w:p>
  </w:footnote>
  <w:footnote w:type="continuationNotice" w:id="1">
    <w:p w14:paraId="796CA943" w14:textId="77777777" w:rsidR="00A85CF6" w:rsidRDefault="00A85CF6" w:rsidP="00FA5636"/>
  </w:footnote>
  <w:footnote w:id="2">
    <w:p w14:paraId="71B784F0" w14:textId="51504252" w:rsidR="009404D9" w:rsidRDefault="009404D9">
      <w:pPr>
        <w:pStyle w:val="Voetnoottekst"/>
      </w:pPr>
      <w:r>
        <w:rPr>
          <w:rStyle w:val="Voetnootmarkering"/>
        </w:rPr>
        <w:footnoteRef/>
      </w:r>
      <w:r>
        <w:t xml:space="preserve"> </w:t>
      </w:r>
      <w:r w:rsidR="00AF3FE7">
        <w:t xml:space="preserve">Kamerstuk </w:t>
      </w:r>
      <w:r w:rsidR="00DB7651">
        <w:t xml:space="preserve">22112, nr. </w:t>
      </w:r>
      <w:r w:rsidR="001D7E09">
        <w:t>4306.</w:t>
      </w:r>
    </w:p>
  </w:footnote>
  <w:footnote w:id="3">
    <w:p w14:paraId="63D0EBA6" w14:textId="4201A639" w:rsidR="0060015E" w:rsidRDefault="0060015E">
      <w:pPr>
        <w:pStyle w:val="Voetnoottekst"/>
      </w:pPr>
      <w:r>
        <w:rPr>
          <w:rStyle w:val="Voetnootmarkering"/>
        </w:rPr>
        <w:footnoteRef/>
      </w:r>
      <w:r>
        <w:t xml:space="preserve"> </w:t>
      </w:r>
      <w:r w:rsidR="00A66E04">
        <w:t>Kamerstuk 32637, nr. 739</w:t>
      </w:r>
    </w:p>
  </w:footnote>
  <w:footnote w:id="4">
    <w:p w14:paraId="1E935ACD" w14:textId="1CD29F19" w:rsidR="00781E25" w:rsidRPr="004F45A8" w:rsidRDefault="00781E25" w:rsidP="00781E25">
      <w:pPr>
        <w:pStyle w:val="Voetnoottekst"/>
      </w:pPr>
      <w:r>
        <w:rPr>
          <w:rStyle w:val="Voetnootmarkering"/>
        </w:rPr>
        <w:footnoteRef/>
      </w:r>
      <w:r w:rsidR="00752339" w:rsidRPr="004F45A8">
        <w:t xml:space="preserve"> Ecorys, </w:t>
      </w:r>
      <w:r w:rsidR="004F45A8" w:rsidRPr="004F45A8">
        <w:t>22 november 2023, ‘Territoriale Leveringsbeperki</w:t>
      </w:r>
      <w:r w:rsidR="004F45A8">
        <w:t>ngen’</w:t>
      </w:r>
      <w:r w:rsidRPr="004F45A8">
        <w:t xml:space="preserve"> </w:t>
      </w:r>
      <w:r w:rsidR="00752339" w:rsidRPr="004F45A8">
        <w:t xml:space="preserve"> </w:t>
      </w:r>
      <w:hyperlink r:id="rId1" w:history="1">
        <w:r w:rsidR="00752339" w:rsidRPr="004F45A8">
          <w:rPr>
            <w:rStyle w:val="Hyperlink"/>
          </w:rPr>
          <w:t>https://open.overheid.nl/documenten/8bf2ebbe-c875-4715-9a44-51c06adfd7b3/file</w:t>
        </w:r>
      </w:hyperlink>
      <w:r w:rsidRPr="004F45A8">
        <w:t xml:space="preserve"> </w:t>
      </w:r>
    </w:p>
  </w:footnote>
  <w:footnote w:id="5">
    <w:p w14:paraId="08AE4A6C" w14:textId="687F3FFD" w:rsidR="0020049E" w:rsidRDefault="0020049E">
      <w:pPr>
        <w:pStyle w:val="Voetnoottekst"/>
      </w:pPr>
      <w:r>
        <w:rPr>
          <w:rStyle w:val="Voetnootmarkering"/>
        </w:rPr>
        <w:footnoteRef/>
      </w:r>
      <w:r>
        <w:t xml:space="preserve"> </w:t>
      </w:r>
      <w:r w:rsidR="00196199">
        <w:t xml:space="preserve">Kamerstuk </w:t>
      </w:r>
      <w:r w:rsidR="00744005">
        <w:t xml:space="preserve">22112, nr. </w:t>
      </w:r>
      <w:r w:rsidR="00234C05">
        <w:t>4306.</w:t>
      </w:r>
    </w:p>
  </w:footnote>
  <w:footnote w:id="6">
    <w:p w14:paraId="07107B27" w14:textId="6D654BA5" w:rsidR="00644F4F" w:rsidRDefault="00644F4F">
      <w:pPr>
        <w:pStyle w:val="Voetnoottekst"/>
      </w:pPr>
      <w:r>
        <w:rPr>
          <w:rStyle w:val="Voetnootmarkering"/>
        </w:rPr>
        <w:footnoteRef/>
      </w:r>
      <w:r>
        <w:t xml:space="preserve"> Kamerstuk 36</w:t>
      </w:r>
      <w:r w:rsidR="00874EEF">
        <w:t>848, nr. 106.</w:t>
      </w:r>
    </w:p>
  </w:footnote>
  <w:footnote w:id="7">
    <w:p w14:paraId="3929A7F1" w14:textId="7F4F6EA2" w:rsidR="00CB28BC" w:rsidRDefault="00CB28BC">
      <w:pPr>
        <w:pStyle w:val="Voetnoottekst"/>
      </w:pPr>
      <w:r>
        <w:rPr>
          <w:rStyle w:val="Voetnootmarkering"/>
        </w:rPr>
        <w:footnoteRef/>
      </w:r>
      <w:r>
        <w:t xml:space="preserve"> </w:t>
      </w:r>
      <w:r w:rsidR="00187C98">
        <w:t>Inbreng schriftelijk overleg BNC-fiche: Voorstel 28</w:t>
      </w:r>
      <w:r w:rsidR="00187C98" w:rsidRPr="00187C98">
        <w:rPr>
          <w:vertAlign w:val="superscript"/>
        </w:rPr>
        <w:t>ste</w:t>
      </w:r>
      <w:r w:rsidR="00187C98">
        <w:t xml:space="preserve"> </w:t>
      </w:r>
      <w:r w:rsidR="00875DB9">
        <w:t>r</w:t>
      </w:r>
      <w:r w:rsidR="00187C98">
        <w:t>egime</w:t>
      </w:r>
      <w:r w:rsidR="00875DB9">
        <w:t xml:space="preserve"> voor ondernemingen – ‘EU Inc’</w:t>
      </w:r>
      <w:r w:rsidR="00FB59C7">
        <w:t xml:space="preserve"> op 28 mei 2026</w:t>
      </w:r>
      <w:r w:rsidR="00875DB9">
        <w:t xml:space="preserve"> (Kamerstuk 22112, nr. 4320).</w:t>
      </w:r>
      <w:r w:rsidR="00187C98">
        <w:t xml:space="preserve"> </w:t>
      </w:r>
    </w:p>
  </w:footnote>
  <w:footnote w:id="8">
    <w:p w14:paraId="3B8DE62C" w14:textId="3D0AFCBC" w:rsidR="00A0794F" w:rsidRPr="00F475D8" w:rsidRDefault="00A0794F">
      <w:pPr>
        <w:pStyle w:val="Voetnoottekst"/>
      </w:pPr>
      <w:r w:rsidRPr="00F475D8">
        <w:rPr>
          <w:rStyle w:val="Voetnootmarkering"/>
        </w:rPr>
        <w:footnoteRef/>
      </w:r>
      <w:r w:rsidRPr="00F475D8">
        <w:t xml:space="preserve"> </w:t>
      </w:r>
      <w:r w:rsidR="00B25370" w:rsidRPr="00F475D8">
        <w:t>RTL</w:t>
      </w:r>
      <w:r w:rsidR="00F538E8" w:rsidRPr="00F475D8">
        <w:t>.nl</w:t>
      </w:r>
      <w:r w:rsidR="00B25370" w:rsidRPr="00F475D8">
        <w:t xml:space="preserve">, </w:t>
      </w:r>
      <w:r w:rsidR="00F538E8" w:rsidRPr="00F475D8">
        <w:t>27 januari 2026, ‘Hoogleraar: a</w:t>
      </w:r>
      <w:r w:rsidR="00B25370" w:rsidRPr="00F475D8">
        <w:t xml:space="preserve">ls bedrijven Nederland verlaten, merk jij dat’ </w:t>
      </w:r>
      <w:hyperlink r:id="rId2" w:history="1">
        <w:r w:rsidR="006F594A" w:rsidRPr="00D3460B">
          <w:rPr>
            <w:rStyle w:val="Hyperlink"/>
          </w:rPr>
          <w:t>https://www.rtl.nl/nieuws/economie/artikel/5559483/hoogleraar-als-bedrijven-nederland-verlaten-merk-jij-dat</w:t>
        </w:r>
      </w:hyperlink>
    </w:p>
  </w:footnote>
  <w:footnote w:id="9">
    <w:p w14:paraId="259B45EA" w14:textId="2F43F753" w:rsidR="004F6722" w:rsidRPr="00F475D8" w:rsidRDefault="00E577E4" w:rsidP="004F6722">
      <w:pPr>
        <w:pStyle w:val="Voetnoottekst"/>
      </w:pPr>
      <w:r w:rsidRPr="00F475D8">
        <w:rPr>
          <w:rStyle w:val="Voetnootmarkering"/>
        </w:rPr>
        <w:footnoteRef/>
      </w:r>
      <w:r w:rsidRPr="00F475D8">
        <w:t xml:space="preserve"> </w:t>
      </w:r>
      <w:r w:rsidR="00911EE5" w:rsidRPr="00F475D8">
        <w:t>Telegraaf,</w:t>
      </w:r>
      <w:r w:rsidR="004F6722" w:rsidRPr="00F475D8">
        <w:t xml:space="preserve"> </w:t>
      </w:r>
      <w:r w:rsidR="00C1132D" w:rsidRPr="00F475D8">
        <w:t xml:space="preserve">9 februari 2026, </w:t>
      </w:r>
      <w:r w:rsidR="004F6722" w:rsidRPr="00F475D8">
        <w:t>‘Nederland raakt slaapwandelend zijn hele industrie kwijt: wat weg is, komt nooit meer terug’’</w:t>
      </w:r>
    </w:p>
    <w:p w14:paraId="2BDC86E2" w14:textId="50D5F34E" w:rsidR="00E577E4" w:rsidRDefault="00911EE5">
      <w:pPr>
        <w:pStyle w:val="Voetnoottekst"/>
      </w:pPr>
      <w:r w:rsidRPr="00F475D8">
        <w:t xml:space="preserve"> </w:t>
      </w:r>
      <w:hyperlink r:id="rId3" w:history="1">
        <w:r w:rsidRPr="00D3460B">
          <w:rPr>
            <w:rStyle w:val="Hyperlink"/>
          </w:rPr>
          <w:t>https://www.telegraaf.nl/financieel/nederland-raakt-slaapwandelend-zijn-hele-industrie-kwijt-wat-weg-is-komt-nooit-meer-terug/129181160.html</w:t>
        </w:r>
      </w:hyperlink>
    </w:p>
  </w:footnote>
  <w:footnote w:id="10">
    <w:p w14:paraId="0A0BB189" w14:textId="6FA13162" w:rsidR="00D857AF" w:rsidRPr="00F475D8" w:rsidRDefault="00D857AF">
      <w:pPr>
        <w:pStyle w:val="Voetnoottekst"/>
      </w:pPr>
      <w:r w:rsidRPr="00F475D8">
        <w:rPr>
          <w:rStyle w:val="Voetnootmarkering"/>
        </w:rPr>
        <w:footnoteRef/>
      </w:r>
      <w:r w:rsidRPr="00F475D8">
        <w:t xml:space="preserve"> </w:t>
      </w:r>
      <w:r w:rsidR="00065AB7" w:rsidRPr="00F475D8">
        <w:t xml:space="preserve">Idem, </w:t>
      </w:r>
      <w:hyperlink r:id="rId4" w:history="1">
        <w:r w:rsidR="00065AB7" w:rsidRPr="00D3460B">
          <w:rPr>
            <w:rStyle w:val="Hyperlink"/>
          </w:rPr>
          <w:t>https://www.telegraaf.nl/financieel/nederland-raakt-slaapwandelend-zijn-hele-industrie-kwijt-wat-weg-is-komt-nooit-meer-terug/129181160.html</w:t>
        </w:r>
      </w:hyperlink>
    </w:p>
  </w:footnote>
  <w:footnote w:id="11">
    <w:p w14:paraId="549E79CA" w14:textId="0E53F71A" w:rsidR="00A46311" w:rsidRPr="00F475D8" w:rsidRDefault="003241E3" w:rsidP="00A46311">
      <w:pPr>
        <w:pStyle w:val="Voetnoottekst"/>
      </w:pPr>
      <w:r w:rsidRPr="00F475D8">
        <w:rPr>
          <w:rStyle w:val="Voetnootmarkering"/>
        </w:rPr>
        <w:footnoteRef/>
      </w:r>
      <w:r w:rsidRPr="00F475D8">
        <w:t xml:space="preserve"> </w:t>
      </w:r>
      <w:r w:rsidR="00A46311" w:rsidRPr="00F475D8">
        <w:t>CPB, 19 maart 2026, ‘Steun energie-intensieve industrie en de interactie met het EU ETS’</w:t>
      </w:r>
    </w:p>
    <w:p w14:paraId="443F3ED6" w14:textId="5E58905F" w:rsidR="003241E3" w:rsidRDefault="00A46311">
      <w:pPr>
        <w:pStyle w:val="Voetnoottekst"/>
      </w:pPr>
      <w:hyperlink r:id="rId5" w:history="1">
        <w:r w:rsidRPr="00D3460B">
          <w:rPr>
            <w:rStyle w:val="Hyperlink"/>
          </w:rPr>
          <w:t>https://www.cpb.nl/publicatie/steun-energie-intensieve-industrie-en-de-interactie-met-het-eu-ets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670"/>
    <w:multiLevelType w:val="hybridMultilevel"/>
    <w:tmpl w:val="A71A3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951C6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6C66A3"/>
    <w:multiLevelType w:val="hybridMultilevel"/>
    <w:tmpl w:val="81121E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D049DE"/>
    <w:multiLevelType w:val="hybridMultilevel"/>
    <w:tmpl w:val="FAC03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1177D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A751C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D11328"/>
    <w:multiLevelType w:val="multilevel"/>
    <w:tmpl w:val="1BFA9B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78501E4"/>
    <w:multiLevelType w:val="hybridMultilevel"/>
    <w:tmpl w:val="67186936"/>
    <w:lvl w:ilvl="0" w:tplc="6A8883D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0107872">
    <w:abstractNumId w:val="3"/>
  </w:num>
  <w:num w:numId="2" w16cid:durableId="2047368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7513143">
    <w:abstractNumId w:val="0"/>
  </w:num>
  <w:num w:numId="4" w16cid:durableId="1906259822">
    <w:abstractNumId w:val="7"/>
  </w:num>
  <w:num w:numId="5" w16cid:durableId="1529904604">
    <w:abstractNumId w:val="4"/>
  </w:num>
  <w:num w:numId="6" w16cid:durableId="163055057">
    <w:abstractNumId w:val="5"/>
  </w:num>
  <w:num w:numId="7" w16cid:durableId="1086145023">
    <w:abstractNumId w:val="1"/>
  </w:num>
  <w:num w:numId="8" w16cid:durableId="758410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0AEF"/>
    <w:rsid w:val="00002281"/>
    <w:rsid w:val="000058C5"/>
    <w:rsid w:val="00006AAF"/>
    <w:rsid w:val="000072F1"/>
    <w:rsid w:val="000109FB"/>
    <w:rsid w:val="00010B62"/>
    <w:rsid w:val="00014111"/>
    <w:rsid w:val="00015DDB"/>
    <w:rsid w:val="0001732B"/>
    <w:rsid w:val="000226DC"/>
    <w:rsid w:val="000228B0"/>
    <w:rsid w:val="0002493E"/>
    <w:rsid w:val="00024DA2"/>
    <w:rsid w:val="00025815"/>
    <w:rsid w:val="00026EC9"/>
    <w:rsid w:val="000275F2"/>
    <w:rsid w:val="0003288E"/>
    <w:rsid w:val="0003322D"/>
    <w:rsid w:val="00033B7F"/>
    <w:rsid w:val="00036102"/>
    <w:rsid w:val="00036C6D"/>
    <w:rsid w:val="000471F6"/>
    <w:rsid w:val="000479DA"/>
    <w:rsid w:val="00047B15"/>
    <w:rsid w:val="00050204"/>
    <w:rsid w:val="00050D01"/>
    <w:rsid w:val="00052388"/>
    <w:rsid w:val="00062DB1"/>
    <w:rsid w:val="00063227"/>
    <w:rsid w:val="00064B1F"/>
    <w:rsid w:val="00065309"/>
    <w:rsid w:val="00065AB7"/>
    <w:rsid w:val="00074913"/>
    <w:rsid w:val="00077AE0"/>
    <w:rsid w:val="00090035"/>
    <w:rsid w:val="00096302"/>
    <w:rsid w:val="000A0F43"/>
    <w:rsid w:val="000B59BC"/>
    <w:rsid w:val="000B65C3"/>
    <w:rsid w:val="000C0048"/>
    <w:rsid w:val="000C0D65"/>
    <w:rsid w:val="000C1AE4"/>
    <w:rsid w:val="000C1DB8"/>
    <w:rsid w:val="000C6E2B"/>
    <w:rsid w:val="000D2130"/>
    <w:rsid w:val="000D2580"/>
    <w:rsid w:val="000D40AB"/>
    <w:rsid w:val="000D4849"/>
    <w:rsid w:val="000E7052"/>
    <w:rsid w:val="000F333B"/>
    <w:rsid w:val="000F3B17"/>
    <w:rsid w:val="001000AF"/>
    <w:rsid w:val="0010327E"/>
    <w:rsid w:val="001074EB"/>
    <w:rsid w:val="0011205E"/>
    <w:rsid w:val="00113BB1"/>
    <w:rsid w:val="00114441"/>
    <w:rsid w:val="001152EA"/>
    <w:rsid w:val="001231D6"/>
    <w:rsid w:val="00123E3F"/>
    <w:rsid w:val="001240E6"/>
    <w:rsid w:val="00131320"/>
    <w:rsid w:val="00134C68"/>
    <w:rsid w:val="001367D2"/>
    <w:rsid w:val="00141928"/>
    <w:rsid w:val="00143573"/>
    <w:rsid w:val="00145905"/>
    <w:rsid w:val="00145BEC"/>
    <w:rsid w:val="00146720"/>
    <w:rsid w:val="00147E67"/>
    <w:rsid w:val="00151403"/>
    <w:rsid w:val="001540D9"/>
    <w:rsid w:val="00155398"/>
    <w:rsid w:val="0015605C"/>
    <w:rsid w:val="001561C0"/>
    <w:rsid w:val="0015755C"/>
    <w:rsid w:val="00174353"/>
    <w:rsid w:val="00176304"/>
    <w:rsid w:val="00176346"/>
    <w:rsid w:val="00176583"/>
    <w:rsid w:val="00177266"/>
    <w:rsid w:val="001779B9"/>
    <w:rsid w:val="001838B4"/>
    <w:rsid w:val="00183AB1"/>
    <w:rsid w:val="00184D91"/>
    <w:rsid w:val="0018657F"/>
    <w:rsid w:val="00187C98"/>
    <w:rsid w:val="00190E41"/>
    <w:rsid w:val="00193DB9"/>
    <w:rsid w:val="00195FBA"/>
    <w:rsid w:val="00196199"/>
    <w:rsid w:val="001979B6"/>
    <w:rsid w:val="001A67E7"/>
    <w:rsid w:val="001A7467"/>
    <w:rsid w:val="001B3EC5"/>
    <w:rsid w:val="001B43DA"/>
    <w:rsid w:val="001B472B"/>
    <w:rsid w:val="001B6B8F"/>
    <w:rsid w:val="001C10CF"/>
    <w:rsid w:val="001C1ED9"/>
    <w:rsid w:val="001C2816"/>
    <w:rsid w:val="001C32B1"/>
    <w:rsid w:val="001C5CBA"/>
    <w:rsid w:val="001D1743"/>
    <w:rsid w:val="001D34B4"/>
    <w:rsid w:val="001D407A"/>
    <w:rsid w:val="001D69B8"/>
    <w:rsid w:val="001D7E09"/>
    <w:rsid w:val="001E1A67"/>
    <w:rsid w:val="001E3A72"/>
    <w:rsid w:val="001E4699"/>
    <w:rsid w:val="001E53ED"/>
    <w:rsid w:val="001E5E17"/>
    <w:rsid w:val="001E6C08"/>
    <w:rsid w:val="001F1858"/>
    <w:rsid w:val="001F2CBF"/>
    <w:rsid w:val="0020049E"/>
    <w:rsid w:val="00200EBB"/>
    <w:rsid w:val="00201FCD"/>
    <w:rsid w:val="00203CD3"/>
    <w:rsid w:val="00205098"/>
    <w:rsid w:val="00212460"/>
    <w:rsid w:val="002134D3"/>
    <w:rsid w:val="00227B24"/>
    <w:rsid w:val="002315E5"/>
    <w:rsid w:val="00234C05"/>
    <w:rsid w:val="00241075"/>
    <w:rsid w:val="002438D3"/>
    <w:rsid w:val="00250D41"/>
    <w:rsid w:val="00252644"/>
    <w:rsid w:val="002530A3"/>
    <w:rsid w:val="00253D71"/>
    <w:rsid w:val="00254642"/>
    <w:rsid w:val="002576DB"/>
    <w:rsid w:val="00260D82"/>
    <w:rsid w:val="00261D1C"/>
    <w:rsid w:val="00272558"/>
    <w:rsid w:val="0027270A"/>
    <w:rsid w:val="002743E7"/>
    <w:rsid w:val="002750B9"/>
    <w:rsid w:val="00275D96"/>
    <w:rsid w:val="00276D17"/>
    <w:rsid w:val="00283F05"/>
    <w:rsid w:val="002859B7"/>
    <w:rsid w:val="002916E7"/>
    <w:rsid w:val="00296223"/>
    <w:rsid w:val="002A1FFD"/>
    <w:rsid w:val="002A3DD5"/>
    <w:rsid w:val="002A637E"/>
    <w:rsid w:val="002A6EA3"/>
    <w:rsid w:val="002B5511"/>
    <w:rsid w:val="002B577A"/>
    <w:rsid w:val="002B5C70"/>
    <w:rsid w:val="002C0CE2"/>
    <w:rsid w:val="002C1D6E"/>
    <w:rsid w:val="002C1F90"/>
    <w:rsid w:val="002C43DC"/>
    <w:rsid w:val="002C4B14"/>
    <w:rsid w:val="002C7C17"/>
    <w:rsid w:val="002D1083"/>
    <w:rsid w:val="002D2184"/>
    <w:rsid w:val="002D68EC"/>
    <w:rsid w:val="002E13B2"/>
    <w:rsid w:val="002E4406"/>
    <w:rsid w:val="002E7144"/>
    <w:rsid w:val="002E79D8"/>
    <w:rsid w:val="002F12B6"/>
    <w:rsid w:val="002F23B6"/>
    <w:rsid w:val="002F387F"/>
    <w:rsid w:val="002F3D3F"/>
    <w:rsid w:val="00300A22"/>
    <w:rsid w:val="00301390"/>
    <w:rsid w:val="003043D6"/>
    <w:rsid w:val="00306A73"/>
    <w:rsid w:val="00312A24"/>
    <w:rsid w:val="00316294"/>
    <w:rsid w:val="003227B8"/>
    <w:rsid w:val="00322BD6"/>
    <w:rsid w:val="003230FE"/>
    <w:rsid w:val="003241E3"/>
    <w:rsid w:val="00324890"/>
    <w:rsid w:val="00325B16"/>
    <w:rsid w:val="00332BF2"/>
    <w:rsid w:val="00334636"/>
    <w:rsid w:val="00341DB6"/>
    <w:rsid w:val="00342990"/>
    <w:rsid w:val="00342B18"/>
    <w:rsid w:val="00345AAE"/>
    <w:rsid w:val="00347003"/>
    <w:rsid w:val="00347E82"/>
    <w:rsid w:val="00351754"/>
    <w:rsid w:val="00351C97"/>
    <w:rsid w:val="00357950"/>
    <w:rsid w:val="0037434C"/>
    <w:rsid w:val="00382DE7"/>
    <w:rsid w:val="003832EE"/>
    <w:rsid w:val="003859C2"/>
    <w:rsid w:val="0038601A"/>
    <w:rsid w:val="003903BD"/>
    <w:rsid w:val="00392186"/>
    <w:rsid w:val="003964AB"/>
    <w:rsid w:val="0039734B"/>
    <w:rsid w:val="003A0D46"/>
    <w:rsid w:val="003A4296"/>
    <w:rsid w:val="003A464A"/>
    <w:rsid w:val="003B6290"/>
    <w:rsid w:val="003B67D4"/>
    <w:rsid w:val="003D03CA"/>
    <w:rsid w:val="003D114C"/>
    <w:rsid w:val="003D4661"/>
    <w:rsid w:val="003D6DB9"/>
    <w:rsid w:val="003D7321"/>
    <w:rsid w:val="003E25FB"/>
    <w:rsid w:val="003E26B0"/>
    <w:rsid w:val="003E28AA"/>
    <w:rsid w:val="003E3545"/>
    <w:rsid w:val="003E3A7D"/>
    <w:rsid w:val="003E3E46"/>
    <w:rsid w:val="003E4858"/>
    <w:rsid w:val="003E5563"/>
    <w:rsid w:val="003E57B8"/>
    <w:rsid w:val="003E6691"/>
    <w:rsid w:val="003F3DE9"/>
    <w:rsid w:val="003F40FB"/>
    <w:rsid w:val="003F70DA"/>
    <w:rsid w:val="003F7479"/>
    <w:rsid w:val="00402C14"/>
    <w:rsid w:val="0040554A"/>
    <w:rsid w:val="00406649"/>
    <w:rsid w:val="00412F52"/>
    <w:rsid w:val="0041510D"/>
    <w:rsid w:val="00420247"/>
    <w:rsid w:val="00421688"/>
    <w:rsid w:val="00424CF3"/>
    <w:rsid w:val="00430D62"/>
    <w:rsid w:val="004323D2"/>
    <w:rsid w:val="00432AFC"/>
    <w:rsid w:val="004373FA"/>
    <w:rsid w:val="0043795D"/>
    <w:rsid w:val="004411E6"/>
    <w:rsid w:val="00445C3F"/>
    <w:rsid w:val="00452CEE"/>
    <w:rsid w:val="004532AC"/>
    <w:rsid w:val="00454F5F"/>
    <w:rsid w:val="00457720"/>
    <w:rsid w:val="00460150"/>
    <w:rsid w:val="0046460D"/>
    <w:rsid w:val="00465BBB"/>
    <w:rsid w:val="00466173"/>
    <w:rsid w:val="00467136"/>
    <w:rsid w:val="00471B3D"/>
    <w:rsid w:val="004721DE"/>
    <w:rsid w:val="00473E6A"/>
    <w:rsid w:val="00474520"/>
    <w:rsid w:val="00475DD1"/>
    <w:rsid w:val="0047658F"/>
    <w:rsid w:val="0047683A"/>
    <w:rsid w:val="004812D4"/>
    <w:rsid w:val="00496BA1"/>
    <w:rsid w:val="004A1A7E"/>
    <w:rsid w:val="004A35CE"/>
    <w:rsid w:val="004B00C1"/>
    <w:rsid w:val="004B0896"/>
    <w:rsid w:val="004B0A7A"/>
    <w:rsid w:val="004C1E93"/>
    <w:rsid w:val="004C5548"/>
    <w:rsid w:val="004C5599"/>
    <w:rsid w:val="004C6B55"/>
    <w:rsid w:val="004C718A"/>
    <w:rsid w:val="004C7D26"/>
    <w:rsid w:val="004D6DF0"/>
    <w:rsid w:val="004E0735"/>
    <w:rsid w:val="004E41B0"/>
    <w:rsid w:val="004E4FB2"/>
    <w:rsid w:val="004E5FF4"/>
    <w:rsid w:val="004E68DB"/>
    <w:rsid w:val="004F010B"/>
    <w:rsid w:val="004F17A5"/>
    <w:rsid w:val="004F45A8"/>
    <w:rsid w:val="004F5BE6"/>
    <w:rsid w:val="004F6722"/>
    <w:rsid w:val="004F6BFC"/>
    <w:rsid w:val="0050445E"/>
    <w:rsid w:val="005049EB"/>
    <w:rsid w:val="00504F76"/>
    <w:rsid w:val="005055CE"/>
    <w:rsid w:val="00506EC6"/>
    <w:rsid w:val="00507360"/>
    <w:rsid w:val="00510391"/>
    <w:rsid w:val="00512212"/>
    <w:rsid w:val="00512D9D"/>
    <w:rsid w:val="00512E2A"/>
    <w:rsid w:val="00513598"/>
    <w:rsid w:val="00513E9E"/>
    <w:rsid w:val="00514A01"/>
    <w:rsid w:val="00517289"/>
    <w:rsid w:val="00517E17"/>
    <w:rsid w:val="005209B3"/>
    <w:rsid w:val="00520D35"/>
    <w:rsid w:val="005225C2"/>
    <w:rsid w:val="005258F7"/>
    <w:rsid w:val="0053299E"/>
    <w:rsid w:val="00533580"/>
    <w:rsid w:val="005345E3"/>
    <w:rsid w:val="005358B5"/>
    <w:rsid w:val="00536409"/>
    <w:rsid w:val="00541A29"/>
    <w:rsid w:val="00546B8F"/>
    <w:rsid w:val="00550298"/>
    <w:rsid w:val="00553D24"/>
    <w:rsid w:val="00554303"/>
    <w:rsid w:val="00556D3C"/>
    <w:rsid w:val="00557224"/>
    <w:rsid w:val="00566919"/>
    <w:rsid w:val="0056697F"/>
    <w:rsid w:val="00570B1C"/>
    <w:rsid w:val="005721B4"/>
    <w:rsid w:val="00577BD7"/>
    <w:rsid w:val="0058679C"/>
    <w:rsid w:val="005958B1"/>
    <w:rsid w:val="005A015D"/>
    <w:rsid w:val="005A2896"/>
    <w:rsid w:val="005B225F"/>
    <w:rsid w:val="005B3EDE"/>
    <w:rsid w:val="005C0452"/>
    <w:rsid w:val="005C3A80"/>
    <w:rsid w:val="005C3D8E"/>
    <w:rsid w:val="005C70A4"/>
    <w:rsid w:val="005D2260"/>
    <w:rsid w:val="005D67D0"/>
    <w:rsid w:val="005E147E"/>
    <w:rsid w:val="005E4C89"/>
    <w:rsid w:val="005E62CE"/>
    <w:rsid w:val="005F010C"/>
    <w:rsid w:val="005F0605"/>
    <w:rsid w:val="005F0DD4"/>
    <w:rsid w:val="005F2131"/>
    <w:rsid w:val="005F243F"/>
    <w:rsid w:val="005F3738"/>
    <w:rsid w:val="0060015E"/>
    <w:rsid w:val="006004D6"/>
    <w:rsid w:val="00600C1B"/>
    <w:rsid w:val="00603538"/>
    <w:rsid w:val="00603B87"/>
    <w:rsid w:val="00604136"/>
    <w:rsid w:val="006046FB"/>
    <w:rsid w:val="00612C58"/>
    <w:rsid w:val="006204FA"/>
    <w:rsid w:val="00622C71"/>
    <w:rsid w:val="006240F4"/>
    <w:rsid w:val="0062512F"/>
    <w:rsid w:val="00627B05"/>
    <w:rsid w:val="00630905"/>
    <w:rsid w:val="00634F2F"/>
    <w:rsid w:val="00636A83"/>
    <w:rsid w:val="00641189"/>
    <w:rsid w:val="00642025"/>
    <w:rsid w:val="00644C92"/>
    <w:rsid w:val="00644F4F"/>
    <w:rsid w:val="00645025"/>
    <w:rsid w:val="00646E6F"/>
    <w:rsid w:val="006502A2"/>
    <w:rsid w:val="006518BF"/>
    <w:rsid w:val="006523BF"/>
    <w:rsid w:val="0065357F"/>
    <w:rsid w:val="00655C4B"/>
    <w:rsid w:val="00660489"/>
    <w:rsid w:val="00661127"/>
    <w:rsid w:val="00662251"/>
    <w:rsid w:val="00664F66"/>
    <w:rsid w:val="00665410"/>
    <w:rsid w:val="00665CC1"/>
    <w:rsid w:val="00670D50"/>
    <w:rsid w:val="00672721"/>
    <w:rsid w:val="0067703A"/>
    <w:rsid w:val="00680F40"/>
    <w:rsid w:val="00686780"/>
    <w:rsid w:val="00691B1E"/>
    <w:rsid w:val="00693598"/>
    <w:rsid w:val="006951C9"/>
    <w:rsid w:val="006A3E16"/>
    <w:rsid w:val="006A75B6"/>
    <w:rsid w:val="006B2FF9"/>
    <w:rsid w:val="006B35BB"/>
    <w:rsid w:val="006B5BB2"/>
    <w:rsid w:val="006B5FCA"/>
    <w:rsid w:val="006C2261"/>
    <w:rsid w:val="006D1BE4"/>
    <w:rsid w:val="006D2C68"/>
    <w:rsid w:val="006D4CA8"/>
    <w:rsid w:val="006D6A81"/>
    <w:rsid w:val="006D77B5"/>
    <w:rsid w:val="006E08FE"/>
    <w:rsid w:val="006E40E9"/>
    <w:rsid w:val="006E44BE"/>
    <w:rsid w:val="006E540E"/>
    <w:rsid w:val="006E69C5"/>
    <w:rsid w:val="006E6CA8"/>
    <w:rsid w:val="006E7AE6"/>
    <w:rsid w:val="006F0FE2"/>
    <w:rsid w:val="006F3244"/>
    <w:rsid w:val="006F4030"/>
    <w:rsid w:val="006F4E8A"/>
    <w:rsid w:val="006F594A"/>
    <w:rsid w:val="006F6AB3"/>
    <w:rsid w:val="006F7185"/>
    <w:rsid w:val="006F7A09"/>
    <w:rsid w:val="00701630"/>
    <w:rsid w:val="0070403C"/>
    <w:rsid w:val="00705218"/>
    <w:rsid w:val="0070683A"/>
    <w:rsid w:val="007112B3"/>
    <w:rsid w:val="00711356"/>
    <w:rsid w:val="00711720"/>
    <w:rsid w:val="00712B49"/>
    <w:rsid w:val="0071438D"/>
    <w:rsid w:val="007168D5"/>
    <w:rsid w:val="00716DAA"/>
    <w:rsid w:val="00722314"/>
    <w:rsid w:val="00722C50"/>
    <w:rsid w:val="007251A7"/>
    <w:rsid w:val="00725922"/>
    <w:rsid w:val="00725A32"/>
    <w:rsid w:val="00733D1B"/>
    <w:rsid w:val="00734105"/>
    <w:rsid w:val="0074297E"/>
    <w:rsid w:val="00742D29"/>
    <w:rsid w:val="00743A34"/>
    <w:rsid w:val="00744005"/>
    <w:rsid w:val="00744B91"/>
    <w:rsid w:val="007468B9"/>
    <w:rsid w:val="00747CB5"/>
    <w:rsid w:val="00750241"/>
    <w:rsid w:val="00750BCF"/>
    <w:rsid w:val="00752339"/>
    <w:rsid w:val="007566E6"/>
    <w:rsid w:val="00762AF6"/>
    <w:rsid w:val="0076354C"/>
    <w:rsid w:val="007669AC"/>
    <w:rsid w:val="00766B23"/>
    <w:rsid w:val="00776F32"/>
    <w:rsid w:val="00777478"/>
    <w:rsid w:val="00781E25"/>
    <w:rsid w:val="00782378"/>
    <w:rsid w:val="00784ABA"/>
    <w:rsid w:val="00785345"/>
    <w:rsid w:val="0078558A"/>
    <w:rsid w:val="00786827"/>
    <w:rsid w:val="00794D83"/>
    <w:rsid w:val="00796E79"/>
    <w:rsid w:val="007A0D4D"/>
    <w:rsid w:val="007B065C"/>
    <w:rsid w:val="007B349C"/>
    <w:rsid w:val="007C44A3"/>
    <w:rsid w:val="007C737C"/>
    <w:rsid w:val="007D1B6D"/>
    <w:rsid w:val="007D3243"/>
    <w:rsid w:val="007D6E59"/>
    <w:rsid w:val="007E08F6"/>
    <w:rsid w:val="007E0F62"/>
    <w:rsid w:val="007E56F7"/>
    <w:rsid w:val="007E5C2F"/>
    <w:rsid w:val="007E5E45"/>
    <w:rsid w:val="007F4D7B"/>
    <w:rsid w:val="007F6DE1"/>
    <w:rsid w:val="008004CA"/>
    <w:rsid w:val="0080376D"/>
    <w:rsid w:val="008042FA"/>
    <w:rsid w:val="00805D13"/>
    <w:rsid w:val="00806FDB"/>
    <w:rsid w:val="00811006"/>
    <w:rsid w:val="00811A39"/>
    <w:rsid w:val="00811BDB"/>
    <w:rsid w:val="008162CF"/>
    <w:rsid w:val="0081707A"/>
    <w:rsid w:val="00817DF1"/>
    <w:rsid w:val="008210D2"/>
    <w:rsid w:val="00825FDE"/>
    <w:rsid w:val="008269F3"/>
    <w:rsid w:val="00830778"/>
    <w:rsid w:val="00832A77"/>
    <w:rsid w:val="00837B17"/>
    <w:rsid w:val="00842419"/>
    <w:rsid w:val="00853A5A"/>
    <w:rsid w:val="00853A74"/>
    <w:rsid w:val="00855AA8"/>
    <w:rsid w:val="00864602"/>
    <w:rsid w:val="008655DB"/>
    <w:rsid w:val="00865E4B"/>
    <w:rsid w:val="00867F43"/>
    <w:rsid w:val="0087365E"/>
    <w:rsid w:val="00874EEF"/>
    <w:rsid w:val="00875DB9"/>
    <w:rsid w:val="008813AA"/>
    <w:rsid w:val="0088147B"/>
    <w:rsid w:val="008819C3"/>
    <w:rsid w:val="00883086"/>
    <w:rsid w:val="008834D9"/>
    <w:rsid w:val="008914AE"/>
    <w:rsid w:val="00893B4D"/>
    <w:rsid w:val="008944CE"/>
    <w:rsid w:val="00895E6D"/>
    <w:rsid w:val="008974B2"/>
    <w:rsid w:val="008A06D2"/>
    <w:rsid w:val="008A24F1"/>
    <w:rsid w:val="008A3618"/>
    <w:rsid w:val="008A4B8D"/>
    <w:rsid w:val="008A669D"/>
    <w:rsid w:val="008A7BDD"/>
    <w:rsid w:val="008B09FA"/>
    <w:rsid w:val="008B2EED"/>
    <w:rsid w:val="008B5DB2"/>
    <w:rsid w:val="008C323A"/>
    <w:rsid w:val="008C4475"/>
    <w:rsid w:val="008D670D"/>
    <w:rsid w:val="008E42F5"/>
    <w:rsid w:val="008E4CCE"/>
    <w:rsid w:val="008E6AA6"/>
    <w:rsid w:val="008F10C7"/>
    <w:rsid w:val="008F1906"/>
    <w:rsid w:val="008F245D"/>
    <w:rsid w:val="008F489E"/>
    <w:rsid w:val="008F4C00"/>
    <w:rsid w:val="008F7325"/>
    <w:rsid w:val="0090056C"/>
    <w:rsid w:val="009006FC"/>
    <w:rsid w:val="00902EBB"/>
    <w:rsid w:val="00911EE5"/>
    <w:rsid w:val="009126B4"/>
    <w:rsid w:val="009127FB"/>
    <w:rsid w:val="0092755B"/>
    <w:rsid w:val="0092758A"/>
    <w:rsid w:val="00932796"/>
    <w:rsid w:val="00933047"/>
    <w:rsid w:val="00935B1C"/>
    <w:rsid w:val="00937F0D"/>
    <w:rsid w:val="00940119"/>
    <w:rsid w:val="009404D9"/>
    <w:rsid w:val="00943122"/>
    <w:rsid w:val="00944AE1"/>
    <w:rsid w:val="009462A2"/>
    <w:rsid w:val="009477DC"/>
    <w:rsid w:val="00952F29"/>
    <w:rsid w:val="00955E2E"/>
    <w:rsid w:val="00956534"/>
    <w:rsid w:val="009572D1"/>
    <w:rsid w:val="00961CED"/>
    <w:rsid w:val="009750B8"/>
    <w:rsid w:val="009830CA"/>
    <w:rsid w:val="00987F49"/>
    <w:rsid w:val="00990D09"/>
    <w:rsid w:val="00994AF2"/>
    <w:rsid w:val="009972CA"/>
    <w:rsid w:val="009A01D2"/>
    <w:rsid w:val="009A5962"/>
    <w:rsid w:val="009A60C6"/>
    <w:rsid w:val="009A678A"/>
    <w:rsid w:val="009B03A5"/>
    <w:rsid w:val="009B165A"/>
    <w:rsid w:val="009B6023"/>
    <w:rsid w:val="009B6AD6"/>
    <w:rsid w:val="009B71D5"/>
    <w:rsid w:val="009C6DC9"/>
    <w:rsid w:val="009D1B34"/>
    <w:rsid w:val="009D286B"/>
    <w:rsid w:val="009D662A"/>
    <w:rsid w:val="009E5748"/>
    <w:rsid w:val="009E6034"/>
    <w:rsid w:val="009E7BBC"/>
    <w:rsid w:val="009F2C56"/>
    <w:rsid w:val="009F3372"/>
    <w:rsid w:val="009F43A6"/>
    <w:rsid w:val="009F48EE"/>
    <w:rsid w:val="009F4A81"/>
    <w:rsid w:val="009F4F91"/>
    <w:rsid w:val="009F6217"/>
    <w:rsid w:val="00A013B6"/>
    <w:rsid w:val="00A01F16"/>
    <w:rsid w:val="00A03A31"/>
    <w:rsid w:val="00A04F27"/>
    <w:rsid w:val="00A0551B"/>
    <w:rsid w:val="00A074A2"/>
    <w:rsid w:val="00A0794F"/>
    <w:rsid w:val="00A13CE7"/>
    <w:rsid w:val="00A172D2"/>
    <w:rsid w:val="00A17C3F"/>
    <w:rsid w:val="00A219C1"/>
    <w:rsid w:val="00A22B24"/>
    <w:rsid w:val="00A22CA0"/>
    <w:rsid w:val="00A23964"/>
    <w:rsid w:val="00A30344"/>
    <w:rsid w:val="00A31E8D"/>
    <w:rsid w:val="00A32AB9"/>
    <w:rsid w:val="00A32AF7"/>
    <w:rsid w:val="00A34CA2"/>
    <w:rsid w:val="00A40297"/>
    <w:rsid w:val="00A42173"/>
    <w:rsid w:val="00A44212"/>
    <w:rsid w:val="00A4429C"/>
    <w:rsid w:val="00A45983"/>
    <w:rsid w:val="00A459F3"/>
    <w:rsid w:val="00A46311"/>
    <w:rsid w:val="00A47C17"/>
    <w:rsid w:val="00A5452C"/>
    <w:rsid w:val="00A62732"/>
    <w:rsid w:val="00A65276"/>
    <w:rsid w:val="00A66A54"/>
    <w:rsid w:val="00A66E04"/>
    <w:rsid w:val="00A71DE0"/>
    <w:rsid w:val="00A74D29"/>
    <w:rsid w:val="00A77299"/>
    <w:rsid w:val="00A80DBE"/>
    <w:rsid w:val="00A810F7"/>
    <w:rsid w:val="00A8347A"/>
    <w:rsid w:val="00A85CF6"/>
    <w:rsid w:val="00A91722"/>
    <w:rsid w:val="00A9236A"/>
    <w:rsid w:val="00A94140"/>
    <w:rsid w:val="00A9537F"/>
    <w:rsid w:val="00AA37D4"/>
    <w:rsid w:val="00AA3C81"/>
    <w:rsid w:val="00AA42C4"/>
    <w:rsid w:val="00AA4A79"/>
    <w:rsid w:val="00AA5616"/>
    <w:rsid w:val="00AA5F68"/>
    <w:rsid w:val="00AB0A04"/>
    <w:rsid w:val="00AB1293"/>
    <w:rsid w:val="00AB1A7E"/>
    <w:rsid w:val="00AB44B1"/>
    <w:rsid w:val="00AB5F4B"/>
    <w:rsid w:val="00AC0DA5"/>
    <w:rsid w:val="00AC26C2"/>
    <w:rsid w:val="00AC322B"/>
    <w:rsid w:val="00AD3101"/>
    <w:rsid w:val="00AD4B5F"/>
    <w:rsid w:val="00AD7CC3"/>
    <w:rsid w:val="00AE1020"/>
    <w:rsid w:val="00AE3E59"/>
    <w:rsid w:val="00AE40B1"/>
    <w:rsid w:val="00AE4BCD"/>
    <w:rsid w:val="00AF2A97"/>
    <w:rsid w:val="00AF2E50"/>
    <w:rsid w:val="00AF2F9D"/>
    <w:rsid w:val="00AF3FE7"/>
    <w:rsid w:val="00AF6B5C"/>
    <w:rsid w:val="00AF7B38"/>
    <w:rsid w:val="00B00D22"/>
    <w:rsid w:val="00B01C71"/>
    <w:rsid w:val="00B04EFF"/>
    <w:rsid w:val="00B05804"/>
    <w:rsid w:val="00B07A78"/>
    <w:rsid w:val="00B119FD"/>
    <w:rsid w:val="00B21AF7"/>
    <w:rsid w:val="00B22454"/>
    <w:rsid w:val="00B23018"/>
    <w:rsid w:val="00B2416B"/>
    <w:rsid w:val="00B24F79"/>
    <w:rsid w:val="00B25370"/>
    <w:rsid w:val="00B276B6"/>
    <w:rsid w:val="00B319C4"/>
    <w:rsid w:val="00B33B7C"/>
    <w:rsid w:val="00B35418"/>
    <w:rsid w:val="00B36610"/>
    <w:rsid w:val="00B36B50"/>
    <w:rsid w:val="00B371C8"/>
    <w:rsid w:val="00B40BEF"/>
    <w:rsid w:val="00B5364D"/>
    <w:rsid w:val="00B544BD"/>
    <w:rsid w:val="00B5484B"/>
    <w:rsid w:val="00B6590D"/>
    <w:rsid w:val="00B7040C"/>
    <w:rsid w:val="00B70CE5"/>
    <w:rsid w:val="00B7123C"/>
    <w:rsid w:val="00B72117"/>
    <w:rsid w:val="00B73310"/>
    <w:rsid w:val="00B75B1A"/>
    <w:rsid w:val="00B77EA0"/>
    <w:rsid w:val="00B81F7B"/>
    <w:rsid w:val="00B8391D"/>
    <w:rsid w:val="00B8591D"/>
    <w:rsid w:val="00B85EC9"/>
    <w:rsid w:val="00B90069"/>
    <w:rsid w:val="00B939B4"/>
    <w:rsid w:val="00B96E82"/>
    <w:rsid w:val="00BA3003"/>
    <w:rsid w:val="00BA39B8"/>
    <w:rsid w:val="00BA61A7"/>
    <w:rsid w:val="00BA69E7"/>
    <w:rsid w:val="00BA7796"/>
    <w:rsid w:val="00BA7D57"/>
    <w:rsid w:val="00BA7F78"/>
    <w:rsid w:val="00BB0F72"/>
    <w:rsid w:val="00BB1E3B"/>
    <w:rsid w:val="00BB2701"/>
    <w:rsid w:val="00BC2C77"/>
    <w:rsid w:val="00BC73E1"/>
    <w:rsid w:val="00BC7EA2"/>
    <w:rsid w:val="00BD1E7A"/>
    <w:rsid w:val="00BD4020"/>
    <w:rsid w:val="00BD4AC8"/>
    <w:rsid w:val="00BD535A"/>
    <w:rsid w:val="00BD6E3B"/>
    <w:rsid w:val="00BD7C95"/>
    <w:rsid w:val="00BD7CFB"/>
    <w:rsid w:val="00BD7E31"/>
    <w:rsid w:val="00BE0E84"/>
    <w:rsid w:val="00BE19B3"/>
    <w:rsid w:val="00BE76B1"/>
    <w:rsid w:val="00BE7B99"/>
    <w:rsid w:val="00BF7DF8"/>
    <w:rsid w:val="00C073D4"/>
    <w:rsid w:val="00C1132D"/>
    <w:rsid w:val="00C12F19"/>
    <w:rsid w:val="00C13F2C"/>
    <w:rsid w:val="00C15AC9"/>
    <w:rsid w:val="00C20755"/>
    <w:rsid w:val="00C20804"/>
    <w:rsid w:val="00C23D86"/>
    <w:rsid w:val="00C25056"/>
    <w:rsid w:val="00C2566A"/>
    <w:rsid w:val="00C26710"/>
    <w:rsid w:val="00C304C8"/>
    <w:rsid w:val="00C30577"/>
    <w:rsid w:val="00C365AA"/>
    <w:rsid w:val="00C41BDD"/>
    <w:rsid w:val="00C42364"/>
    <w:rsid w:val="00C436C9"/>
    <w:rsid w:val="00C65069"/>
    <w:rsid w:val="00C7666F"/>
    <w:rsid w:val="00C800EB"/>
    <w:rsid w:val="00C80C0B"/>
    <w:rsid w:val="00C839DD"/>
    <w:rsid w:val="00C83F69"/>
    <w:rsid w:val="00C851B1"/>
    <w:rsid w:val="00C85832"/>
    <w:rsid w:val="00C85D62"/>
    <w:rsid w:val="00C909DE"/>
    <w:rsid w:val="00C954E2"/>
    <w:rsid w:val="00CA0098"/>
    <w:rsid w:val="00CA11AB"/>
    <w:rsid w:val="00CA2ECB"/>
    <w:rsid w:val="00CA34AC"/>
    <w:rsid w:val="00CA6A65"/>
    <w:rsid w:val="00CB0B7A"/>
    <w:rsid w:val="00CB19AF"/>
    <w:rsid w:val="00CB1AB1"/>
    <w:rsid w:val="00CB28BC"/>
    <w:rsid w:val="00CB4EFF"/>
    <w:rsid w:val="00CC3985"/>
    <w:rsid w:val="00CC4C83"/>
    <w:rsid w:val="00CC60F2"/>
    <w:rsid w:val="00CC6488"/>
    <w:rsid w:val="00CC6541"/>
    <w:rsid w:val="00CF0147"/>
    <w:rsid w:val="00CF3854"/>
    <w:rsid w:val="00CF38AB"/>
    <w:rsid w:val="00CF3AF4"/>
    <w:rsid w:val="00CF3D8B"/>
    <w:rsid w:val="00CF605F"/>
    <w:rsid w:val="00CF6518"/>
    <w:rsid w:val="00CF6C8C"/>
    <w:rsid w:val="00D02C0E"/>
    <w:rsid w:val="00D052B7"/>
    <w:rsid w:val="00D07472"/>
    <w:rsid w:val="00D209C8"/>
    <w:rsid w:val="00D21EC5"/>
    <w:rsid w:val="00D2255E"/>
    <w:rsid w:val="00D304E4"/>
    <w:rsid w:val="00D30607"/>
    <w:rsid w:val="00D3460B"/>
    <w:rsid w:val="00D354E7"/>
    <w:rsid w:val="00D362DE"/>
    <w:rsid w:val="00D425E1"/>
    <w:rsid w:val="00D42A78"/>
    <w:rsid w:val="00D50905"/>
    <w:rsid w:val="00D532D3"/>
    <w:rsid w:val="00D55EBC"/>
    <w:rsid w:val="00D5674D"/>
    <w:rsid w:val="00D61F73"/>
    <w:rsid w:val="00D6468F"/>
    <w:rsid w:val="00D64BAA"/>
    <w:rsid w:val="00D664B0"/>
    <w:rsid w:val="00D80A2F"/>
    <w:rsid w:val="00D8205C"/>
    <w:rsid w:val="00D827F4"/>
    <w:rsid w:val="00D857AF"/>
    <w:rsid w:val="00D876CA"/>
    <w:rsid w:val="00DA01EB"/>
    <w:rsid w:val="00DA19A3"/>
    <w:rsid w:val="00DA252F"/>
    <w:rsid w:val="00DA301C"/>
    <w:rsid w:val="00DA30F6"/>
    <w:rsid w:val="00DA5490"/>
    <w:rsid w:val="00DA5971"/>
    <w:rsid w:val="00DB3D7E"/>
    <w:rsid w:val="00DB46CA"/>
    <w:rsid w:val="00DB5034"/>
    <w:rsid w:val="00DB7651"/>
    <w:rsid w:val="00DC1CBA"/>
    <w:rsid w:val="00DC5A25"/>
    <w:rsid w:val="00DD13CF"/>
    <w:rsid w:val="00DD402F"/>
    <w:rsid w:val="00DD5AC7"/>
    <w:rsid w:val="00DD7E58"/>
    <w:rsid w:val="00DE1C10"/>
    <w:rsid w:val="00DE3ED5"/>
    <w:rsid w:val="00DE47B5"/>
    <w:rsid w:val="00DE5A11"/>
    <w:rsid w:val="00DE6FBD"/>
    <w:rsid w:val="00DF114E"/>
    <w:rsid w:val="00DF5E3D"/>
    <w:rsid w:val="00DF7352"/>
    <w:rsid w:val="00DF74A6"/>
    <w:rsid w:val="00E00E6B"/>
    <w:rsid w:val="00E0178A"/>
    <w:rsid w:val="00E0303D"/>
    <w:rsid w:val="00E03E36"/>
    <w:rsid w:val="00E06FE8"/>
    <w:rsid w:val="00E1166C"/>
    <w:rsid w:val="00E11A8A"/>
    <w:rsid w:val="00E13462"/>
    <w:rsid w:val="00E1354A"/>
    <w:rsid w:val="00E24235"/>
    <w:rsid w:val="00E24DD4"/>
    <w:rsid w:val="00E265FB"/>
    <w:rsid w:val="00E315A8"/>
    <w:rsid w:val="00E3166D"/>
    <w:rsid w:val="00E33886"/>
    <w:rsid w:val="00E33C62"/>
    <w:rsid w:val="00E5087B"/>
    <w:rsid w:val="00E52367"/>
    <w:rsid w:val="00E534D2"/>
    <w:rsid w:val="00E54256"/>
    <w:rsid w:val="00E577E4"/>
    <w:rsid w:val="00E60FD1"/>
    <w:rsid w:val="00E62D73"/>
    <w:rsid w:val="00E65CC9"/>
    <w:rsid w:val="00E66D71"/>
    <w:rsid w:val="00E678F4"/>
    <w:rsid w:val="00E71449"/>
    <w:rsid w:val="00E75979"/>
    <w:rsid w:val="00E76268"/>
    <w:rsid w:val="00E777E5"/>
    <w:rsid w:val="00E77D59"/>
    <w:rsid w:val="00E82557"/>
    <w:rsid w:val="00E8262F"/>
    <w:rsid w:val="00E87073"/>
    <w:rsid w:val="00E912F3"/>
    <w:rsid w:val="00E91BD9"/>
    <w:rsid w:val="00E93D2B"/>
    <w:rsid w:val="00E96F28"/>
    <w:rsid w:val="00EA1F7A"/>
    <w:rsid w:val="00EA2493"/>
    <w:rsid w:val="00EA40DC"/>
    <w:rsid w:val="00EA4723"/>
    <w:rsid w:val="00EA5686"/>
    <w:rsid w:val="00EB04BF"/>
    <w:rsid w:val="00EB1669"/>
    <w:rsid w:val="00EB2488"/>
    <w:rsid w:val="00EB3FEF"/>
    <w:rsid w:val="00EB6943"/>
    <w:rsid w:val="00EC027A"/>
    <w:rsid w:val="00EC3163"/>
    <w:rsid w:val="00EC551A"/>
    <w:rsid w:val="00ED4F9E"/>
    <w:rsid w:val="00ED74B9"/>
    <w:rsid w:val="00EE0C8E"/>
    <w:rsid w:val="00EE40BF"/>
    <w:rsid w:val="00EE539D"/>
    <w:rsid w:val="00EE6079"/>
    <w:rsid w:val="00EE6FA3"/>
    <w:rsid w:val="00EF4326"/>
    <w:rsid w:val="00EF6CF5"/>
    <w:rsid w:val="00F020C1"/>
    <w:rsid w:val="00F07175"/>
    <w:rsid w:val="00F13192"/>
    <w:rsid w:val="00F15136"/>
    <w:rsid w:val="00F15A43"/>
    <w:rsid w:val="00F22230"/>
    <w:rsid w:val="00F27BE6"/>
    <w:rsid w:val="00F3475F"/>
    <w:rsid w:val="00F34C14"/>
    <w:rsid w:val="00F4009C"/>
    <w:rsid w:val="00F420F7"/>
    <w:rsid w:val="00F46192"/>
    <w:rsid w:val="00F46DC0"/>
    <w:rsid w:val="00F474F5"/>
    <w:rsid w:val="00F475D8"/>
    <w:rsid w:val="00F51A81"/>
    <w:rsid w:val="00F538E8"/>
    <w:rsid w:val="00F56BFE"/>
    <w:rsid w:val="00F5773A"/>
    <w:rsid w:val="00F66000"/>
    <w:rsid w:val="00F66DE8"/>
    <w:rsid w:val="00F754AD"/>
    <w:rsid w:val="00F773A0"/>
    <w:rsid w:val="00F77644"/>
    <w:rsid w:val="00F80A7F"/>
    <w:rsid w:val="00F8296E"/>
    <w:rsid w:val="00F879DC"/>
    <w:rsid w:val="00F939A0"/>
    <w:rsid w:val="00F96F02"/>
    <w:rsid w:val="00FA083B"/>
    <w:rsid w:val="00FA285B"/>
    <w:rsid w:val="00FA5636"/>
    <w:rsid w:val="00FA5BDB"/>
    <w:rsid w:val="00FA6389"/>
    <w:rsid w:val="00FB0E06"/>
    <w:rsid w:val="00FB39BF"/>
    <w:rsid w:val="00FB58F5"/>
    <w:rsid w:val="00FB59C7"/>
    <w:rsid w:val="00FB6AC6"/>
    <w:rsid w:val="00FB7C87"/>
    <w:rsid w:val="00FC18D6"/>
    <w:rsid w:val="00FC3097"/>
    <w:rsid w:val="00FC6B2C"/>
    <w:rsid w:val="00FD005C"/>
    <w:rsid w:val="00FD1FEE"/>
    <w:rsid w:val="00FD47D2"/>
    <w:rsid w:val="00FD76A8"/>
    <w:rsid w:val="00FD7DE6"/>
    <w:rsid w:val="00FE1933"/>
    <w:rsid w:val="00FE51C7"/>
    <w:rsid w:val="00FE7674"/>
    <w:rsid w:val="00FF4748"/>
    <w:rsid w:val="00FF6504"/>
    <w:rsid w:val="21A77073"/>
    <w:rsid w:val="627F283A"/>
    <w:rsid w:val="7B6B0954"/>
    <w:rsid w:val="7DF93D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FB6A2ACD-F2C9-4D44-AF60-DACA4515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5636"/>
    <w:rPr>
      <w:rFonts w:ascii="Times New Roman" w:hAnsi="Times New Roman" w:cs="Times New Roman"/>
      <w:sz w:val="24"/>
      <w:szCs w:val="24"/>
    </w:rPr>
  </w:style>
  <w:style w:type="paragraph" w:styleId="Kop1">
    <w:name w:val="heading 1"/>
    <w:link w:val="Kop1Char"/>
    <w:uiPriority w:val="9"/>
    <w:qFormat/>
    <w:rsid w:val="00AC322B"/>
    <w:pPr>
      <w:spacing w:before="240" w:after="180" w:line="240" w:lineRule="auto"/>
      <w:outlineLvl w:val="0"/>
    </w:pPr>
    <w:rPr>
      <w:rFonts w:ascii="Calibri" w:eastAsia="Calibri" w:hAnsi="Calibri" w:cs="Calibri"/>
      <w:b/>
      <w:bCs/>
      <w:kern w:val="0"/>
      <w:sz w:val="30"/>
      <w:szCs w:val="30"/>
      <w:lang w:val="en-US"/>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eastAsia="Times New Roman"/>
      <w:kern w:val="0"/>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eastAsia="Times New Roman"/>
      <w:kern w:val="0"/>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C2566A"/>
    <w:rPr>
      <w:color w:val="605E5C"/>
      <w:shd w:val="clear" w:color="auto" w:fill="E1DFDD"/>
    </w:rPr>
  </w:style>
  <w:style w:type="character" w:styleId="GevolgdeHyperlink">
    <w:name w:val="FollowedHyperlink"/>
    <w:basedOn w:val="Standaardalinea-lettertype"/>
    <w:uiPriority w:val="99"/>
    <w:semiHidden/>
    <w:unhideWhenUsed/>
    <w:rsid w:val="00096302"/>
    <w:rPr>
      <w:color w:val="954F72" w:themeColor="followedHyperlink"/>
      <w:u w:val="single"/>
    </w:rPr>
  </w:style>
  <w:style w:type="paragraph" w:styleId="Lijstalinea">
    <w:name w:val="List Paragraph"/>
    <w:basedOn w:val="Standaard"/>
    <w:uiPriority w:val="34"/>
    <w:qFormat/>
    <w:rsid w:val="003964AB"/>
    <w:pPr>
      <w:ind w:left="720"/>
      <w:contextualSpacing/>
    </w:pPr>
  </w:style>
  <w:style w:type="character" w:customStyle="1" w:styleId="Kop1Char">
    <w:name w:val="Kop 1 Char"/>
    <w:basedOn w:val="Standaardalinea-lettertype"/>
    <w:link w:val="Kop1"/>
    <w:uiPriority w:val="9"/>
    <w:rsid w:val="00AC322B"/>
    <w:rPr>
      <w:rFonts w:ascii="Calibri" w:eastAsia="Calibri" w:hAnsi="Calibri" w:cs="Calibri"/>
      <w:b/>
      <w:bCs/>
      <w:kern w:val="0"/>
      <w:sz w:val="30"/>
      <w:szCs w:val="3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9480">
      <w:bodyDiv w:val="1"/>
      <w:marLeft w:val="0"/>
      <w:marRight w:val="0"/>
      <w:marTop w:val="0"/>
      <w:marBottom w:val="0"/>
      <w:divBdr>
        <w:top w:val="none" w:sz="0" w:space="0" w:color="auto"/>
        <w:left w:val="none" w:sz="0" w:space="0" w:color="auto"/>
        <w:bottom w:val="none" w:sz="0" w:space="0" w:color="auto"/>
        <w:right w:val="none" w:sz="0" w:space="0" w:color="auto"/>
      </w:divBdr>
      <w:divsChild>
        <w:div w:id="1406368577">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354313912">
      <w:bodyDiv w:val="1"/>
      <w:marLeft w:val="0"/>
      <w:marRight w:val="0"/>
      <w:marTop w:val="0"/>
      <w:marBottom w:val="0"/>
      <w:divBdr>
        <w:top w:val="none" w:sz="0" w:space="0" w:color="auto"/>
        <w:left w:val="none" w:sz="0" w:space="0" w:color="auto"/>
        <w:bottom w:val="none" w:sz="0" w:space="0" w:color="auto"/>
        <w:right w:val="none" w:sz="0" w:space="0" w:color="auto"/>
      </w:divBdr>
      <w:divsChild>
        <w:div w:id="758597806">
          <w:marLeft w:val="0"/>
          <w:marRight w:val="0"/>
          <w:marTop w:val="0"/>
          <w:marBottom w:val="0"/>
          <w:divBdr>
            <w:top w:val="none" w:sz="0" w:space="0" w:color="auto"/>
            <w:left w:val="none" w:sz="0" w:space="0" w:color="auto"/>
            <w:bottom w:val="none" w:sz="0" w:space="0" w:color="auto"/>
            <w:right w:val="none" w:sz="0" w:space="0" w:color="auto"/>
          </w:divBdr>
        </w:div>
      </w:divsChild>
    </w:div>
    <w:div w:id="620649438">
      <w:bodyDiv w:val="1"/>
      <w:marLeft w:val="0"/>
      <w:marRight w:val="0"/>
      <w:marTop w:val="0"/>
      <w:marBottom w:val="0"/>
      <w:divBdr>
        <w:top w:val="none" w:sz="0" w:space="0" w:color="auto"/>
        <w:left w:val="none" w:sz="0" w:space="0" w:color="auto"/>
        <w:bottom w:val="none" w:sz="0" w:space="0" w:color="auto"/>
        <w:right w:val="none" w:sz="0" w:space="0" w:color="auto"/>
      </w:divBdr>
      <w:divsChild>
        <w:div w:id="1940286331">
          <w:marLeft w:val="0"/>
          <w:marRight w:val="0"/>
          <w:marTop w:val="0"/>
          <w:marBottom w:val="0"/>
          <w:divBdr>
            <w:top w:val="none" w:sz="0" w:space="0" w:color="auto"/>
            <w:left w:val="none" w:sz="0" w:space="0" w:color="auto"/>
            <w:bottom w:val="none" w:sz="0" w:space="0" w:color="auto"/>
            <w:right w:val="none" w:sz="0" w:space="0" w:color="auto"/>
          </w:divBdr>
        </w:div>
      </w:divsChild>
    </w:div>
    <w:div w:id="886841126">
      <w:bodyDiv w:val="1"/>
      <w:marLeft w:val="0"/>
      <w:marRight w:val="0"/>
      <w:marTop w:val="0"/>
      <w:marBottom w:val="0"/>
      <w:divBdr>
        <w:top w:val="none" w:sz="0" w:space="0" w:color="auto"/>
        <w:left w:val="none" w:sz="0" w:space="0" w:color="auto"/>
        <w:bottom w:val="none" w:sz="0" w:space="0" w:color="auto"/>
        <w:right w:val="none" w:sz="0" w:space="0" w:color="auto"/>
      </w:divBdr>
    </w:div>
    <w:div w:id="1004823272">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120302811">
      <w:bodyDiv w:val="1"/>
      <w:marLeft w:val="0"/>
      <w:marRight w:val="0"/>
      <w:marTop w:val="0"/>
      <w:marBottom w:val="0"/>
      <w:divBdr>
        <w:top w:val="none" w:sz="0" w:space="0" w:color="auto"/>
        <w:left w:val="none" w:sz="0" w:space="0" w:color="auto"/>
        <w:bottom w:val="none" w:sz="0" w:space="0" w:color="auto"/>
        <w:right w:val="none" w:sz="0" w:space="0" w:color="auto"/>
      </w:divBdr>
      <w:divsChild>
        <w:div w:id="664553839">
          <w:marLeft w:val="0"/>
          <w:marRight w:val="0"/>
          <w:marTop w:val="0"/>
          <w:marBottom w:val="0"/>
          <w:divBdr>
            <w:top w:val="none" w:sz="0" w:space="0" w:color="auto"/>
            <w:left w:val="none" w:sz="0" w:space="0" w:color="auto"/>
            <w:bottom w:val="none" w:sz="0" w:space="0" w:color="auto"/>
            <w:right w:val="none" w:sz="0" w:space="0" w:color="auto"/>
          </w:divBdr>
        </w:div>
      </w:divsChild>
    </w:div>
    <w:div w:id="1423646863">
      <w:bodyDiv w:val="1"/>
      <w:marLeft w:val="0"/>
      <w:marRight w:val="0"/>
      <w:marTop w:val="0"/>
      <w:marBottom w:val="0"/>
      <w:divBdr>
        <w:top w:val="none" w:sz="0" w:space="0" w:color="auto"/>
        <w:left w:val="none" w:sz="0" w:space="0" w:color="auto"/>
        <w:bottom w:val="none" w:sz="0" w:space="0" w:color="auto"/>
        <w:right w:val="none" w:sz="0" w:space="0" w:color="auto"/>
      </w:divBdr>
    </w:div>
    <w:div w:id="1528789035">
      <w:bodyDiv w:val="1"/>
      <w:marLeft w:val="0"/>
      <w:marRight w:val="0"/>
      <w:marTop w:val="0"/>
      <w:marBottom w:val="0"/>
      <w:divBdr>
        <w:top w:val="none" w:sz="0" w:space="0" w:color="auto"/>
        <w:left w:val="none" w:sz="0" w:space="0" w:color="auto"/>
        <w:bottom w:val="none" w:sz="0" w:space="0" w:color="auto"/>
        <w:right w:val="none" w:sz="0" w:space="0" w:color="auto"/>
      </w:divBdr>
      <w:divsChild>
        <w:div w:id="1004169511">
          <w:marLeft w:val="0"/>
          <w:marRight w:val="0"/>
          <w:marTop w:val="0"/>
          <w:marBottom w:val="0"/>
          <w:divBdr>
            <w:top w:val="none" w:sz="0" w:space="0" w:color="auto"/>
            <w:left w:val="none" w:sz="0" w:space="0" w:color="auto"/>
            <w:bottom w:val="none" w:sz="0" w:space="0" w:color="auto"/>
            <w:right w:val="none" w:sz="0" w:space="0" w:color="auto"/>
          </w:divBdr>
        </w:div>
      </w:divsChild>
    </w:div>
    <w:div w:id="1712416104">
      <w:bodyDiv w:val="1"/>
      <w:marLeft w:val="0"/>
      <w:marRight w:val="0"/>
      <w:marTop w:val="0"/>
      <w:marBottom w:val="0"/>
      <w:divBdr>
        <w:top w:val="none" w:sz="0" w:space="0" w:color="auto"/>
        <w:left w:val="none" w:sz="0" w:space="0" w:color="auto"/>
        <w:bottom w:val="none" w:sz="0" w:space="0" w:color="auto"/>
        <w:right w:val="none" w:sz="0" w:space="0" w:color="auto"/>
      </w:divBdr>
    </w:div>
    <w:div w:id="2055153662">
      <w:bodyDiv w:val="1"/>
      <w:marLeft w:val="0"/>
      <w:marRight w:val="0"/>
      <w:marTop w:val="0"/>
      <w:marBottom w:val="0"/>
      <w:divBdr>
        <w:top w:val="none" w:sz="0" w:space="0" w:color="auto"/>
        <w:left w:val="none" w:sz="0" w:space="0" w:color="auto"/>
        <w:bottom w:val="none" w:sz="0" w:space="0" w:color="auto"/>
        <w:right w:val="none" w:sz="0" w:space="0" w:color="auto"/>
      </w:divBdr>
      <w:divsChild>
        <w:div w:id="1768502872">
          <w:marLeft w:val="0"/>
          <w:marRight w:val="0"/>
          <w:marTop w:val="0"/>
          <w:marBottom w:val="0"/>
          <w:divBdr>
            <w:top w:val="none" w:sz="0" w:space="0" w:color="auto"/>
            <w:left w:val="none" w:sz="0" w:space="0" w:color="auto"/>
            <w:bottom w:val="none" w:sz="0" w:space="0" w:color="auto"/>
            <w:right w:val="none" w:sz="0" w:space="0" w:color="auto"/>
          </w:divBdr>
        </w:div>
      </w:divsChild>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elegraaf.nl/financieel/nederland-raakt-slaapwandelend-zijn-hele-industrie-kwijt-wat-weg-is-komt-nooit-meer-terug/129181160.html" TargetMode="External"/><Relationship Id="rId2" Type="http://schemas.openxmlformats.org/officeDocument/2006/relationships/hyperlink" Target="https://www.rtl.nl/nieuws/economie/artikel/5559483/hoogleraar-als-bedrijven-nederland-verlaten-merk-jij-dat" TargetMode="External"/><Relationship Id="rId1" Type="http://schemas.openxmlformats.org/officeDocument/2006/relationships/hyperlink" Target="https://open.overheid.nl/documenten/8bf2ebbe-c875-4715-9a44-51c06adfd7b3/file" TargetMode="External"/><Relationship Id="rId5" Type="http://schemas.openxmlformats.org/officeDocument/2006/relationships/hyperlink" Target="https://www.cpb.nl/publicatie/steun-energie-intensieve-industrie-en-de-interactie-met-het-eu-ets" TargetMode="External"/><Relationship Id="rId4" Type="http://schemas.openxmlformats.org/officeDocument/2006/relationships/hyperlink" Target="https://www.telegraaf.nl/financieel/nederland-raakt-slaapwandelend-zijn-hele-industrie-kwijt-wat-weg-is-komt-nooit-meer-terug/12918116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5538</ap:Words>
  <ap:Characters>30461</ap:Characters>
  <ap:DocSecurity>0</ap:DocSecurity>
  <ap:Lines>253</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2026-05-20T15:23:00.0000000Z</dcterms:created>
  <dcterms:modified xsi:type="dcterms:W3CDTF">2026-05-20T16:40:00.0000000Z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0x010100BB93CF778AF26044BFEA169266F8E057</vt:lpwstr>
  </property>
  <property fmtid="{D5CDD505-2E9C-101B-9397-08002B2CF9AE}" pid="3" name="_dlc_DocIdItemGuid">
    <vt:lpwstr>8f3d53f6-5626-4ecf-9848-7584700792a7</vt:lpwstr>
  </property>
  <property fmtid="{D5CDD505-2E9C-101B-9397-08002B2CF9AE}" pid="4" name="_ExtendedDescription">
    <vt:lpwstr/>
  </property>
</Properties>
</file>