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590" w:rsidP="00D96209" w:rsidRDefault="00341C47" w14:paraId="21A16672" w14:textId="50E310F6">
      <w:bookmarkStart w:name="_GoBack" w:id="0"/>
      <w:bookmarkEnd w:id="0"/>
      <w:r>
        <w:t>Geachte voorzitter,</w:t>
      </w:r>
    </w:p>
    <w:p w:rsidR="00341C47" w:rsidP="00D96209" w:rsidRDefault="00341C47" w14:paraId="1592DA63" w14:textId="77777777"/>
    <w:p w:rsidR="00341C47" w:rsidP="00D96209" w:rsidRDefault="00341C47" w14:paraId="47CEE793" w14:textId="1F6E2AC2">
      <w:r>
        <w:t xml:space="preserve">Hierbij ontvangt u de geannoteerde agenda van de </w:t>
      </w:r>
      <w:r w:rsidR="002010FC">
        <w:t>Transportraad</w:t>
      </w:r>
      <w:r>
        <w:t xml:space="preserve"> van </w:t>
      </w:r>
      <w:r w:rsidR="00644EEC">
        <w:t>8</w:t>
      </w:r>
      <w:r w:rsidR="001258E8">
        <w:t xml:space="preserve"> juni</w:t>
      </w:r>
      <w:r>
        <w:t xml:space="preserve"> </w:t>
      </w:r>
      <w:r w:rsidR="007564FF">
        <w:t xml:space="preserve">a.s. </w:t>
      </w:r>
      <w:r>
        <w:t xml:space="preserve">te </w:t>
      </w:r>
      <w:r w:rsidR="001258E8">
        <w:t>Luxemburg.</w:t>
      </w:r>
    </w:p>
    <w:p w:rsidR="00341C47" w:rsidP="00D96209" w:rsidRDefault="00341C47" w14:paraId="3A4FA9AF" w14:textId="77777777"/>
    <w:p w:rsidR="00341C47" w:rsidP="00D96209" w:rsidRDefault="002010FC" w14:paraId="0E880F23" w14:textId="4D0E2CC4">
      <w:r>
        <w:t xml:space="preserve">De inhoud van deze geannoteerde agenda geeft de meest recente stand van </w:t>
      </w:r>
      <w:r w:rsidR="00341C47">
        <w:t>zaken weer</w:t>
      </w:r>
      <w:r>
        <w:t xml:space="preserve"> omdat er nog geen officiële agenda is voor deze Transportraad</w:t>
      </w:r>
      <w:r w:rsidRPr="6B053CD3" w:rsidR="00010013">
        <w:t>.</w:t>
      </w:r>
      <w:r w:rsidRPr="6B053CD3" w:rsidR="00341C47">
        <w:t xml:space="preserve"> </w:t>
      </w:r>
      <w:r w:rsidRPr="00010013" w:rsidR="00341C47">
        <w:t>Mocht de formele agenda op belangrijke punten</w:t>
      </w:r>
      <w:r w:rsidRPr="6B053CD3" w:rsidR="00394DC7">
        <w:t xml:space="preserve"> </w:t>
      </w:r>
      <w:r w:rsidRPr="00010013" w:rsidR="00341C47">
        <w:t>veranderen, dan wordt u hierover</w:t>
      </w:r>
      <w:r w:rsidR="00AE5C2C">
        <w:t xml:space="preserve"> </w:t>
      </w:r>
      <w:r w:rsidR="008E2221">
        <w:t>geïnformeerd</w:t>
      </w:r>
      <w:r w:rsidRPr="00010013" w:rsidR="00341C47">
        <w:t xml:space="preserve"> </w:t>
      </w:r>
      <w:r w:rsidRPr="00582A7E" w:rsidR="00AF6828">
        <w:t>tijdens het Commissiedebat</w:t>
      </w:r>
      <w:r w:rsidRPr="00582A7E" w:rsidR="00341C47">
        <w:t xml:space="preserve"> dat gepland staat op </w:t>
      </w:r>
      <w:r w:rsidRPr="00582A7E" w:rsidR="00AF6828">
        <w:t>2</w:t>
      </w:r>
      <w:r w:rsidR="008E2221">
        <w:t>6</w:t>
      </w:r>
      <w:r w:rsidRPr="00582A7E" w:rsidR="00AF6828">
        <w:t xml:space="preserve"> mei</w:t>
      </w:r>
      <w:r w:rsidRPr="00582A7E" w:rsidR="00341C47">
        <w:t xml:space="preserve"> a.s.</w:t>
      </w:r>
      <w:r w:rsidRPr="6B053CD3">
        <w:t xml:space="preserve"> </w:t>
      </w:r>
    </w:p>
    <w:p w:rsidR="00C00590" w:rsidP="00D96209" w:rsidRDefault="00C00590" w14:paraId="47E3EA25" w14:textId="0D06AE96">
      <w:pPr>
        <w:pStyle w:val="WitregelW1bodytekst"/>
      </w:pPr>
    </w:p>
    <w:p w:rsidR="00C00590" w:rsidP="00D96209" w:rsidRDefault="00A227DC" w14:paraId="0D9A7944" w14:textId="77777777">
      <w:pPr>
        <w:pStyle w:val="Slotzin"/>
      </w:pPr>
      <w:r>
        <w:t>Hoogachtend,</w:t>
      </w:r>
    </w:p>
    <w:p w:rsidR="00A453D8" w:rsidP="00A453D8" w:rsidRDefault="00A453D8" w14:paraId="47CC37F3" w14:textId="77777777">
      <w:pPr>
        <w:pStyle w:val="OndertekeningArea1"/>
      </w:pPr>
      <w:r>
        <w:t>DE MINISTER VAN INFRASTRUCTUUR EN WATERSTAAT,</w:t>
      </w:r>
    </w:p>
    <w:p w:rsidR="00A453D8" w:rsidP="00A453D8" w:rsidRDefault="00A453D8" w14:paraId="008B4E8E" w14:textId="77777777"/>
    <w:p w:rsidR="00A453D8" w:rsidP="00A453D8" w:rsidRDefault="00A453D8" w14:paraId="7B5158ED" w14:textId="77777777"/>
    <w:p w:rsidR="00A453D8" w:rsidP="00A453D8" w:rsidRDefault="00A453D8" w14:paraId="7ACD76E7" w14:textId="77777777"/>
    <w:p w:rsidR="00A453D8" w:rsidP="00A453D8" w:rsidRDefault="00A453D8" w14:paraId="37577C92" w14:textId="77777777"/>
    <w:p w:rsidR="00A453D8" w:rsidP="00A453D8" w:rsidRDefault="00A453D8" w14:paraId="3252C23C" w14:textId="77777777">
      <w:r>
        <w:t>Vincent Karremans</w:t>
      </w:r>
    </w:p>
    <w:p w:rsidR="00A453D8" w:rsidP="00A453D8" w:rsidRDefault="00A453D8" w14:paraId="2BF23F6E" w14:textId="77777777">
      <w:pPr>
        <w:pStyle w:val="OndertekeningArea1"/>
      </w:pPr>
    </w:p>
    <w:p w:rsidR="00A453D8" w:rsidP="00A453D8" w:rsidRDefault="00A453D8" w14:paraId="07782B51" w14:textId="77777777">
      <w:pPr>
        <w:pStyle w:val="OndertekeningArea1"/>
      </w:pPr>
      <w:r>
        <w:t>DE STAATSSECRETARIS VAN INFRASTRUCTUUR EN WATERSTAAT,</w:t>
      </w:r>
    </w:p>
    <w:p w:rsidR="00A453D8" w:rsidP="00A453D8" w:rsidRDefault="00A453D8" w14:paraId="2822796D" w14:textId="77777777"/>
    <w:p w:rsidR="00A453D8" w:rsidP="00A453D8" w:rsidRDefault="00A453D8" w14:paraId="4D990A83" w14:textId="77777777"/>
    <w:p w:rsidR="00A453D8" w:rsidP="00A453D8" w:rsidRDefault="00A453D8" w14:paraId="03351B1C" w14:textId="77777777"/>
    <w:p w:rsidR="00A453D8" w:rsidP="00A453D8" w:rsidRDefault="00A453D8" w14:paraId="275DBAA5" w14:textId="77777777"/>
    <w:p w:rsidR="00A453D8" w:rsidP="00A453D8" w:rsidRDefault="00A453D8" w14:paraId="51CE0BA2" w14:textId="77777777">
      <w:r>
        <w:t>Annet Bertram</w:t>
      </w:r>
    </w:p>
    <w:p w:rsidRPr="00C17875" w:rsidR="00341C47" w:rsidP="00C17875" w:rsidRDefault="00341C47" w14:paraId="60B3FF86" w14:textId="30530C74">
      <w:pPr>
        <w:spacing w:line="276" w:lineRule="auto"/>
        <w:rPr>
          <w:b/>
          <w:bCs/>
          <w:u w:val="single"/>
        </w:rPr>
      </w:pPr>
      <w:r>
        <w:br w:type="page"/>
      </w:r>
      <w:r w:rsidRPr="00C17875">
        <w:rPr>
          <w:b/>
          <w:bCs/>
          <w:u w:val="single"/>
        </w:rPr>
        <w:lastRenderedPageBreak/>
        <w:t>Geannoteerde agenda</w:t>
      </w:r>
    </w:p>
    <w:p w:rsidRPr="00562E4F" w:rsidR="00341C47" w:rsidP="00562E4F" w:rsidRDefault="00341C47" w14:paraId="35308D71" w14:textId="77777777">
      <w:pPr>
        <w:spacing w:line="276" w:lineRule="auto"/>
      </w:pPr>
    </w:p>
    <w:p w:rsidRPr="00562E4F" w:rsidR="00260026" w:rsidP="00562E4F" w:rsidRDefault="00392706" w14:paraId="2E35DF95" w14:textId="59D31994">
      <w:pPr>
        <w:spacing w:line="276" w:lineRule="auto"/>
      </w:pPr>
      <w:r w:rsidRPr="00562E4F">
        <w:t>Het Cypriotisch voorzitterschap heeft een voorlopige agenda bekend gemaakt voor de Transportraad</w:t>
      </w:r>
      <w:r w:rsidRPr="00562E4F" w:rsidR="00AF6828">
        <w:t xml:space="preserve"> </w:t>
      </w:r>
      <w:r w:rsidRPr="00562E4F">
        <w:t>van</w:t>
      </w:r>
      <w:r w:rsidRPr="00562E4F" w:rsidR="00AF6828">
        <w:t xml:space="preserve"> </w:t>
      </w:r>
      <w:r w:rsidRPr="00562E4F">
        <w:t>8</w:t>
      </w:r>
      <w:r w:rsidRPr="00562E4F" w:rsidR="00AF6828">
        <w:t xml:space="preserve"> juni a.s. Het voorzitterschap </w:t>
      </w:r>
      <w:r w:rsidRPr="00562E4F">
        <w:t xml:space="preserve">organiseert een beleidsdebat over militaire mobiliteit </w:t>
      </w:r>
      <w:r w:rsidRPr="00562E4F" w:rsidR="00FE16E9">
        <w:t xml:space="preserve">alsook </w:t>
      </w:r>
      <w:r w:rsidRPr="00562E4F">
        <w:t>over de situatie in het Midden</w:t>
      </w:r>
      <w:r w:rsidR="00707F36">
        <w:t>-</w:t>
      </w:r>
      <w:r w:rsidRPr="00562E4F">
        <w:t>Oosten en de impact van de energiecrisis op de transportsector. Daarnaast zal de Europese Commissie (hierna: Commissie) een voortgangsrapportage presenteren over</w:t>
      </w:r>
      <w:r w:rsidR="00707F36">
        <w:t xml:space="preserve"> het voorstel </w:t>
      </w:r>
      <w:r w:rsidRPr="00707F36" w:rsidR="00707F36">
        <w:t>Verduurzamen zakelijke voertuigen</w:t>
      </w:r>
      <w:r w:rsidRPr="00562E4F">
        <w:t xml:space="preserve"> </w:t>
      </w:r>
      <w:r w:rsidR="00707F36">
        <w:t>(</w:t>
      </w:r>
      <w:r w:rsidRPr="00562E4F" w:rsidR="000C64FF">
        <w:t xml:space="preserve">Clean </w:t>
      </w:r>
      <w:r w:rsidRPr="00562E4F">
        <w:t xml:space="preserve">Corporate </w:t>
      </w:r>
      <w:r w:rsidRPr="00562E4F" w:rsidR="000C64FF">
        <w:t>Vehicles</w:t>
      </w:r>
      <w:r w:rsidR="00707F36">
        <w:t>)</w:t>
      </w:r>
      <w:r w:rsidRPr="00562E4F" w:rsidR="000C64FF">
        <w:t xml:space="preserve"> </w:t>
      </w:r>
      <w:r w:rsidRPr="00562E4F">
        <w:t xml:space="preserve">en zal er een gedachtewisseling plaatsvinden over decarbonisatie van de transportsector na 2030. </w:t>
      </w:r>
      <w:r w:rsidRPr="00562E4F" w:rsidR="00260026">
        <w:t>Tevens</w:t>
      </w:r>
      <w:r w:rsidRPr="00562E4F">
        <w:t xml:space="preserve"> zijn er raadsconclusies voorzien voor de </w:t>
      </w:r>
      <w:r w:rsidRPr="00562E4F" w:rsidR="00260026">
        <w:t>M</w:t>
      </w:r>
      <w:r w:rsidRPr="00562E4F">
        <w:t xml:space="preserve">aritieme </w:t>
      </w:r>
      <w:r w:rsidRPr="00562E4F" w:rsidR="00260026">
        <w:t>M</w:t>
      </w:r>
      <w:r w:rsidRPr="00562E4F">
        <w:t xml:space="preserve">aakindustrie en de </w:t>
      </w:r>
      <w:r w:rsidRPr="00562E4F" w:rsidR="00260026">
        <w:t>EU H</w:t>
      </w:r>
      <w:r w:rsidRPr="00562E4F">
        <w:t>avenstrategie</w:t>
      </w:r>
      <w:r w:rsidRPr="00562E4F" w:rsidR="00541F2B">
        <w:t>.</w:t>
      </w:r>
    </w:p>
    <w:p w:rsidRPr="00562E4F" w:rsidR="00260026" w:rsidP="00562E4F" w:rsidRDefault="00260026" w14:paraId="0B8FDBEA" w14:textId="77777777">
      <w:pPr>
        <w:spacing w:line="276" w:lineRule="auto"/>
      </w:pPr>
    </w:p>
    <w:p w:rsidRPr="00562E4F" w:rsidR="00260026" w:rsidP="00562E4F" w:rsidRDefault="00541F2B" w14:paraId="653EDAED" w14:textId="506F5314">
      <w:pPr>
        <w:spacing w:line="276" w:lineRule="auto"/>
      </w:pPr>
      <w:r w:rsidRPr="00562E4F">
        <w:t>Daarnaast</w:t>
      </w:r>
      <w:r w:rsidRPr="00562E4F" w:rsidR="00260026">
        <w:t xml:space="preserve"> zal het voorzitterschap op een aantal dossiers informatie delen over de voortgang van de trilogen. Dit betreft</w:t>
      </w:r>
      <w:r w:rsidRPr="007F3881" w:rsidR="007F3881">
        <w:t xml:space="preserve"> </w:t>
      </w:r>
      <w:r w:rsidRPr="007F3881" w:rsidR="007F3881">
        <w:rPr>
          <w:i/>
          <w:iCs/>
        </w:rPr>
        <w:t>Connecting Europe Facility</w:t>
      </w:r>
      <w:r w:rsidR="007F3881">
        <w:t>,</w:t>
      </w:r>
      <w:r w:rsidRPr="00562E4F" w:rsidR="00260026">
        <w:t xml:space="preserve"> het voorstel voor de </w:t>
      </w:r>
      <w:r w:rsidRPr="00562E4F" w:rsidR="00392706">
        <w:t xml:space="preserve">Richtlijn Gewichten en Afmetingen Zware Wegvoertuigen, de Verordening </w:t>
      </w:r>
      <w:r w:rsidRPr="00562E4F" w:rsidR="00FD98A9">
        <w:t xml:space="preserve">Handhaving </w:t>
      </w:r>
      <w:r w:rsidRPr="00562E4F" w:rsidR="00260026">
        <w:t>P</w:t>
      </w:r>
      <w:r w:rsidRPr="00562E4F" w:rsidR="00392706">
        <w:t>assagiersrechten</w:t>
      </w:r>
      <w:r w:rsidRPr="00562E4F" w:rsidR="008E7909">
        <w:t xml:space="preserve">, </w:t>
      </w:r>
      <w:r w:rsidRPr="00562E4F" w:rsidR="00260026">
        <w:t>de Verordening Passagiersrechten</w:t>
      </w:r>
      <w:r w:rsidRPr="00562E4F" w:rsidR="00392706">
        <w:t xml:space="preserve"> </w:t>
      </w:r>
      <w:r w:rsidRPr="00562E4F" w:rsidR="00260026">
        <w:t>voor Intermodaal Reizen</w:t>
      </w:r>
      <w:r w:rsidRPr="00562E4F" w:rsidR="008E7909">
        <w:t xml:space="preserve"> en de Verordening Passagiersrechten voor de Luchtvaart</w:t>
      </w:r>
      <w:r w:rsidRPr="00562E4F" w:rsidR="063B0202">
        <w:t xml:space="preserve"> in combinatie met de Verordening </w:t>
      </w:r>
      <w:r w:rsidRPr="00562E4F" w:rsidR="5161BFAA">
        <w:t>inzake aansprakelijkheid luchtvervoerders</w:t>
      </w:r>
      <w:r w:rsidRPr="00562E4F" w:rsidR="00260026">
        <w:t xml:space="preserve">, </w:t>
      </w:r>
      <w:r w:rsidRPr="00562E4F" w:rsidR="008E7909">
        <w:t xml:space="preserve">het </w:t>
      </w:r>
      <w:r w:rsidRPr="00562E4F" w:rsidR="008E7909">
        <w:rPr>
          <w:i/>
          <w:iCs/>
        </w:rPr>
        <w:t>Roadworthiness Package</w:t>
      </w:r>
      <w:r w:rsidRPr="00562E4F" w:rsidR="008E7909">
        <w:t>, de Richtlijn Kentekenbewijzen</w:t>
      </w:r>
      <w:r w:rsidRPr="00562E4F">
        <w:t xml:space="preserve"> en </w:t>
      </w:r>
      <w:r w:rsidRPr="00562E4F" w:rsidR="008E7909">
        <w:t>de Eurovignetrichtlijn</w:t>
      </w:r>
      <w:r w:rsidRPr="00562E4F">
        <w:t>.</w:t>
      </w:r>
    </w:p>
    <w:p w:rsidRPr="00562E4F" w:rsidR="00541F2B" w:rsidP="00562E4F" w:rsidRDefault="00541F2B" w14:paraId="16EDA2B6" w14:textId="77777777">
      <w:pPr>
        <w:spacing w:line="276" w:lineRule="auto"/>
      </w:pPr>
      <w:bookmarkStart w:name="_Hlk229467905" w:id="1"/>
    </w:p>
    <w:p w:rsidR="00F17E60" w:rsidP="00562E4F" w:rsidRDefault="00541F2B" w14:paraId="7917E2FB" w14:textId="36FA93CC">
      <w:pPr>
        <w:spacing w:line="276" w:lineRule="auto"/>
        <w:rPr>
          <w:b/>
          <w:bCs/>
        </w:rPr>
      </w:pPr>
      <w:bookmarkStart w:name="_Hlk229053985" w:id="2"/>
      <w:r w:rsidRPr="00562E4F">
        <w:t xml:space="preserve">Tot slot staat ook de </w:t>
      </w:r>
      <w:r w:rsidRPr="00562E4F" w:rsidR="000C64FF">
        <w:rPr>
          <w:i/>
          <w:iCs/>
        </w:rPr>
        <w:t xml:space="preserve">roadmap </w:t>
      </w:r>
      <w:r w:rsidRPr="00562E4F" w:rsidR="000C64FF">
        <w:t>voor het</w:t>
      </w:r>
      <w:r w:rsidRPr="00562E4F">
        <w:t xml:space="preserve"> </w:t>
      </w:r>
      <w:r w:rsidRPr="00562E4F">
        <w:rPr>
          <w:i/>
        </w:rPr>
        <w:t>Clean Transport Corridor Initiative</w:t>
      </w:r>
      <w:r w:rsidRPr="00562E4F">
        <w:t xml:space="preserve"> (CTCI) geagendeerd</w:t>
      </w:r>
      <w:r w:rsidRPr="00562E4F" w:rsidR="000C64FF">
        <w:t xml:space="preserve">. Dit betreft </w:t>
      </w:r>
      <w:r w:rsidRPr="00562E4F">
        <w:t xml:space="preserve">een initiatief van lidstaten en de Commissie om de uitrol van laadinfrastructuur voor elektrische bedrijfsvoertuigen langs het Trans-Europese transportnetwerk (TEN-T) te versnellen. </w:t>
      </w:r>
      <w:r w:rsidRPr="00562E4F" w:rsidR="000C64FF">
        <w:t xml:space="preserve">En marge van de Transportraad is een ondertekening van de </w:t>
      </w:r>
      <w:r w:rsidRPr="0041585A" w:rsidR="000C64FF">
        <w:t>roadmap</w:t>
      </w:r>
      <w:r w:rsidRPr="00562E4F" w:rsidR="000C64FF">
        <w:rPr>
          <w:i/>
          <w:iCs/>
        </w:rPr>
        <w:t xml:space="preserve"> </w:t>
      </w:r>
      <w:r w:rsidRPr="00562E4F" w:rsidR="000C64FF">
        <w:t>voorzien door deelnemende lidstaten</w:t>
      </w:r>
      <w:r w:rsidRPr="00562E4F" w:rsidR="004F4FB7">
        <w:t>,</w:t>
      </w:r>
      <w:r w:rsidRPr="00562E4F" w:rsidR="000C64FF">
        <w:t xml:space="preserve"> waaronder Nederland.</w:t>
      </w:r>
      <w:bookmarkEnd w:id="2"/>
    </w:p>
    <w:bookmarkEnd w:id="1"/>
    <w:p w:rsidRPr="00562E4F" w:rsidR="00F17E60" w:rsidP="00562E4F" w:rsidRDefault="00F17E60" w14:paraId="127CBCBC" w14:textId="77777777">
      <w:pPr>
        <w:spacing w:line="276" w:lineRule="auto"/>
      </w:pPr>
    </w:p>
    <w:p w:rsidRPr="00562E4F" w:rsidR="00F31EB0" w:rsidP="00562E4F" w:rsidRDefault="00F31EB0" w14:paraId="28EDC7B9" w14:textId="77777777">
      <w:pPr>
        <w:spacing w:line="276" w:lineRule="auto"/>
        <w:rPr>
          <w:b/>
          <w:bCs/>
        </w:rPr>
      </w:pPr>
    </w:p>
    <w:p w:rsidRPr="00562E4F" w:rsidR="00D96209" w:rsidP="00562E4F" w:rsidRDefault="00A22F9C" w14:paraId="2BEBB938" w14:textId="14C5DB9E">
      <w:pPr>
        <w:spacing w:line="276" w:lineRule="auto"/>
        <w:rPr>
          <w:u w:val="single"/>
        </w:rPr>
      </w:pPr>
      <w:r w:rsidRPr="00562E4F">
        <w:rPr>
          <w:b/>
          <w:bCs/>
        </w:rPr>
        <w:t>Militaire Mobiliteit</w:t>
      </w:r>
    </w:p>
    <w:p w:rsidRPr="00562E4F" w:rsidR="00463712" w:rsidP="00562E4F" w:rsidRDefault="00F31EB0" w14:paraId="20CF36C0" w14:textId="51F7F775">
      <w:pPr>
        <w:spacing w:line="276" w:lineRule="auto"/>
        <w:rPr>
          <w:rFonts w:eastAsia="Verdana" w:cs="Verdana"/>
        </w:rPr>
      </w:pPr>
      <w:r w:rsidRPr="00562E4F">
        <w:rPr>
          <w:u w:val="single"/>
        </w:rPr>
        <w:t>Inhoud</w:t>
      </w:r>
    </w:p>
    <w:p w:rsidRPr="00562E4F" w:rsidR="00F31EB0" w:rsidP="00562E4F" w:rsidRDefault="00471742" w14:paraId="177FB897" w14:textId="5017D894">
      <w:pPr>
        <w:spacing w:line="276" w:lineRule="auto"/>
      </w:pPr>
      <w:r w:rsidRPr="00562E4F">
        <w:rPr>
          <w:rFonts w:eastAsia="Verdana" w:cs="Verdana"/>
        </w:rPr>
        <w:t xml:space="preserve">Tijdens de </w:t>
      </w:r>
      <w:r w:rsidRPr="00562E4F" w:rsidR="006D6DE5">
        <w:rPr>
          <w:rFonts w:eastAsia="Verdana" w:cs="Verdana"/>
        </w:rPr>
        <w:t>T</w:t>
      </w:r>
      <w:r w:rsidRPr="00562E4F">
        <w:rPr>
          <w:rFonts w:eastAsia="Verdana" w:cs="Verdana"/>
        </w:rPr>
        <w:t>ransportraad wordt de Militaire Mobiliteitsverordening voor het eerst in een beleidsdebat besproken</w:t>
      </w:r>
      <w:r w:rsidRPr="00562E4F" w:rsidR="005D4EBB">
        <w:rPr>
          <w:rFonts w:eastAsia="Verdana" w:cs="Verdana"/>
        </w:rPr>
        <w:t xml:space="preserve">, waarbij de focus naar </w:t>
      </w:r>
      <w:r w:rsidRPr="00562E4F" w:rsidR="00456EC8">
        <w:rPr>
          <w:rFonts w:eastAsia="Verdana" w:cs="Verdana"/>
        </w:rPr>
        <w:t>verwachting</w:t>
      </w:r>
      <w:r w:rsidRPr="00562E4F" w:rsidR="005D4EBB">
        <w:rPr>
          <w:rFonts w:eastAsia="Verdana" w:cs="Verdana"/>
        </w:rPr>
        <w:t xml:space="preserve"> zal liggen </w:t>
      </w:r>
      <w:r w:rsidRPr="00562E4F">
        <w:rPr>
          <w:rFonts w:eastAsia="Verdana" w:cs="Verdana"/>
        </w:rPr>
        <w:t xml:space="preserve">op de transportonderdelen van de verordening, namelijk de weerbaarheid van de infrastructuur en de aanpassing van bestaande transportwetgeving. </w:t>
      </w:r>
    </w:p>
    <w:p w:rsidRPr="00562E4F" w:rsidR="00F31EB0" w:rsidP="00562E4F" w:rsidRDefault="00F31EB0" w14:paraId="336BF305" w14:textId="7BA16784">
      <w:pPr>
        <w:spacing w:line="276" w:lineRule="auto"/>
      </w:pPr>
    </w:p>
    <w:p w:rsidRPr="00562E4F" w:rsidR="00B2436D" w:rsidP="00562E4F" w:rsidRDefault="7564FA21" w14:paraId="7576B39D" w14:textId="3FF98343">
      <w:pPr>
        <w:spacing w:line="276" w:lineRule="auto"/>
        <w:rPr>
          <w:rFonts w:eastAsia="Verdana" w:cs="Verdana"/>
        </w:rPr>
      </w:pPr>
      <w:r w:rsidRPr="00562E4F">
        <w:rPr>
          <w:rFonts w:eastAsia="Verdana" w:cs="Verdana"/>
          <w:u w:val="single"/>
        </w:rPr>
        <w:t>Inzet Nederland</w:t>
      </w:r>
    </w:p>
    <w:p w:rsidRPr="00562E4F" w:rsidR="00F31EB0" w:rsidP="00562E4F" w:rsidRDefault="00471742" w14:paraId="4269EAD8" w14:textId="6F8DFCB6">
      <w:pPr>
        <w:spacing w:line="276" w:lineRule="auto"/>
        <w:rPr>
          <w:rFonts w:eastAsia="Verdana" w:cs="Verdana"/>
        </w:rPr>
      </w:pPr>
      <w:r w:rsidRPr="00562E4F">
        <w:rPr>
          <w:rFonts w:eastAsia="Verdana" w:cs="Verdana"/>
        </w:rPr>
        <w:t>De Tweede Kamer is geïnformeerd over de inzet van Nederland middels het BNC-fiche EU Militaire Mobiliteitspakket</w:t>
      </w:r>
      <w:r w:rsidR="00562E4F">
        <w:rPr>
          <w:rStyle w:val="FootnoteReference"/>
          <w:rFonts w:eastAsia="Verdana" w:cs="Verdana"/>
        </w:rPr>
        <w:footnoteReference w:id="2"/>
      </w:r>
      <w:r w:rsidRPr="00562E4F">
        <w:rPr>
          <w:rFonts w:eastAsia="Verdana" w:cs="Verdana"/>
        </w:rPr>
        <w:t>, en heeft schriftelijk vragen gesteld en beantwoord ontvangen bij het Schriftelijk Overleg van de Raad Buitenlandse Zaken – Defensie.</w:t>
      </w:r>
      <w:r w:rsidRPr="00562E4F">
        <w:rPr>
          <w:rStyle w:val="FootnoteReference"/>
          <w:rFonts w:eastAsia="Verdana" w:cs="Verdana"/>
        </w:rPr>
        <w:footnoteReference w:id="3"/>
      </w:r>
    </w:p>
    <w:p w:rsidRPr="00562E4F" w:rsidR="00A22F9C" w:rsidP="00562E4F" w:rsidRDefault="00A22F9C" w14:paraId="5679B17A" w14:textId="77777777">
      <w:pPr>
        <w:spacing w:line="276" w:lineRule="auto"/>
      </w:pPr>
    </w:p>
    <w:p w:rsidRPr="00562E4F" w:rsidR="002C2AC3" w:rsidP="00562E4F" w:rsidRDefault="6C4ECCE5" w14:paraId="52358792" w14:textId="14AA1EA6">
      <w:pPr>
        <w:spacing w:line="276" w:lineRule="auto"/>
        <w:rPr>
          <w:rFonts w:eastAsia="Verdana" w:cs="Verdana"/>
        </w:rPr>
      </w:pPr>
      <w:r w:rsidRPr="00562E4F">
        <w:rPr>
          <w:rFonts w:eastAsia="Verdana" w:cs="Verdana"/>
          <w:u w:val="single"/>
        </w:rPr>
        <w:t>Krachtenveld</w:t>
      </w:r>
    </w:p>
    <w:p w:rsidR="00F632BF" w:rsidP="00562E4F" w:rsidRDefault="004D641A" w14:paraId="17AE6AD2" w14:textId="603EEF88">
      <w:pPr>
        <w:spacing w:line="276" w:lineRule="auto"/>
        <w:rPr>
          <w:b/>
          <w:bCs/>
        </w:rPr>
      </w:pPr>
      <w:r w:rsidRPr="00562E4F">
        <w:rPr>
          <w:rFonts w:eastAsia="Verdana" w:cs="Verdana"/>
        </w:rPr>
        <w:t xml:space="preserve">Het krachtenveld is nog niet uitgekristalliseerd. Wel is duidelijk dat een groot aantal lidstaten tegen het verplichtend karakter van militaire vereisten is, en een financieel voorbehoud voor het implementeren van deze vereisten verwelkomt. </w:t>
      </w:r>
    </w:p>
    <w:p w:rsidR="00562E4F" w:rsidP="00562E4F" w:rsidRDefault="00562E4F" w14:paraId="4425F1A1" w14:textId="77777777">
      <w:pPr>
        <w:spacing w:line="276" w:lineRule="auto"/>
        <w:rPr>
          <w:b/>
          <w:bCs/>
        </w:rPr>
      </w:pPr>
    </w:p>
    <w:p w:rsidR="007F3881" w:rsidP="00562E4F" w:rsidRDefault="007F3881" w14:paraId="343D33E6" w14:textId="77777777">
      <w:pPr>
        <w:spacing w:line="276" w:lineRule="auto"/>
        <w:rPr>
          <w:b/>
          <w:bCs/>
        </w:rPr>
      </w:pPr>
    </w:p>
    <w:p w:rsidRPr="00562E4F" w:rsidR="00F17E60" w:rsidP="00562E4F" w:rsidRDefault="00F17E60" w14:paraId="31001862" w14:textId="77777777">
      <w:pPr>
        <w:spacing w:line="276" w:lineRule="auto"/>
        <w:rPr>
          <w:b/>
          <w:bCs/>
        </w:rPr>
      </w:pPr>
    </w:p>
    <w:p w:rsidRPr="00562E4F" w:rsidR="00463712" w:rsidP="00562E4F" w:rsidRDefault="00A22F9C" w14:paraId="1E4D3404" w14:textId="1CA368DF">
      <w:pPr>
        <w:spacing w:line="276" w:lineRule="auto"/>
        <w:rPr>
          <w:u w:val="single"/>
        </w:rPr>
      </w:pPr>
      <w:r w:rsidRPr="00562E4F">
        <w:rPr>
          <w:b/>
          <w:bCs/>
        </w:rPr>
        <w:t>Situatie in het Midden</w:t>
      </w:r>
      <w:r w:rsidR="00707F36">
        <w:rPr>
          <w:b/>
          <w:bCs/>
        </w:rPr>
        <w:t>-</w:t>
      </w:r>
      <w:r w:rsidRPr="00562E4F">
        <w:rPr>
          <w:b/>
          <w:bCs/>
        </w:rPr>
        <w:t>Oosten</w:t>
      </w:r>
    </w:p>
    <w:p w:rsidRPr="00562E4F" w:rsidR="00E6394C" w:rsidP="00562E4F" w:rsidRDefault="00260E3F" w14:paraId="43BE19E5" w14:textId="713FB360">
      <w:pPr>
        <w:tabs>
          <w:tab w:val="left" w:pos="0"/>
          <w:tab w:val="left" w:pos="340"/>
          <w:tab w:val="left" w:pos="680"/>
          <w:tab w:val="left" w:pos="1021"/>
          <w:tab w:val="left" w:pos="1361"/>
          <w:tab w:val="left" w:pos="1701"/>
          <w:tab w:val="left" w:pos="3402"/>
        </w:tabs>
        <w:spacing w:line="276" w:lineRule="auto"/>
      </w:pPr>
      <w:r w:rsidRPr="00562E4F">
        <w:rPr>
          <w:u w:val="single"/>
        </w:rPr>
        <w:t>Inhoud</w:t>
      </w:r>
    </w:p>
    <w:p w:rsidRPr="00562E4F" w:rsidR="00B23FFA" w:rsidP="00562E4F" w:rsidRDefault="009B499B" w14:paraId="25499621" w14:textId="7FD345F8">
      <w:pPr>
        <w:tabs>
          <w:tab w:val="left" w:pos="0"/>
          <w:tab w:val="left" w:pos="340"/>
          <w:tab w:val="left" w:pos="680"/>
          <w:tab w:val="left" w:pos="1021"/>
          <w:tab w:val="left" w:pos="1361"/>
          <w:tab w:val="left" w:pos="1701"/>
          <w:tab w:val="left" w:pos="3402"/>
        </w:tabs>
        <w:spacing w:line="276" w:lineRule="auto"/>
      </w:pPr>
      <w:r w:rsidRPr="00562E4F">
        <w:t xml:space="preserve">Naar aanleiding van de energiecrisis die is ontstaan in het Midden-Oosten heeft de Commissie op </w:t>
      </w:r>
      <w:r w:rsidRPr="00562E4F" w:rsidR="00B157FB">
        <w:rPr>
          <w:rFonts w:eastAsia="Verdana" w:cs="Verdana"/>
        </w:rPr>
        <w:t xml:space="preserve">22 april 2026 </w:t>
      </w:r>
      <w:r w:rsidRPr="00562E4F">
        <w:rPr>
          <w:rFonts w:eastAsia="Verdana" w:cs="Verdana"/>
        </w:rPr>
        <w:t xml:space="preserve">j.l. </w:t>
      </w:r>
      <w:r w:rsidRPr="00562E4F" w:rsidR="00B157FB">
        <w:rPr>
          <w:rFonts w:eastAsia="Verdana" w:cs="Verdana"/>
        </w:rPr>
        <w:t>de AccelerateEU-mededeling</w:t>
      </w:r>
      <w:r w:rsidRPr="00562E4F">
        <w:rPr>
          <w:rFonts w:eastAsia="Verdana" w:cs="Verdana"/>
        </w:rPr>
        <w:t xml:space="preserve"> gepresenteerd, een mededeling waarmee d</w:t>
      </w:r>
      <w:r w:rsidRPr="00562E4F" w:rsidR="00B157FB">
        <w:rPr>
          <w:rFonts w:eastAsia="Verdana" w:cs="Verdana"/>
        </w:rPr>
        <w:t xml:space="preserve">e Commissie lidstaten </w:t>
      </w:r>
      <w:r w:rsidRPr="00562E4F">
        <w:rPr>
          <w:rFonts w:eastAsia="Verdana" w:cs="Verdana"/>
        </w:rPr>
        <w:t>ondersteunt in het beperken van</w:t>
      </w:r>
      <w:r w:rsidRPr="00562E4F" w:rsidR="00B157FB">
        <w:rPr>
          <w:rFonts w:eastAsia="Verdana" w:cs="Verdana"/>
        </w:rPr>
        <w:t xml:space="preserve"> de economische gevolgen </w:t>
      </w:r>
      <w:r w:rsidRPr="00562E4F" w:rsidR="004F4FB7">
        <w:rPr>
          <w:rFonts w:eastAsia="Verdana" w:cs="Verdana"/>
        </w:rPr>
        <w:t>hiervan</w:t>
      </w:r>
      <w:r w:rsidRPr="00562E4F" w:rsidR="00B157FB">
        <w:rPr>
          <w:rFonts w:eastAsia="Verdana" w:cs="Verdana"/>
        </w:rPr>
        <w:t xml:space="preserve">. De Commissie geeft aan dat, gelet op de volatiliteit in prijzen als gevolg van de schaarste aan fossiele brandstoffen zoals olie en gas, directe steun nodig kan zijn voor huishoudens, maar dat deze gericht, tijdig en tijdelijk moet zijn en rekening moet houden met oplossingen die op langere termijn bijdragen aan het vergroten van de weerbaarheid. </w:t>
      </w:r>
      <w:r w:rsidR="00186047">
        <w:rPr>
          <w:rFonts w:eastAsia="Verdana" w:cs="Verdana"/>
        </w:rPr>
        <w:t>Tijdens de Transportraad zal er gesproken worden over de effecten op de transportsector en de maatregelen voor deze sector.</w:t>
      </w:r>
    </w:p>
    <w:p w:rsidRPr="00562E4F" w:rsidR="00B23FFA" w:rsidP="00562E4F" w:rsidRDefault="00B23FFA" w14:paraId="131147BB" w14:textId="77777777">
      <w:pPr>
        <w:tabs>
          <w:tab w:val="left" w:pos="0"/>
          <w:tab w:val="left" w:pos="340"/>
          <w:tab w:val="left" w:pos="680"/>
          <w:tab w:val="left" w:pos="1021"/>
          <w:tab w:val="left" w:pos="1361"/>
          <w:tab w:val="left" w:pos="1701"/>
          <w:tab w:val="left" w:pos="3402"/>
        </w:tabs>
        <w:spacing w:line="276" w:lineRule="auto"/>
        <w:rPr>
          <w:u w:val="single"/>
        </w:rPr>
      </w:pPr>
    </w:p>
    <w:p w:rsidRPr="00562E4F" w:rsidR="00B23FFA" w:rsidP="00562E4F" w:rsidRDefault="00B23FFA" w14:paraId="18F99F50" w14:textId="77777777">
      <w:pPr>
        <w:tabs>
          <w:tab w:val="left" w:pos="0"/>
          <w:tab w:val="left" w:pos="340"/>
          <w:tab w:val="left" w:pos="680"/>
          <w:tab w:val="left" w:pos="1021"/>
          <w:tab w:val="left" w:pos="1361"/>
          <w:tab w:val="left" w:pos="1701"/>
          <w:tab w:val="left" w:pos="3402"/>
        </w:tabs>
        <w:spacing w:line="276" w:lineRule="auto"/>
      </w:pPr>
      <w:r w:rsidRPr="00562E4F">
        <w:rPr>
          <w:u w:val="single"/>
        </w:rPr>
        <w:t>Inzet Nederland</w:t>
      </w:r>
    </w:p>
    <w:p w:rsidRPr="00562E4F" w:rsidR="00B157FB" w:rsidP="00562E4F" w:rsidRDefault="00B157FB" w14:paraId="0E42244B" w14:textId="6B1A2F65">
      <w:pPr>
        <w:tabs>
          <w:tab w:val="left" w:pos="0"/>
          <w:tab w:val="left" w:pos="340"/>
          <w:tab w:val="left" w:pos="680"/>
          <w:tab w:val="left" w:pos="1021"/>
          <w:tab w:val="left" w:pos="1361"/>
          <w:tab w:val="left" w:pos="1701"/>
          <w:tab w:val="left" w:pos="3402"/>
        </w:tabs>
        <w:spacing w:line="276" w:lineRule="auto"/>
      </w:pPr>
      <w:r w:rsidRPr="00562E4F">
        <w:t xml:space="preserve">De uitgangspunten van </w:t>
      </w:r>
      <w:r w:rsidRPr="00562E4F" w:rsidR="00F876E0">
        <w:t>AcceleratieEU</w:t>
      </w:r>
      <w:r w:rsidRPr="00562E4F">
        <w:t xml:space="preserve"> en de voorgestelde maatregelen sluiten grotendeels aan bij de aanpak van het kabinet en het op 20 april gepresenteerde pakket aan maatregelen.</w:t>
      </w:r>
      <w:r w:rsidRPr="00562E4F" w:rsidR="009B499B">
        <w:rPr>
          <w:rStyle w:val="FootnoteReference"/>
        </w:rPr>
        <w:footnoteReference w:id="4"/>
      </w:r>
      <w:r w:rsidRPr="00562E4F">
        <w:t xml:space="preserve"> Een appreciatie van de communicatie van de Europese Commissie staat beschreven in de recente Kamerbrief AccelerateEU.</w:t>
      </w:r>
      <w:r w:rsidRPr="00562E4F" w:rsidR="009B499B">
        <w:rPr>
          <w:rStyle w:val="FootnoteReference"/>
        </w:rPr>
        <w:footnoteReference w:id="5"/>
      </w:r>
      <w:r w:rsidR="007F3881">
        <w:t xml:space="preserve"> </w:t>
      </w:r>
      <w:r w:rsidRPr="00562E4F">
        <w:t xml:space="preserve">Naast de in de appreciatie beschreven inzet </w:t>
      </w:r>
      <w:r w:rsidRPr="00562E4F" w:rsidR="009B499B">
        <w:t>zal het kabinet</w:t>
      </w:r>
      <w:r w:rsidRPr="00562E4F">
        <w:t xml:space="preserve"> de Commissie op</w:t>
      </w:r>
      <w:r w:rsidRPr="00562E4F" w:rsidR="009B499B">
        <w:t>roepen</w:t>
      </w:r>
      <w:r w:rsidRPr="00562E4F">
        <w:t xml:space="preserve"> om de monitoring van de voorraden te verbeteren en om de huidige flexibiliteit in het Europese wetgevende kader voor luchtvaart helder in kaart te brengen en te benutten. Daarnaast zal </w:t>
      </w:r>
      <w:r w:rsidRPr="00562E4F" w:rsidR="009B499B">
        <w:t>het kabinet de Commissie</w:t>
      </w:r>
      <w:r w:rsidRPr="00562E4F">
        <w:t xml:space="preserve"> vragen om voorbereid te zijn op het uitgeven van een slotwaiver en het versoepelen van de anti</w:t>
      </w:r>
      <w:r w:rsidR="00685C2F">
        <w:t>-</w:t>
      </w:r>
      <w:r w:rsidRPr="00562E4F">
        <w:t>tankering</w:t>
      </w:r>
      <w:r w:rsidR="00685C2F">
        <w:t xml:space="preserve"> </w:t>
      </w:r>
      <w:r w:rsidRPr="00562E4F">
        <w:t>regelgeving. Dit stelt luchtvaartmaatschappijen in staat om brandstof te besparen.</w:t>
      </w:r>
    </w:p>
    <w:p w:rsidRPr="00562E4F" w:rsidR="00B23FFA" w:rsidP="00562E4F" w:rsidRDefault="00B23FFA" w14:paraId="710E5271" w14:textId="77777777">
      <w:pPr>
        <w:tabs>
          <w:tab w:val="left" w:pos="0"/>
          <w:tab w:val="left" w:pos="340"/>
          <w:tab w:val="left" w:pos="680"/>
          <w:tab w:val="left" w:pos="1021"/>
          <w:tab w:val="left" w:pos="1361"/>
          <w:tab w:val="left" w:pos="1701"/>
          <w:tab w:val="left" w:pos="3402"/>
        </w:tabs>
        <w:spacing w:line="276" w:lineRule="auto"/>
      </w:pPr>
    </w:p>
    <w:p w:rsidRPr="00562E4F" w:rsidR="00B23FFA" w:rsidP="00562E4F" w:rsidRDefault="00260E3F" w14:paraId="4D7DACE4" w14:textId="1C8CA54B">
      <w:pPr>
        <w:tabs>
          <w:tab w:val="left" w:pos="0"/>
          <w:tab w:val="left" w:pos="340"/>
          <w:tab w:val="left" w:pos="680"/>
          <w:tab w:val="left" w:pos="1021"/>
          <w:tab w:val="left" w:pos="1361"/>
          <w:tab w:val="left" w:pos="1701"/>
          <w:tab w:val="left" w:pos="3402"/>
        </w:tabs>
        <w:spacing w:line="276" w:lineRule="auto"/>
        <w:rPr>
          <w:u w:val="single"/>
        </w:rPr>
      </w:pPr>
      <w:r w:rsidRPr="00562E4F">
        <w:rPr>
          <w:u w:val="single"/>
        </w:rPr>
        <w:t>K</w:t>
      </w:r>
      <w:r w:rsidRPr="00562E4F" w:rsidR="00B23FFA">
        <w:rPr>
          <w:u w:val="single"/>
        </w:rPr>
        <w:t>rachtenveld</w:t>
      </w:r>
    </w:p>
    <w:p w:rsidR="00260026" w:rsidP="00562E4F" w:rsidRDefault="00B157FB" w14:paraId="5A4EC3C0" w14:textId="6FBB1DF1">
      <w:pPr>
        <w:spacing w:line="276" w:lineRule="auto"/>
      </w:pPr>
      <w:r w:rsidRPr="00562E4F">
        <w:t>De meerderheid van de lidstaten is naar verwachting positief over de AccelerateEU-mededeling. Tegelijkertijd vragen sommige lidstaten aandacht voor de snelle verdere uitwerking van een aantal zaken, waaronder de mogelijkheid om specifieke sectoren tijdelijk te steunen. Lidstaten zijn de afgelopen periode al met verschillende eigen maatregelenpakketten gekomen, soms ook van meer generieke en daarmee vraagstimulerende aard. Zo verlaagden Duitsland, Italië en Hongarije de accijnzen op brandstoffen, terwijl België en Frankrijk via maximumprijzen de stijgingen proberen te beperken.</w:t>
      </w:r>
    </w:p>
    <w:p w:rsidRPr="00562E4F" w:rsidR="00562E4F" w:rsidP="00562E4F" w:rsidRDefault="00562E4F" w14:paraId="4585A42C" w14:textId="77777777">
      <w:pPr>
        <w:spacing w:line="276" w:lineRule="auto"/>
      </w:pPr>
    </w:p>
    <w:p w:rsidRPr="00562E4F" w:rsidR="00260E3F" w:rsidP="00562E4F" w:rsidRDefault="00260E3F" w14:paraId="5FAFFA3A" w14:textId="77777777">
      <w:pPr>
        <w:spacing w:line="276" w:lineRule="auto"/>
      </w:pPr>
    </w:p>
    <w:p w:rsidRPr="00186047" w:rsidR="001367C1" w:rsidP="00562E4F" w:rsidRDefault="001367C1" w14:paraId="254EE794" w14:textId="77777777">
      <w:pPr>
        <w:spacing w:line="276" w:lineRule="auto"/>
        <w:rPr>
          <w:b/>
          <w:bCs/>
        </w:rPr>
      </w:pPr>
      <w:r w:rsidRPr="00F876E0">
        <w:rPr>
          <w:b/>
          <w:bCs/>
        </w:rPr>
        <w:t>Verduurzamen zakelijke voertuigen</w:t>
      </w:r>
    </w:p>
    <w:p w:rsidRPr="00562E4F" w:rsidR="00F31EB0" w:rsidP="00562E4F" w:rsidRDefault="00F31EB0" w14:paraId="06146866" w14:textId="1C668D7E">
      <w:pPr>
        <w:spacing w:line="276" w:lineRule="auto"/>
        <w:rPr>
          <w:u w:val="single"/>
        </w:rPr>
      </w:pPr>
      <w:r w:rsidRPr="00186047">
        <w:rPr>
          <w:u w:val="single"/>
        </w:rPr>
        <w:t>Inhoud</w:t>
      </w:r>
    </w:p>
    <w:p w:rsidRPr="00562E4F" w:rsidR="000C64FF" w:rsidP="00562E4F" w:rsidRDefault="000C64FF" w14:paraId="6EC04C4F" w14:textId="0674775E">
      <w:pPr>
        <w:tabs>
          <w:tab w:val="left" w:pos="0"/>
          <w:tab w:val="left" w:pos="340"/>
          <w:tab w:val="left" w:pos="680"/>
          <w:tab w:val="left" w:pos="1021"/>
          <w:tab w:val="left" w:pos="1361"/>
          <w:tab w:val="left" w:pos="1701"/>
          <w:tab w:val="left" w:pos="3402"/>
        </w:tabs>
        <w:spacing w:line="276" w:lineRule="auto"/>
      </w:pPr>
      <w:r w:rsidRPr="00562E4F">
        <w:t xml:space="preserve">Op 16 december 2025 heeft de Commissie als onderdeel van het Automobiel Pakket een voorstel voor een </w:t>
      </w:r>
      <w:r w:rsidRPr="00562E4F">
        <w:rPr>
          <w:i/>
          <w:iCs/>
        </w:rPr>
        <w:t>Clean Corporate Vehicles</w:t>
      </w:r>
      <w:r w:rsidRPr="00562E4F">
        <w:t xml:space="preserve">-verordening gepubliceerd. Het wetgevingsvoorstel houdt in dat lidstaten moeten zorgen voor een minimaal aandeel laag- en nul-emissie voertuigen in de nieuwe registraties door grote ondernemingen. Het voorstel richt zich daarmee expliciet niet op het </w:t>
      </w:r>
      <w:r w:rsidRPr="00562E4F" w:rsidR="004F4FB7">
        <w:t>MKB</w:t>
      </w:r>
      <w:r w:rsidRPr="00562E4F">
        <w:t xml:space="preserve">. Het wetgevingsvoorstel heeft drie doelen. Ten eerste de vraag naar laag- en nul-emissie voertuigen in het zakelijke segment te stimuleren. Ten tweede het verminderen van de uitgaven van gebruikers aan fossiele brandstoffen in het wegvervoer. Ten derde het vergroten en versnellen van de beschikbaarheid van ZEVs en LEVs op de tweedehandsmarkt. </w:t>
      </w:r>
      <w:r w:rsidR="001367C1">
        <w:t>Tijdens</w:t>
      </w:r>
      <w:r w:rsidRPr="00562E4F">
        <w:t xml:space="preserve"> de Transportraad presenteert de Commissie een voortgangsrapportage.</w:t>
      </w:r>
    </w:p>
    <w:p w:rsidRPr="00562E4F" w:rsidR="002D2BFB" w:rsidP="00562E4F" w:rsidRDefault="002D2BFB" w14:paraId="1DD2649D" w14:textId="77777777">
      <w:pPr>
        <w:tabs>
          <w:tab w:val="left" w:pos="0"/>
          <w:tab w:val="left" w:pos="340"/>
          <w:tab w:val="left" w:pos="680"/>
          <w:tab w:val="left" w:pos="1021"/>
          <w:tab w:val="left" w:pos="1361"/>
          <w:tab w:val="left" w:pos="1701"/>
          <w:tab w:val="left" w:pos="3402"/>
        </w:tabs>
        <w:spacing w:line="276" w:lineRule="auto"/>
      </w:pPr>
    </w:p>
    <w:p w:rsidRPr="00562E4F" w:rsidR="00260026" w:rsidP="00562E4F" w:rsidRDefault="00260026" w14:paraId="5890E663" w14:textId="77777777">
      <w:pPr>
        <w:tabs>
          <w:tab w:val="left" w:pos="0"/>
          <w:tab w:val="left" w:pos="340"/>
          <w:tab w:val="left" w:pos="680"/>
          <w:tab w:val="left" w:pos="1021"/>
          <w:tab w:val="left" w:pos="1361"/>
          <w:tab w:val="left" w:pos="1701"/>
          <w:tab w:val="left" w:pos="3402"/>
        </w:tabs>
        <w:spacing w:line="276" w:lineRule="auto"/>
      </w:pPr>
      <w:r w:rsidRPr="00562E4F">
        <w:rPr>
          <w:u w:val="single"/>
        </w:rPr>
        <w:t>Inzet Nederland</w:t>
      </w:r>
    </w:p>
    <w:p w:rsidRPr="00562E4F" w:rsidR="000C64FF" w:rsidP="00562E4F" w:rsidRDefault="000C64FF" w14:paraId="1CC1D6F0" w14:textId="4B34E73D">
      <w:pPr>
        <w:tabs>
          <w:tab w:val="left" w:pos="0"/>
          <w:tab w:val="left" w:pos="340"/>
          <w:tab w:val="left" w:pos="680"/>
          <w:tab w:val="left" w:pos="1021"/>
          <w:tab w:val="left" w:pos="1361"/>
          <w:tab w:val="left" w:pos="1701"/>
          <w:tab w:val="left" w:pos="3402"/>
        </w:tabs>
        <w:spacing w:line="276" w:lineRule="auto"/>
      </w:pPr>
      <w:r w:rsidRPr="00562E4F">
        <w:t>Het kabinet steunt de bovengenoemde doelen en is in algemene zin daarom positief over het voorstel. In lijn met het BNC-fiche over verduurzamen zakelijke voertuigen</w:t>
      </w:r>
      <w:r w:rsidRPr="00562E4F">
        <w:rPr>
          <w:rStyle w:val="FootnoteReference"/>
        </w:rPr>
        <w:footnoteReference w:id="6"/>
      </w:r>
      <w:r w:rsidRPr="00562E4F">
        <w:t xml:space="preserve"> heeft het kabinet in Raadsverband gepleit voor een hoger ambitieniveau aangezien veel lidstaten, waaronder Nederland, de doelen met bestaand beleid al zullen overstijgen. Met het oog op het krachtenveld zet het kabinet daarom </w:t>
      </w:r>
      <w:r w:rsidRPr="00562E4F" w:rsidR="004F4FB7">
        <w:t xml:space="preserve">in </w:t>
      </w:r>
      <w:r w:rsidRPr="00562E4F">
        <w:t xml:space="preserve">op het behoud van ambitie in samenspraak met gelijkgestemde lidstaten. Daarbij zet het kabinet zich in om eventuele gevolgen voor het </w:t>
      </w:r>
      <w:r w:rsidRPr="00562E4F" w:rsidR="004F4FB7">
        <w:t>MKB</w:t>
      </w:r>
      <w:r w:rsidRPr="00562E4F">
        <w:t xml:space="preserve"> en in de uitvoering zoveel mogelijk te beperken. In verband met een inventarisatie van eventuele gevolgen voor de uitvoering</w:t>
      </w:r>
      <w:r w:rsidRPr="00562E4F" w:rsidR="004F4FB7">
        <w:t xml:space="preserve"> </w:t>
      </w:r>
      <w:r w:rsidRPr="00562E4F">
        <w:t xml:space="preserve">heeft het kabinet in de onderhandelingen een studievoorbehoud geplaatst bij artikel 4 van het wetgevingsvoorstel. Dit artikel stelt voor dat lidstaten enkel nog financiële steun mogen geven aan voertuigen die laag- of zero-emissie zijn en voldoen aan het EU-voorkeursprincipe uit de </w:t>
      </w:r>
      <w:r w:rsidRPr="00562E4F">
        <w:rPr>
          <w:i/>
          <w:iCs/>
        </w:rPr>
        <w:t>Industrial Accelerator Act.</w:t>
      </w:r>
      <w:r w:rsidRPr="00562E4F">
        <w:rPr>
          <w:rStyle w:val="FootnoteReference"/>
          <w:i/>
          <w:iCs/>
        </w:rPr>
        <w:footnoteReference w:id="7"/>
      </w:r>
    </w:p>
    <w:p w:rsidRPr="00562E4F" w:rsidR="00260026" w:rsidP="00562E4F" w:rsidRDefault="00260026" w14:paraId="03367092" w14:textId="77777777">
      <w:pPr>
        <w:tabs>
          <w:tab w:val="left" w:pos="0"/>
          <w:tab w:val="left" w:pos="340"/>
          <w:tab w:val="left" w:pos="680"/>
          <w:tab w:val="left" w:pos="1021"/>
          <w:tab w:val="left" w:pos="1361"/>
          <w:tab w:val="left" w:pos="1701"/>
          <w:tab w:val="left" w:pos="3402"/>
        </w:tabs>
        <w:spacing w:line="276" w:lineRule="auto"/>
      </w:pPr>
    </w:p>
    <w:p w:rsidRPr="00562E4F" w:rsidR="00F31EB0" w:rsidP="00562E4F" w:rsidRDefault="00F31EB0" w14:paraId="61D580D2" w14:textId="77777777">
      <w:pPr>
        <w:spacing w:line="276" w:lineRule="auto"/>
        <w:rPr>
          <w:u w:val="single"/>
        </w:rPr>
      </w:pPr>
      <w:r w:rsidRPr="00562E4F">
        <w:rPr>
          <w:u w:val="single"/>
        </w:rPr>
        <w:t>Krachtenveld</w:t>
      </w:r>
    </w:p>
    <w:p w:rsidRPr="00562E4F" w:rsidR="000C64FF" w:rsidP="00562E4F" w:rsidRDefault="000C64FF" w14:paraId="3FAF0199" w14:textId="7E71814C">
      <w:pPr>
        <w:spacing w:line="276" w:lineRule="auto"/>
      </w:pPr>
      <w:r w:rsidRPr="00562E4F">
        <w:t>Bij de eerste besprekingen van het wetgevingsvoorstel bleek dat een meerderheid van de lidstaten zeer kritisch is op het Commissievoorstel. Vrijwel alle lidstaten hebben zorgen over hoe de rapportageverplichting georganiseerd kan worden en welke voertuigen precies binnen de reikwijdte van de verordening vallen. Een deel van deze lidstaten vindt het voorgestelde ambitieniveau van de Commissie te hoog. Een kleine groep lidstaten, waaronder Nederland, pleit juist voor het behoud van ambitie en het belang van bindende doelstellingen. Enkele lidstaten pleiten voor het belang van het EU-voorkeursprincipe binnen het wetgevingsvoorstel.</w:t>
      </w:r>
    </w:p>
    <w:p w:rsidRPr="00562E4F" w:rsidR="00A22F9C" w:rsidP="00562E4F" w:rsidRDefault="00A22F9C" w14:paraId="6DC97564" w14:textId="77777777">
      <w:pPr>
        <w:spacing w:line="276" w:lineRule="auto"/>
      </w:pPr>
    </w:p>
    <w:p w:rsidRPr="00562E4F" w:rsidR="00A22F9C" w:rsidP="00562E4F" w:rsidRDefault="00A22F9C" w14:paraId="791E68F2" w14:textId="77777777">
      <w:pPr>
        <w:spacing w:line="276" w:lineRule="auto"/>
      </w:pPr>
    </w:p>
    <w:p w:rsidRPr="00562E4F" w:rsidR="00260026" w:rsidP="00562E4F" w:rsidRDefault="00260026" w14:paraId="267A4446" w14:textId="094A9A87">
      <w:pPr>
        <w:spacing w:line="276" w:lineRule="auto"/>
        <w:rPr>
          <w:b/>
          <w:bCs/>
        </w:rPr>
      </w:pPr>
      <w:r w:rsidRPr="00562E4F">
        <w:rPr>
          <w:b/>
          <w:bCs/>
        </w:rPr>
        <w:t>Decarbonisatie van de transportsector na 2030</w:t>
      </w:r>
    </w:p>
    <w:p w:rsidRPr="00562E4F" w:rsidR="00260026" w:rsidP="00562E4F" w:rsidRDefault="00260026" w14:paraId="12EA6008" w14:textId="259028CF">
      <w:pPr>
        <w:spacing w:line="276" w:lineRule="auto"/>
        <w:rPr>
          <w:u w:val="single"/>
        </w:rPr>
      </w:pPr>
      <w:r w:rsidRPr="00562E4F">
        <w:rPr>
          <w:u w:val="single"/>
        </w:rPr>
        <w:t>Inhoud</w:t>
      </w:r>
    </w:p>
    <w:p w:rsidRPr="00562E4F" w:rsidR="000C64FF" w:rsidP="00562E4F" w:rsidRDefault="000C64FF" w14:paraId="698471CE" w14:textId="1C5FFAA2">
      <w:pPr>
        <w:tabs>
          <w:tab w:val="left" w:pos="0"/>
          <w:tab w:val="left" w:pos="340"/>
          <w:tab w:val="left" w:pos="680"/>
          <w:tab w:val="left" w:pos="1021"/>
          <w:tab w:val="left" w:pos="1361"/>
          <w:tab w:val="left" w:pos="1701"/>
          <w:tab w:val="left" w:pos="3402"/>
        </w:tabs>
        <w:spacing w:line="276" w:lineRule="auto"/>
      </w:pPr>
      <w:r w:rsidRPr="00562E4F">
        <w:t xml:space="preserve">Tijdens de Transportraad </w:t>
      </w:r>
      <w:r w:rsidRPr="00562E4F" w:rsidR="004F4FB7">
        <w:t xml:space="preserve">zal er mogelijk </w:t>
      </w:r>
      <w:r w:rsidRPr="00562E4F">
        <w:t xml:space="preserve">een eerste gedachtewisseling over de decarbonisatie van de transportsector post 2030 </w:t>
      </w:r>
      <w:r w:rsidRPr="00562E4F" w:rsidR="004F4FB7">
        <w:t>plaatsvinden</w:t>
      </w:r>
      <w:r w:rsidRPr="00562E4F">
        <w:t>. Om invulling te geven aan de recent gewijzigde EU klimaatwet</w:t>
      </w:r>
      <w:r w:rsidRPr="00562E4F">
        <w:rPr>
          <w:rStyle w:val="FootnoteReference"/>
        </w:rPr>
        <w:footnoteReference w:id="8"/>
      </w:r>
      <w:r w:rsidRPr="00562E4F">
        <w:t xml:space="preserve">, zal de Commissie later dit jaar verschillende voorstellen doen waarmee de EU het 2040-doel op weg naar klimaatneutraliteit in 2050 kan bereiken. </w:t>
      </w:r>
    </w:p>
    <w:p w:rsidRPr="00562E4F" w:rsidR="00260026" w:rsidP="00562E4F" w:rsidRDefault="00260026" w14:paraId="05F743D3" w14:textId="77777777">
      <w:pPr>
        <w:tabs>
          <w:tab w:val="left" w:pos="0"/>
          <w:tab w:val="left" w:pos="340"/>
          <w:tab w:val="left" w:pos="680"/>
          <w:tab w:val="left" w:pos="1021"/>
          <w:tab w:val="left" w:pos="1361"/>
          <w:tab w:val="left" w:pos="1701"/>
          <w:tab w:val="left" w:pos="3402"/>
        </w:tabs>
        <w:spacing w:line="276" w:lineRule="auto"/>
      </w:pPr>
    </w:p>
    <w:p w:rsidRPr="00562E4F" w:rsidR="00260026" w:rsidP="00562E4F" w:rsidRDefault="00260026" w14:paraId="79F1A514" w14:textId="77777777">
      <w:pPr>
        <w:tabs>
          <w:tab w:val="left" w:pos="0"/>
          <w:tab w:val="left" w:pos="340"/>
          <w:tab w:val="left" w:pos="680"/>
          <w:tab w:val="left" w:pos="1021"/>
          <w:tab w:val="left" w:pos="1361"/>
          <w:tab w:val="left" w:pos="1701"/>
          <w:tab w:val="left" w:pos="3402"/>
        </w:tabs>
        <w:spacing w:line="276" w:lineRule="auto"/>
      </w:pPr>
      <w:r w:rsidRPr="00562E4F">
        <w:rPr>
          <w:u w:val="single"/>
        </w:rPr>
        <w:t>Inzet Nederland</w:t>
      </w:r>
    </w:p>
    <w:p w:rsidRPr="00562E4F" w:rsidR="000C64FF" w:rsidP="00562E4F" w:rsidRDefault="000C64FF" w14:paraId="50604A04" w14:textId="5287A568">
      <w:pPr>
        <w:tabs>
          <w:tab w:val="left" w:pos="0"/>
          <w:tab w:val="left" w:pos="340"/>
          <w:tab w:val="left" w:pos="680"/>
          <w:tab w:val="left" w:pos="1021"/>
          <w:tab w:val="left" w:pos="1361"/>
          <w:tab w:val="left" w:pos="1701"/>
          <w:tab w:val="left" w:pos="3402"/>
        </w:tabs>
        <w:spacing w:line="276" w:lineRule="auto"/>
      </w:pPr>
      <w:r w:rsidRPr="00562E4F">
        <w:t xml:space="preserve">Het kabinet spant zich in voor een ambitieus Europees pakket om invulling te geven aan het doel van 90% in 2040 op weg naar klimaatneutraliteit in 2050. Een Europees pakket komt ook ten behoeve van een gelijk speelveld binnen en buiten de EU. Hiermee wordt investeringszekerheid geboden voor burgers en bedrijven. Een dergelijk pakket kan bovendien bijdragen aan concurrentievermogen en weerbaarheid in Nederland en Europa. </w:t>
      </w:r>
    </w:p>
    <w:p w:rsidRPr="00562E4F" w:rsidR="000C64FF" w:rsidP="00562E4F" w:rsidRDefault="000C64FF" w14:paraId="19045FB6" w14:textId="77777777">
      <w:pPr>
        <w:tabs>
          <w:tab w:val="left" w:pos="0"/>
          <w:tab w:val="left" w:pos="340"/>
          <w:tab w:val="left" w:pos="680"/>
          <w:tab w:val="left" w:pos="1021"/>
          <w:tab w:val="left" w:pos="1361"/>
          <w:tab w:val="left" w:pos="1701"/>
          <w:tab w:val="left" w:pos="3402"/>
        </w:tabs>
        <w:spacing w:line="276" w:lineRule="auto"/>
      </w:pPr>
    </w:p>
    <w:p w:rsidR="001367C1" w:rsidP="00562E4F" w:rsidRDefault="000C64FF" w14:paraId="7302CBAA" w14:textId="107BD215">
      <w:pPr>
        <w:tabs>
          <w:tab w:val="left" w:pos="0"/>
          <w:tab w:val="left" w:pos="340"/>
          <w:tab w:val="left" w:pos="680"/>
          <w:tab w:val="left" w:pos="1021"/>
          <w:tab w:val="left" w:pos="1361"/>
          <w:tab w:val="left" w:pos="1701"/>
          <w:tab w:val="left" w:pos="3402"/>
        </w:tabs>
        <w:spacing w:line="276" w:lineRule="auto"/>
      </w:pPr>
      <w:r w:rsidRPr="00562E4F">
        <w:t xml:space="preserve">In aanloop naar klimaatneutraliteit in 2050 blijven de bestaande onderdelen uit het </w:t>
      </w:r>
      <w:r w:rsidRPr="00562E4F">
        <w:rPr>
          <w:i/>
          <w:iCs/>
        </w:rPr>
        <w:t>Fit for 55</w:t>
      </w:r>
      <w:r w:rsidRPr="00562E4F">
        <w:t>-pakket</w:t>
      </w:r>
      <w:r w:rsidRPr="00562E4F">
        <w:rPr>
          <w:rStyle w:val="FootnoteReference"/>
        </w:rPr>
        <w:footnoteReference w:id="9"/>
      </w:r>
      <w:r w:rsidRPr="00562E4F">
        <w:t xml:space="preserve"> een cruciale rol spelen. Zo heeft het kabinet </w:t>
      </w:r>
      <w:r w:rsidR="005F4676">
        <w:t>op</w:t>
      </w:r>
      <w:r w:rsidRPr="00562E4F">
        <w:t xml:space="preserve"> de Milieuraad van 17 maart jl. reeds </w:t>
      </w:r>
      <w:r w:rsidRPr="00562E4F" w:rsidR="004F4FB7">
        <w:t xml:space="preserve">gepleit voor </w:t>
      </w:r>
      <w:r w:rsidRPr="00562E4F">
        <w:t>het belang van een zo sterk en ambitieus mogelijk Europees emissiehandelssysteem (ETS). Met name het ETS voor de gebouwde omgeving en het wegvervoer (ETS-2) speelt een cruciale rol in de decarbonisatie van de transportsector post-2030.</w:t>
      </w:r>
    </w:p>
    <w:p w:rsidR="00316C03" w:rsidP="00562E4F" w:rsidRDefault="00316C03" w14:paraId="60F1A175" w14:textId="77777777">
      <w:pPr>
        <w:tabs>
          <w:tab w:val="left" w:pos="0"/>
          <w:tab w:val="left" w:pos="340"/>
          <w:tab w:val="left" w:pos="680"/>
          <w:tab w:val="left" w:pos="1021"/>
          <w:tab w:val="left" w:pos="1361"/>
          <w:tab w:val="left" w:pos="1701"/>
          <w:tab w:val="left" w:pos="3402"/>
        </w:tabs>
        <w:spacing w:line="276" w:lineRule="auto"/>
      </w:pPr>
    </w:p>
    <w:p w:rsidRPr="00562E4F" w:rsidR="000C64FF" w:rsidP="00562E4F" w:rsidRDefault="000C64FF" w14:paraId="51260A40" w14:textId="7D848BBC">
      <w:pPr>
        <w:tabs>
          <w:tab w:val="left" w:pos="0"/>
          <w:tab w:val="left" w:pos="340"/>
          <w:tab w:val="left" w:pos="680"/>
          <w:tab w:val="left" w:pos="1021"/>
          <w:tab w:val="left" w:pos="1361"/>
          <w:tab w:val="left" w:pos="1701"/>
          <w:tab w:val="left" w:pos="3402"/>
        </w:tabs>
        <w:spacing w:line="276" w:lineRule="auto"/>
      </w:pPr>
      <w:r w:rsidRPr="00562E4F">
        <w:t>Op het gebied van vervoer en mobiliteit</w:t>
      </w:r>
      <w:r w:rsidRPr="00562E4F" w:rsidR="004F4FB7">
        <w:t xml:space="preserve"> </w:t>
      </w:r>
      <w:r w:rsidRPr="00562E4F">
        <w:t xml:space="preserve">kijkt het kabinet primair naar lopende onderhandelingen, zoals de wetgevingsvoorstellen uit het </w:t>
      </w:r>
      <w:r w:rsidRPr="00316C03">
        <w:t>Automobiel Pakket</w:t>
      </w:r>
      <w:r w:rsidRPr="00562E4F">
        <w:rPr>
          <w:i/>
          <w:iCs/>
        </w:rPr>
        <w:t>,</w:t>
      </w:r>
      <w:r w:rsidRPr="00562E4F">
        <w:t xml:space="preserve"> en de te verwachten wetgevingsvoorstellen, zoals de herziening van de </w:t>
      </w:r>
      <w:r w:rsidRPr="00562E4F">
        <w:rPr>
          <w:i/>
          <w:iCs/>
        </w:rPr>
        <w:t>Alternative Fuels Infrastructure Regulation</w:t>
      </w:r>
      <w:r w:rsidRPr="00562E4F">
        <w:t xml:space="preserve"> (AFIR) eind 2026. Bij de bovengenoemde Milieuraad van 17 maart heeft het kabinet eerder al benadrukt dat elektrificatie de voornaamste drijfveer is voor het langetermijn-concurrentievermogen van de EU auto-industrie, het verminderen van uitlaatemissies binnen de wegvervoersector en innovatie die de betaalbaarheid van mobiliteit bevordert. </w:t>
      </w:r>
    </w:p>
    <w:p w:rsidRPr="00562E4F" w:rsidR="00260026" w:rsidP="00562E4F" w:rsidRDefault="00260026" w14:paraId="10345EB1" w14:textId="77777777">
      <w:pPr>
        <w:tabs>
          <w:tab w:val="left" w:pos="0"/>
          <w:tab w:val="left" w:pos="340"/>
          <w:tab w:val="left" w:pos="680"/>
          <w:tab w:val="left" w:pos="1021"/>
          <w:tab w:val="left" w:pos="1361"/>
          <w:tab w:val="left" w:pos="1701"/>
          <w:tab w:val="left" w:pos="3402"/>
        </w:tabs>
        <w:spacing w:line="276" w:lineRule="auto"/>
      </w:pPr>
    </w:p>
    <w:p w:rsidRPr="00562E4F" w:rsidR="00260026" w:rsidP="00562E4F" w:rsidRDefault="00260026" w14:paraId="4421664C" w14:textId="77777777">
      <w:pPr>
        <w:spacing w:line="276" w:lineRule="auto"/>
        <w:rPr>
          <w:u w:val="single"/>
        </w:rPr>
      </w:pPr>
      <w:r w:rsidRPr="00562E4F">
        <w:rPr>
          <w:u w:val="single"/>
        </w:rPr>
        <w:t>Krachtenveld</w:t>
      </w:r>
    </w:p>
    <w:p w:rsidRPr="00562E4F" w:rsidR="000C64FF" w:rsidP="00562E4F" w:rsidRDefault="000C64FF" w14:paraId="19D3849B" w14:textId="5C1E6713">
      <w:pPr>
        <w:spacing w:line="276" w:lineRule="auto"/>
      </w:pPr>
      <w:r w:rsidRPr="00562E4F">
        <w:t xml:space="preserve">Aangezien de voorstellen ten behoeve van decarbonisatie post-2030 nog niet zijn verschenen, zijn de posities van lidstaten nog niet volledig duidelijk. Op basis van de lopende onderhandelingen over de CO2-emissienormen voor personen- en bestelauto’s kan er in brede zin gezegd worden dat een groep lidstaten consequent pleit voor verregaande aanpassingen en uitstel van bestaande wetgeving. Een kleine groep lidstaten pleit bovendien voor een opschaling van de toepassing van hernieuwbare brandstoffen binnen het wegvervoer. Een andere groep lidstaten, waaronder Nederland, pleitte eerder voor investeringszekerheid en het behouden van een prikkel tot elektrificatie van het wegvervoer. Meerdere lidstaten, waaronder Nederland, benadrukken daarbij een integrale benadering tot decarbonisatie van het wegvervoer, waarbij de schaarse grondstoffen voor de productie van hernieuwbare brandstoffen met name nodig zijn voor de </w:t>
      </w:r>
      <w:r w:rsidRPr="00562E4F">
        <w:rPr>
          <w:i/>
          <w:iCs/>
        </w:rPr>
        <w:t xml:space="preserve">hard to abate </w:t>
      </w:r>
      <w:r w:rsidRPr="00562E4F">
        <w:t>sectoren</w:t>
      </w:r>
      <w:r w:rsidRPr="00562E4F">
        <w:rPr>
          <w:rStyle w:val="FootnoteReference"/>
        </w:rPr>
        <w:footnoteReference w:id="10"/>
      </w:r>
      <w:r w:rsidRPr="00562E4F">
        <w:t xml:space="preserve"> zoals de lucht- en scheepvaart. </w:t>
      </w:r>
    </w:p>
    <w:p w:rsidR="00260026" w:rsidP="00562E4F" w:rsidRDefault="00260026" w14:paraId="1DBAEEF7" w14:textId="77777777">
      <w:pPr>
        <w:spacing w:line="276" w:lineRule="auto"/>
      </w:pPr>
    </w:p>
    <w:p w:rsidRPr="00562E4F" w:rsidR="00C17875" w:rsidP="00562E4F" w:rsidRDefault="00C17875" w14:paraId="3B7FD325" w14:textId="77777777">
      <w:pPr>
        <w:spacing w:line="276" w:lineRule="auto"/>
      </w:pPr>
    </w:p>
    <w:p w:rsidRPr="00562E4F" w:rsidR="00260026" w:rsidP="00562E4F" w:rsidRDefault="00260026" w14:paraId="46D82890" w14:textId="3BEF7718">
      <w:pPr>
        <w:tabs>
          <w:tab w:val="left" w:pos="0"/>
          <w:tab w:val="left" w:pos="340"/>
          <w:tab w:val="left" w:pos="680"/>
          <w:tab w:val="left" w:pos="1021"/>
          <w:tab w:val="left" w:pos="1361"/>
          <w:tab w:val="left" w:pos="1701"/>
          <w:tab w:val="left" w:pos="3402"/>
        </w:tabs>
        <w:spacing w:line="276" w:lineRule="auto"/>
      </w:pPr>
      <w:r w:rsidRPr="00562E4F">
        <w:rPr>
          <w:b/>
          <w:bCs/>
        </w:rPr>
        <w:t>Maritieme Maakindustrie</w:t>
      </w:r>
    </w:p>
    <w:p w:rsidRPr="00562E4F" w:rsidR="00260026" w:rsidP="00562E4F" w:rsidRDefault="00260026" w14:paraId="6D98F57A" w14:textId="77777777">
      <w:pPr>
        <w:spacing w:line="276" w:lineRule="auto"/>
        <w:rPr>
          <w:u w:val="single"/>
        </w:rPr>
      </w:pPr>
      <w:r w:rsidRPr="00562E4F">
        <w:rPr>
          <w:u w:val="single"/>
        </w:rPr>
        <w:t>Inhoud</w:t>
      </w:r>
    </w:p>
    <w:p w:rsidR="00260026" w:rsidP="00562E4F" w:rsidRDefault="0069010D" w14:paraId="200E2902" w14:textId="2B751442">
      <w:pPr>
        <w:tabs>
          <w:tab w:val="left" w:pos="0"/>
          <w:tab w:val="left" w:pos="340"/>
          <w:tab w:val="left" w:pos="680"/>
          <w:tab w:val="left" w:pos="1021"/>
          <w:tab w:val="left" w:pos="1361"/>
          <w:tab w:val="left" w:pos="1701"/>
          <w:tab w:val="left" w:pos="3402"/>
        </w:tabs>
        <w:spacing w:line="276" w:lineRule="auto"/>
      </w:pPr>
      <w:r w:rsidRPr="00562E4F">
        <w:t xml:space="preserve">Op 4 maart 2026 heeft de Commissie de </w:t>
      </w:r>
      <w:r w:rsidRPr="002B06A5">
        <w:rPr>
          <w:i/>
          <w:iCs/>
        </w:rPr>
        <w:t>European Industry Maritime Strategy</w:t>
      </w:r>
      <w:r w:rsidRPr="00562E4F">
        <w:t xml:space="preserve"> (hierna: EIMS) uitgebracht. Over de inhoud van de EIMS en de Nederlandse inzet is de Tweede Kamer </w:t>
      </w:r>
      <w:r w:rsidRPr="00562E4F" w:rsidR="001C26B9">
        <w:t xml:space="preserve">reeds </w:t>
      </w:r>
      <w:r w:rsidRPr="00562E4F">
        <w:t>geïnformeerd via het BNC-</w:t>
      </w:r>
      <w:r w:rsidRPr="00562E4F" w:rsidR="001C26B9">
        <w:t>f</w:t>
      </w:r>
      <w:r w:rsidRPr="00562E4F">
        <w:t>iche.</w:t>
      </w:r>
      <w:r w:rsidRPr="00562E4F" w:rsidR="001C26B9">
        <w:rPr>
          <w:rStyle w:val="FootnoteReference"/>
        </w:rPr>
        <w:footnoteReference w:id="11"/>
      </w:r>
      <w:r w:rsidRPr="00562E4F">
        <w:t xml:space="preserve"> </w:t>
      </w:r>
      <w:r w:rsidR="00756953">
        <w:t>De strategie beoogt de concurrentiekracht van de sector te consolideren en te versterken, met name in hoogwaardige marktsegmenten waar Europa momenteel een technologische voorsprong heeft. De strategie is opgebouwd rond zes pijlers: drie thematische pijlers (industrie, transport en veiligheid) en drie horizontale pijlers (innovatie,</w:t>
      </w:r>
      <w:r w:rsidR="002B06A5">
        <w:t xml:space="preserve"> </w:t>
      </w:r>
      <w:r w:rsidR="00756953">
        <w:t>financiering en vaardigheden).</w:t>
      </w:r>
      <w:r w:rsidRPr="00562E4F">
        <w:t xml:space="preserve"> </w:t>
      </w:r>
      <w:r w:rsidR="002B06A5">
        <w:t>Tijdens de Transportraad zal het voorzitterschap raadsconclusies agenderen.</w:t>
      </w:r>
      <w:r w:rsidRPr="00562E4F">
        <w:t xml:space="preserve">  </w:t>
      </w:r>
    </w:p>
    <w:p w:rsidRPr="00562E4F" w:rsidR="002B06A5" w:rsidP="00562E4F" w:rsidRDefault="002B06A5" w14:paraId="47838667" w14:textId="77777777">
      <w:pPr>
        <w:tabs>
          <w:tab w:val="left" w:pos="0"/>
          <w:tab w:val="left" w:pos="340"/>
          <w:tab w:val="left" w:pos="680"/>
          <w:tab w:val="left" w:pos="1021"/>
          <w:tab w:val="left" w:pos="1361"/>
          <w:tab w:val="left" w:pos="1701"/>
          <w:tab w:val="left" w:pos="3402"/>
        </w:tabs>
        <w:spacing w:line="276" w:lineRule="auto"/>
      </w:pPr>
    </w:p>
    <w:p w:rsidRPr="00562E4F" w:rsidR="00260026" w:rsidP="00562E4F" w:rsidRDefault="00260026" w14:paraId="5A47E38D" w14:textId="77777777">
      <w:pPr>
        <w:tabs>
          <w:tab w:val="left" w:pos="0"/>
          <w:tab w:val="left" w:pos="340"/>
          <w:tab w:val="left" w:pos="680"/>
          <w:tab w:val="left" w:pos="1021"/>
          <w:tab w:val="left" w:pos="1361"/>
          <w:tab w:val="left" w:pos="1701"/>
          <w:tab w:val="left" w:pos="3402"/>
        </w:tabs>
        <w:spacing w:line="276" w:lineRule="auto"/>
      </w:pPr>
    </w:p>
    <w:p w:rsidRPr="00562E4F" w:rsidR="002B06A5" w:rsidP="00562E4F" w:rsidRDefault="00260026" w14:paraId="36DCDA0A" w14:textId="7C649068">
      <w:pPr>
        <w:tabs>
          <w:tab w:val="left" w:pos="0"/>
          <w:tab w:val="left" w:pos="340"/>
          <w:tab w:val="left" w:pos="680"/>
          <w:tab w:val="left" w:pos="1021"/>
          <w:tab w:val="left" w:pos="1361"/>
          <w:tab w:val="left" w:pos="1701"/>
          <w:tab w:val="left" w:pos="3402"/>
        </w:tabs>
        <w:spacing w:line="276" w:lineRule="auto"/>
      </w:pPr>
      <w:r w:rsidRPr="00562E4F">
        <w:rPr>
          <w:u w:val="single"/>
        </w:rPr>
        <w:t>Inzet Nederland</w:t>
      </w:r>
    </w:p>
    <w:p w:rsidR="00260026" w:rsidP="00562E4F" w:rsidRDefault="00756953" w14:paraId="55F27127" w14:textId="7AC31D25">
      <w:pPr>
        <w:tabs>
          <w:tab w:val="left" w:pos="0"/>
          <w:tab w:val="left" w:pos="340"/>
          <w:tab w:val="left" w:pos="680"/>
          <w:tab w:val="left" w:pos="1021"/>
          <w:tab w:val="left" w:pos="1361"/>
          <w:tab w:val="left" w:pos="1701"/>
          <w:tab w:val="left" w:pos="3402"/>
        </w:tabs>
        <w:spacing w:line="276" w:lineRule="auto"/>
      </w:pPr>
      <w:r>
        <w:t>Het kabinet steunt de doelstellingen die zijn opgenomen in de strategie om de concurrentiekracht van de maritieme industrie te versterken. In de Raadsverband heeft Nederland aandacht gevraagd voor het gelijke speelveld binnen de EU, het strategische belang van de offshore en baggersector en voldoende strategische dokcapaciteit. Daarnaast zijn de</w:t>
      </w:r>
      <w:r w:rsidRPr="00562E4F" w:rsidR="0069010D">
        <w:t xml:space="preserve"> punten uit het BNC-fiche en de antwoorden uit het schriftelijk overleg </w:t>
      </w:r>
      <w:r w:rsidRPr="00562E4F" w:rsidR="001C26B9">
        <w:t>over de Informele Transportraad van 28-29 april j.l.</w:t>
      </w:r>
      <w:r w:rsidRPr="00562E4F" w:rsidR="001C26B9">
        <w:rPr>
          <w:rStyle w:val="FootnoteReference"/>
        </w:rPr>
        <w:footnoteReference w:id="12"/>
      </w:r>
      <w:r w:rsidRPr="00562E4F" w:rsidR="001C26B9">
        <w:t xml:space="preserve"> </w:t>
      </w:r>
      <w:r w:rsidRPr="00562E4F" w:rsidR="0069010D">
        <w:t>in de discussie naar voren gebracht en naar de mening van het kabinet wordt deze inzet in de raadsconclusies goed gereflecteerd. Bovendien zal er ook na vaststelling van de raadsconclusies voldoende ruimte zijn om het Nederlands standpunt naar voren te brengen bij de verdere uitwerking van de initiatieven die in de EIMS worden aangekondigd.</w:t>
      </w:r>
      <w:r w:rsidR="002B06A5">
        <w:t xml:space="preserve"> </w:t>
      </w:r>
      <w:r w:rsidRPr="002B06A5" w:rsidR="002B06A5">
        <w:t>De discussie is nog niet geheel afgerond, maar zoals het er nu naar uitziet gaat Nederland akkoord met de Raadsconclusies.</w:t>
      </w:r>
    </w:p>
    <w:p w:rsidRPr="00562E4F" w:rsidR="00562E4F" w:rsidP="00562E4F" w:rsidRDefault="00562E4F" w14:paraId="3171ED7E" w14:textId="77777777">
      <w:pPr>
        <w:tabs>
          <w:tab w:val="left" w:pos="0"/>
          <w:tab w:val="left" w:pos="340"/>
          <w:tab w:val="left" w:pos="680"/>
          <w:tab w:val="left" w:pos="1021"/>
          <w:tab w:val="left" w:pos="1361"/>
          <w:tab w:val="left" w:pos="1701"/>
          <w:tab w:val="left" w:pos="3402"/>
        </w:tabs>
        <w:spacing w:line="276" w:lineRule="auto"/>
      </w:pPr>
    </w:p>
    <w:p w:rsidRPr="00562E4F" w:rsidR="00260026" w:rsidP="00562E4F" w:rsidRDefault="00260026" w14:paraId="50EBD808" w14:textId="77777777">
      <w:pPr>
        <w:spacing w:line="276" w:lineRule="auto"/>
        <w:rPr>
          <w:u w:val="single"/>
        </w:rPr>
      </w:pPr>
      <w:r w:rsidRPr="00562E4F">
        <w:rPr>
          <w:u w:val="single"/>
        </w:rPr>
        <w:t>Krachtenveld</w:t>
      </w:r>
    </w:p>
    <w:p w:rsidR="00260026" w:rsidP="00562E4F" w:rsidRDefault="002B06A5" w14:paraId="75967570" w14:textId="04238EAE">
      <w:pPr>
        <w:spacing w:line="276" w:lineRule="auto"/>
      </w:pPr>
      <w:r w:rsidRPr="002B06A5">
        <w:t xml:space="preserve">Naar verwachting gaan alle lidstaten akkoord met de strategie en worden de ambities van de Commissie gesteund. Een belangrijk discussiepunt betreft </w:t>
      </w:r>
      <w:r>
        <w:t xml:space="preserve">nog </w:t>
      </w:r>
      <w:r w:rsidRPr="002B06A5">
        <w:t>het criterium Made in EU. Een aantal lidstaten, waaronder Nederland, is hier geen voorstander van.</w:t>
      </w:r>
      <w:r>
        <w:t xml:space="preserve"> </w:t>
      </w:r>
      <w:r w:rsidRPr="00F876E0" w:rsidR="00F876E0">
        <w:t>Na het verschijnen van de EIMS is in de raadswerkgroepen gewerkt aan raadsconclusies over de strategie, die tijdens deze Transportraad zullen worden vastgesteld. Bij het schrijven van deze geannoteerde agenda is de discussie over de raadsconclusies nog niet afgerond. In algemene zin kan echter worden gezegd dat de lidstaten de komst van de EIMS verwelkomen. De Raad roept de Commissie en de lidstaten op om de acties die in de EIMS aan hen worden toebedeeld voortvarend op te pakken.</w:t>
      </w:r>
    </w:p>
    <w:p w:rsidRPr="00562E4F" w:rsidR="00562E4F" w:rsidP="00562E4F" w:rsidRDefault="00562E4F" w14:paraId="09B1E1E2" w14:textId="77777777">
      <w:pPr>
        <w:spacing w:line="276" w:lineRule="auto"/>
      </w:pPr>
    </w:p>
    <w:p w:rsidRPr="00562E4F" w:rsidR="00260026" w:rsidP="00562E4F" w:rsidRDefault="00260026" w14:paraId="0B69190C" w14:textId="77777777">
      <w:pPr>
        <w:spacing w:line="276" w:lineRule="auto"/>
      </w:pPr>
    </w:p>
    <w:p w:rsidRPr="00562E4F" w:rsidR="00260026" w:rsidP="00562E4F" w:rsidRDefault="00260026" w14:paraId="3BBB8E34" w14:textId="10F20176">
      <w:pPr>
        <w:tabs>
          <w:tab w:val="left" w:pos="0"/>
          <w:tab w:val="left" w:pos="340"/>
          <w:tab w:val="left" w:pos="680"/>
          <w:tab w:val="left" w:pos="1021"/>
          <w:tab w:val="left" w:pos="1361"/>
          <w:tab w:val="left" w:pos="1701"/>
          <w:tab w:val="left" w:pos="3402"/>
        </w:tabs>
        <w:spacing w:line="276" w:lineRule="auto"/>
      </w:pPr>
      <w:r w:rsidRPr="00562E4F">
        <w:rPr>
          <w:b/>
          <w:bCs/>
        </w:rPr>
        <w:t>EU Havenstrategie</w:t>
      </w:r>
    </w:p>
    <w:p w:rsidRPr="00562E4F" w:rsidR="00260026" w:rsidP="00562E4F" w:rsidRDefault="00260026" w14:paraId="254B36D6" w14:textId="77777777">
      <w:pPr>
        <w:spacing w:line="276" w:lineRule="auto"/>
        <w:rPr>
          <w:u w:val="single"/>
        </w:rPr>
      </w:pPr>
      <w:r w:rsidRPr="00562E4F">
        <w:rPr>
          <w:u w:val="single"/>
        </w:rPr>
        <w:t>Inhoud</w:t>
      </w:r>
    </w:p>
    <w:p w:rsidRPr="00562E4F" w:rsidR="00260026" w:rsidP="00562E4F" w:rsidRDefault="002B06A5" w14:paraId="51837054" w14:textId="59E6D315">
      <w:pPr>
        <w:tabs>
          <w:tab w:val="left" w:pos="0"/>
          <w:tab w:val="left" w:pos="340"/>
          <w:tab w:val="left" w:pos="680"/>
          <w:tab w:val="left" w:pos="1021"/>
          <w:tab w:val="left" w:pos="1361"/>
          <w:tab w:val="left" w:pos="1701"/>
          <w:tab w:val="left" w:pos="3402"/>
        </w:tabs>
        <w:spacing w:line="276" w:lineRule="auto"/>
      </w:pPr>
      <w:r>
        <w:t>O</w:t>
      </w:r>
      <w:r w:rsidRPr="00562E4F" w:rsidR="00B22E34">
        <w:t>p 4 maart</w:t>
      </w:r>
      <w:r>
        <w:t xml:space="preserve"> publiceerde de Commissie</w:t>
      </w:r>
      <w:r w:rsidRPr="00562E4F" w:rsidR="00B22E34">
        <w:t xml:space="preserve"> de EU Havenstrategie. Over de inhoud van de EU Havenstrategie en de Nederlandse inzet is de Tweede Kamer </w:t>
      </w:r>
      <w:r w:rsidRPr="00562E4F" w:rsidR="001C26B9">
        <w:t xml:space="preserve">reeds </w:t>
      </w:r>
      <w:r w:rsidRPr="00562E4F" w:rsidR="00B22E34">
        <w:t>geïnformeerd via het BNC-</w:t>
      </w:r>
      <w:r w:rsidRPr="00562E4F" w:rsidR="001C26B9">
        <w:t>f</w:t>
      </w:r>
      <w:r w:rsidRPr="00562E4F" w:rsidR="00B22E34">
        <w:t>iche.</w:t>
      </w:r>
      <w:r w:rsidRPr="00562E4F" w:rsidR="001C26B9">
        <w:rPr>
          <w:rStyle w:val="FootnoteReference"/>
        </w:rPr>
        <w:footnoteReference w:id="13"/>
      </w:r>
      <w:r w:rsidRPr="00562E4F" w:rsidR="00B22E34">
        <w:t xml:space="preserve"> </w:t>
      </w:r>
      <w:r w:rsidR="00ED15F7">
        <w:t xml:space="preserve">Over dit voorstel zullen </w:t>
      </w:r>
      <w:r>
        <w:t>tijdens</w:t>
      </w:r>
      <w:r w:rsidR="00ED15F7">
        <w:t xml:space="preserve"> de Transportraad raadsconclusies worden vastgesteld. </w:t>
      </w:r>
      <w:r w:rsidRPr="00D94784" w:rsidR="00ED15F7">
        <w:t>In de strategie benadrukt de Commissie dat Europese havens cruciale pijlers zijn binnen onze economie, samenleving, veiligheid en strategische autonomie. Daarbij worden ook de achterlandverbindingen (vaarwegen en spoor) en specifiek een versterkte positionering van de binnenhavens meegenomen als focuspunten. Tegen deze achtergrond beoogt de strategie samenhang te brengen in lopende en nieuwe initiatieven en deze te versterken. De strategie stelt geen nieuwe Europese regelgeving voor, maar verwijst naar lopende en voorgenomen initiatieven die de Commissie op korte of middellange termijn zal ontplooien met raakvlakken voor havens in de EU-lidstaten.</w:t>
      </w:r>
      <w:r w:rsidR="00ED15F7">
        <w:t xml:space="preserve"> </w:t>
      </w:r>
    </w:p>
    <w:p w:rsidRPr="00562E4F" w:rsidR="00260026" w:rsidP="00562E4F" w:rsidRDefault="00260026" w14:paraId="3A793662" w14:textId="77777777">
      <w:pPr>
        <w:tabs>
          <w:tab w:val="left" w:pos="0"/>
          <w:tab w:val="left" w:pos="340"/>
          <w:tab w:val="left" w:pos="680"/>
          <w:tab w:val="left" w:pos="1021"/>
          <w:tab w:val="left" w:pos="1361"/>
          <w:tab w:val="left" w:pos="1701"/>
          <w:tab w:val="left" w:pos="3402"/>
        </w:tabs>
        <w:spacing w:line="276" w:lineRule="auto"/>
      </w:pPr>
    </w:p>
    <w:p w:rsidRPr="00562E4F" w:rsidR="00260026" w:rsidP="00562E4F" w:rsidRDefault="00260026" w14:paraId="57282EB5" w14:textId="3BEF938F">
      <w:pPr>
        <w:tabs>
          <w:tab w:val="left" w:pos="0"/>
          <w:tab w:val="left" w:pos="340"/>
          <w:tab w:val="left" w:pos="680"/>
          <w:tab w:val="left" w:pos="1021"/>
          <w:tab w:val="left" w:pos="1361"/>
          <w:tab w:val="left" w:pos="1701"/>
          <w:tab w:val="left" w:pos="3402"/>
        </w:tabs>
        <w:spacing w:line="276" w:lineRule="auto"/>
      </w:pPr>
      <w:r w:rsidRPr="00562E4F">
        <w:rPr>
          <w:u w:val="single"/>
        </w:rPr>
        <w:t>Inzet Nederland</w:t>
      </w:r>
    </w:p>
    <w:p w:rsidRPr="00562E4F" w:rsidR="00260026" w:rsidP="00562E4F" w:rsidRDefault="009F5FB7" w14:paraId="3B94BF2E" w14:textId="6532CF7D">
      <w:pPr>
        <w:tabs>
          <w:tab w:val="left" w:pos="0"/>
          <w:tab w:val="left" w:pos="340"/>
          <w:tab w:val="left" w:pos="680"/>
          <w:tab w:val="left" w:pos="1021"/>
          <w:tab w:val="left" w:pos="1361"/>
          <w:tab w:val="left" w:pos="1701"/>
          <w:tab w:val="left" w:pos="3402"/>
        </w:tabs>
        <w:spacing w:line="276" w:lineRule="auto"/>
      </w:pPr>
      <w:r w:rsidRPr="00562E4F">
        <w:t>De discussie is nog niet geheel afgerond, maar zoals het er nu naar uitziet gaat Nederland akkoord met de Raadsconclusies. Er spelen geen discussies tussen de lidstaten waarvan de verwachting is dat die tijdens de Transportraad moeten worden beslecht.</w:t>
      </w:r>
      <w:r w:rsidR="00ED15F7">
        <w:t xml:space="preserve"> Conform het BNC-fiche </w:t>
      </w:r>
      <w:r w:rsidRPr="00562E4F">
        <w:t xml:space="preserve">en de antwoorden uit het schriftelijk overleg </w:t>
      </w:r>
      <w:r w:rsidRPr="00562E4F" w:rsidR="004F1BB2">
        <w:t>over de Informele Transportraad van 28-29 april j.l.</w:t>
      </w:r>
      <w:r w:rsidRPr="00562E4F" w:rsidR="004F1BB2">
        <w:rPr>
          <w:rStyle w:val="FootnoteReference"/>
        </w:rPr>
        <w:footnoteReference w:id="14"/>
      </w:r>
      <w:r w:rsidRPr="00562E4F" w:rsidR="004F1BB2">
        <w:t xml:space="preserve"> </w:t>
      </w:r>
      <w:r w:rsidR="00ED15F7">
        <w:t xml:space="preserve">heeft Nederland onder andere aandacht gevraagd voor de aanpak van </w:t>
      </w:r>
      <w:r w:rsidRPr="002B06A5" w:rsidR="00ED15F7">
        <w:rPr>
          <w:i/>
          <w:iCs/>
        </w:rPr>
        <w:t>Foreign Direct Investments</w:t>
      </w:r>
      <w:r w:rsidR="00ED15F7">
        <w:t>, het beperken van regeldruk, het waarborgen van een level playing field en de positie van binnenhavens. Deze punten worden in de raadsconclusies</w:t>
      </w:r>
      <w:r w:rsidRPr="00562E4F">
        <w:t xml:space="preserve"> naar de mening van het kabinet goed gereflecteerd. </w:t>
      </w:r>
      <w:r w:rsidR="00ED15F7">
        <w:t>Ook hier geldt dat</w:t>
      </w:r>
      <w:r w:rsidRPr="00562E4F">
        <w:t xml:space="preserve"> na vaststelling van de raadsconclusies voldoende ruimte </w:t>
      </w:r>
      <w:r w:rsidR="00ED15F7">
        <w:t xml:space="preserve">zal </w:t>
      </w:r>
      <w:r w:rsidRPr="00562E4F">
        <w:t>zijn om het Nederlands standpunt naar voren te brengen bij de verdere uitwerking van de initiatieven die in de EU Havenstrategie worden aangekondigd.</w:t>
      </w:r>
    </w:p>
    <w:p w:rsidRPr="00562E4F" w:rsidR="00260026" w:rsidP="00562E4F" w:rsidRDefault="00260026" w14:paraId="547710FD" w14:textId="77777777">
      <w:pPr>
        <w:tabs>
          <w:tab w:val="left" w:pos="0"/>
          <w:tab w:val="left" w:pos="340"/>
          <w:tab w:val="left" w:pos="680"/>
          <w:tab w:val="left" w:pos="1021"/>
          <w:tab w:val="left" w:pos="1361"/>
          <w:tab w:val="left" w:pos="1701"/>
          <w:tab w:val="left" w:pos="3402"/>
        </w:tabs>
        <w:spacing w:line="276" w:lineRule="auto"/>
      </w:pPr>
    </w:p>
    <w:p w:rsidRPr="00562E4F" w:rsidR="00260026" w:rsidP="00562E4F" w:rsidRDefault="00260026" w14:paraId="76D3AC79" w14:textId="77777777">
      <w:pPr>
        <w:spacing w:line="276" w:lineRule="auto"/>
        <w:rPr>
          <w:u w:val="single"/>
        </w:rPr>
      </w:pPr>
      <w:r w:rsidRPr="00562E4F">
        <w:rPr>
          <w:u w:val="single"/>
        </w:rPr>
        <w:t>Krachtenveld</w:t>
      </w:r>
    </w:p>
    <w:p w:rsidRPr="00562E4F" w:rsidR="00260026" w:rsidP="00562E4F" w:rsidRDefault="002B06A5" w14:paraId="318C93BF" w14:textId="17CCB88E">
      <w:pPr>
        <w:spacing w:line="276" w:lineRule="auto"/>
      </w:pPr>
      <w:r w:rsidRPr="002B06A5">
        <w:t xml:space="preserve">In algemene zin kan worden gezegd dat de lidstaten de EU Havenstrategie verwelkomen. De Raad roept de Europese Commissie en de lidstaten op om de acties die in de EU Havenstrategie aan hen worden toebedeeld voortvarend op te pakken. </w:t>
      </w:r>
      <w:r w:rsidRPr="00562E4F" w:rsidR="009F5FB7">
        <w:t>Naar verwachting gaan alle lidstaten akkoord.</w:t>
      </w:r>
    </w:p>
    <w:p w:rsidRPr="00562E4F" w:rsidR="00E57F72" w:rsidP="00562E4F" w:rsidRDefault="00E57F72" w14:paraId="0F0D7421" w14:textId="77777777">
      <w:pPr>
        <w:spacing w:line="276" w:lineRule="auto"/>
      </w:pPr>
    </w:p>
    <w:p w:rsidRPr="00562E4F" w:rsidR="00416919" w:rsidP="00562E4F" w:rsidRDefault="00416919" w14:paraId="701732A6" w14:textId="77777777">
      <w:pPr>
        <w:tabs>
          <w:tab w:val="left" w:pos="0"/>
          <w:tab w:val="left" w:pos="340"/>
          <w:tab w:val="left" w:pos="680"/>
          <w:tab w:val="left" w:pos="1021"/>
          <w:tab w:val="left" w:pos="1361"/>
          <w:tab w:val="left" w:pos="1701"/>
          <w:tab w:val="left" w:pos="3402"/>
        </w:tabs>
        <w:spacing w:line="276" w:lineRule="auto"/>
      </w:pPr>
    </w:p>
    <w:p w:rsidRPr="00562E4F" w:rsidR="00E6394C" w:rsidP="00562E4F" w:rsidRDefault="00276A1F" w14:paraId="612D14D7" w14:textId="77CA4976">
      <w:pPr>
        <w:spacing w:line="276" w:lineRule="auto"/>
        <w:rPr>
          <w:b/>
          <w:bCs/>
        </w:rPr>
      </w:pPr>
      <w:r w:rsidRPr="00562E4F">
        <w:rPr>
          <w:b/>
          <w:bCs/>
        </w:rPr>
        <w:t>Diversenpunt</w:t>
      </w:r>
      <w:r w:rsidRPr="00562E4F" w:rsidR="00E6394C">
        <w:rPr>
          <w:b/>
          <w:bCs/>
        </w:rPr>
        <w:t xml:space="preserve">en </w:t>
      </w:r>
    </w:p>
    <w:p w:rsidRPr="00562E4F" w:rsidR="00276A1F" w:rsidP="00562E4F" w:rsidRDefault="00BF7F49" w14:paraId="33ADE0B9" w14:textId="5CC94287">
      <w:pPr>
        <w:spacing w:line="276" w:lineRule="auto"/>
        <w:rPr>
          <w:i/>
          <w:iCs/>
          <w:u w:val="single"/>
        </w:rPr>
      </w:pPr>
      <w:r w:rsidRPr="00562E4F">
        <w:rPr>
          <w:i/>
          <w:iCs/>
          <w:u w:val="single"/>
        </w:rPr>
        <w:t>Stand van zaken lopende wetgevende voorstellen</w:t>
      </w:r>
    </w:p>
    <w:p w:rsidRPr="00562E4F" w:rsidR="00276A1F" w:rsidP="00562E4F" w:rsidRDefault="00276A1F" w14:paraId="19969272" w14:textId="0B4FF82D">
      <w:pPr>
        <w:spacing w:line="276" w:lineRule="auto"/>
      </w:pPr>
      <w:r w:rsidRPr="00562E4F">
        <w:t>Het voorzitterschap zal bij de diversenpunten informatie geven over enkele lopende trilogen:</w:t>
      </w:r>
    </w:p>
    <w:p w:rsidRPr="00562E4F" w:rsidR="00276A1F" w:rsidP="00562E4F" w:rsidRDefault="00276A1F" w14:paraId="330A14F4" w14:textId="77777777">
      <w:pPr>
        <w:spacing w:line="276" w:lineRule="auto"/>
        <w:rPr>
          <w:b/>
          <w:bCs/>
        </w:rPr>
      </w:pPr>
    </w:p>
    <w:p w:rsidRPr="00562E4F" w:rsidR="00260026" w:rsidP="00562E4F" w:rsidRDefault="00260026" w14:paraId="104B9A23" w14:textId="575D8AD3">
      <w:pPr>
        <w:spacing w:line="276" w:lineRule="auto"/>
      </w:pPr>
      <w:r w:rsidRPr="00562E4F">
        <w:rPr>
          <w:i/>
          <w:iCs/>
        </w:rPr>
        <w:t>Richtlijn Gewichten en Afmetingen Zware Wegvoertuigen</w:t>
      </w:r>
    </w:p>
    <w:p w:rsidRPr="00562E4F" w:rsidR="004F1BB2" w:rsidP="00562E4F" w:rsidRDefault="004F1BB2" w14:paraId="6E2F76D3" w14:textId="20FCE802">
      <w:pPr>
        <w:tabs>
          <w:tab w:val="left" w:pos="0"/>
          <w:tab w:val="left" w:pos="340"/>
          <w:tab w:val="left" w:pos="680"/>
          <w:tab w:val="left" w:pos="1021"/>
          <w:tab w:val="left" w:pos="1361"/>
          <w:tab w:val="left" w:pos="1701"/>
          <w:tab w:val="left" w:pos="3402"/>
        </w:tabs>
        <w:spacing w:line="276" w:lineRule="auto"/>
      </w:pPr>
      <w:r w:rsidRPr="00562E4F">
        <w:t>Op 11 juli 2023 heeft de Commissie de herziening van de Richtlijn Gewichten en Afmetingen Zware Wegvoertuigen gepubliceerd als onderdeel van het Vergroening van Vervoer-pakket.</w:t>
      </w:r>
      <w:r w:rsidRPr="00562E4F">
        <w:rPr>
          <w:rStyle w:val="FootnoteReference"/>
        </w:rPr>
        <w:footnoteReference w:id="15"/>
      </w:r>
      <w:r w:rsidRPr="00562E4F">
        <w:t xml:space="preserve"> Tijdens de Transportraad van 4 december 2025 is er een algemene oriëntatie bereikt. Het Cypriotisch voorzitterschap is de triloog over deze richtlijn gestart, maar heeft die niet kunnen afronden en heeft daarom besloten de triloog door te schuiven naar het Iers voorzitterschap.</w:t>
      </w:r>
    </w:p>
    <w:p w:rsidRPr="00562E4F" w:rsidR="004F1BB2" w:rsidP="00562E4F" w:rsidRDefault="004F1BB2" w14:paraId="7CFE9EBA" w14:textId="59CA4247">
      <w:pPr>
        <w:tabs>
          <w:tab w:val="left" w:pos="0"/>
          <w:tab w:val="left" w:pos="340"/>
          <w:tab w:val="left" w:pos="680"/>
          <w:tab w:val="left" w:pos="1021"/>
          <w:tab w:val="left" w:pos="1361"/>
          <w:tab w:val="left" w:pos="1701"/>
          <w:tab w:val="left" w:pos="3402"/>
        </w:tabs>
        <w:spacing w:line="276" w:lineRule="auto"/>
      </w:pPr>
      <w:r w:rsidRPr="00562E4F">
        <w:t>Het kabinet is positief over het raadsvoorstel zoals dat nu in de triloog wordt besproken en de mogelijkheden die het biedt voor de harmonisatie van de vereisten voor zware voertuigen in het goederenvervoer. Het kabinet zet zich conform het aan uw Kamer toegestuurde BNC-fiche</w:t>
      </w:r>
      <w:r w:rsidRPr="00562E4F">
        <w:rPr>
          <w:rStyle w:val="FootnoteReference"/>
        </w:rPr>
        <w:footnoteReference w:id="16"/>
      </w:r>
      <w:r w:rsidRPr="00562E4F">
        <w:t xml:space="preserve"> ook in de triloogfase in voor het behoud van dimensies die passen binnen de huidige infrastructuur, met een maximale aslast van 11,5 ton en een maximale hoogte van 4,00 meter. In het huidige voorstel in de triloog zijn deze maxima behouden. </w:t>
      </w:r>
    </w:p>
    <w:p w:rsidRPr="00562E4F" w:rsidR="004F1BB2" w:rsidP="00562E4F" w:rsidRDefault="004F1BB2" w14:paraId="4F1C4758" w14:textId="1EE670AA">
      <w:pPr>
        <w:tabs>
          <w:tab w:val="left" w:pos="0"/>
          <w:tab w:val="left" w:pos="340"/>
          <w:tab w:val="left" w:pos="680"/>
          <w:tab w:val="left" w:pos="1021"/>
          <w:tab w:val="left" w:pos="1361"/>
          <w:tab w:val="left" w:pos="1701"/>
          <w:tab w:val="left" w:pos="3402"/>
        </w:tabs>
        <w:spacing w:line="276" w:lineRule="auto"/>
      </w:pPr>
      <w:r w:rsidRPr="00562E4F">
        <w:t>Het kabinet ziet ruimte voor meer ambitie in de verduurzaming van het zware wegtransport en daarmee meer ruimte voor ondernemers, in lijn met de klimaatdoelstellingen</w:t>
      </w:r>
      <w:r w:rsidRPr="00562E4F" w:rsidR="0076223C">
        <w:t>,</w:t>
      </w:r>
      <w:r w:rsidRPr="00562E4F">
        <w:t xml:space="preserve"> maar het kabinet waardeert dat het raadsvoorstel meer gewicht en lengte toestaat voor emissieloze vrachtwagens en daarmee de vergroening van het vrachtwagenpark stimuleert.</w:t>
      </w:r>
    </w:p>
    <w:p w:rsidR="00562E4F" w:rsidP="00562E4F" w:rsidRDefault="00562E4F" w14:paraId="1984F24B" w14:textId="77777777">
      <w:pPr>
        <w:spacing w:line="276" w:lineRule="auto"/>
        <w:rPr>
          <w:u w:val="single"/>
        </w:rPr>
      </w:pPr>
    </w:p>
    <w:p w:rsidRPr="00562E4F" w:rsidR="004F1BB2" w:rsidP="00562E4F" w:rsidRDefault="004F1BB2" w14:paraId="07B1DCBB" w14:textId="1C4FDD7F">
      <w:pPr>
        <w:spacing w:line="276" w:lineRule="auto"/>
      </w:pPr>
      <w:r w:rsidRPr="00562E4F">
        <w:t xml:space="preserve">Onder het Deens voorzitterschap is er tijdens de Transportraad van 4 december 2025 een akkoord bereikt. De triloog is niet tot een conclusie gekomen onder het Cypriotische voorzitterschap vanwege uiteenlopende meningen tussen de Raad en het Europees Parlement op het gebied van o.a. harmonisering en monitoring van het wegtransport. </w:t>
      </w:r>
    </w:p>
    <w:p w:rsidRPr="00562E4F" w:rsidR="008E7909" w:rsidP="00562E4F" w:rsidRDefault="008E7909" w14:paraId="4C100816" w14:textId="77777777">
      <w:pPr>
        <w:spacing w:line="276" w:lineRule="auto"/>
      </w:pPr>
    </w:p>
    <w:p w:rsidRPr="00562E4F" w:rsidR="00260026" w:rsidP="00562E4F" w:rsidRDefault="00260026" w14:paraId="340AE0FE" w14:textId="42362B15">
      <w:pPr>
        <w:spacing w:line="276" w:lineRule="auto"/>
      </w:pPr>
      <w:r w:rsidRPr="00562E4F">
        <w:rPr>
          <w:i/>
          <w:iCs/>
        </w:rPr>
        <w:t xml:space="preserve">Verordening </w:t>
      </w:r>
      <w:r w:rsidRPr="00562E4F" w:rsidR="2A8743A0">
        <w:rPr>
          <w:i/>
          <w:iCs/>
        </w:rPr>
        <w:t>H</w:t>
      </w:r>
      <w:r w:rsidRPr="00562E4F" w:rsidR="51CCDCFC">
        <w:rPr>
          <w:i/>
          <w:iCs/>
        </w:rPr>
        <w:t xml:space="preserve">andhaving </w:t>
      </w:r>
      <w:r w:rsidRPr="00562E4F">
        <w:rPr>
          <w:i/>
          <w:iCs/>
        </w:rPr>
        <w:t>Passagiersrechten</w:t>
      </w:r>
    </w:p>
    <w:p w:rsidRPr="00562E4F" w:rsidR="00260026" w:rsidP="00562E4F" w:rsidRDefault="51CCDCFC" w14:paraId="32550375" w14:textId="7F8FEB87">
      <w:pPr>
        <w:spacing w:line="276" w:lineRule="auto"/>
      </w:pPr>
      <w:r w:rsidRPr="00562E4F">
        <w:rPr>
          <w:rFonts w:eastAsia="Verdana" w:cs="Verdana"/>
        </w:rPr>
        <w:t xml:space="preserve">Tijdens het Cypriotisch voorzitterschap is met name veel voortgang op de Verordening Passagiersrechten in de Luchtvaart </w:t>
      </w:r>
      <w:r w:rsidRPr="00562E4F" w:rsidR="55C581B3">
        <w:rPr>
          <w:rFonts w:eastAsia="Verdana" w:cs="Verdana"/>
        </w:rPr>
        <w:t xml:space="preserve">in combinatie met de Verordening inzake aansprakelijkheid voor luchtvervoerders </w:t>
      </w:r>
      <w:r w:rsidRPr="00562E4F">
        <w:rPr>
          <w:rFonts w:eastAsia="Verdana" w:cs="Verdana"/>
        </w:rPr>
        <w:t xml:space="preserve">geboekt. De Verordening </w:t>
      </w:r>
      <w:r w:rsidRPr="00562E4F" w:rsidR="00E5C25D">
        <w:rPr>
          <w:rFonts w:eastAsia="Verdana" w:cs="Verdana"/>
        </w:rPr>
        <w:t>H</w:t>
      </w:r>
      <w:r w:rsidRPr="00562E4F">
        <w:rPr>
          <w:rFonts w:eastAsia="Verdana" w:cs="Verdana"/>
        </w:rPr>
        <w:t xml:space="preserve">andhaving </w:t>
      </w:r>
      <w:r w:rsidRPr="00562E4F" w:rsidR="00E5C25D">
        <w:rPr>
          <w:rFonts w:eastAsia="Verdana" w:cs="Verdana"/>
        </w:rPr>
        <w:t>P</w:t>
      </w:r>
      <w:r w:rsidRPr="00562E4F">
        <w:rPr>
          <w:rFonts w:eastAsia="Verdana" w:cs="Verdana"/>
        </w:rPr>
        <w:t xml:space="preserve">assagiersrechten hangt hier ook mee samen, maar de prioriteit en voortgang lagen in deze periode op </w:t>
      </w:r>
      <w:r w:rsidRPr="00562E4F" w:rsidR="69A3276F">
        <w:rPr>
          <w:rFonts w:eastAsia="Verdana" w:cs="Verdana"/>
        </w:rPr>
        <w:t xml:space="preserve">de </w:t>
      </w:r>
      <w:r w:rsidRPr="00562E4F">
        <w:rPr>
          <w:rFonts w:eastAsia="Verdana" w:cs="Verdana"/>
        </w:rPr>
        <w:t xml:space="preserve">passagiersrechten in de luchtvaart, mede in afwachting van verdere ontwikkelingen daarop. In de komende periode pakt het Cypriotisch voorzitterschap ook de besprekingen over de handhaving van passagiersrechten in eerste lezing op, waarbij een politieke triloog met het Europees Parlement in Straatsburg </w:t>
      </w:r>
      <w:r w:rsidR="00562E4F">
        <w:rPr>
          <w:rFonts w:eastAsia="Verdana" w:cs="Verdana"/>
        </w:rPr>
        <w:t>wordt</w:t>
      </w:r>
      <w:r w:rsidRPr="00562E4F">
        <w:rPr>
          <w:rFonts w:eastAsia="Verdana" w:cs="Verdana"/>
        </w:rPr>
        <w:t xml:space="preserve"> gepland</w:t>
      </w:r>
      <w:r w:rsidR="00562E4F">
        <w:rPr>
          <w:rFonts w:eastAsia="Verdana" w:cs="Verdana"/>
        </w:rPr>
        <w:t xml:space="preserve">. </w:t>
      </w:r>
      <w:r w:rsidRPr="00562E4F">
        <w:rPr>
          <w:rFonts w:eastAsia="Verdana" w:cs="Verdana"/>
        </w:rPr>
        <w:t>Nederland ondersteunt verdere voortgang</w:t>
      </w:r>
      <w:r w:rsidRPr="00562E4F" w:rsidR="08D42528">
        <w:rPr>
          <w:rFonts w:eastAsia="Verdana" w:cs="Verdana"/>
        </w:rPr>
        <w:t xml:space="preserve"> </w:t>
      </w:r>
      <w:r w:rsidRPr="00562E4F">
        <w:rPr>
          <w:rFonts w:eastAsia="Verdana" w:cs="Verdana"/>
        </w:rPr>
        <w:t>en kijkt daarbij goed naar de onderlinge samenhang</w:t>
      </w:r>
      <w:r w:rsidRPr="00562E4F" w:rsidR="08D42528">
        <w:rPr>
          <w:rFonts w:eastAsia="Verdana" w:cs="Verdana"/>
        </w:rPr>
        <w:t xml:space="preserve"> tussen de verordeningen</w:t>
      </w:r>
      <w:r w:rsidRPr="00562E4F">
        <w:rPr>
          <w:rFonts w:eastAsia="Verdana" w:cs="Verdana"/>
        </w:rPr>
        <w:t>. Het kabinet zet zich in voor meer uniforme handhaving, eenvoudiger en beter afgestemde klachten- en claimprocedures, en het terugdringen van administratieve lasten voor overheden. Duidelijke en geharmoniseerde EU-regels zijn van groot belang voor reizigers, vervoerders en toezichthouders.</w:t>
      </w:r>
    </w:p>
    <w:p w:rsidRPr="00562E4F" w:rsidR="008E7909" w:rsidP="00562E4F" w:rsidRDefault="008E7909" w14:paraId="5E868A9A" w14:textId="77777777">
      <w:pPr>
        <w:spacing w:line="276" w:lineRule="auto"/>
      </w:pPr>
    </w:p>
    <w:p w:rsidRPr="00562E4F" w:rsidR="00260026" w:rsidP="00562E4F" w:rsidRDefault="00260026" w14:paraId="1F1BD1DE" w14:textId="7F34F0F0">
      <w:pPr>
        <w:spacing w:line="276" w:lineRule="auto"/>
      </w:pPr>
      <w:r w:rsidRPr="00562E4F">
        <w:rPr>
          <w:i/>
          <w:iCs/>
        </w:rPr>
        <w:t xml:space="preserve">Verordening </w:t>
      </w:r>
      <w:r w:rsidRPr="00562E4F" w:rsidR="2966B501">
        <w:rPr>
          <w:i/>
          <w:iCs/>
        </w:rPr>
        <w:t xml:space="preserve">Passagiersrechten in de Luchtvaart i.c.m. de verordening </w:t>
      </w:r>
      <w:r w:rsidRPr="00562E4F">
        <w:rPr>
          <w:i/>
          <w:iCs/>
        </w:rPr>
        <w:t>inzake aansprakelijkheid luchtvervoerders</w:t>
      </w:r>
    </w:p>
    <w:p w:rsidRPr="00562E4F" w:rsidR="52267CD1" w:rsidP="00562E4F" w:rsidRDefault="008C0DC0" w14:paraId="3FE83792" w14:textId="5B615A78">
      <w:pPr>
        <w:spacing w:line="276" w:lineRule="auto"/>
        <w:rPr>
          <w:rFonts w:eastAsia="Verdana" w:cs="Verdana"/>
        </w:rPr>
      </w:pPr>
      <w:r w:rsidRPr="00562E4F">
        <w:t>De onderhandelingen over de Verordening Passagiersrechten in de Luchtvaart zijn onder het Cypriotisch voorzitterschap overgegaan naar de bemiddelingsfase, omdat de Raad niet kon instemmen met de ruim 200 amendementen van het E</w:t>
      </w:r>
      <w:r w:rsidRPr="00562E4F" w:rsidR="004F1BB2">
        <w:t>u</w:t>
      </w:r>
      <w:r w:rsidRPr="00562E4F">
        <w:t xml:space="preserve">ropees Parlement in de tweede lezing. </w:t>
      </w:r>
      <w:r w:rsidRPr="00562E4F" w:rsidR="25D3EA4B">
        <w:rPr>
          <w:rFonts w:eastAsia="Verdana" w:cs="Verdana"/>
        </w:rPr>
        <w:t>Binnen deze fase staat een tweede vergadering van het bemiddelingscomité gepland. Het kabinet vindt het belangrijk dat er voortgang wordt geboekt op dit dossier</w:t>
      </w:r>
      <w:r w:rsidRPr="00562E4F">
        <w:rPr>
          <w:rFonts w:eastAsia="Verdana" w:cs="Verdana"/>
        </w:rPr>
        <w:t xml:space="preserve"> en </w:t>
      </w:r>
      <w:r w:rsidRPr="00562E4F" w:rsidR="25D3EA4B">
        <w:rPr>
          <w:rFonts w:eastAsia="Verdana" w:cs="Verdana"/>
        </w:rPr>
        <w:t xml:space="preserve">zal zich blijven inzetten voor een evenwichtige </w:t>
      </w:r>
      <w:r w:rsidRPr="00562E4F" w:rsidR="5873AD4E">
        <w:rPr>
          <w:rFonts w:eastAsia="Verdana" w:cs="Verdana"/>
        </w:rPr>
        <w:t xml:space="preserve">balans tussen passagiersbescherming enerzijds en </w:t>
      </w:r>
      <w:r w:rsidRPr="00562E4F" w:rsidR="25D3EA4B">
        <w:rPr>
          <w:rFonts w:eastAsia="Verdana" w:cs="Verdana"/>
        </w:rPr>
        <w:t xml:space="preserve">de </w:t>
      </w:r>
      <w:r w:rsidRPr="00562E4F">
        <w:rPr>
          <w:rFonts w:eastAsia="Verdana" w:cs="Verdana"/>
        </w:rPr>
        <w:t xml:space="preserve">beperking van </w:t>
      </w:r>
      <w:r w:rsidRPr="00562E4F" w:rsidR="25D3EA4B">
        <w:rPr>
          <w:rFonts w:eastAsia="Verdana" w:cs="Verdana"/>
        </w:rPr>
        <w:t>administratieve</w:t>
      </w:r>
      <w:r w:rsidRPr="00562E4F" w:rsidR="538ABE64">
        <w:rPr>
          <w:rFonts w:eastAsia="Verdana" w:cs="Verdana"/>
        </w:rPr>
        <w:t xml:space="preserve"> en financiële</w:t>
      </w:r>
      <w:r w:rsidRPr="00562E4F" w:rsidR="25D3EA4B">
        <w:rPr>
          <w:rFonts w:eastAsia="Verdana" w:cs="Verdana"/>
        </w:rPr>
        <w:t xml:space="preserve"> lasten voor luchtvaartmaatschappijen </w:t>
      </w:r>
      <w:r w:rsidRPr="00562E4F" w:rsidR="5873AD4E">
        <w:rPr>
          <w:rFonts w:eastAsia="Verdana" w:cs="Verdana"/>
        </w:rPr>
        <w:t>anderzijds</w:t>
      </w:r>
      <w:r w:rsidRPr="00562E4F" w:rsidR="25D3EA4B">
        <w:rPr>
          <w:rFonts w:eastAsia="Verdana" w:cs="Verdana"/>
        </w:rPr>
        <w:t>.</w:t>
      </w:r>
    </w:p>
    <w:p w:rsidRPr="00562E4F" w:rsidR="3CAF30C8" w:rsidP="00562E4F" w:rsidRDefault="3CAF30C8" w14:paraId="4A464DAD" w14:textId="16526EE4">
      <w:pPr>
        <w:spacing w:line="276" w:lineRule="auto"/>
        <w:rPr>
          <w:i/>
          <w:iCs/>
        </w:rPr>
      </w:pPr>
    </w:p>
    <w:p w:rsidRPr="00562E4F" w:rsidR="008E7909" w:rsidP="00562E4F" w:rsidRDefault="008E7909" w14:paraId="2AA8F32F" w14:textId="56380F93">
      <w:pPr>
        <w:spacing w:line="276" w:lineRule="auto"/>
      </w:pPr>
      <w:r w:rsidRPr="00562E4F">
        <w:rPr>
          <w:i/>
          <w:iCs/>
        </w:rPr>
        <w:t>Verordening Passagiersrechten voor Intermodaal Reizen</w:t>
      </w:r>
    </w:p>
    <w:p w:rsidRPr="00562E4F" w:rsidR="7013006B" w:rsidP="00562E4F" w:rsidRDefault="191C0BD1" w14:paraId="45580746" w14:textId="24F5FB3C">
      <w:pPr>
        <w:spacing w:line="276" w:lineRule="auto"/>
        <w:rPr>
          <w:rFonts w:eastAsia="Calibri" w:cs="Calibri"/>
        </w:rPr>
      </w:pPr>
      <w:r w:rsidRPr="00562E4F">
        <w:rPr>
          <w:rFonts w:eastAsia="Verdana" w:cs="Verdana"/>
        </w:rPr>
        <w:t>De onderhandelingen inzake de nieuwe Verordening Passagiersrechten voor Intermodaal Reizen lig</w:t>
      </w:r>
      <w:r w:rsidRPr="00562E4F" w:rsidR="72AC27F1">
        <w:rPr>
          <w:rFonts w:eastAsia="Verdana" w:cs="Verdana"/>
        </w:rPr>
        <w:t>gen</w:t>
      </w:r>
      <w:r w:rsidRPr="00562E4F">
        <w:rPr>
          <w:rFonts w:eastAsia="Verdana" w:cs="Verdana"/>
        </w:rPr>
        <w:t xml:space="preserve"> stil onder het Cypriotisch voorzitterschap.</w:t>
      </w:r>
      <w:r w:rsidRPr="00562E4F">
        <w:rPr>
          <w:rFonts w:eastAsia="Calibri" w:cs="Calibri"/>
        </w:rPr>
        <w:t xml:space="preserve"> </w:t>
      </w:r>
      <w:r w:rsidRPr="00562E4F" w:rsidR="00033922">
        <w:rPr>
          <w:rFonts w:eastAsia="Calibri" w:cs="Calibri"/>
        </w:rPr>
        <w:t>Naar verwachting zullen er</w:t>
      </w:r>
      <w:r w:rsidRPr="00562E4F" w:rsidR="4E5121A2">
        <w:rPr>
          <w:rFonts w:eastAsia="Calibri" w:cs="Calibri"/>
        </w:rPr>
        <w:t xml:space="preserve"> </w:t>
      </w:r>
      <w:r w:rsidRPr="00562E4F" w:rsidR="7013006B">
        <w:rPr>
          <w:rFonts w:eastAsia="Calibri" w:cs="Calibri"/>
        </w:rPr>
        <w:t xml:space="preserve">geen </w:t>
      </w:r>
      <w:r w:rsidRPr="00562E4F" w:rsidR="00033922">
        <w:rPr>
          <w:rFonts w:eastAsia="Calibri" w:cs="Calibri"/>
        </w:rPr>
        <w:t xml:space="preserve">inhoudelijke </w:t>
      </w:r>
      <w:r w:rsidRPr="00562E4F" w:rsidR="7013006B">
        <w:rPr>
          <w:rFonts w:eastAsia="Calibri" w:cs="Calibri"/>
        </w:rPr>
        <w:t xml:space="preserve">ontwikkelingen </w:t>
      </w:r>
      <w:r w:rsidRPr="00562E4F" w:rsidR="00033922">
        <w:rPr>
          <w:rFonts w:eastAsia="Calibri" w:cs="Calibri"/>
        </w:rPr>
        <w:t xml:space="preserve">vermeld worden </w:t>
      </w:r>
      <w:r w:rsidRPr="00562E4F" w:rsidR="7013006B">
        <w:rPr>
          <w:rFonts w:eastAsia="Calibri" w:cs="Calibri"/>
        </w:rPr>
        <w:t xml:space="preserve">op dit dossier. </w:t>
      </w:r>
    </w:p>
    <w:p w:rsidRPr="00562E4F" w:rsidR="008E7909" w:rsidP="00562E4F" w:rsidRDefault="008E7909" w14:paraId="6DBA4052" w14:textId="77777777">
      <w:pPr>
        <w:spacing w:line="276" w:lineRule="auto"/>
      </w:pPr>
    </w:p>
    <w:p w:rsidRPr="00562E4F" w:rsidR="008E7909" w:rsidP="00562E4F" w:rsidRDefault="008E7909" w14:paraId="0B5B9027" w14:textId="6DA2B923">
      <w:pPr>
        <w:spacing w:line="276" w:lineRule="auto"/>
        <w:rPr>
          <w:highlight w:val="yellow"/>
        </w:rPr>
      </w:pPr>
      <w:r w:rsidRPr="00562E4F">
        <w:rPr>
          <w:i/>
          <w:iCs/>
        </w:rPr>
        <w:t>Roadworthiness Package</w:t>
      </w:r>
    </w:p>
    <w:p w:rsidR="063F3701" w:rsidP="00562E4F" w:rsidRDefault="063F3701" w14:paraId="7C595A3A" w14:textId="379C266F">
      <w:pPr>
        <w:spacing w:line="276" w:lineRule="auto"/>
        <w:rPr>
          <w:rFonts w:eastAsia="Verdana" w:cs="Verdana"/>
        </w:rPr>
      </w:pPr>
      <w:r w:rsidRPr="00562E4F">
        <w:rPr>
          <w:rFonts w:eastAsia="Verdana" w:cs="Verdana"/>
        </w:rPr>
        <w:t xml:space="preserve">Het Roadworthiness package (RWP) bestaat uit drie EU-richtlijnen op het gebied van periodieke technische controles (APK), technische controles langs de weg en kentekenregistratie en -bewijzen van motorvoertuigen. Het doel van het RWP is </w:t>
      </w:r>
      <w:r w:rsidRPr="00562E4F" w:rsidR="008C0DC0">
        <w:rPr>
          <w:rFonts w:eastAsia="Verdana" w:cs="Verdana"/>
        </w:rPr>
        <w:t xml:space="preserve">het verbeteren van </w:t>
      </w:r>
      <w:r w:rsidRPr="00562E4F">
        <w:rPr>
          <w:rFonts w:eastAsia="Verdana" w:cs="Verdana"/>
        </w:rPr>
        <w:t xml:space="preserve">de verkeersveiligheid, </w:t>
      </w:r>
      <w:r w:rsidRPr="00562E4F" w:rsidR="008C0DC0">
        <w:rPr>
          <w:rFonts w:eastAsia="Verdana" w:cs="Verdana"/>
        </w:rPr>
        <w:t xml:space="preserve">het bevorderen van </w:t>
      </w:r>
      <w:r w:rsidRPr="00562E4F">
        <w:rPr>
          <w:rFonts w:eastAsia="Verdana" w:cs="Verdana"/>
        </w:rPr>
        <w:t xml:space="preserve">duurzame mobiliteit en </w:t>
      </w:r>
      <w:r w:rsidRPr="00562E4F" w:rsidR="008C0DC0">
        <w:rPr>
          <w:rFonts w:eastAsia="Verdana" w:cs="Verdana"/>
        </w:rPr>
        <w:t>het harmoniseren van</w:t>
      </w:r>
      <w:r w:rsidRPr="00562E4F">
        <w:rPr>
          <w:rFonts w:eastAsia="Verdana" w:cs="Verdana"/>
        </w:rPr>
        <w:t xml:space="preserve"> voertuigregistratie binnen de EU. Het pakket wordt momenteel middels twee richtlijnen herzien: </w:t>
      </w:r>
      <w:r w:rsidRPr="00562E4F" w:rsidR="008C0DC0">
        <w:rPr>
          <w:rFonts w:eastAsia="Verdana" w:cs="Verdana"/>
        </w:rPr>
        <w:t>1) een</w:t>
      </w:r>
      <w:r w:rsidRPr="00562E4F">
        <w:rPr>
          <w:rFonts w:eastAsia="Verdana" w:cs="Verdana"/>
        </w:rPr>
        <w:t xml:space="preserve"> richtlijn die de richtlijnen wegkantcontroles en APK herziet en </w:t>
      </w:r>
      <w:r w:rsidRPr="00562E4F" w:rsidR="008C0DC0">
        <w:rPr>
          <w:rFonts w:eastAsia="Verdana" w:cs="Verdana"/>
        </w:rPr>
        <w:t>2) een</w:t>
      </w:r>
      <w:r w:rsidRPr="00562E4F">
        <w:rPr>
          <w:rFonts w:eastAsia="Verdana" w:cs="Verdana"/>
        </w:rPr>
        <w:t xml:space="preserve"> richtlijn die de richtlijn kentekenregistratie en -bewijzen vervangt. </w:t>
      </w:r>
      <w:r w:rsidRPr="00562E4F" w:rsidR="008C0DC0">
        <w:rPr>
          <w:rFonts w:eastAsia="Verdana" w:cs="Verdana"/>
        </w:rPr>
        <w:t>Tijdens de Transportraad van 4</w:t>
      </w:r>
      <w:r w:rsidRPr="00562E4F">
        <w:rPr>
          <w:rFonts w:eastAsia="Verdana" w:cs="Verdana"/>
        </w:rPr>
        <w:t xml:space="preserve"> december </w:t>
      </w:r>
      <w:r w:rsidRPr="00562E4F" w:rsidR="008C0DC0">
        <w:rPr>
          <w:rFonts w:eastAsia="Verdana" w:cs="Verdana"/>
        </w:rPr>
        <w:t xml:space="preserve">j.l. is er een </w:t>
      </w:r>
      <w:r w:rsidRPr="00562E4F" w:rsidR="00CF1E3E">
        <w:rPr>
          <w:rFonts w:eastAsia="Verdana" w:cs="Verdana"/>
        </w:rPr>
        <w:t>algemene</w:t>
      </w:r>
      <w:r w:rsidRPr="00562E4F" w:rsidR="008C0DC0">
        <w:rPr>
          <w:rFonts w:eastAsia="Verdana" w:cs="Verdana"/>
        </w:rPr>
        <w:t xml:space="preserve"> oriëntatie bereikt, waarover u </w:t>
      </w:r>
      <w:r w:rsidRPr="00562E4F">
        <w:rPr>
          <w:rFonts w:eastAsia="Verdana" w:cs="Verdana"/>
        </w:rPr>
        <w:t xml:space="preserve">bent geïnformeerd. Het Europees Parlement heeft in april en mei goedkeuring gegeven voor het starten van de onderhandelingen tussen de Europese Commissie, de Raad en het Europees Parlement voor beide richtlijnen. Er is nog geen officiële datum bekend voor de start van de onderhandelingen. Het kabinet zal in de triloog-onderhandelingen grotendeels de lijn van de algemene oriëntatie volgen. Daarnaast zal het kabinet tijdens de triloog-onderhandeling </w:t>
      </w:r>
      <w:r w:rsidRPr="00562E4F" w:rsidR="00490922">
        <w:rPr>
          <w:rFonts w:eastAsia="Verdana" w:cs="Verdana"/>
        </w:rPr>
        <w:t xml:space="preserve">een aantal punten </w:t>
      </w:r>
      <w:r w:rsidRPr="00562E4F">
        <w:rPr>
          <w:rFonts w:eastAsia="Verdana" w:cs="Verdana"/>
        </w:rPr>
        <w:t xml:space="preserve">opnieuw aan de orde stellen, </w:t>
      </w:r>
      <w:r w:rsidRPr="00562E4F" w:rsidR="00490922">
        <w:rPr>
          <w:rFonts w:eastAsia="Verdana" w:cs="Verdana"/>
        </w:rPr>
        <w:t xml:space="preserve">waaronder </w:t>
      </w:r>
      <w:r w:rsidRPr="00562E4F">
        <w:rPr>
          <w:rFonts w:eastAsia="Verdana" w:cs="Verdana"/>
        </w:rPr>
        <w:t xml:space="preserve">de uitvoerbaarheid van een voorafgaande controle bij herregistratie met mobiel kentekenbewijs, de proportionaliteit bij wegkantinspecties, en de uitvoerbaarheid van de stikstof-emissietest bij de APK en een deugdelijke implementatietermijn. </w:t>
      </w:r>
    </w:p>
    <w:p w:rsidR="00F17E60" w:rsidP="00562E4F" w:rsidRDefault="00F17E60" w14:paraId="43BBD36F" w14:textId="77777777">
      <w:pPr>
        <w:spacing w:line="276" w:lineRule="auto"/>
      </w:pPr>
    </w:p>
    <w:p w:rsidRPr="002B06A5" w:rsidR="00F17E60" w:rsidP="00562E4F" w:rsidRDefault="00F17E60" w14:paraId="7938E280" w14:textId="155A9736">
      <w:pPr>
        <w:spacing w:line="276" w:lineRule="auto"/>
        <w:rPr>
          <w:i/>
          <w:iCs/>
        </w:rPr>
      </w:pPr>
      <w:r>
        <w:rPr>
          <w:i/>
          <w:iCs/>
        </w:rPr>
        <w:t>Connecting Europe Facility (CEF)</w:t>
      </w:r>
    </w:p>
    <w:p w:rsidRPr="00562E4F" w:rsidR="00F17E60" w:rsidP="002B06A5" w:rsidRDefault="00F17E60" w14:paraId="426C293B" w14:textId="539444A7">
      <w:pPr>
        <w:tabs>
          <w:tab w:val="left" w:pos="0"/>
          <w:tab w:val="left" w:pos="340"/>
          <w:tab w:val="left" w:pos="680"/>
          <w:tab w:val="left" w:pos="1021"/>
          <w:tab w:val="left" w:pos="1361"/>
          <w:tab w:val="left" w:pos="1701"/>
          <w:tab w:val="left" w:pos="3402"/>
        </w:tabs>
        <w:spacing w:line="276" w:lineRule="auto"/>
      </w:pPr>
      <w:r w:rsidRPr="00562E4F">
        <w:t>Tijdens de Transportraad van 5 december 2025 is er een algemene oriëntatie bereikt op het voorstel voor de Connecting Europe Facility (CEF). De Nederlandse positie is uiteengezet in het BNC-fiche, waarover de Tweede Kamer in september 2025 geïnformeerd is.</w:t>
      </w:r>
      <w:r w:rsidRPr="00562E4F">
        <w:rPr>
          <w:rStyle w:val="FootnoteReference"/>
        </w:rPr>
        <w:footnoteReference w:id="17"/>
      </w:r>
      <w:r w:rsidRPr="00562E4F">
        <w:t xml:space="preserve"> Nederland steunt een tijdige afronding van de trilogen onder Iers voorzitterschap en zal pleiten voor behoud van de Raadspositie. Nederland bevindt zich in de groep ambitieuze lidstaten, die pleit voor grensoverschrijdende samenwerking en het belangrijk acht om projecten op basis van inhoud te beoordelen. Een andere groep lidstaten in de EU pleiten voor een geografische balans bij het toekennen van projecten. De Raad is eensgezind in de boodschap dat het CEF als instrument moet blijven bestaan binnen het MFK. </w:t>
      </w:r>
      <w:r w:rsidRPr="002B06A5" w:rsidR="002B06A5">
        <w:t>De afgelopen maanden heeft het Europees Parlement zich beraad op een positie, welke nog niet definitief is. Naar verwachting zullen de trilogen vanaf juli 2026 onder het Iers voorzitterschap aanvangen.</w:t>
      </w:r>
    </w:p>
    <w:p w:rsidRPr="00562E4F" w:rsidR="008E7909" w:rsidP="00562E4F" w:rsidRDefault="008E7909" w14:paraId="6CE0B276" w14:textId="77777777">
      <w:pPr>
        <w:spacing w:line="276" w:lineRule="auto"/>
      </w:pPr>
    </w:p>
    <w:p w:rsidRPr="00562E4F" w:rsidR="008E7909" w:rsidP="00562E4F" w:rsidRDefault="008E7909" w14:paraId="0F2D8E78" w14:textId="67D8F89F">
      <w:pPr>
        <w:spacing w:line="276" w:lineRule="auto"/>
      </w:pPr>
      <w:r w:rsidRPr="00562E4F">
        <w:rPr>
          <w:i/>
          <w:iCs/>
        </w:rPr>
        <w:t>Eurovignetrichtlijn</w:t>
      </w:r>
    </w:p>
    <w:p w:rsidR="00A73EA5" w:rsidP="00562E4F" w:rsidRDefault="00A73EA5" w14:paraId="0E4063E5" w14:textId="77777777">
      <w:pPr>
        <w:spacing w:line="276" w:lineRule="auto"/>
      </w:pPr>
      <w:r w:rsidRPr="00562E4F">
        <w:t>Het Cypriotisch voorzitterschap heeft voortgang geboekt met de behandeling van het voorstel tot wijziging van de Eurovignetrichtlijn. Het in oktober 2025 gepresenteerde voorstel beoogde te bereiken dat tolheffingssystemen (zoals de vrachtwagenheffing) met de tariefstelling rekening moeten houden met het effect van aanhangwagens en opleggers op de CO2-uitstoot van zware bedrijfsvoertuigen. Conform de kabinetsinzet heeft Nederland met succes gepleit voor het schrappen van deze bepalingen uit het voorstel, omdat ze vragen om ingrijpende en kostbare wijzigingen aan de vrachtwagenheffing om uitvoerbaar en handhaafbaar te zijn en bovendien hoge uitvoeringslasten voor de gebruikers met zich meebrengen. Het voorstel bevatte daarnaast enkele vereenvoudigingen en verduidelijkingen van de richtlijn vanwege de relatie met andere (reeds vastgestelde) Europese verordeningen over de CO2-emissies van het wegtransport. Deze bepalingen zijn in aangepaste vorm gehandhaafd in de laatst bekende tekst. Op dit moment is het wachten op de positie van het Europees Parlement, waarna de triloog-onderhandelingen kunnen starten.</w:t>
      </w:r>
    </w:p>
    <w:p w:rsidR="00334FE4" w:rsidP="00562E4F" w:rsidRDefault="00334FE4" w14:paraId="34D14003" w14:textId="77777777">
      <w:pPr>
        <w:spacing w:line="276" w:lineRule="auto"/>
      </w:pPr>
    </w:p>
    <w:p w:rsidRPr="00334FE4" w:rsidR="00334FE4" w:rsidP="00334FE4" w:rsidRDefault="00334FE4" w14:paraId="34CF91FE" w14:textId="77777777">
      <w:pPr>
        <w:rPr>
          <w:b/>
          <w:bCs/>
        </w:rPr>
      </w:pPr>
      <w:r w:rsidRPr="00334FE4">
        <w:rPr>
          <w:i/>
          <w:iCs/>
        </w:rPr>
        <w:t>Clean Transport Corridor Initiative</w:t>
      </w:r>
    </w:p>
    <w:p w:rsidRPr="009C5E45" w:rsidR="00334FE4" w:rsidP="00334FE4" w:rsidRDefault="00334FE4" w14:paraId="1A2081C3" w14:textId="77777777">
      <w:r w:rsidRPr="009C5E45">
        <w:t>Naar verwachting agendeert de Commissie bij de Transportraad het Clean Transport Corridor Initiative (CTCI). Dit is een initiatief van lidstaten en de Commissie om de uitrol van laadinfrastructuur voor elektrische zware bedrijfsvoertuigen langs het Trans-Europees transportnetwerk te versnellen. Het is een concrete maatregel uit het Actie</w:t>
      </w:r>
      <w:r>
        <w:t>plan voor de Europese auto-industrie van 5 maart 2025.</w:t>
      </w:r>
      <w:r>
        <w:rPr>
          <w:rStyle w:val="FootnoteReference"/>
        </w:rPr>
        <w:footnoteReference w:id="18"/>
      </w:r>
      <w:r>
        <w:t xml:space="preserve"> De Commissie zal naar verwachting de </w:t>
      </w:r>
      <w:r>
        <w:rPr>
          <w:i/>
          <w:iCs/>
        </w:rPr>
        <w:t xml:space="preserve">roadmap </w:t>
      </w:r>
      <w:r>
        <w:t xml:space="preserve">voor de </w:t>
      </w:r>
      <w:r>
        <w:rPr>
          <w:i/>
          <w:iCs/>
        </w:rPr>
        <w:t>North Sea-Baltic corridor</w:t>
      </w:r>
      <w:r>
        <w:t xml:space="preserve"> presenteren waar Nederland ook onder valt. Deze roadmap is een niet-bindend, optioneel instrument waarmee lidstaten en Commissie concrete maatregelen uiteen zetten die de randvoorwaarden creëren om sneller laadlocaties voor zwaar wegvervoer te realiseren.</w:t>
      </w:r>
    </w:p>
    <w:p w:rsidR="00334FE4" w:rsidP="00334FE4" w:rsidRDefault="00334FE4" w14:paraId="6C1ECA10" w14:textId="77777777">
      <w:r>
        <w:t xml:space="preserve">Het kabinet is voornemens om bij de Transportraad opnieuw steun uit te spreken voor CTCI. Daarbij is er ook voorzien dat de roadmap en marge van de Transportraad namens Nederland ondertekend wordt. De roadmap adresseert immers ook knelpunten die voor Nederland spelen. Het grootste belang voor Nederland is dat andere Europese lidstaten zich ook committeren aan de uitrol van laadinfrastructuur langs de corridors. Dat is van groot belang voor de Nederlandse lange-afstandsvervoerders en voertuigproducenten.  </w:t>
      </w:r>
    </w:p>
    <w:p w:rsidRPr="00562E4F" w:rsidR="00334FE4" w:rsidP="00334FE4" w:rsidRDefault="00334FE4" w14:paraId="1CC9F8C8" w14:textId="3137AD21">
      <w:r>
        <w:t xml:space="preserve">Er kan gerekend worden op brede steun vanuit de lidstaten voor deze </w:t>
      </w:r>
      <w:r>
        <w:rPr>
          <w:i/>
          <w:iCs/>
        </w:rPr>
        <w:t>roadmap</w:t>
      </w:r>
      <w:r>
        <w:t xml:space="preserve">. Deze </w:t>
      </w:r>
      <w:r>
        <w:rPr>
          <w:i/>
          <w:iCs/>
        </w:rPr>
        <w:t>roadmap</w:t>
      </w:r>
      <w:r>
        <w:t xml:space="preserve"> komt voort uit het samenwerkingsovereenkomst voor CTCI dat in september 2025 is ondertekend door negen lidstaten: België, Denemarken, Duitsland, Litouwen, Malta, Oostenrijk, Polen en Nederland. Daarbij heeft het initiatief ook steun uit de Europese en Nederlandse koepelorganisaties voor voertuigproducenten, aanbieders van laadinfrastructuur, vervoerders en verladers.</w:t>
      </w:r>
    </w:p>
    <w:p w:rsidRPr="00562E4F" w:rsidR="00A73EA5" w:rsidP="00562E4F" w:rsidRDefault="00A73EA5" w14:paraId="67D1991C" w14:textId="77777777">
      <w:pPr>
        <w:spacing w:line="276" w:lineRule="auto"/>
        <w:rPr>
          <w:highlight w:val="yellow"/>
        </w:rPr>
      </w:pPr>
    </w:p>
    <w:p w:rsidRPr="00562E4F" w:rsidR="003B6961" w:rsidP="00562E4F" w:rsidRDefault="504CF9DD" w14:paraId="3045DC64" w14:textId="73B51F7B">
      <w:pPr>
        <w:spacing w:line="276" w:lineRule="auto"/>
        <w:rPr>
          <w:b/>
          <w:bCs/>
        </w:rPr>
      </w:pPr>
      <w:r w:rsidRPr="00562E4F">
        <w:rPr>
          <w:i/>
        </w:rPr>
        <w:t xml:space="preserve">Gezamenlijke </w:t>
      </w:r>
      <w:r w:rsidRPr="00562E4F" w:rsidR="1A1AE4DB">
        <w:rPr>
          <w:i/>
        </w:rPr>
        <w:t>intentie</w:t>
      </w:r>
      <w:r w:rsidRPr="00562E4F">
        <w:rPr>
          <w:i/>
        </w:rPr>
        <w:t xml:space="preserve">verklaring </w:t>
      </w:r>
      <w:r w:rsidRPr="00562E4F" w:rsidR="003B6961">
        <w:rPr>
          <w:i/>
          <w:iCs/>
        </w:rPr>
        <w:t>grensoverschrijdende</w:t>
      </w:r>
      <w:r w:rsidRPr="00562E4F">
        <w:rPr>
          <w:i/>
        </w:rPr>
        <w:t xml:space="preserve"> </w:t>
      </w:r>
      <w:r w:rsidRPr="00562E4F" w:rsidR="00946DB4">
        <w:rPr>
          <w:i/>
        </w:rPr>
        <w:t xml:space="preserve">testen </w:t>
      </w:r>
      <w:r w:rsidRPr="00562E4F" w:rsidR="003B6961">
        <w:rPr>
          <w:i/>
          <w:iCs/>
        </w:rPr>
        <w:t>geautomatiseerde voertuigen</w:t>
      </w:r>
      <w:r w:rsidRPr="00562E4F" w:rsidR="003B6961">
        <w:t xml:space="preserve"> </w:t>
      </w:r>
    </w:p>
    <w:p w:rsidRPr="00562E4F" w:rsidR="003B6961" w:rsidP="00562E4F" w:rsidRDefault="003B6961" w14:paraId="678FA618" w14:textId="064A5936">
      <w:pPr>
        <w:spacing w:line="276" w:lineRule="auto"/>
      </w:pPr>
      <w:r w:rsidRPr="00562E4F">
        <w:t xml:space="preserve">Naar verwachting zal het </w:t>
      </w:r>
      <w:r w:rsidRPr="00562E4F" w:rsidR="00AA0A6A">
        <w:t>Cypriotisch</w:t>
      </w:r>
      <w:r w:rsidRPr="00562E4F">
        <w:t xml:space="preserve"> voorzitterschap </w:t>
      </w:r>
      <w:r w:rsidR="00956FF0">
        <w:t>een</w:t>
      </w:r>
      <w:r w:rsidRPr="00562E4F">
        <w:t xml:space="preserve"> Joint Declaration of Intent (gezamenlijke intentieverklaring) voor grensoverschrijdende 'test beds' </w:t>
      </w:r>
      <w:r w:rsidRPr="00562E4F" w:rsidR="00AA0A6A">
        <w:t xml:space="preserve">voor geautomatiseerde voertuigen </w:t>
      </w:r>
      <w:r w:rsidR="00956FF0">
        <w:t>agenderen</w:t>
      </w:r>
      <w:r w:rsidRPr="00562E4F" w:rsidR="00AA0A6A">
        <w:t xml:space="preserve">, met als doel een impuls te geven </w:t>
      </w:r>
      <w:r w:rsidRPr="00562E4F">
        <w:t>aan grensoverschrijdend testen met geautomatiseerd vervoer.</w:t>
      </w:r>
      <w:r w:rsidR="00956FF0">
        <w:t xml:space="preserve"> </w:t>
      </w:r>
      <w:r w:rsidR="00C86BCF">
        <w:t>Deze gezamenlijke intentieverklaring volgt op het o</w:t>
      </w:r>
      <w:r w:rsidRPr="00562E4F" w:rsidR="00AA0A6A">
        <w:t xml:space="preserve">p </w:t>
      </w:r>
      <w:r w:rsidRPr="00562E4F">
        <w:t xml:space="preserve">5 maart 2025 </w:t>
      </w:r>
      <w:r w:rsidR="00C86BCF">
        <w:t xml:space="preserve">door de Commissie gelanceerde </w:t>
      </w:r>
      <w:r w:rsidRPr="00956FF0">
        <w:rPr>
          <w:i/>
          <w:iCs/>
        </w:rPr>
        <w:t>Action Plan for the Automotive Industry</w:t>
      </w:r>
      <w:r w:rsidR="00C86BCF">
        <w:t>. Dit actieplan heeft</w:t>
      </w:r>
      <w:r w:rsidR="00F17E60">
        <w:t xml:space="preserve"> als doel </w:t>
      </w:r>
      <w:r w:rsidRPr="00562E4F" w:rsidR="00F17E60">
        <w:t>de Europese voertuigproducenten te ondersteunen in het richting geven aan de mondiale transitie naar emissievrije, digitale en in toenemende mate geautomatiseerde voertuigen</w:t>
      </w:r>
      <w:r w:rsidRPr="00562E4F">
        <w:t xml:space="preserve">. Hierover heeft u op 9 mei 2025 </w:t>
      </w:r>
      <w:r w:rsidR="00562E4F">
        <w:t>het BNC-</w:t>
      </w:r>
      <w:r w:rsidRPr="00562E4F">
        <w:t>fiche ontvangen.</w:t>
      </w:r>
      <w:r w:rsidRPr="00562E4F">
        <w:rPr>
          <w:vertAlign w:val="superscript"/>
        </w:rPr>
        <w:footnoteReference w:id="19"/>
      </w:r>
      <w:r w:rsidRPr="00562E4F">
        <w:t xml:space="preserve"> </w:t>
      </w:r>
    </w:p>
    <w:p w:rsidRPr="00562E4F" w:rsidR="003B6961" w:rsidP="00F17E60" w:rsidRDefault="003B6961" w14:paraId="176A7751" w14:textId="31ED3114">
      <w:pPr>
        <w:spacing w:line="276" w:lineRule="auto"/>
      </w:pPr>
      <w:r w:rsidRPr="00562E4F">
        <w:t xml:space="preserve">Voertuigautomatisering is een van de speerpunten uit dit actieplan met als specifieke ‘flagship action’ het faciliteren van grootschalige grensoverschrijdende testen. Met deze gezamenlijke intentieverklaring wordt de eerste formele stap gezet doordat ondertekenende lidstaten zich gaan inspannen om dit mogelijk te maken. Nederland is </w:t>
      </w:r>
      <w:r w:rsidR="00F17E60">
        <w:t>positief over de intentieverklaring</w:t>
      </w:r>
      <w:r w:rsidR="00C86BCF">
        <w:t xml:space="preserve">, maar heeft </w:t>
      </w:r>
      <w:r w:rsidRPr="00562E4F" w:rsidR="00C86BCF">
        <w:t>in besprekingen aangegeven dat de verantwoordelijkheid voor het toelaten van voertuigen voor deze testen een nationale bevoegdheid blijft, en wederzijdse erkenning dus niet van toepassing is.</w:t>
      </w:r>
      <w:r w:rsidR="00C86BCF">
        <w:t xml:space="preserve"> Nederland </w:t>
      </w:r>
      <w:r w:rsidR="00F17E60">
        <w:t>is</w:t>
      </w:r>
      <w:r w:rsidRPr="00562E4F" w:rsidR="00F17E60">
        <w:t xml:space="preserve"> </w:t>
      </w:r>
      <w:r w:rsidR="00C86BCF">
        <w:t xml:space="preserve">wel </w:t>
      </w:r>
      <w:r w:rsidRPr="00562E4F">
        <w:t>in gesprek met medeondertekenaars over waar nationale procedures beter op elkaar kunnen worden aangesloten.</w:t>
      </w:r>
    </w:p>
    <w:p w:rsidRPr="00562E4F" w:rsidR="00E47FA8" w:rsidP="00562E4F" w:rsidRDefault="00E47FA8" w14:paraId="2FCC3267" w14:textId="77777777">
      <w:pPr>
        <w:spacing w:line="276" w:lineRule="auto"/>
      </w:pPr>
    </w:p>
    <w:p w:rsidRPr="00562E4F" w:rsidR="00267B33" w:rsidP="00562E4F" w:rsidRDefault="00267B33" w14:paraId="75163157" w14:textId="56E1C489">
      <w:pPr>
        <w:spacing w:line="276" w:lineRule="auto"/>
      </w:pPr>
    </w:p>
    <w:sectPr w:rsidRPr="00562E4F" w:rsidR="00267B33" w:rsidSect="004A3C83">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BEF63" w14:textId="77777777" w:rsidR="004127F9" w:rsidRDefault="004127F9">
      <w:pPr>
        <w:spacing w:line="240" w:lineRule="auto"/>
      </w:pPr>
      <w:r>
        <w:separator/>
      </w:r>
    </w:p>
  </w:endnote>
  <w:endnote w:type="continuationSeparator" w:id="0">
    <w:p w14:paraId="49E80788" w14:textId="77777777" w:rsidR="004127F9" w:rsidRDefault="004127F9">
      <w:pPr>
        <w:spacing w:line="240" w:lineRule="auto"/>
      </w:pPr>
      <w:r>
        <w:continuationSeparator/>
      </w:r>
    </w:p>
  </w:endnote>
  <w:endnote w:type="continuationNotice" w:id="1">
    <w:p w14:paraId="753FCE28" w14:textId="77777777" w:rsidR="004127F9" w:rsidRDefault="004127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EADBB" w14:textId="77777777" w:rsidR="00AE5C2C" w:rsidRDefault="00AE5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BA18F" w14:textId="77777777" w:rsidR="00AE5C2C" w:rsidRDefault="00AE5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14F66" w14:textId="77777777" w:rsidR="00AE5C2C" w:rsidRDefault="00AE5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82A80" w14:textId="77777777" w:rsidR="004127F9" w:rsidRDefault="004127F9">
      <w:pPr>
        <w:spacing w:line="240" w:lineRule="auto"/>
      </w:pPr>
      <w:r>
        <w:separator/>
      </w:r>
    </w:p>
  </w:footnote>
  <w:footnote w:type="continuationSeparator" w:id="0">
    <w:p w14:paraId="2716CAAC" w14:textId="77777777" w:rsidR="004127F9" w:rsidRDefault="004127F9">
      <w:pPr>
        <w:spacing w:line="240" w:lineRule="auto"/>
      </w:pPr>
      <w:r>
        <w:continuationSeparator/>
      </w:r>
    </w:p>
  </w:footnote>
  <w:footnote w:type="continuationNotice" w:id="1">
    <w:p w14:paraId="6C24B020" w14:textId="77777777" w:rsidR="004127F9" w:rsidRDefault="004127F9">
      <w:pPr>
        <w:spacing w:line="240" w:lineRule="auto"/>
      </w:pPr>
    </w:p>
  </w:footnote>
  <w:footnote w:id="2">
    <w:p w14:paraId="3524D7CA" w14:textId="276E85F6" w:rsidR="00562E4F" w:rsidRPr="00F17E60" w:rsidRDefault="00562E4F">
      <w:pPr>
        <w:pStyle w:val="FootnoteText"/>
        <w:rPr>
          <w:sz w:val="16"/>
          <w:szCs w:val="16"/>
        </w:rPr>
      </w:pPr>
      <w:r w:rsidRPr="00F17E60">
        <w:rPr>
          <w:rStyle w:val="FootnoteReference"/>
          <w:sz w:val="16"/>
          <w:szCs w:val="16"/>
        </w:rPr>
        <w:footnoteRef/>
      </w:r>
      <w:r w:rsidRPr="00F17E60">
        <w:rPr>
          <w:sz w:val="16"/>
          <w:szCs w:val="16"/>
        </w:rPr>
        <w:t xml:space="preserve"> </w:t>
      </w:r>
      <w:r w:rsidR="00BE63DA" w:rsidRPr="00F17E60">
        <w:rPr>
          <w:sz w:val="16"/>
          <w:szCs w:val="16"/>
        </w:rPr>
        <w:t>Kamerstukken II, 22112, nr. 4266.</w:t>
      </w:r>
    </w:p>
  </w:footnote>
  <w:footnote w:id="3">
    <w:p w14:paraId="76256FD2" w14:textId="3C3BA657" w:rsidR="00471742" w:rsidRDefault="00471742">
      <w:pPr>
        <w:pStyle w:val="FootnoteText"/>
      </w:pPr>
      <w:r w:rsidRPr="002B06A5">
        <w:rPr>
          <w:rStyle w:val="FootnoteReference"/>
          <w:sz w:val="16"/>
          <w:szCs w:val="16"/>
        </w:rPr>
        <w:footnoteRef/>
      </w:r>
      <w:r w:rsidRPr="002B06A5">
        <w:rPr>
          <w:sz w:val="16"/>
          <w:szCs w:val="16"/>
        </w:rPr>
        <w:t xml:space="preserve"> </w:t>
      </w:r>
      <w:r w:rsidR="00F17E60" w:rsidRPr="002B06A5">
        <w:rPr>
          <w:sz w:val="16"/>
          <w:szCs w:val="16"/>
        </w:rPr>
        <w:t>Kamerstukken II, 21501-28-298.</w:t>
      </w:r>
    </w:p>
  </w:footnote>
  <w:footnote w:id="4">
    <w:p w14:paraId="7D8AF640" w14:textId="573BBCA5" w:rsidR="009B499B" w:rsidRPr="00186047" w:rsidRDefault="009B499B" w:rsidP="002B06A5">
      <w:pPr>
        <w:rPr>
          <w:sz w:val="16"/>
          <w:szCs w:val="16"/>
        </w:rPr>
      </w:pPr>
      <w:r w:rsidRPr="002B06A5">
        <w:rPr>
          <w:sz w:val="10"/>
          <w:szCs w:val="10"/>
        </w:rPr>
        <w:footnoteRef/>
      </w:r>
      <w:r w:rsidRPr="002B06A5">
        <w:rPr>
          <w:sz w:val="12"/>
          <w:szCs w:val="12"/>
        </w:rPr>
        <w:t xml:space="preserve"> </w:t>
      </w:r>
      <w:r w:rsidR="00186047" w:rsidRPr="00186047">
        <w:rPr>
          <w:sz w:val="16"/>
          <w:szCs w:val="16"/>
        </w:rPr>
        <w:t xml:space="preserve">Kamerstukken </w:t>
      </w:r>
      <w:r w:rsidR="00186047" w:rsidRPr="002B06A5">
        <w:rPr>
          <w:sz w:val="16"/>
          <w:szCs w:val="16"/>
        </w:rPr>
        <w:t>II, 2025-2026, nr. 36933-1</w:t>
      </w:r>
    </w:p>
  </w:footnote>
  <w:footnote w:id="5">
    <w:p w14:paraId="6BC3A0AD" w14:textId="73A1AECA" w:rsidR="009B499B" w:rsidRDefault="009B499B">
      <w:pPr>
        <w:pStyle w:val="FootnoteText"/>
      </w:pPr>
      <w:r w:rsidRPr="002B06A5">
        <w:rPr>
          <w:rStyle w:val="FootnoteReference"/>
          <w:sz w:val="16"/>
          <w:szCs w:val="16"/>
        </w:rPr>
        <w:footnoteRef/>
      </w:r>
      <w:r w:rsidRPr="002B06A5">
        <w:rPr>
          <w:sz w:val="16"/>
          <w:szCs w:val="16"/>
        </w:rPr>
        <w:t xml:space="preserve"> </w:t>
      </w:r>
      <w:r w:rsidR="00186047" w:rsidRPr="002B06A5">
        <w:rPr>
          <w:sz w:val="16"/>
          <w:szCs w:val="16"/>
        </w:rPr>
        <w:t>Kamerstukken II, 2025-2026, nr. 9432</w:t>
      </w:r>
    </w:p>
  </w:footnote>
  <w:footnote w:id="6">
    <w:p w14:paraId="535F7B05" w14:textId="3CF7AE63" w:rsidR="000C64FF" w:rsidRPr="00F703CF" w:rsidRDefault="000C64FF" w:rsidP="000C64FF">
      <w:pPr>
        <w:pStyle w:val="FootnoteText"/>
        <w:rPr>
          <w:sz w:val="16"/>
          <w:szCs w:val="16"/>
        </w:rPr>
      </w:pPr>
      <w:r w:rsidRPr="00F703CF">
        <w:rPr>
          <w:rStyle w:val="FootnoteReference"/>
          <w:sz w:val="16"/>
          <w:szCs w:val="16"/>
        </w:rPr>
        <w:footnoteRef/>
      </w:r>
      <w:r w:rsidRPr="00F703CF">
        <w:rPr>
          <w:sz w:val="16"/>
          <w:szCs w:val="16"/>
        </w:rPr>
        <w:t xml:space="preserve"> Kamerstukken </w:t>
      </w:r>
      <w:r w:rsidR="009A3216">
        <w:rPr>
          <w:sz w:val="16"/>
          <w:szCs w:val="16"/>
        </w:rPr>
        <w:t>II</w:t>
      </w:r>
      <w:r w:rsidRPr="00F703CF">
        <w:rPr>
          <w:sz w:val="16"/>
          <w:szCs w:val="16"/>
        </w:rPr>
        <w:t xml:space="preserve"> 2025-26, 22 112, nr. 4271.  </w:t>
      </w:r>
    </w:p>
  </w:footnote>
  <w:footnote w:id="7">
    <w:p w14:paraId="10FF53BF" w14:textId="04E9EA88" w:rsidR="000C64FF" w:rsidRPr="002C1AFD" w:rsidRDefault="000C64FF" w:rsidP="000C64FF">
      <w:pPr>
        <w:pStyle w:val="FootnoteText"/>
        <w:rPr>
          <w:sz w:val="16"/>
          <w:szCs w:val="16"/>
        </w:rPr>
      </w:pPr>
      <w:r w:rsidRPr="002C1AFD">
        <w:rPr>
          <w:rStyle w:val="FootnoteReference"/>
          <w:sz w:val="16"/>
          <w:szCs w:val="16"/>
        </w:rPr>
        <w:footnoteRef/>
      </w:r>
      <w:r w:rsidRPr="002C1AFD">
        <w:rPr>
          <w:sz w:val="16"/>
          <w:szCs w:val="16"/>
        </w:rPr>
        <w:t xml:space="preserve"> Kamerstukken </w:t>
      </w:r>
      <w:r w:rsidR="009A3216">
        <w:rPr>
          <w:sz w:val="16"/>
          <w:szCs w:val="16"/>
        </w:rPr>
        <w:t>II</w:t>
      </w:r>
      <w:r w:rsidRPr="002C1AFD">
        <w:rPr>
          <w:sz w:val="16"/>
          <w:szCs w:val="16"/>
        </w:rPr>
        <w:t xml:space="preserve"> 2025-26, 22 112, nr. 4306.</w:t>
      </w:r>
    </w:p>
  </w:footnote>
  <w:footnote w:id="8">
    <w:p w14:paraId="190ED8A2" w14:textId="1CD7105E" w:rsidR="000C64FF" w:rsidRPr="002E3FB5" w:rsidRDefault="000C64FF" w:rsidP="000C64FF">
      <w:pPr>
        <w:pStyle w:val="FootnoteText"/>
        <w:rPr>
          <w:sz w:val="16"/>
          <w:szCs w:val="16"/>
        </w:rPr>
      </w:pPr>
      <w:r w:rsidRPr="002E3FB5">
        <w:rPr>
          <w:rStyle w:val="FootnoteReference"/>
          <w:sz w:val="16"/>
          <w:szCs w:val="16"/>
        </w:rPr>
        <w:footnoteRef/>
      </w:r>
      <w:r w:rsidRPr="002E3FB5">
        <w:rPr>
          <w:sz w:val="16"/>
          <w:szCs w:val="16"/>
        </w:rPr>
        <w:t xml:space="preserve"> Kamerstukken II, 2025-26, 21501-08 nr. 1021</w:t>
      </w:r>
    </w:p>
  </w:footnote>
  <w:footnote w:id="9">
    <w:p w14:paraId="3B640E38" w14:textId="77777777" w:rsidR="000C64FF" w:rsidRPr="000D204E" w:rsidRDefault="000C64FF" w:rsidP="000C64FF">
      <w:pPr>
        <w:pStyle w:val="FootnoteText"/>
        <w:rPr>
          <w:sz w:val="16"/>
          <w:szCs w:val="16"/>
        </w:rPr>
      </w:pPr>
      <w:r w:rsidRPr="000D204E">
        <w:rPr>
          <w:rStyle w:val="FootnoteReference"/>
          <w:sz w:val="16"/>
          <w:szCs w:val="16"/>
        </w:rPr>
        <w:footnoteRef/>
      </w:r>
      <w:r w:rsidRPr="000D204E">
        <w:rPr>
          <w:sz w:val="16"/>
          <w:szCs w:val="16"/>
        </w:rPr>
        <w:t xml:space="preserve"> </w:t>
      </w:r>
      <w:r w:rsidRPr="002E3FB5">
        <w:rPr>
          <w:sz w:val="16"/>
          <w:szCs w:val="16"/>
        </w:rPr>
        <w:t>Het Fit for 55-pakket i</w:t>
      </w:r>
      <w:r w:rsidRPr="000D204E">
        <w:rPr>
          <w:sz w:val="16"/>
          <w:szCs w:val="16"/>
        </w:rPr>
        <w:t>s</w:t>
      </w:r>
      <w:r>
        <w:rPr>
          <w:sz w:val="16"/>
          <w:szCs w:val="16"/>
        </w:rPr>
        <w:t xml:space="preserve"> een serie wetgevingsvoorstellen uit 2021 om de broeikasgasemissies in de EU uiterlijk in 2030 met minstens 55% te verminderen, op weg naar klimaatneutraliteit in 2050. Het is de concrete opvolging en uitvoering van de Europese Green Deal uit 2019.</w:t>
      </w:r>
    </w:p>
  </w:footnote>
  <w:footnote w:id="10">
    <w:p w14:paraId="6292E621" w14:textId="77777777" w:rsidR="000C64FF" w:rsidRPr="000D204E" w:rsidRDefault="000C64FF" w:rsidP="000C64FF">
      <w:pPr>
        <w:pStyle w:val="FootnoteText"/>
        <w:rPr>
          <w:sz w:val="16"/>
          <w:szCs w:val="16"/>
        </w:rPr>
      </w:pPr>
      <w:r w:rsidRPr="000D204E">
        <w:rPr>
          <w:rStyle w:val="FootnoteReference"/>
          <w:sz w:val="16"/>
          <w:szCs w:val="16"/>
        </w:rPr>
        <w:footnoteRef/>
      </w:r>
      <w:r w:rsidRPr="000D204E">
        <w:rPr>
          <w:sz w:val="16"/>
          <w:szCs w:val="16"/>
        </w:rPr>
        <w:t xml:space="preserve"> Bij deze sectoren is elektrificatie (nog) niet of minder mogelijk en zijn hernieuwbare brandstoffen nodig om emissiereductie te bewerkstelligen.</w:t>
      </w:r>
    </w:p>
  </w:footnote>
  <w:footnote w:id="11">
    <w:p w14:paraId="6F83474D" w14:textId="007F604E" w:rsidR="001C26B9" w:rsidRPr="003950E4" w:rsidRDefault="001C26B9">
      <w:pPr>
        <w:pStyle w:val="FootnoteText"/>
        <w:rPr>
          <w:sz w:val="16"/>
          <w:szCs w:val="16"/>
        </w:rPr>
      </w:pPr>
      <w:r w:rsidRPr="003950E4">
        <w:rPr>
          <w:rStyle w:val="FootnoteReference"/>
          <w:sz w:val="16"/>
          <w:szCs w:val="16"/>
        </w:rPr>
        <w:footnoteRef/>
      </w:r>
      <w:r w:rsidRPr="003950E4">
        <w:rPr>
          <w:sz w:val="16"/>
          <w:szCs w:val="16"/>
        </w:rPr>
        <w:t xml:space="preserve"> </w:t>
      </w:r>
      <w:r w:rsidR="00562E4F">
        <w:rPr>
          <w:sz w:val="16"/>
          <w:szCs w:val="16"/>
        </w:rPr>
        <w:t>Kamerstukken II, 22112, nr. 4307</w:t>
      </w:r>
    </w:p>
  </w:footnote>
  <w:footnote w:id="12">
    <w:p w14:paraId="34F10991" w14:textId="4226B891" w:rsidR="001C26B9" w:rsidRPr="00562E4F" w:rsidRDefault="001C26B9">
      <w:pPr>
        <w:pStyle w:val="FootnoteText"/>
        <w:rPr>
          <w:sz w:val="16"/>
          <w:szCs w:val="16"/>
        </w:rPr>
      </w:pPr>
      <w:r w:rsidRPr="00562E4F">
        <w:rPr>
          <w:rStyle w:val="FootnoteReference"/>
          <w:sz w:val="16"/>
          <w:szCs w:val="16"/>
        </w:rPr>
        <w:footnoteRef/>
      </w:r>
      <w:r w:rsidRPr="00562E4F">
        <w:rPr>
          <w:sz w:val="16"/>
          <w:szCs w:val="16"/>
        </w:rPr>
        <w:t xml:space="preserve"> Kamerstuk</w:t>
      </w:r>
      <w:r w:rsidR="00562E4F">
        <w:rPr>
          <w:sz w:val="16"/>
          <w:szCs w:val="16"/>
        </w:rPr>
        <w:t xml:space="preserve">ken </w:t>
      </w:r>
      <w:r w:rsidRPr="00562E4F">
        <w:rPr>
          <w:sz w:val="16"/>
          <w:szCs w:val="16"/>
        </w:rPr>
        <w:t>II, 21501-33-1198</w:t>
      </w:r>
    </w:p>
  </w:footnote>
  <w:footnote w:id="13">
    <w:p w14:paraId="631F9101" w14:textId="68D080DE" w:rsidR="001C26B9" w:rsidRPr="00562E4F" w:rsidRDefault="001C26B9">
      <w:pPr>
        <w:pStyle w:val="FootnoteText"/>
        <w:rPr>
          <w:sz w:val="16"/>
          <w:szCs w:val="16"/>
        </w:rPr>
      </w:pPr>
      <w:r w:rsidRPr="00562E4F">
        <w:rPr>
          <w:rStyle w:val="FootnoteReference"/>
          <w:sz w:val="16"/>
          <w:szCs w:val="16"/>
        </w:rPr>
        <w:footnoteRef/>
      </w:r>
      <w:r w:rsidRPr="00562E4F">
        <w:rPr>
          <w:sz w:val="16"/>
          <w:szCs w:val="16"/>
        </w:rPr>
        <w:t xml:space="preserve"> </w:t>
      </w:r>
      <w:r w:rsidR="00562E4F" w:rsidRPr="00562E4F">
        <w:rPr>
          <w:sz w:val="16"/>
          <w:szCs w:val="16"/>
        </w:rPr>
        <w:t>Kamerstukken II, 22112</w:t>
      </w:r>
      <w:r w:rsidR="00562E4F">
        <w:rPr>
          <w:sz w:val="16"/>
          <w:szCs w:val="16"/>
        </w:rPr>
        <w:t xml:space="preserve">, nr. </w:t>
      </w:r>
      <w:r w:rsidR="00562E4F" w:rsidRPr="00562E4F">
        <w:rPr>
          <w:sz w:val="16"/>
          <w:szCs w:val="16"/>
        </w:rPr>
        <w:t>4307</w:t>
      </w:r>
    </w:p>
  </w:footnote>
  <w:footnote w:id="14">
    <w:p w14:paraId="5B78E8E4" w14:textId="3FF69BF0" w:rsidR="004F1BB2" w:rsidRPr="00562E4F" w:rsidRDefault="004F1BB2">
      <w:pPr>
        <w:pStyle w:val="FootnoteText"/>
        <w:rPr>
          <w:sz w:val="16"/>
          <w:szCs w:val="16"/>
        </w:rPr>
      </w:pPr>
      <w:r w:rsidRPr="00562E4F">
        <w:rPr>
          <w:rStyle w:val="FootnoteReference"/>
          <w:sz w:val="16"/>
          <w:szCs w:val="16"/>
        </w:rPr>
        <w:footnoteRef/>
      </w:r>
      <w:r w:rsidRPr="00562E4F">
        <w:rPr>
          <w:sz w:val="16"/>
          <w:szCs w:val="16"/>
        </w:rPr>
        <w:t xml:space="preserve"> </w:t>
      </w:r>
      <w:r w:rsidR="00562E4F" w:rsidRPr="00562E4F">
        <w:rPr>
          <w:sz w:val="16"/>
          <w:szCs w:val="16"/>
        </w:rPr>
        <w:t>Kamerstuk</w:t>
      </w:r>
      <w:r w:rsidR="00562E4F">
        <w:rPr>
          <w:sz w:val="16"/>
          <w:szCs w:val="16"/>
        </w:rPr>
        <w:t xml:space="preserve">ken </w:t>
      </w:r>
      <w:r w:rsidR="00562E4F" w:rsidRPr="00562E4F">
        <w:rPr>
          <w:sz w:val="16"/>
          <w:szCs w:val="16"/>
        </w:rPr>
        <w:t>II, 21501-33-1198</w:t>
      </w:r>
    </w:p>
  </w:footnote>
  <w:footnote w:id="15">
    <w:p w14:paraId="7ED87BD2" w14:textId="4327C139" w:rsidR="004F1BB2" w:rsidRPr="00AC6CC6" w:rsidRDefault="004F1BB2" w:rsidP="004F1BB2">
      <w:pPr>
        <w:pStyle w:val="FootnoteText"/>
        <w:rPr>
          <w:sz w:val="16"/>
          <w:szCs w:val="16"/>
        </w:rPr>
      </w:pPr>
      <w:r w:rsidRPr="00AC6CC6">
        <w:rPr>
          <w:rStyle w:val="FootnoteReference"/>
          <w:sz w:val="16"/>
          <w:szCs w:val="16"/>
        </w:rPr>
        <w:footnoteRef/>
      </w:r>
      <w:r w:rsidRPr="00AC6CC6">
        <w:rPr>
          <w:sz w:val="16"/>
          <w:szCs w:val="16"/>
        </w:rPr>
        <w:t xml:space="preserve"> </w:t>
      </w:r>
      <w:hyperlink r:id="rId1" w:history="1">
        <w:r w:rsidRPr="004A7F25">
          <w:rPr>
            <w:rStyle w:val="Hyperlink"/>
            <w:sz w:val="16"/>
            <w:szCs w:val="16"/>
          </w:rPr>
          <w:t>https://transport.ec.europa.eu/news-events/news/green-deal-greening-freight-more-economic-gain-less-environmental-impact-2023-07-11_en</w:t>
        </w:r>
      </w:hyperlink>
      <w:r>
        <w:rPr>
          <w:sz w:val="16"/>
          <w:szCs w:val="16"/>
        </w:rPr>
        <w:t xml:space="preserve"> </w:t>
      </w:r>
    </w:p>
  </w:footnote>
  <w:footnote w:id="16">
    <w:p w14:paraId="00AB1E0E" w14:textId="00A203F4" w:rsidR="004F1BB2" w:rsidRDefault="004F1BB2" w:rsidP="004F1BB2">
      <w:pPr>
        <w:pStyle w:val="FootnoteText"/>
      </w:pPr>
      <w:r w:rsidRPr="00AC6CC6">
        <w:rPr>
          <w:rStyle w:val="FootnoteReference"/>
          <w:sz w:val="16"/>
          <w:szCs w:val="16"/>
        </w:rPr>
        <w:footnoteRef/>
      </w:r>
      <w:r w:rsidR="00562E4F">
        <w:rPr>
          <w:sz w:val="16"/>
          <w:szCs w:val="16"/>
        </w:rPr>
        <w:t xml:space="preserve"> </w:t>
      </w:r>
      <w:r w:rsidRPr="00AC6CC6">
        <w:rPr>
          <w:sz w:val="16"/>
          <w:szCs w:val="16"/>
        </w:rPr>
        <w:t>Kamerstukken II, 22112, nr. 3783.</w:t>
      </w:r>
    </w:p>
  </w:footnote>
  <w:footnote w:id="17">
    <w:p w14:paraId="445E36DC" w14:textId="77777777" w:rsidR="00F17E60" w:rsidRPr="00562E4F" w:rsidRDefault="00F17E60" w:rsidP="00F17E60">
      <w:pPr>
        <w:pStyle w:val="FootnoteText"/>
        <w:rPr>
          <w:sz w:val="16"/>
          <w:szCs w:val="16"/>
        </w:rPr>
      </w:pPr>
      <w:r w:rsidRPr="00562E4F">
        <w:rPr>
          <w:rStyle w:val="FootnoteReference"/>
          <w:sz w:val="16"/>
          <w:szCs w:val="16"/>
        </w:rPr>
        <w:footnoteRef/>
      </w:r>
      <w:r w:rsidRPr="00562E4F">
        <w:rPr>
          <w:sz w:val="16"/>
          <w:szCs w:val="16"/>
        </w:rPr>
        <w:t xml:space="preserve"> </w:t>
      </w:r>
      <w:r w:rsidRPr="00562E4F">
        <w:rPr>
          <w:color w:val="auto"/>
          <w:sz w:val="16"/>
          <w:szCs w:val="16"/>
        </w:rPr>
        <w:t>Kamerstukken II, </w:t>
      </w:r>
      <w:hyperlink r:id="rId2" w:tooltip="link naar publicatie kst-22112-2644" w:history="1">
        <w:r w:rsidRPr="00562E4F">
          <w:rPr>
            <w:rStyle w:val="Hyperlink"/>
            <w:color w:val="auto"/>
            <w:sz w:val="16"/>
            <w:szCs w:val="16"/>
            <w:u w:val="none"/>
          </w:rPr>
          <w:t>22112, nr. 2644</w:t>
        </w:r>
      </w:hyperlink>
      <w:r w:rsidRPr="00562E4F">
        <w:rPr>
          <w:color w:val="auto"/>
          <w:sz w:val="16"/>
          <w:szCs w:val="16"/>
        </w:rPr>
        <w:t>.</w:t>
      </w:r>
    </w:p>
  </w:footnote>
  <w:footnote w:id="18">
    <w:p w14:paraId="5ACC9449" w14:textId="77777777" w:rsidR="00334FE4" w:rsidRPr="009C5E45" w:rsidRDefault="00334FE4" w:rsidP="00334FE4">
      <w:pPr>
        <w:pStyle w:val="FootnoteText"/>
        <w:rPr>
          <w:sz w:val="16"/>
          <w:szCs w:val="16"/>
        </w:rPr>
      </w:pPr>
      <w:r w:rsidRPr="009C5E45">
        <w:rPr>
          <w:rStyle w:val="FootnoteReference"/>
          <w:sz w:val="16"/>
          <w:szCs w:val="16"/>
        </w:rPr>
        <w:footnoteRef/>
      </w:r>
      <w:r w:rsidRPr="009C5E45">
        <w:rPr>
          <w:sz w:val="16"/>
          <w:szCs w:val="16"/>
        </w:rPr>
        <w:t xml:space="preserve"> Kamerstukken || 2024-25, 22 112, nr. 4055.</w:t>
      </w:r>
    </w:p>
  </w:footnote>
  <w:footnote w:id="19">
    <w:p w14:paraId="261BA3D3" w14:textId="1CCDBADC" w:rsidR="003B6961" w:rsidRPr="003950E4" w:rsidRDefault="003B6961" w:rsidP="003950E4">
      <w:pPr>
        <w:pStyle w:val="FootnoteText"/>
        <w:rPr>
          <w:sz w:val="16"/>
          <w:szCs w:val="16"/>
        </w:rPr>
      </w:pPr>
      <w:r w:rsidRPr="003B6961">
        <w:rPr>
          <w:rStyle w:val="FootnoteReference"/>
          <w:sz w:val="16"/>
          <w:szCs w:val="16"/>
        </w:rPr>
        <w:footnoteRef/>
      </w:r>
      <w:r>
        <w:rPr>
          <w:sz w:val="16"/>
          <w:szCs w:val="16"/>
        </w:rPr>
        <w:t xml:space="preserve"> Kamerstuk</w:t>
      </w:r>
      <w:r w:rsidR="00562E4F">
        <w:rPr>
          <w:sz w:val="16"/>
          <w:szCs w:val="16"/>
        </w:rPr>
        <w:t>ken II,</w:t>
      </w:r>
      <w:r>
        <w:rPr>
          <w:sz w:val="16"/>
          <w:szCs w:val="16"/>
        </w:rPr>
        <w:t xml:space="preserve"> </w:t>
      </w:r>
      <w:r w:rsidRPr="003950E4">
        <w:rPr>
          <w:color w:val="132439"/>
          <w:sz w:val="16"/>
          <w:szCs w:val="16"/>
        </w:rPr>
        <w:t>22112</w:t>
      </w:r>
      <w:r w:rsidR="00562E4F">
        <w:rPr>
          <w:color w:val="132439"/>
          <w:sz w:val="16"/>
          <w:szCs w:val="16"/>
        </w:rPr>
        <w:t xml:space="preserve">, nr. </w:t>
      </w:r>
      <w:r w:rsidRPr="003950E4">
        <w:rPr>
          <w:color w:val="132439"/>
          <w:sz w:val="16"/>
          <w:szCs w:val="16"/>
        </w:rPr>
        <w:t>4055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0CDC5" w14:textId="77777777" w:rsidR="00AE5C2C" w:rsidRDefault="00AE5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ADC3" w14:textId="77777777" w:rsidR="00C00590" w:rsidRDefault="00A227DC">
    <w:r>
      <w:rPr>
        <w:noProof/>
        <w:lang w:val="en-GB" w:eastAsia="en-GB"/>
      </w:rPr>
      <mc:AlternateContent>
        <mc:Choice Requires="wps">
          <w:drawing>
            <wp:anchor distT="0" distB="0" distL="0" distR="0" simplePos="0" relativeHeight="251658240" behindDoc="0" locked="1" layoutInCell="1" allowOverlap="1" wp14:anchorId="1ECE3866" wp14:editId="6856574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B1EF25E" w14:textId="77777777" w:rsidR="00C00590" w:rsidRDefault="00A227DC">
                          <w:pPr>
                            <w:pStyle w:val="AfzendgegevensKop0"/>
                          </w:pPr>
                          <w:r>
                            <w:t>Ministerie van Infrastructuur en Waterstaat</w:t>
                          </w:r>
                        </w:p>
                        <w:p w14:paraId="3D44C502" w14:textId="77777777" w:rsidR="00C00590" w:rsidRDefault="00C00590">
                          <w:pPr>
                            <w:pStyle w:val="WitregelW2"/>
                          </w:pPr>
                        </w:p>
                        <w:p w14:paraId="1246B4CC" w14:textId="77777777" w:rsidR="00C00590" w:rsidRDefault="00A227DC">
                          <w:pPr>
                            <w:pStyle w:val="Referentiegegevenskop"/>
                          </w:pPr>
                          <w:r>
                            <w:t>Ons kenmerk</w:t>
                          </w:r>
                        </w:p>
                        <w:p w14:paraId="3D92AC22" w14:textId="7923B139" w:rsidR="00C00590" w:rsidRDefault="007854CF">
                          <w:pPr>
                            <w:pStyle w:val="Referentiegegevens"/>
                          </w:pPr>
                          <w:r>
                            <w:t>IENW/BSK-2026/8</w:t>
                          </w:r>
                          <w:r w:rsidR="00DC1F9E">
                            <w:t>6630</w:t>
                          </w:r>
                        </w:p>
                      </w:txbxContent>
                    </wps:txbx>
                    <wps:bodyPr vert="horz" wrap="square" lIns="0" tIns="0" rIns="0" bIns="0" anchor="t" anchorCtr="0"/>
                  </wps:wsp>
                </a:graphicData>
              </a:graphic>
            </wp:anchor>
          </w:drawing>
        </mc:Choice>
        <mc:Fallback>
          <w:pict>
            <v:shapetype w14:anchorId="1ECE386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B1EF25E" w14:textId="77777777" w:rsidR="00C00590" w:rsidRDefault="00A227DC">
                    <w:pPr>
                      <w:pStyle w:val="AfzendgegevensKop0"/>
                    </w:pPr>
                    <w:r>
                      <w:t>Ministerie van Infrastructuur en Waterstaat</w:t>
                    </w:r>
                  </w:p>
                  <w:p w14:paraId="3D44C502" w14:textId="77777777" w:rsidR="00C00590" w:rsidRDefault="00C00590">
                    <w:pPr>
                      <w:pStyle w:val="WitregelW2"/>
                    </w:pPr>
                  </w:p>
                  <w:p w14:paraId="1246B4CC" w14:textId="77777777" w:rsidR="00C00590" w:rsidRDefault="00A227DC">
                    <w:pPr>
                      <w:pStyle w:val="Referentiegegevenskop"/>
                    </w:pPr>
                    <w:r>
                      <w:t>Ons kenmerk</w:t>
                    </w:r>
                  </w:p>
                  <w:p w14:paraId="3D92AC22" w14:textId="7923B139" w:rsidR="00C00590" w:rsidRDefault="007854CF">
                    <w:pPr>
                      <w:pStyle w:val="Referentiegegevens"/>
                    </w:pPr>
                    <w:r>
                      <w:t>IENW/BSK-2026/8</w:t>
                    </w:r>
                    <w:r w:rsidR="00DC1F9E">
                      <w:t>6630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360124B" wp14:editId="27AAA19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7381EF" w14:textId="77777777" w:rsidR="00C00590" w:rsidRDefault="00A227DC">
                          <w:pPr>
                            <w:pStyle w:val="Referentiegegevens"/>
                          </w:pPr>
                          <w:r>
                            <w:t xml:space="preserve">Pagina </w:t>
                          </w:r>
                          <w:r>
                            <w:fldChar w:fldCharType="begin"/>
                          </w:r>
                          <w:r>
                            <w:instrText>PAGE</w:instrText>
                          </w:r>
                          <w:r>
                            <w:fldChar w:fldCharType="separate"/>
                          </w:r>
                          <w:r w:rsidR="00341C47">
                            <w:rPr>
                              <w:noProof/>
                            </w:rPr>
                            <w:t>1</w:t>
                          </w:r>
                          <w:r>
                            <w:fldChar w:fldCharType="end"/>
                          </w:r>
                          <w:r>
                            <w:t xml:space="preserve"> van </w:t>
                          </w:r>
                          <w:r>
                            <w:fldChar w:fldCharType="begin"/>
                          </w:r>
                          <w:r>
                            <w:instrText>NUMPAGES</w:instrText>
                          </w:r>
                          <w:r>
                            <w:fldChar w:fldCharType="separate"/>
                          </w:r>
                          <w:r w:rsidR="00341C47">
                            <w:rPr>
                              <w:noProof/>
                            </w:rPr>
                            <w:t>1</w:t>
                          </w:r>
                          <w:r>
                            <w:fldChar w:fldCharType="end"/>
                          </w:r>
                        </w:p>
                      </w:txbxContent>
                    </wps:txbx>
                    <wps:bodyPr vert="horz" wrap="square" lIns="0" tIns="0" rIns="0" bIns="0" anchor="t" anchorCtr="0"/>
                  </wps:wsp>
                </a:graphicData>
              </a:graphic>
            </wp:anchor>
          </w:drawing>
        </mc:Choice>
        <mc:Fallback>
          <w:pict>
            <v:shape w14:anchorId="5360124B"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F7381EF" w14:textId="77777777" w:rsidR="00C00590" w:rsidRDefault="00A227DC">
                    <w:pPr>
                      <w:pStyle w:val="Referentiegegevens"/>
                    </w:pPr>
                    <w:r>
                      <w:t xml:space="preserve">Pagina </w:t>
                    </w:r>
                    <w:r>
                      <w:fldChar w:fldCharType="begin"/>
                    </w:r>
                    <w:r>
                      <w:instrText>PAGE</w:instrText>
                    </w:r>
                    <w:r>
                      <w:fldChar w:fldCharType="separate"/>
                    </w:r>
                    <w:r w:rsidR="00341C47">
                      <w:rPr>
                        <w:noProof/>
                      </w:rPr>
                      <w:t>1</w:t>
                    </w:r>
                    <w:r>
                      <w:fldChar w:fldCharType="end"/>
                    </w:r>
                    <w:r>
                      <w:t xml:space="preserve"> van </w:t>
                    </w:r>
                    <w:r>
                      <w:fldChar w:fldCharType="begin"/>
                    </w:r>
                    <w:r>
                      <w:instrText>NUMPAGES</w:instrText>
                    </w:r>
                    <w:r>
                      <w:fldChar w:fldCharType="separate"/>
                    </w:r>
                    <w:r w:rsidR="00341C4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5806B9C2" wp14:editId="15112A6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68B6B4" w14:textId="77777777" w:rsidR="00A227DC" w:rsidRDefault="00A227DC"/>
                      </w:txbxContent>
                    </wps:txbx>
                    <wps:bodyPr vert="horz" wrap="square" lIns="0" tIns="0" rIns="0" bIns="0" anchor="t" anchorCtr="0"/>
                  </wps:wsp>
                </a:graphicData>
              </a:graphic>
            </wp:anchor>
          </w:drawing>
        </mc:Choice>
        <mc:Fallback>
          <w:pict>
            <v:shape w14:anchorId="5806B9C2"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668B6B4"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E93C273" wp14:editId="15978F3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49EFD25" w14:textId="77777777" w:rsidR="00A227DC" w:rsidRDefault="00A227DC"/>
                      </w:txbxContent>
                    </wps:txbx>
                    <wps:bodyPr vert="horz" wrap="square" lIns="0" tIns="0" rIns="0" bIns="0" anchor="t" anchorCtr="0"/>
                  </wps:wsp>
                </a:graphicData>
              </a:graphic>
            </wp:anchor>
          </w:drawing>
        </mc:Choice>
        <mc:Fallback>
          <w:pict>
            <v:shape w14:anchorId="4E93C273"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49EFD25" w14:textId="77777777" w:rsidR="00A227DC" w:rsidRDefault="00A227D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E345" w14:textId="77777777" w:rsidR="00C00590" w:rsidRDefault="00A227DC">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725F12B7" wp14:editId="445DE47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DA80E3" w14:textId="77777777" w:rsidR="00A227DC" w:rsidRDefault="00A227DC"/>
                      </w:txbxContent>
                    </wps:txbx>
                    <wps:bodyPr vert="horz" wrap="square" lIns="0" tIns="0" rIns="0" bIns="0" anchor="t" anchorCtr="0"/>
                  </wps:wsp>
                </a:graphicData>
              </a:graphic>
            </wp:anchor>
          </w:drawing>
        </mc:Choice>
        <mc:Fallback>
          <w:pict>
            <v:shapetype w14:anchorId="725F12B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1DA80E3"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6112E8AC" wp14:editId="2D74EBD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A8ED70" w14:textId="26FFEF0A" w:rsidR="00C00590" w:rsidRDefault="00A227DC">
                          <w:pPr>
                            <w:pStyle w:val="Referentiegegevens"/>
                          </w:pPr>
                          <w:r>
                            <w:t xml:space="preserve">Pagina </w:t>
                          </w:r>
                          <w:r>
                            <w:fldChar w:fldCharType="begin"/>
                          </w:r>
                          <w:r>
                            <w:instrText>PAGE</w:instrText>
                          </w:r>
                          <w:r>
                            <w:fldChar w:fldCharType="separate"/>
                          </w:r>
                          <w:r w:rsidR="008D4582">
                            <w:rPr>
                              <w:noProof/>
                            </w:rPr>
                            <w:t>1</w:t>
                          </w:r>
                          <w:r>
                            <w:fldChar w:fldCharType="end"/>
                          </w:r>
                          <w:r>
                            <w:t xml:space="preserve"> van </w:t>
                          </w:r>
                          <w:r>
                            <w:fldChar w:fldCharType="begin"/>
                          </w:r>
                          <w:r>
                            <w:instrText>NUMPAGES</w:instrText>
                          </w:r>
                          <w:r>
                            <w:fldChar w:fldCharType="separate"/>
                          </w:r>
                          <w:r w:rsidR="008D4582">
                            <w:rPr>
                              <w:noProof/>
                            </w:rPr>
                            <w:t>1</w:t>
                          </w:r>
                          <w:r>
                            <w:fldChar w:fldCharType="end"/>
                          </w:r>
                        </w:p>
                      </w:txbxContent>
                    </wps:txbx>
                    <wps:bodyPr vert="horz" wrap="square" lIns="0" tIns="0" rIns="0" bIns="0" anchor="t" anchorCtr="0"/>
                  </wps:wsp>
                </a:graphicData>
              </a:graphic>
            </wp:anchor>
          </w:drawing>
        </mc:Choice>
        <mc:Fallback>
          <w:pict>
            <v:shape w14:anchorId="6112E8AC"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4A8ED70" w14:textId="26FFEF0A" w:rsidR="00C00590" w:rsidRDefault="00A227DC">
                    <w:pPr>
                      <w:pStyle w:val="Referentiegegevens"/>
                    </w:pPr>
                    <w:r>
                      <w:t xml:space="preserve">Pagina </w:t>
                    </w:r>
                    <w:r>
                      <w:fldChar w:fldCharType="begin"/>
                    </w:r>
                    <w:r>
                      <w:instrText>PAGE</w:instrText>
                    </w:r>
                    <w:r>
                      <w:fldChar w:fldCharType="separate"/>
                    </w:r>
                    <w:r w:rsidR="008D4582">
                      <w:rPr>
                        <w:noProof/>
                      </w:rPr>
                      <w:t>1</w:t>
                    </w:r>
                    <w:r>
                      <w:fldChar w:fldCharType="end"/>
                    </w:r>
                    <w:r>
                      <w:t xml:space="preserve"> van </w:t>
                    </w:r>
                    <w:r>
                      <w:fldChar w:fldCharType="begin"/>
                    </w:r>
                    <w:r>
                      <w:instrText>NUMPAGES</w:instrText>
                    </w:r>
                    <w:r>
                      <w:fldChar w:fldCharType="separate"/>
                    </w:r>
                    <w:r w:rsidR="008D458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988A3BE" wp14:editId="09FEADE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06BDAB0" w14:textId="77777777" w:rsidR="00C00590" w:rsidRDefault="00A227DC">
                          <w:pPr>
                            <w:pStyle w:val="AfzendgegevensKop0"/>
                          </w:pPr>
                          <w:r>
                            <w:t>Ministerie van Infrastructuur en Waterstaat</w:t>
                          </w:r>
                        </w:p>
                        <w:p w14:paraId="44B138C0" w14:textId="77777777" w:rsidR="00C00590" w:rsidRDefault="00C00590">
                          <w:pPr>
                            <w:pStyle w:val="WitregelW1"/>
                          </w:pPr>
                        </w:p>
                        <w:p w14:paraId="5DDAFB09" w14:textId="77777777" w:rsidR="00C00590" w:rsidRDefault="00A227DC">
                          <w:pPr>
                            <w:pStyle w:val="Afzendgegevens"/>
                          </w:pPr>
                          <w:r>
                            <w:t>Rijnstraat 8</w:t>
                          </w:r>
                        </w:p>
                        <w:p w14:paraId="34DD730B" w14:textId="77777777" w:rsidR="00C00590" w:rsidRPr="00341C47" w:rsidRDefault="00A227DC">
                          <w:pPr>
                            <w:pStyle w:val="Afzendgegevens"/>
                            <w:rPr>
                              <w:lang w:val="de-DE"/>
                            </w:rPr>
                          </w:pPr>
                          <w:r w:rsidRPr="00341C47">
                            <w:rPr>
                              <w:lang w:val="de-DE"/>
                            </w:rPr>
                            <w:t>2515 XP  Den Haag</w:t>
                          </w:r>
                        </w:p>
                        <w:p w14:paraId="2E93409E" w14:textId="77777777" w:rsidR="00C00590" w:rsidRPr="00341C47" w:rsidRDefault="00A227DC">
                          <w:pPr>
                            <w:pStyle w:val="Afzendgegevens"/>
                            <w:rPr>
                              <w:lang w:val="de-DE"/>
                            </w:rPr>
                          </w:pPr>
                          <w:r w:rsidRPr="00341C47">
                            <w:rPr>
                              <w:lang w:val="de-DE"/>
                            </w:rPr>
                            <w:t>Postbus 20901</w:t>
                          </w:r>
                        </w:p>
                        <w:p w14:paraId="6222BC25" w14:textId="77777777" w:rsidR="00C00590" w:rsidRPr="00341C47" w:rsidRDefault="00A227DC">
                          <w:pPr>
                            <w:pStyle w:val="Afzendgegevens"/>
                            <w:rPr>
                              <w:lang w:val="de-DE"/>
                            </w:rPr>
                          </w:pPr>
                          <w:r w:rsidRPr="00341C47">
                            <w:rPr>
                              <w:lang w:val="de-DE"/>
                            </w:rPr>
                            <w:t>2500 EX Den Haag</w:t>
                          </w:r>
                        </w:p>
                        <w:p w14:paraId="6998D3F8" w14:textId="77777777" w:rsidR="00C00590" w:rsidRPr="00341C47" w:rsidRDefault="00C00590">
                          <w:pPr>
                            <w:pStyle w:val="WitregelW1"/>
                            <w:rPr>
                              <w:lang w:val="de-DE"/>
                            </w:rPr>
                          </w:pPr>
                        </w:p>
                        <w:p w14:paraId="2708CCF4" w14:textId="77777777" w:rsidR="00C00590" w:rsidRPr="00341C47" w:rsidRDefault="00A227DC">
                          <w:pPr>
                            <w:pStyle w:val="Afzendgegevens"/>
                            <w:rPr>
                              <w:lang w:val="de-DE"/>
                            </w:rPr>
                          </w:pPr>
                          <w:r w:rsidRPr="00341C47">
                            <w:rPr>
                              <w:lang w:val="de-DE"/>
                            </w:rPr>
                            <w:t>T   070-456 0000</w:t>
                          </w:r>
                        </w:p>
                        <w:p w14:paraId="17AB69C9" w14:textId="77777777" w:rsidR="00C00590" w:rsidRDefault="00A227DC">
                          <w:pPr>
                            <w:pStyle w:val="Afzendgegevens"/>
                          </w:pPr>
                          <w:r>
                            <w:t>F   070-456 1111</w:t>
                          </w:r>
                        </w:p>
                        <w:p w14:paraId="2605FFE4" w14:textId="77777777" w:rsidR="00C00590" w:rsidRPr="00DC1F9E" w:rsidRDefault="00C00590" w:rsidP="00DC1F9E">
                          <w:pPr>
                            <w:pStyle w:val="WitregelW2"/>
                            <w:spacing w:line="276" w:lineRule="auto"/>
                            <w:rPr>
                              <w:sz w:val="13"/>
                              <w:szCs w:val="13"/>
                            </w:rPr>
                          </w:pPr>
                        </w:p>
                        <w:p w14:paraId="4F368653" w14:textId="77777777" w:rsidR="00C00590" w:rsidRPr="00DC1F9E" w:rsidRDefault="00A227DC" w:rsidP="00DC1F9E">
                          <w:pPr>
                            <w:pStyle w:val="Referentiegegevenskop"/>
                            <w:spacing w:line="276" w:lineRule="auto"/>
                          </w:pPr>
                          <w:r w:rsidRPr="00DC1F9E">
                            <w:t>Ons kenmerk</w:t>
                          </w:r>
                        </w:p>
                        <w:p w14:paraId="79CBF657" w14:textId="12C247E5" w:rsidR="00C00590" w:rsidRPr="00DC1F9E" w:rsidRDefault="007854CF" w:rsidP="00DC1F9E">
                          <w:pPr>
                            <w:pStyle w:val="Referentiegegevens"/>
                            <w:spacing w:line="276" w:lineRule="auto"/>
                          </w:pPr>
                          <w:r w:rsidRPr="00DC1F9E">
                            <w:t>IENW/BSK-2026/8</w:t>
                          </w:r>
                          <w:r w:rsidR="00DC1F9E" w:rsidRPr="00DC1F9E">
                            <w:t>6630</w:t>
                          </w:r>
                        </w:p>
                        <w:p w14:paraId="20B65FCB" w14:textId="77777777" w:rsidR="00C00590" w:rsidRPr="00DC1F9E" w:rsidRDefault="00C00590" w:rsidP="00DC1F9E">
                          <w:pPr>
                            <w:pStyle w:val="WitregelW1"/>
                            <w:spacing w:line="276" w:lineRule="auto"/>
                            <w:rPr>
                              <w:sz w:val="13"/>
                              <w:szCs w:val="13"/>
                            </w:rPr>
                          </w:pPr>
                        </w:p>
                        <w:p w14:paraId="0F85AFB6" w14:textId="77777777" w:rsidR="00C00590" w:rsidRPr="00DC1F9E" w:rsidRDefault="00A227DC" w:rsidP="00DC1F9E">
                          <w:pPr>
                            <w:pStyle w:val="Referentiegegevenskop"/>
                            <w:spacing w:line="276" w:lineRule="auto"/>
                          </w:pPr>
                          <w:r w:rsidRPr="00DC1F9E">
                            <w:t>Bijlage(n)</w:t>
                          </w:r>
                        </w:p>
                        <w:p w14:paraId="16B29F1A" w14:textId="77777777" w:rsidR="00C00590" w:rsidRPr="00DC1F9E" w:rsidRDefault="00A227DC" w:rsidP="00DC1F9E">
                          <w:pPr>
                            <w:pStyle w:val="Referentiegegevens"/>
                            <w:spacing w:line="276" w:lineRule="auto"/>
                          </w:pPr>
                          <w:r w:rsidRPr="00DC1F9E">
                            <w:t>1</w:t>
                          </w:r>
                        </w:p>
                      </w:txbxContent>
                    </wps:txbx>
                    <wps:bodyPr vert="horz" wrap="square" lIns="0" tIns="0" rIns="0" bIns="0" anchor="t" anchorCtr="0"/>
                  </wps:wsp>
                </a:graphicData>
              </a:graphic>
            </wp:anchor>
          </w:drawing>
        </mc:Choice>
        <mc:Fallback>
          <w:pict>
            <v:shape w14:anchorId="7988A3BE"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06BDAB0" w14:textId="77777777" w:rsidR="00C00590" w:rsidRDefault="00A227DC">
                    <w:pPr>
                      <w:pStyle w:val="AfzendgegevensKop0"/>
                    </w:pPr>
                    <w:r>
                      <w:t>Ministerie van Infrastructuur en Waterstaat</w:t>
                    </w:r>
                  </w:p>
                  <w:p w14:paraId="44B138C0" w14:textId="77777777" w:rsidR="00C00590" w:rsidRDefault="00C00590">
                    <w:pPr>
                      <w:pStyle w:val="WitregelW1"/>
                    </w:pPr>
                  </w:p>
                  <w:p w14:paraId="5DDAFB09" w14:textId="77777777" w:rsidR="00C00590" w:rsidRDefault="00A227DC">
                    <w:pPr>
                      <w:pStyle w:val="Afzendgegevens"/>
                    </w:pPr>
                    <w:r>
                      <w:t>Rijnstraat 8</w:t>
                    </w:r>
                  </w:p>
                  <w:p w14:paraId="34DD730B" w14:textId="77777777" w:rsidR="00C00590" w:rsidRPr="00341C47" w:rsidRDefault="00A227DC">
                    <w:pPr>
                      <w:pStyle w:val="Afzendgegevens"/>
                      <w:rPr>
                        <w:lang w:val="de-DE"/>
                      </w:rPr>
                    </w:pPr>
                    <w:r w:rsidRPr="00341C47">
                      <w:rPr>
                        <w:lang w:val="de-DE"/>
                      </w:rPr>
                      <w:t>2515 XP  Den Haag</w:t>
                    </w:r>
                  </w:p>
                  <w:p w14:paraId="2E93409E" w14:textId="77777777" w:rsidR="00C00590" w:rsidRPr="00341C47" w:rsidRDefault="00A227DC">
                    <w:pPr>
                      <w:pStyle w:val="Afzendgegevens"/>
                      <w:rPr>
                        <w:lang w:val="de-DE"/>
                      </w:rPr>
                    </w:pPr>
                    <w:r w:rsidRPr="00341C47">
                      <w:rPr>
                        <w:lang w:val="de-DE"/>
                      </w:rPr>
                      <w:t>Postbus 20901</w:t>
                    </w:r>
                  </w:p>
                  <w:p w14:paraId="6222BC25" w14:textId="77777777" w:rsidR="00C00590" w:rsidRPr="00341C47" w:rsidRDefault="00A227DC">
                    <w:pPr>
                      <w:pStyle w:val="Afzendgegevens"/>
                      <w:rPr>
                        <w:lang w:val="de-DE"/>
                      </w:rPr>
                    </w:pPr>
                    <w:r w:rsidRPr="00341C47">
                      <w:rPr>
                        <w:lang w:val="de-DE"/>
                      </w:rPr>
                      <w:t>2500 EX Den Haag</w:t>
                    </w:r>
                  </w:p>
                  <w:p w14:paraId="6998D3F8" w14:textId="77777777" w:rsidR="00C00590" w:rsidRPr="00341C47" w:rsidRDefault="00C00590">
                    <w:pPr>
                      <w:pStyle w:val="WitregelW1"/>
                      <w:rPr>
                        <w:lang w:val="de-DE"/>
                      </w:rPr>
                    </w:pPr>
                  </w:p>
                  <w:p w14:paraId="2708CCF4" w14:textId="77777777" w:rsidR="00C00590" w:rsidRPr="00341C47" w:rsidRDefault="00A227DC">
                    <w:pPr>
                      <w:pStyle w:val="Afzendgegevens"/>
                      <w:rPr>
                        <w:lang w:val="de-DE"/>
                      </w:rPr>
                    </w:pPr>
                    <w:r w:rsidRPr="00341C47">
                      <w:rPr>
                        <w:lang w:val="de-DE"/>
                      </w:rPr>
                      <w:t>T   070-456 0000</w:t>
                    </w:r>
                  </w:p>
                  <w:p w14:paraId="17AB69C9" w14:textId="77777777" w:rsidR="00C00590" w:rsidRDefault="00A227DC">
                    <w:pPr>
                      <w:pStyle w:val="Afzendgegevens"/>
                    </w:pPr>
                    <w:r>
                      <w:t>F   070-456 1111</w:t>
                    </w:r>
                  </w:p>
                  <w:p w14:paraId="2605FFE4" w14:textId="77777777" w:rsidR="00C00590" w:rsidRPr="00DC1F9E" w:rsidRDefault="00C00590" w:rsidP="00DC1F9E">
                    <w:pPr>
                      <w:pStyle w:val="WitregelW2"/>
                      <w:spacing w:line="276" w:lineRule="auto"/>
                      <w:rPr>
                        <w:sz w:val="13"/>
                        <w:szCs w:val="13"/>
                      </w:rPr>
                    </w:pPr>
                  </w:p>
                  <w:p w14:paraId="4F368653" w14:textId="77777777" w:rsidR="00C00590" w:rsidRPr="00DC1F9E" w:rsidRDefault="00A227DC" w:rsidP="00DC1F9E">
                    <w:pPr>
                      <w:pStyle w:val="Referentiegegevenskop"/>
                      <w:spacing w:line="276" w:lineRule="auto"/>
                    </w:pPr>
                    <w:r w:rsidRPr="00DC1F9E">
                      <w:t>Ons kenmerk</w:t>
                    </w:r>
                  </w:p>
                  <w:p w14:paraId="79CBF657" w14:textId="12C247E5" w:rsidR="00C00590" w:rsidRPr="00DC1F9E" w:rsidRDefault="007854CF" w:rsidP="00DC1F9E">
                    <w:pPr>
                      <w:pStyle w:val="Referentiegegevens"/>
                      <w:spacing w:line="276" w:lineRule="auto"/>
                    </w:pPr>
                    <w:r w:rsidRPr="00DC1F9E">
                      <w:t>IENW/BSK-2026/8</w:t>
                    </w:r>
                    <w:r w:rsidR="00DC1F9E" w:rsidRPr="00DC1F9E">
                      <w:t>6630</w:t>
                    </w:r>
                  </w:p>
                  <w:p w14:paraId="20B65FCB" w14:textId="77777777" w:rsidR="00C00590" w:rsidRPr="00DC1F9E" w:rsidRDefault="00C00590" w:rsidP="00DC1F9E">
                    <w:pPr>
                      <w:pStyle w:val="WitregelW1"/>
                      <w:spacing w:line="276" w:lineRule="auto"/>
                      <w:rPr>
                        <w:sz w:val="13"/>
                        <w:szCs w:val="13"/>
                      </w:rPr>
                    </w:pPr>
                  </w:p>
                  <w:p w14:paraId="0F85AFB6" w14:textId="77777777" w:rsidR="00C00590" w:rsidRPr="00DC1F9E" w:rsidRDefault="00A227DC" w:rsidP="00DC1F9E">
                    <w:pPr>
                      <w:pStyle w:val="Referentiegegevenskop"/>
                      <w:spacing w:line="276" w:lineRule="auto"/>
                    </w:pPr>
                    <w:r w:rsidRPr="00DC1F9E">
                      <w:t>Bijlage(n)</w:t>
                    </w:r>
                  </w:p>
                  <w:p w14:paraId="16B29F1A" w14:textId="77777777" w:rsidR="00C00590" w:rsidRPr="00DC1F9E" w:rsidRDefault="00A227DC" w:rsidP="00DC1F9E">
                    <w:pPr>
                      <w:pStyle w:val="Referentiegegevens"/>
                      <w:spacing w:line="276" w:lineRule="auto"/>
                    </w:pPr>
                    <w:r w:rsidRPr="00DC1F9E">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A6256C1" wp14:editId="79A6E9C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D295336" w14:textId="77777777" w:rsidR="00C00590" w:rsidRDefault="00A227DC">
                          <w:pPr>
                            <w:spacing w:line="240" w:lineRule="auto"/>
                          </w:pPr>
                          <w:r>
                            <w:rPr>
                              <w:noProof/>
                              <w:lang w:val="en-GB" w:eastAsia="en-GB"/>
                            </w:rPr>
                            <w:drawing>
                              <wp:inline distT="0" distB="0" distL="0" distR="0" wp14:anchorId="7379824A" wp14:editId="1788445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6256C1"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D295336" w14:textId="77777777" w:rsidR="00C00590" w:rsidRDefault="00A227DC">
                    <w:pPr>
                      <w:spacing w:line="240" w:lineRule="auto"/>
                    </w:pPr>
                    <w:r>
                      <w:rPr>
                        <w:noProof/>
                        <w:lang w:val="en-GB" w:eastAsia="en-GB"/>
                      </w:rPr>
                      <w:drawing>
                        <wp:inline distT="0" distB="0" distL="0" distR="0" wp14:anchorId="7379824A" wp14:editId="1788445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13644673" wp14:editId="08EF6FB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DA0AF0" w14:textId="77777777" w:rsidR="00C00590" w:rsidRDefault="00A227DC">
                          <w:pPr>
                            <w:spacing w:line="240" w:lineRule="auto"/>
                          </w:pPr>
                          <w:r>
                            <w:rPr>
                              <w:noProof/>
                              <w:lang w:val="en-GB" w:eastAsia="en-GB"/>
                            </w:rPr>
                            <w:drawing>
                              <wp:inline distT="0" distB="0" distL="0" distR="0" wp14:anchorId="61B2E0B9" wp14:editId="2664039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644673"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2DA0AF0" w14:textId="77777777" w:rsidR="00C00590" w:rsidRDefault="00A227DC">
                    <w:pPr>
                      <w:spacing w:line="240" w:lineRule="auto"/>
                    </w:pPr>
                    <w:r>
                      <w:rPr>
                        <w:noProof/>
                        <w:lang w:val="en-GB" w:eastAsia="en-GB"/>
                      </w:rPr>
                      <w:drawing>
                        <wp:inline distT="0" distB="0" distL="0" distR="0" wp14:anchorId="61B2E0B9" wp14:editId="2664039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649C7878" wp14:editId="61C6830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18168FB" w14:textId="77777777" w:rsidR="00C00590" w:rsidRDefault="00A227D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49C7878"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18168FB" w14:textId="77777777" w:rsidR="00C00590" w:rsidRDefault="00A227D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179CE7C1" wp14:editId="79738C8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7A12C8" w14:textId="77777777" w:rsidR="00C00590" w:rsidRDefault="00A227D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79CE7C1"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F7A12C8" w14:textId="77777777" w:rsidR="00C00590" w:rsidRDefault="00A227D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60E3512A" wp14:editId="0BAD999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00590" w14:paraId="4E4D61DC" w14:textId="77777777">
                            <w:trPr>
                              <w:trHeight w:val="200"/>
                            </w:trPr>
                            <w:tc>
                              <w:tcPr>
                                <w:tcW w:w="1140" w:type="dxa"/>
                              </w:tcPr>
                              <w:p w14:paraId="248CD8E5" w14:textId="77777777" w:rsidR="00C00590" w:rsidRDefault="00C00590"/>
                            </w:tc>
                            <w:tc>
                              <w:tcPr>
                                <w:tcW w:w="5400" w:type="dxa"/>
                              </w:tcPr>
                              <w:p w14:paraId="4A698CDA" w14:textId="77777777" w:rsidR="00C00590" w:rsidRDefault="00C00590"/>
                            </w:tc>
                          </w:tr>
                          <w:tr w:rsidR="00C00590" w14:paraId="5C319B01" w14:textId="77777777">
                            <w:trPr>
                              <w:trHeight w:val="240"/>
                            </w:trPr>
                            <w:tc>
                              <w:tcPr>
                                <w:tcW w:w="1140" w:type="dxa"/>
                              </w:tcPr>
                              <w:p w14:paraId="09B00686" w14:textId="77777777" w:rsidR="00C00590" w:rsidRDefault="00A227DC">
                                <w:r>
                                  <w:t>Datum</w:t>
                                </w:r>
                              </w:p>
                            </w:tc>
                            <w:sdt>
                              <w:sdtPr>
                                <w:id w:val="665510859"/>
                                <w:placeholder>
                                  <w:docPart w:val="DefaultPlaceholder_-1854013437"/>
                                </w:placeholder>
                                <w:date w:fullDate="2026-05-20T00:00:00Z">
                                  <w:dateFormat w:val="d MMMM yyyy"/>
                                  <w:lid w:val="nl-NL"/>
                                  <w:storeMappedDataAs w:val="dateTime"/>
                                  <w:calendar w:val="gregorian"/>
                                </w:date>
                              </w:sdtPr>
                              <w:sdtEndPr/>
                              <w:sdtContent>
                                <w:tc>
                                  <w:tcPr>
                                    <w:tcW w:w="5400" w:type="dxa"/>
                                  </w:tcPr>
                                  <w:p w14:paraId="40F6EEBD" w14:textId="74C1CDA8" w:rsidR="00C00590" w:rsidRDefault="00A07028">
                                    <w:r>
                                      <w:t>20 mei 2026</w:t>
                                    </w:r>
                                  </w:p>
                                </w:tc>
                              </w:sdtContent>
                            </w:sdt>
                          </w:tr>
                          <w:tr w:rsidR="00C00590" w14:paraId="0FCA13E7" w14:textId="77777777">
                            <w:trPr>
                              <w:trHeight w:val="240"/>
                            </w:trPr>
                            <w:tc>
                              <w:tcPr>
                                <w:tcW w:w="1140" w:type="dxa"/>
                              </w:tcPr>
                              <w:p w14:paraId="7614671A" w14:textId="77777777" w:rsidR="00C00590" w:rsidRDefault="00A227DC">
                                <w:r>
                                  <w:t>Betreft</w:t>
                                </w:r>
                              </w:p>
                            </w:tc>
                            <w:tc>
                              <w:tcPr>
                                <w:tcW w:w="5400" w:type="dxa"/>
                              </w:tcPr>
                              <w:p w14:paraId="07C44650" w14:textId="764D604C" w:rsidR="00C00590" w:rsidRDefault="00A227DC">
                                <w:r>
                                  <w:t xml:space="preserve">Geannoteerde agenda bijeenkomst van EU-transportministers </w:t>
                                </w:r>
                                <w:r w:rsidR="00A453D8">
                                  <w:t>8 juni 2026</w:t>
                                </w:r>
                                <w:r w:rsidR="001258E8">
                                  <w:t xml:space="preserve"> te </w:t>
                                </w:r>
                                <w:r w:rsidR="001258E8" w:rsidRPr="007854CF">
                                  <w:t>Luxemburg</w:t>
                                </w:r>
                              </w:p>
                            </w:tc>
                          </w:tr>
                          <w:tr w:rsidR="00C00590" w14:paraId="5C652780" w14:textId="77777777">
                            <w:trPr>
                              <w:trHeight w:val="200"/>
                            </w:trPr>
                            <w:tc>
                              <w:tcPr>
                                <w:tcW w:w="1140" w:type="dxa"/>
                              </w:tcPr>
                              <w:p w14:paraId="566A382B" w14:textId="77777777" w:rsidR="00C00590" w:rsidRDefault="00C00590"/>
                            </w:tc>
                            <w:tc>
                              <w:tcPr>
                                <w:tcW w:w="5400" w:type="dxa"/>
                              </w:tcPr>
                              <w:p w14:paraId="43F9ACC0" w14:textId="77777777" w:rsidR="00C00590" w:rsidRDefault="00C00590"/>
                            </w:tc>
                          </w:tr>
                        </w:tbl>
                        <w:p w14:paraId="2FA94CF7" w14:textId="77777777" w:rsidR="00A227DC" w:rsidRDefault="00A227DC"/>
                      </w:txbxContent>
                    </wps:txbx>
                    <wps:bodyPr vert="horz" wrap="square" lIns="0" tIns="0" rIns="0" bIns="0" anchor="t" anchorCtr="0"/>
                  </wps:wsp>
                </a:graphicData>
              </a:graphic>
            </wp:anchor>
          </w:drawing>
        </mc:Choice>
        <mc:Fallback>
          <w:pict>
            <v:shape w14:anchorId="60E3512A"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00590" w14:paraId="4E4D61DC" w14:textId="77777777">
                      <w:trPr>
                        <w:trHeight w:val="200"/>
                      </w:trPr>
                      <w:tc>
                        <w:tcPr>
                          <w:tcW w:w="1140" w:type="dxa"/>
                        </w:tcPr>
                        <w:p w14:paraId="248CD8E5" w14:textId="77777777" w:rsidR="00C00590" w:rsidRDefault="00C00590"/>
                      </w:tc>
                      <w:tc>
                        <w:tcPr>
                          <w:tcW w:w="5400" w:type="dxa"/>
                        </w:tcPr>
                        <w:p w14:paraId="4A698CDA" w14:textId="77777777" w:rsidR="00C00590" w:rsidRDefault="00C00590"/>
                      </w:tc>
                    </w:tr>
                    <w:tr w:rsidR="00C00590" w14:paraId="5C319B01" w14:textId="77777777">
                      <w:trPr>
                        <w:trHeight w:val="240"/>
                      </w:trPr>
                      <w:tc>
                        <w:tcPr>
                          <w:tcW w:w="1140" w:type="dxa"/>
                        </w:tcPr>
                        <w:p w14:paraId="09B00686" w14:textId="77777777" w:rsidR="00C00590" w:rsidRDefault="00A227DC">
                          <w:r>
                            <w:t>Datum</w:t>
                          </w:r>
                        </w:p>
                      </w:tc>
                      <w:sdt>
                        <w:sdtPr>
                          <w:id w:val="665510859"/>
                          <w:placeholder>
                            <w:docPart w:val="DefaultPlaceholder_-1854013437"/>
                          </w:placeholder>
                          <w:date w:fullDate="2026-05-20T00:00:00Z">
                            <w:dateFormat w:val="d MMMM yyyy"/>
                            <w:lid w:val="nl-NL"/>
                            <w:storeMappedDataAs w:val="dateTime"/>
                            <w:calendar w:val="gregorian"/>
                          </w:date>
                        </w:sdtPr>
                        <w:sdtEndPr/>
                        <w:sdtContent>
                          <w:tc>
                            <w:tcPr>
                              <w:tcW w:w="5400" w:type="dxa"/>
                            </w:tcPr>
                            <w:p w14:paraId="40F6EEBD" w14:textId="74C1CDA8" w:rsidR="00C00590" w:rsidRDefault="00A07028">
                              <w:r>
                                <w:t>20 mei 2026</w:t>
                              </w:r>
                            </w:p>
                          </w:tc>
                        </w:sdtContent>
                      </w:sdt>
                    </w:tr>
                    <w:tr w:rsidR="00C00590" w14:paraId="0FCA13E7" w14:textId="77777777">
                      <w:trPr>
                        <w:trHeight w:val="240"/>
                      </w:trPr>
                      <w:tc>
                        <w:tcPr>
                          <w:tcW w:w="1140" w:type="dxa"/>
                        </w:tcPr>
                        <w:p w14:paraId="7614671A" w14:textId="77777777" w:rsidR="00C00590" w:rsidRDefault="00A227DC">
                          <w:r>
                            <w:t>Betreft</w:t>
                          </w:r>
                        </w:p>
                      </w:tc>
                      <w:tc>
                        <w:tcPr>
                          <w:tcW w:w="5400" w:type="dxa"/>
                        </w:tcPr>
                        <w:p w14:paraId="07C44650" w14:textId="764D604C" w:rsidR="00C00590" w:rsidRDefault="00A227DC">
                          <w:r>
                            <w:t xml:space="preserve">Geannoteerde agenda bijeenkomst van EU-transportministers </w:t>
                          </w:r>
                          <w:r w:rsidR="00A453D8">
                            <w:t>8 juni 2026</w:t>
                          </w:r>
                          <w:r w:rsidR="001258E8">
                            <w:t xml:space="preserve"> te </w:t>
                          </w:r>
                          <w:r w:rsidR="001258E8" w:rsidRPr="007854CF">
                            <w:t>Luxemburg</w:t>
                          </w:r>
                        </w:p>
                      </w:tc>
                    </w:tr>
                    <w:tr w:rsidR="00C00590" w14:paraId="5C652780" w14:textId="77777777">
                      <w:trPr>
                        <w:trHeight w:val="200"/>
                      </w:trPr>
                      <w:tc>
                        <w:tcPr>
                          <w:tcW w:w="1140" w:type="dxa"/>
                        </w:tcPr>
                        <w:p w14:paraId="566A382B" w14:textId="77777777" w:rsidR="00C00590" w:rsidRDefault="00C00590"/>
                      </w:tc>
                      <w:tc>
                        <w:tcPr>
                          <w:tcW w:w="5400" w:type="dxa"/>
                        </w:tcPr>
                        <w:p w14:paraId="43F9ACC0" w14:textId="77777777" w:rsidR="00C00590" w:rsidRDefault="00C00590"/>
                      </w:tc>
                    </w:tr>
                  </w:tbl>
                  <w:p w14:paraId="2FA94CF7"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1DEA0DD3" wp14:editId="3721149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8F8DC9" w14:textId="77777777" w:rsidR="00A227DC" w:rsidRDefault="00A227DC"/>
                      </w:txbxContent>
                    </wps:txbx>
                    <wps:bodyPr vert="horz" wrap="square" lIns="0" tIns="0" rIns="0" bIns="0" anchor="t" anchorCtr="0"/>
                  </wps:wsp>
                </a:graphicData>
              </a:graphic>
            </wp:anchor>
          </w:drawing>
        </mc:Choice>
        <mc:Fallback>
          <w:pict>
            <v:shape w14:anchorId="1DEA0DD3"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F8F8DC9" w14:textId="77777777" w:rsidR="00A227DC" w:rsidRDefault="00A227D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7DCF1D"/>
    <w:multiLevelType w:val="multilevel"/>
    <w:tmpl w:val="9BE01EB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57BB06"/>
    <w:multiLevelType w:val="multilevel"/>
    <w:tmpl w:val="43DECBE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695AF5"/>
    <w:multiLevelType w:val="multilevel"/>
    <w:tmpl w:val="12FBBEF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A0707F"/>
    <w:multiLevelType w:val="multilevel"/>
    <w:tmpl w:val="2E3EA50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3E080F"/>
    <w:multiLevelType w:val="multilevel"/>
    <w:tmpl w:val="E202AEC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690CCF"/>
    <w:multiLevelType w:val="multilevel"/>
    <w:tmpl w:val="400FC05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9DEED7"/>
    <w:multiLevelType w:val="multilevel"/>
    <w:tmpl w:val="4D8D041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9EDE294"/>
    <w:multiLevelType w:val="multilevel"/>
    <w:tmpl w:val="44AA20D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68121A"/>
    <w:multiLevelType w:val="multilevel"/>
    <w:tmpl w:val="B83F934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F57036"/>
    <w:multiLevelType w:val="multilevel"/>
    <w:tmpl w:val="E2B0949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23CE0D"/>
    <w:multiLevelType w:val="multilevel"/>
    <w:tmpl w:val="B91A593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156D82"/>
    <w:multiLevelType w:val="hybridMultilevel"/>
    <w:tmpl w:val="012AF746"/>
    <w:lvl w:ilvl="0" w:tplc="ED4CFA98">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F07E1F"/>
    <w:multiLevelType w:val="hybridMultilevel"/>
    <w:tmpl w:val="183C389C"/>
    <w:lvl w:ilvl="0" w:tplc="982EA66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BDB8D30"/>
    <w:multiLevelType w:val="multilevel"/>
    <w:tmpl w:val="58CBE95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BE353B"/>
    <w:multiLevelType w:val="multilevel"/>
    <w:tmpl w:val="624D95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13C106A6"/>
    <w:multiLevelType w:val="hybridMultilevel"/>
    <w:tmpl w:val="68AE6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7D784D5"/>
    <w:multiLevelType w:val="multilevel"/>
    <w:tmpl w:val="03D6DF9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86733F"/>
    <w:multiLevelType w:val="hybridMultilevel"/>
    <w:tmpl w:val="31862964"/>
    <w:lvl w:ilvl="0" w:tplc="5E6CBB14">
      <w:start w:val="1"/>
      <w:numFmt w:val="bullet"/>
      <w:lvlText w:val=""/>
      <w:lvlJc w:val="left"/>
      <w:pPr>
        <w:ind w:left="720" w:hanging="360"/>
      </w:pPr>
      <w:rPr>
        <w:rFonts w:ascii="Symbol" w:hAnsi="Symbol" w:hint="default"/>
      </w:rPr>
    </w:lvl>
    <w:lvl w:ilvl="1" w:tplc="747C3C1A">
      <w:start w:val="1"/>
      <w:numFmt w:val="bullet"/>
      <w:lvlText w:val="o"/>
      <w:lvlJc w:val="left"/>
      <w:pPr>
        <w:ind w:left="1440" w:hanging="360"/>
      </w:pPr>
      <w:rPr>
        <w:rFonts w:ascii="Courier New" w:hAnsi="Courier New" w:hint="default"/>
      </w:rPr>
    </w:lvl>
    <w:lvl w:ilvl="2" w:tplc="41AA9C00">
      <w:start w:val="1"/>
      <w:numFmt w:val="bullet"/>
      <w:lvlText w:val=""/>
      <w:lvlJc w:val="left"/>
      <w:pPr>
        <w:ind w:left="2160" w:hanging="360"/>
      </w:pPr>
      <w:rPr>
        <w:rFonts w:ascii="Wingdings" w:hAnsi="Wingdings" w:hint="default"/>
      </w:rPr>
    </w:lvl>
    <w:lvl w:ilvl="3" w:tplc="5CF6BA44">
      <w:start w:val="1"/>
      <w:numFmt w:val="bullet"/>
      <w:lvlText w:val=""/>
      <w:lvlJc w:val="left"/>
      <w:pPr>
        <w:ind w:left="2880" w:hanging="360"/>
      </w:pPr>
      <w:rPr>
        <w:rFonts w:ascii="Symbol" w:hAnsi="Symbol" w:hint="default"/>
      </w:rPr>
    </w:lvl>
    <w:lvl w:ilvl="4" w:tplc="5202878A">
      <w:start w:val="1"/>
      <w:numFmt w:val="bullet"/>
      <w:lvlText w:val="o"/>
      <w:lvlJc w:val="left"/>
      <w:pPr>
        <w:ind w:left="3600" w:hanging="360"/>
      </w:pPr>
      <w:rPr>
        <w:rFonts w:ascii="Courier New" w:hAnsi="Courier New" w:hint="default"/>
      </w:rPr>
    </w:lvl>
    <w:lvl w:ilvl="5" w:tplc="628044CC">
      <w:start w:val="1"/>
      <w:numFmt w:val="bullet"/>
      <w:lvlText w:val=""/>
      <w:lvlJc w:val="left"/>
      <w:pPr>
        <w:ind w:left="4320" w:hanging="360"/>
      </w:pPr>
      <w:rPr>
        <w:rFonts w:ascii="Wingdings" w:hAnsi="Wingdings" w:hint="default"/>
      </w:rPr>
    </w:lvl>
    <w:lvl w:ilvl="6" w:tplc="CE96E204">
      <w:start w:val="1"/>
      <w:numFmt w:val="bullet"/>
      <w:lvlText w:val=""/>
      <w:lvlJc w:val="left"/>
      <w:pPr>
        <w:ind w:left="5040" w:hanging="360"/>
      </w:pPr>
      <w:rPr>
        <w:rFonts w:ascii="Symbol" w:hAnsi="Symbol" w:hint="default"/>
      </w:rPr>
    </w:lvl>
    <w:lvl w:ilvl="7" w:tplc="729C5B7C">
      <w:start w:val="1"/>
      <w:numFmt w:val="bullet"/>
      <w:lvlText w:val="o"/>
      <w:lvlJc w:val="left"/>
      <w:pPr>
        <w:ind w:left="5760" w:hanging="360"/>
      </w:pPr>
      <w:rPr>
        <w:rFonts w:ascii="Courier New" w:hAnsi="Courier New" w:hint="default"/>
      </w:rPr>
    </w:lvl>
    <w:lvl w:ilvl="8" w:tplc="3EC0C09C">
      <w:start w:val="1"/>
      <w:numFmt w:val="bullet"/>
      <w:lvlText w:val=""/>
      <w:lvlJc w:val="left"/>
      <w:pPr>
        <w:ind w:left="6480" w:hanging="360"/>
      </w:pPr>
      <w:rPr>
        <w:rFonts w:ascii="Wingdings" w:hAnsi="Wingdings" w:hint="default"/>
      </w:rPr>
    </w:lvl>
  </w:abstractNum>
  <w:abstractNum w:abstractNumId="18" w15:restartNumberingAfterBreak="0">
    <w:nsid w:val="24DBF9F8"/>
    <w:multiLevelType w:val="multilevel"/>
    <w:tmpl w:val="12A04FC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E8990F"/>
    <w:multiLevelType w:val="multilevel"/>
    <w:tmpl w:val="6396130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8FB57C"/>
    <w:multiLevelType w:val="multilevel"/>
    <w:tmpl w:val="6E42589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6819F6"/>
    <w:multiLevelType w:val="hybridMultilevel"/>
    <w:tmpl w:val="85E67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E67833"/>
    <w:multiLevelType w:val="hybridMultilevel"/>
    <w:tmpl w:val="3DB6C09C"/>
    <w:lvl w:ilvl="0" w:tplc="B776B436">
      <w:start w:val="1"/>
      <w:numFmt w:val="bullet"/>
      <w:lvlText w:val=""/>
      <w:lvlJc w:val="left"/>
      <w:pPr>
        <w:ind w:left="720" w:hanging="360"/>
      </w:pPr>
      <w:rPr>
        <w:rFonts w:ascii="Symbol" w:hAnsi="Symbol" w:hint="default"/>
      </w:rPr>
    </w:lvl>
    <w:lvl w:ilvl="1" w:tplc="1F0438A8">
      <w:start w:val="1"/>
      <w:numFmt w:val="bullet"/>
      <w:lvlText w:val="o"/>
      <w:lvlJc w:val="left"/>
      <w:pPr>
        <w:ind w:left="1440" w:hanging="360"/>
      </w:pPr>
      <w:rPr>
        <w:rFonts w:ascii="Courier New" w:hAnsi="Courier New" w:hint="default"/>
      </w:rPr>
    </w:lvl>
    <w:lvl w:ilvl="2" w:tplc="DE20260A">
      <w:start w:val="1"/>
      <w:numFmt w:val="bullet"/>
      <w:lvlText w:val=""/>
      <w:lvlJc w:val="left"/>
      <w:pPr>
        <w:ind w:left="2160" w:hanging="360"/>
      </w:pPr>
      <w:rPr>
        <w:rFonts w:ascii="Wingdings" w:hAnsi="Wingdings" w:hint="default"/>
      </w:rPr>
    </w:lvl>
    <w:lvl w:ilvl="3" w:tplc="9044EBA6">
      <w:start w:val="1"/>
      <w:numFmt w:val="bullet"/>
      <w:lvlText w:val=""/>
      <w:lvlJc w:val="left"/>
      <w:pPr>
        <w:ind w:left="2880" w:hanging="360"/>
      </w:pPr>
      <w:rPr>
        <w:rFonts w:ascii="Symbol" w:hAnsi="Symbol" w:hint="default"/>
      </w:rPr>
    </w:lvl>
    <w:lvl w:ilvl="4" w:tplc="F6189CDE">
      <w:start w:val="1"/>
      <w:numFmt w:val="bullet"/>
      <w:lvlText w:val="o"/>
      <w:lvlJc w:val="left"/>
      <w:pPr>
        <w:ind w:left="3600" w:hanging="360"/>
      </w:pPr>
      <w:rPr>
        <w:rFonts w:ascii="Courier New" w:hAnsi="Courier New" w:hint="default"/>
      </w:rPr>
    </w:lvl>
    <w:lvl w:ilvl="5" w:tplc="734A471E">
      <w:start w:val="1"/>
      <w:numFmt w:val="bullet"/>
      <w:lvlText w:val=""/>
      <w:lvlJc w:val="left"/>
      <w:pPr>
        <w:ind w:left="4320" w:hanging="360"/>
      </w:pPr>
      <w:rPr>
        <w:rFonts w:ascii="Wingdings" w:hAnsi="Wingdings" w:hint="default"/>
      </w:rPr>
    </w:lvl>
    <w:lvl w:ilvl="6" w:tplc="9DA44082">
      <w:start w:val="1"/>
      <w:numFmt w:val="bullet"/>
      <w:lvlText w:val=""/>
      <w:lvlJc w:val="left"/>
      <w:pPr>
        <w:ind w:left="5040" w:hanging="360"/>
      </w:pPr>
      <w:rPr>
        <w:rFonts w:ascii="Symbol" w:hAnsi="Symbol" w:hint="default"/>
      </w:rPr>
    </w:lvl>
    <w:lvl w:ilvl="7" w:tplc="3B6E5CCC">
      <w:start w:val="1"/>
      <w:numFmt w:val="bullet"/>
      <w:lvlText w:val="o"/>
      <w:lvlJc w:val="left"/>
      <w:pPr>
        <w:ind w:left="5760" w:hanging="360"/>
      </w:pPr>
      <w:rPr>
        <w:rFonts w:ascii="Courier New" w:hAnsi="Courier New" w:hint="default"/>
      </w:rPr>
    </w:lvl>
    <w:lvl w:ilvl="8" w:tplc="908843A0">
      <w:start w:val="1"/>
      <w:numFmt w:val="bullet"/>
      <w:lvlText w:val=""/>
      <w:lvlJc w:val="left"/>
      <w:pPr>
        <w:ind w:left="6480" w:hanging="360"/>
      </w:pPr>
      <w:rPr>
        <w:rFonts w:ascii="Wingdings" w:hAnsi="Wingdings" w:hint="default"/>
      </w:rPr>
    </w:lvl>
  </w:abstractNum>
  <w:abstractNum w:abstractNumId="23" w15:restartNumberingAfterBreak="0">
    <w:nsid w:val="47FF115F"/>
    <w:multiLevelType w:val="multilevel"/>
    <w:tmpl w:val="9839946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3E09A3"/>
    <w:multiLevelType w:val="hybridMultilevel"/>
    <w:tmpl w:val="56E64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9A3A40"/>
    <w:multiLevelType w:val="multilevel"/>
    <w:tmpl w:val="9B531C1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ABE135"/>
    <w:multiLevelType w:val="multilevel"/>
    <w:tmpl w:val="41CE2E7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C5546D"/>
    <w:multiLevelType w:val="hybridMultilevel"/>
    <w:tmpl w:val="2EFCDF54"/>
    <w:lvl w:ilvl="0" w:tplc="28C21C00">
      <w:start w:val="1"/>
      <w:numFmt w:val="bullet"/>
      <w:lvlText w:val=""/>
      <w:lvlJc w:val="left"/>
      <w:pPr>
        <w:ind w:left="720" w:hanging="360"/>
      </w:pPr>
      <w:rPr>
        <w:rFonts w:ascii="Symbol" w:hAnsi="Symbol" w:hint="default"/>
      </w:rPr>
    </w:lvl>
    <w:lvl w:ilvl="1" w:tplc="8D0EB91C">
      <w:start w:val="1"/>
      <w:numFmt w:val="bullet"/>
      <w:lvlText w:val="o"/>
      <w:lvlJc w:val="left"/>
      <w:pPr>
        <w:ind w:left="1440" w:hanging="360"/>
      </w:pPr>
      <w:rPr>
        <w:rFonts w:ascii="Courier New" w:hAnsi="Courier New" w:hint="default"/>
      </w:rPr>
    </w:lvl>
    <w:lvl w:ilvl="2" w:tplc="05FE4372">
      <w:start w:val="1"/>
      <w:numFmt w:val="bullet"/>
      <w:lvlText w:val=""/>
      <w:lvlJc w:val="left"/>
      <w:pPr>
        <w:ind w:left="2160" w:hanging="360"/>
      </w:pPr>
      <w:rPr>
        <w:rFonts w:ascii="Wingdings" w:hAnsi="Wingdings" w:hint="default"/>
      </w:rPr>
    </w:lvl>
    <w:lvl w:ilvl="3" w:tplc="C944EA7E">
      <w:start w:val="1"/>
      <w:numFmt w:val="bullet"/>
      <w:lvlText w:val=""/>
      <w:lvlJc w:val="left"/>
      <w:pPr>
        <w:ind w:left="2880" w:hanging="360"/>
      </w:pPr>
      <w:rPr>
        <w:rFonts w:ascii="Symbol" w:hAnsi="Symbol" w:hint="default"/>
      </w:rPr>
    </w:lvl>
    <w:lvl w:ilvl="4" w:tplc="A34409C0">
      <w:start w:val="1"/>
      <w:numFmt w:val="bullet"/>
      <w:lvlText w:val="o"/>
      <w:lvlJc w:val="left"/>
      <w:pPr>
        <w:ind w:left="3600" w:hanging="360"/>
      </w:pPr>
      <w:rPr>
        <w:rFonts w:ascii="Courier New" w:hAnsi="Courier New" w:hint="default"/>
      </w:rPr>
    </w:lvl>
    <w:lvl w:ilvl="5" w:tplc="6D70D3D2">
      <w:start w:val="1"/>
      <w:numFmt w:val="bullet"/>
      <w:lvlText w:val=""/>
      <w:lvlJc w:val="left"/>
      <w:pPr>
        <w:ind w:left="4320" w:hanging="360"/>
      </w:pPr>
      <w:rPr>
        <w:rFonts w:ascii="Wingdings" w:hAnsi="Wingdings" w:hint="default"/>
      </w:rPr>
    </w:lvl>
    <w:lvl w:ilvl="6" w:tplc="990E5A88">
      <w:start w:val="1"/>
      <w:numFmt w:val="bullet"/>
      <w:lvlText w:val=""/>
      <w:lvlJc w:val="left"/>
      <w:pPr>
        <w:ind w:left="5040" w:hanging="360"/>
      </w:pPr>
      <w:rPr>
        <w:rFonts w:ascii="Symbol" w:hAnsi="Symbol" w:hint="default"/>
      </w:rPr>
    </w:lvl>
    <w:lvl w:ilvl="7" w:tplc="81865F72">
      <w:start w:val="1"/>
      <w:numFmt w:val="bullet"/>
      <w:lvlText w:val="o"/>
      <w:lvlJc w:val="left"/>
      <w:pPr>
        <w:ind w:left="5760" w:hanging="360"/>
      </w:pPr>
      <w:rPr>
        <w:rFonts w:ascii="Courier New" w:hAnsi="Courier New" w:hint="default"/>
      </w:rPr>
    </w:lvl>
    <w:lvl w:ilvl="8" w:tplc="3604BF7A">
      <w:start w:val="1"/>
      <w:numFmt w:val="bullet"/>
      <w:lvlText w:val=""/>
      <w:lvlJc w:val="left"/>
      <w:pPr>
        <w:ind w:left="6480" w:hanging="360"/>
      </w:pPr>
      <w:rPr>
        <w:rFonts w:ascii="Wingdings" w:hAnsi="Wingdings" w:hint="default"/>
      </w:rPr>
    </w:lvl>
  </w:abstractNum>
  <w:abstractNum w:abstractNumId="28" w15:restartNumberingAfterBreak="0">
    <w:nsid w:val="7133C819"/>
    <w:multiLevelType w:val="multilevel"/>
    <w:tmpl w:val="3555B1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9" w15:restartNumberingAfterBreak="0">
    <w:nsid w:val="72767B00"/>
    <w:multiLevelType w:val="multilevel"/>
    <w:tmpl w:val="BA8D5AF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64B118"/>
    <w:multiLevelType w:val="multilevel"/>
    <w:tmpl w:val="B8C8B51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FC0BC8"/>
    <w:multiLevelType w:val="hybridMultilevel"/>
    <w:tmpl w:val="4F9223A2"/>
    <w:lvl w:ilvl="0" w:tplc="5106B40C">
      <w:start w:val="1"/>
      <w:numFmt w:val="bullet"/>
      <w:lvlText w:val=""/>
      <w:lvlJc w:val="left"/>
      <w:pPr>
        <w:ind w:left="720" w:hanging="360"/>
      </w:pPr>
      <w:rPr>
        <w:rFonts w:ascii="Symbol" w:hAnsi="Symbol" w:hint="default"/>
      </w:rPr>
    </w:lvl>
    <w:lvl w:ilvl="1" w:tplc="C4381D7C">
      <w:start w:val="1"/>
      <w:numFmt w:val="bullet"/>
      <w:lvlText w:val="o"/>
      <w:lvlJc w:val="left"/>
      <w:pPr>
        <w:ind w:left="1440" w:hanging="360"/>
      </w:pPr>
      <w:rPr>
        <w:rFonts w:ascii="Courier New" w:hAnsi="Courier New" w:hint="default"/>
      </w:rPr>
    </w:lvl>
    <w:lvl w:ilvl="2" w:tplc="9A567F82">
      <w:start w:val="1"/>
      <w:numFmt w:val="bullet"/>
      <w:lvlText w:val=""/>
      <w:lvlJc w:val="left"/>
      <w:pPr>
        <w:ind w:left="2160" w:hanging="360"/>
      </w:pPr>
      <w:rPr>
        <w:rFonts w:ascii="Wingdings" w:hAnsi="Wingdings" w:hint="default"/>
      </w:rPr>
    </w:lvl>
    <w:lvl w:ilvl="3" w:tplc="2D243A6A">
      <w:start w:val="1"/>
      <w:numFmt w:val="bullet"/>
      <w:lvlText w:val=""/>
      <w:lvlJc w:val="left"/>
      <w:pPr>
        <w:ind w:left="2880" w:hanging="360"/>
      </w:pPr>
      <w:rPr>
        <w:rFonts w:ascii="Symbol" w:hAnsi="Symbol" w:hint="default"/>
      </w:rPr>
    </w:lvl>
    <w:lvl w:ilvl="4" w:tplc="8438C9D4">
      <w:start w:val="1"/>
      <w:numFmt w:val="bullet"/>
      <w:lvlText w:val="o"/>
      <w:lvlJc w:val="left"/>
      <w:pPr>
        <w:ind w:left="3600" w:hanging="360"/>
      </w:pPr>
      <w:rPr>
        <w:rFonts w:ascii="Courier New" w:hAnsi="Courier New" w:hint="default"/>
      </w:rPr>
    </w:lvl>
    <w:lvl w:ilvl="5" w:tplc="5552AFF6">
      <w:start w:val="1"/>
      <w:numFmt w:val="bullet"/>
      <w:lvlText w:val=""/>
      <w:lvlJc w:val="left"/>
      <w:pPr>
        <w:ind w:left="4320" w:hanging="360"/>
      </w:pPr>
      <w:rPr>
        <w:rFonts w:ascii="Wingdings" w:hAnsi="Wingdings" w:hint="default"/>
      </w:rPr>
    </w:lvl>
    <w:lvl w:ilvl="6" w:tplc="E9E81FAA">
      <w:start w:val="1"/>
      <w:numFmt w:val="bullet"/>
      <w:lvlText w:val=""/>
      <w:lvlJc w:val="left"/>
      <w:pPr>
        <w:ind w:left="5040" w:hanging="360"/>
      </w:pPr>
      <w:rPr>
        <w:rFonts w:ascii="Symbol" w:hAnsi="Symbol" w:hint="default"/>
      </w:rPr>
    </w:lvl>
    <w:lvl w:ilvl="7" w:tplc="1446028E">
      <w:start w:val="1"/>
      <w:numFmt w:val="bullet"/>
      <w:lvlText w:val="o"/>
      <w:lvlJc w:val="left"/>
      <w:pPr>
        <w:ind w:left="5760" w:hanging="360"/>
      </w:pPr>
      <w:rPr>
        <w:rFonts w:ascii="Courier New" w:hAnsi="Courier New" w:hint="default"/>
      </w:rPr>
    </w:lvl>
    <w:lvl w:ilvl="8" w:tplc="4D6447D4">
      <w:start w:val="1"/>
      <w:numFmt w:val="bullet"/>
      <w:lvlText w:val=""/>
      <w:lvlJc w:val="left"/>
      <w:pPr>
        <w:ind w:left="6480" w:hanging="360"/>
      </w:pPr>
      <w:rPr>
        <w:rFonts w:ascii="Wingdings" w:hAnsi="Wingdings" w:hint="default"/>
      </w:rPr>
    </w:lvl>
  </w:abstractNum>
  <w:abstractNum w:abstractNumId="32" w15:restartNumberingAfterBreak="0">
    <w:nsid w:val="7FE66DCE"/>
    <w:multiLevelType w:val="hybridMultilevel"/>
    <w:tmpl w:val="ABAC6818"/>
    <w:lvl w:ilvl="0" w:tplc="140432A0">
      <w:start w:val="2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31"/>
  </w:num>
  <w:num w:numId="4">
    <w:abstractNumId w:val="22"/>
  </w:num>
  <w:num w:numId="5">
    <w:abstractNumId w:val="20"/>
  </w:num>
  <w:num w:numId="6">
    <w:abstractNumId w:val="29"/>
  </w:num>
  <w:num w:numId="7">
    <w:abstractNumId w:val="23"/>
  </w:num>
  <w:num w:numId="8">
    <w:abstractNumId w:val="13"/>
  </w:num>
  <w:num w:numId="9">
    <w:abstractNumId w:val="28"/>
  </w:num>
  <w:num w:numId="10">
    <w:abstractNumId w:val="8"/>
  </w:num>
  <w:num w:numId="11">
    <w:abstractNumId w:val="10"/>
  </w:num>
  <w:num w:numId="12">
    <w:abstractNumId w:val="0"/>
  </w:num>
  <w:num w:numId="13">
    <w:abstractNumId w:val="9"/>
  </w:num>
  <w:num w:numId="14">
    <w:abstractNumId w:val="7"/>
  </w:num>
  <w:num w:numId="15">
    <w:abstractNumId w:val="4"/>
  </w:num>
  <w:num w:numId="16">
    <w:abstractNumId w:val="14"/>
  </w:num>
  <w:num w:numId="17">
    <w:abstractNumId w:val="26"/>
  </w:num>
  <w:num w:numId="18">
    <w:abstractNumId w:val="30"/>
  </w:num>
  <w:num w:numId="19">
    <w:abstractNumId w:val="5"/>
  </w:num>
  <w:num w:numId="20">
    <w:abstractNumId w:val="25"/>
  </w:num>
  <w:num w:numId="21">
    <w:abstractNumId w:val="16"/>
  </w:num>
  <w:num w:numId="22">
    <w:abstractNumId w:val="2"/>
  </w:num>
  <w:num w:numId="23">
    <w:abstractNumId w:val="6"/>
  </w:num>
  <w:num w:numId="24">
    <w:abstractNumId w:val="3"/>
  </w:num>
  <w:num w:numId="25">
    <w:abstractNumId w:val="18"/>
  </w:num>
  <w:num w:numId="26">
    <w:abstractNumId w:val="19"/>
  </w:num>
  <w:num w:numId="27">
    <w:abstractNumId w:val="1"/>
  </w:num>
  <w:num w:numId="28">
    <w:abstractNumId w:val="24"/>
  </w:num>
  <w:num w:numId="29">
    <w:abstractNumId w:val="12"/>
  </w:num>
  <w:num w:numId="30">
    <w:abstractNumId w:val="11"/>
  </w:num>
  <w:num w:numId="31">
    <w:abstractNumId w:val="15"/>
  </w:num>
  <w:num w:numId="32">
    <w:abstractNumId w:val="3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47"/>
    <w:rsid w:val="0000041B"/>
    <w:rsid w:val="000014CB"/>
    <w:rsid w:val="00002205"/>
    <w:rsid w:val="00006673"/>
    <w:rsid w:val="00007F6C"/>
    <w:rsid w:val="00010013"/>
    <w:rsid w:val="00012FF0"/>
    <w:rsid w:val="000140A4"/>
    <w:rsid w:val="00015E9D"/>
    <w:rsid w:val="00022E48"/>
    <w:rsid w:val="00026DAF"/>
    <w:rsid w:val="00032EFE"/>
    <w:rsid w:val="00033922"/>
    <w:rsid w:val="00033E2C"/>
    <w:rsid w:val="00052B57"/>
    <w:rsid w:val="00053C4A"/>
    <w:rsid w:val="00066AD2"/>
    <w:rsid w:val="00075B8A"/>
    <w:rsid w:val="000817AD"/>
    <w:rsid w:val="000872B0"/>
    <w:rsid w:val="00087595"/>
    <w:rsid w:val="00092B71"/>
    <w:rsid w:val="00095BC9"/>
    <w:rsid w:val="0009773B"/>
    <w:rsid w:val="000A18AE"/>
    <w:rsid w:val="000A19E3"/>
    <w:rsid w:val="000A1B4C"/>
    <w:rsid w:val="000A2275"/>
    <w:rsid w:val="000A36B7"/>
    <w:rsid w:val="000B37CA"/>
    <w:rsid w:val="000B7185"/>
    <w:rsid w:val="000C64FF"/>
    <w:rsid w:val="000D5CF0"/>
    <w:rsid w:val="000E3605"/>
    <w:rsid w:val="000E5D8D"/>
    <w:rsid w:val="000F7D94"/>
    <w:rsid w:val="0010279E"/>
    <w:rsid w:val="00107625"/>
    <w:rsid w:val="00107BAD"/>
    <w:rsid w:val="00112AC5"/>
    <w:rsid w:val="00114D8D"/>
    <w:rsid w:val="00121778"/>
    <w:rsid w:val="001250A3"/>
    <w:rsid w:val="001258E8"/>
    <w:rsid w:val="001367C1"/>
    <w:rsid w:val="00142BED"/>
    <w:rsid w:val="00153474"/>
    <w:rsid w:val="00153A18"/>
    <w:rsid w:val="00162CAC"/>
    <w:rsid w:val="0016729C"/>
    <w:rsid w:val="00176264"/>
    <w:rsid w:val="00180682"/>
    <w:rsid w:val="00181834"/>
    <w:rsid w:val="00182403"/>
    <w:rsid w:val="0018368F"/>
    <w:rsid w:val="00186047"/>
    <w:rsid w:val="00187137"/>
    <w:rsid w:val="00195B80"/>
    <w:rsid w:val="00195F5A"/>
    <w:rsid w:val="001A2A09"/>
    <w:rsid w:val="001B4708"/>
    <w:rsid w:val="001B7566"/>
    <w:rsid w:val="001C0D02"/>
    <w:rsid w:val="001C26B9"/>
    <w:rsid w:val="001C291A"/>
    <w:rsid w:val="001C7A25"/>
    <w:rsid w:val="001D1175"/>
    <w:rsid w:val="001D4677"/>
    <w:rsid w:val="001D6E46"/>
    <w:rsid w:val="001E0ECB"/>
    <w:rsid w:val="001E4687"/>
    <w:rsid w:val="001E5356"/>
    <w:rsid w:val="001E7BB1"/>
    <w:rsid w:val="001F02DD"/>
    <w:rsid w:val="002010FC"/>
    <w:rsid w:val="0021076D"/>
    <w:rsid w:val="002155D8"/>
    <w:rsid w:val="00215D3A"/>
    <w:rsid w:val="0023561B"/>
    <w:rsid w:val="0024426F"/>
    <w:rsid w:val="0024432F"/>
    <w:rsid w:val="00246F25"/>
    <w:rsid w:val="00252BB1"/>
    <w:rsid w:val="00253DFD"/>
    <w:rsid w:val="0025472E"/>
    <w:rsid w:val="002550F9"/>
    <w:rsid w:val="00256BD9"/>
    <w:rsid w:val="00260026"/>
    <w:rsid w:val="00260E3F"/>
    <w:rsid w:val="00267B33"/>
    <w:rsid w:val="002701A1"/>
    <w:rsid w:val="002737AA"/>
    <w:rsid w:val="00275B0C"/>
    <w:rsid w:val="00276A1F"/>
    <w:rsid w:val="00286EA3"/>
    <w:rsid w:val="00287877"/>
    <w:rsid w:val="0029134E"/>
    <w:rsid w:val="00291C42"/>
    <w:rsid w:val="002926E1"/>
    <w:rsid w:val="0029588C"/>
    <w:rsid w:val="00296CE4"/>
    <w:rsid w:val="002A08F9"/>
    <w:rsid w:val="002A1C18"/>
    <w:rsid w:val="002B06A5"/>
    <w:rsid w:val="002B415F"/>
    <w:rsid w:val="002B7346"/>
    <w:rsid w:val="002C1521"/>
    <w:rsid w:val="002C1B03"/>
    <w:rsid w:val="002C2AC3"/>
    <w:rsid w:val="002D2BFB"/>
    <w:rsid w:val="002E1920"/>
    <w:rsid w:val="002E32CD"/>
    <w:rsid w:val="002E4323"/>
    <w:rsid w:val="002E5358"/>
    <w:rsid w:val="002E7979"/>
    <w:rsid w:val="002F61FA"/>
    <w:rsid w:val="002F711A"/>
    <w:rsid w:val="002F7F4A"/>
    <w:rsid w:val="0030097A"/>
    <w:rsid w:val="00300F57"/>
    <w:rsid w:val="0030268A"/>
    <w:rsid w:val="0030316D"/>
    <w:rsid w:val="00303777"/>
    <w:rsid w:val="00303838"/>
    <w:rsid w:val="00304DFE"/>
    <w:rsid w:val="003113A7"/>
    <w:rsid w:val="003129EA"/>
    <w:rsid w:val="00312B89"/>
    <w:rsid w:val="00316C03"/>
    <w:rsid w:val="00321345"/>
    <w:rsid w:val="00326586"/>
    <w:rsid w:val="00330CAB"/>
    <w:rsid w:val="00330F84"/>
    <w:rsid w:val="00334FE4"/>
    <w:rsid w:val="003371FF"/>
    <w:rsid w:val="0033761F"/>
    <w:rsid w:val="0033789C"/>
    <w:rsid w:val="00340742"/>
    <w:rsid w:val="00341C47"/>
    <w:rsid w:val="00347D4F"/>
    <w:rsid w:val="0035108B"/>
    <w:rsid w:val="00353ADC"/>
    <w:rsid w:val="00357545"/>
    <w:rsid w:val="0036091F"/>
    <w:rsid w:val="0036336A"/>
    <w:rsid w:val="00366632"/>
    <w:rsid w:val="00366CE2"/>
    <w:rsid w:val="003705D2"/>
    <w:rsid w:val="00377E46"/>
    <w:rsid w:val="00392706"/>
    <w:rsid w:val="00393BEC"/>
    <w:rsid w:val="00394DC7"/>
    <w:rsid w:val="003950E4"/>
    <w:rsid w:val="00395D2F"/>
    <w:rsid w:val="003A2A91"/>
    <w:rsid w:val="003A5700"/>
    <w:rsid w:val="003B188B"/>
    <w:rsid w:val="003B1B0E"/>
    <w:rsid w:val="003B6961"/>
    <w:rsid w:val="003C18E9"/>
    <w:rsid w:val="003C6DC2"/>
    <w:rsid w:val="003E0406"/>
    <w:rsid w:val="003E197B"/>
    <w:rsid w:val="003E6AA7"/>
    <w:rsid w:val="003E7CD6"/>
    <w:rsid w:val="003F33EE"/>
    <w:rsid w:val="003F5182"/>
    <w:rsid w:val="00401D75"/>
    <w:rsid w:val="00402A4B"/>
    <w:rsid w:val="00405398"/>
    <w:rsid w:val="0040783D"/>
    <w:rsid w:val="00407C61"/>
    <w:rsid w:val="00410826"/>
    <w:rsid w:val="004125B6"/>
    <w:rsid w:val="004127F9"/>
    <w:rsid w:val="0041585A"/>
    <w:rsid w:val="00416919"/>
    <w:rsid w:val="00416BDA"/>
    <w:rsid w:val="00423FAA"/>
    <w:rsid w:val="00437993"/>
    <w:rsid w:val="00443D05"/>
    <w:rsid w:val="004500F3"/>
    <w:rsid w:val="00453DE1"/>
    <w:rsid w:val="004550D8"/>
    <w:rsid w:val="00456EC8"/>
    <w:rsid w:val="0046313A"/>
    <w:rsid w:val="00463274"/>
    <w:rsid w:val="00463712"/>
    <w:rsid w:val="004649C6"/>
    <w:rsid w:val="00471742"/>
    <w:rsid w:val="004724F3"/>
    <w:rsid w:val="004735D6"/>
    <w:rsid w:val="00481719"/>
    <w:rsid w:val="00481CD5"/>
    <w:rsid w:val="00482F7D"/>
    <w:rsid w:val="00483188"/>
    <w:rsid w:val="00483BF4"/>
    <w:rsid w:val="004845E1"/>
    <w:rsid w:val="00484B67"/>
    <w:rsid w:val="00490922"/>
    <w:rsid w:val="00494B2F"/>
    <w:rsid w:val="004978C0"/>
    <w:rsid w:val="004A3878"/>
    <w:rsid w:val="004A3C83"/>
    <w:rsid w:val="004B2F42"/>
    <w:rsid w:val="004B3265"/>
    <w:rsid w:val="004C0E2B"/>
    <w:rsid w:val="004C1F1A"/>
    <w:rsid w:val="004C2C5E"/>
    <w:rsid w:val="004D04B1"/>
    <w:rsid w:val="004D4C55"/>
    <w:rsid w:val="004D518A"/>
    <w:rsid w:val="004D641A"/>
    <w:rsid w:val="004E5DBC"/>
    <w:rsid w:val="004E665E"/>
    <w:rsid w:val="004F081A"/>
    <w:rsid w:val="004F1BB2"/>
    <w:rsid w:val="004F4E97"/>
    <w:rsid w:val="004F4FB7"/>
    <w:rsid w:val="00501269"/>
    <w:rsid w:val="005033A0"/>
    <w:rsid w:val="00503A83"/>
    <w:rsid w:val="00504206"/>
    <w:rsid w:val="00506383"/>
    <w:rsid w:val="005105C0"/>
    <w:rsid w:val="00512059"/>
    <w:rsid w:val="005200F9"/>
    <w:rsid w:val="0052512A"/>
    <w:rsid w:val="005339DB"/>
    <w:rsid w:val="005357A7"/>
    <w:rsid w:val="00536D1F"/>
    <w:rsid w:val="00541AD7"/>
    <w:rsid w:val="00541F2B"/>
    <w:rsid w:val="0055061B"/>
    <w:rsid w:val="00554306"/>
    <w:rsid w:val="00554D1F"/>
    <w:rsid w:val="00557C72"/>
    <w:rsid w:val="00560B22"/>
    <w:rsid w:val="00560F95"/>
    <w:rsid w:val="0056299D"/>
    <w:rsid w:val="00562E4F"/>
    <w:rsid w:val="005641CF"/>
    <w:rsid w:val="005659D0"/>
    <w:rsid w:val="005677ED"/>
    <w:rsid w:val="00573A30"/>
    <w:rsid w:val="005767C2"/>
    <w:rsid w:val="00577826"/>
    <w:rsid w:val="00580B9B"/>
    <w:rsid w:val="00581D14"/>
    <w:rsid w:val="00582A7E"/>
    <w:rsid w:val="00583598"/>
    <w:rsid w:val="00583C21"/>
    <w:rsid w:val="0058485C"/>
    <w:rsid w:val="00597AB6"/>
    <w:rsid w:val="005A09E5"/>
    <w:rsid w:val="005A23DB"/>
    <w:rsid w:val="005A2457"/>
    <w:rsid w:val="005C4D91"/>
    <w:rsid w:val="005D1EA0"/>
    <w:rsid w:val="005D3199"/>
    <w:rsid w:val="005D4EBB"/>
    <w:rsid w:val="005E0273"/>
    <w:rsid w:val="005E26D9"/>
    <w:rsid w:val="005E2AEC"/>
    <w:rsid w:val="005E44E1"/>
    <w:rsid w:val="005E52CD"/>
    <w:rsid w:val="005E5568"/>
    <w:rsid w:val="005E59D0"/>
    <w:rsid w:val="005E711E"/>
    <w:rsid w:val="005E7308"/>
    <w:rsid w:val="005E7A7D"/>
    <w:rsid w:val="005F3713"/>
    <w:rsid w:val="005F4676"/>
    <w:rsid w:val="005F7559"/>
    <w:rsid w:val="006013CA"/>
    <w:rsid w:val="0060381E"/>
    <w:rsid w:val="0060468D"/>
    <w:rsid w:val="006051A2"/>
    <w:rsid w:val="006119F6"/>
    <w:rsid w:val="006132EB"/>
    <w:rsid w:val="00613CCD"/>
    <w:rsid w:val="006158AC"/>
    <w:rsid w:val="00620E3D"/>
    <w:rsid w:val="0063672F"/>
    <w:rsid w:val="00644EEC"/>
    <w:rsid w:val="006603D9"/>
    <w:rsid w:val="00663A17"/>
    <w:rsid w:val="00670C0B"/>
    <w:rsid w:val="006717EA"/>
    <w:rsid w:val="00682D68"/>
    <w:rsid w:val="00685C2F"/>
    <w:rsid w:val="0068622C"/>
    <w:rsid w:val="0068733F"/>
    <w:rsid w:val="0069010D"/>
    <w:rsid w:val="006A218D"/>
    <w:rsid w:val="006A509E"/>
    <w:rsid w:val="006A6847"/>
    <w:rsid w:val="006B503D"/>
    <w:rsid w:val="006B56DF"/>
    <w:rsid w:val="006B7A04"/>
    <w:rsid w:val="006C35C6"/>
    <w:rsid w:val="006C3AFB"/>
    <w:rsid w:val="006C3DD1"/>
    <w:rsid w:val="006C3DEA"/>
    <w:rsid w:val="006C4BAA"/>
    <w:rsid w:val="006D01F5"/>
    <w:rsid w:val="006D16D0"/>
    <w:rsid w:val="006D6577"/>
    <w:rsid w:val="006D6DE5"/>
    <w:rsid w:val="006E1E76"/>
    <w:rsid w:val="006E30D3"/>
    <w:rsid w:val="006E597B"/>
    <w:rsid w:val="006F7239"/>
    <w:rsid w:val="006F7BD8"/>
    <w:rsid w:val="00702215"/>
    <w:rsid w:val="0070585D"/>
    <w:rsid w:val="00706BCD"/>
    <w:rsid w:val="007077A7"/>
    <w:rsid w:val="00707F36"/>
    <w:rsid w:val="007163F8"/>
    <w:rsid w:val="0071698D"/>
    <w:rsid w:val="007205E7"/>
    <w:rsid w:val="0072061D"/>
    <w:rsid w:val="00722B6A"/>
    <w:rsid w:val="007245BE"/>
    <w:rsid w:val="0072493E"/>
    <w:rsid w:val="0072516A"/>
    <w:rsid w:val="00726E4C"/>
    <w:rsid w:val="00727923"/>
    <w:rsid w:val="00727CA8"/>
    <w:rsid w:val="00732CDF"/>
    <w:rsid w:val="00740AB4"/>
    <w:rsid w:val="0074146B"/>
    <w:rsid w:val="00744F22"/>
    <w:rsid w:val="00745499"/>
    <w:rsid w:val="007476D0"/>
    <w:rsid w:val="007501C7"/>
    <w:rsid w:val="007508AF"/>
    <w:rsid w:val="007519D3"/>
    <w:rsid w:val="00752368"/>
    <w:rsid w:val="007529A4"/>
    <w:rsid w:val="0075571F"/>
    <w:rsid w:val="007564FF"/>
    <w:rsid w:val="00756953"/>
    <w:rsid w:val="0076223C"/>
    <w:rsid w:val="00765B03"/>
    <w:rsid w:val="007677E5"/>
    <w:rsid w:val="007703CE"/>
    <w:rsid w:val="007712FC"/>
    <w:rsid w:val="00777F16"/>
    <w:rsid w:val="00783466"/>
    <w:rsid w:val="0078435C"/>
    <w:rsid w:val="007854CF"/>
    <w:rsid w:val="00785E2D"/>
    <w:rsid w:val="007905D6"/>
    <w:rsid w:val="007948C6"/>
    <w:rsid w:val="007A420C"/>
    <w:rsid w:val="007A52F6"/>
    <w:rsid w:val="007A69DA"/>
    <w:rsid w:val="007A7A94"/>
    <w:rsid w:val="007D020A"/>
    <w:rsid w:val="007D1535"/>
    <w:rsid w:val="007D4BC1"/>
    <w:rsid w:val="007D4E4D"/>
    <w:rsid w:val="007D5B13"/>
    <w:rsid w:val="007D6059"/>
    <w:rsid w:val="007E124B"/>
    <w:rsid w:val="007E7AC2"/>
    <w:rsid w:val="007F3881"/>
    <w:rsid w:val="007F723E"/>
    <w:rsid w:val="00803258"/>
    <w:rsid w:val="00806823"/>
    <w:rsid w:val="008121D2"/>
    <w:rsid w:val="00812722"/>
    <w:rsid w:val="008136F4"/>
    <w:rsid w:val="008175D8"/>
    <w:rsid w:val="00822B70"/>
    <w:rsid w:val="00831380"/>
    <w:rsid w:val="00832A61"/>
    <w:rsid w:val="00835408"/>
    <w:rsid w:val="00842805"/>
    <w:rsid w:val="00847CCA"/>
    <w:rsid w:val="00850C30"/>
    <w:rsid w:val="008542A3"/>
    <w:rsid w:val="00854649"/>
    <w:rsid w:val="0085582A"/>
    <w:rsid w:val="008565C8"/>
    <w:rsid w:val="00857943"/>
    <w:rsid w:val="0086076F"/>
    <w:rsid w:val="00864C56"/>
    <w:rsid w:val="008708EE"/>
    <w:rsid w:val="00871AED"/>
    <w:rsid w:val="00875E9C"/>
    <w:rsid w:val="00876A26"/>
    <w:rsid w:val="0088063D"/>
    <w:rsid w:val="00897B21"/>
    <w:rsid w:val="008B4A61"/>
    <w:rsid w:val="008C0DC0"/>
    <w:rsid w:val="008C1A4E"/>
    <w:rsid w:val="008C3F70"/>
    <w:rsid w:val="008C40A3"/>
    <w:rsid w:val="008C5B43"/>
    <w:rsid w:val="008C7E6E"/>
    <w:rsid w:val="008D0300"/>
    <w:rsid w:val="008D08B8"/>
    <w:rsid w:val="008D4582"/>
    <w:rsid w:val="008D5722"/>
    <w:rsid w:val="008E2221"/>
    <w:rsid w:val="008E2611"/>
    <w:rsid w:val="008E7909"/>
    <w:rsid w:val="008F0B0F"/>
    <w:rsid w:val="008F17B1"/>
    <w:rsid w:val="008F47A2"/>
    <w:rsid w:val="008F60AC"/>
    <w:rsid w:val="008F680C"/>
    <w:rsid w:val="009012F6"/>
    <w:rsid w:val="0090219B"/>
    <w:rsid w:val="00902DE4"/>
    <w:rsid w:val="0090590B"/>
    <w:rsid w:val="009130EF"/>
    <w:rsid w:val="009131A0"/>
    <w:rsid w:val="00920DD6"/>
    <w:rsid w:val="00930962"/>
    <w:rsid w:val="009355DC"/>
    <w:rsid w:val="009368C1"/>
    <w:rsid w:val="00937E81"/>
    <w:rsid w:val="00942B77"/>
    <w:rsid w:val="009458E2"/>
    <w:rsid w:val="00945F65"/>
    <w:rsid w:val="00946DB4"/>
    <w:rsid w:val="00956FF0"/>
    <w:rsid w:val="00970D13"/>
    <w:rsid w:val="00972E5C"/>
    <w:rsid w:val="00973B73"/>
    <w:rsid w:val="00973E8D"/>
    <w:rsid w:val="00981173"/>
    <w:rsid w:val="00990D8D"/>
    <w:rsid w:val="00996780"/>
    <w:rsid w:val="00997976"/>
    <w:rsid w:val="009A2374"/>
    <w:rsid w:val="009A3216"/>
    <w:rsid w:val="009A693E"/>
    <w:rsid w:val="009B02C0"/>
    <w:rsid w:val="009B499B"/>
    <w:rsid w:val="009B54B4"/>
    <w:rsid w:val="009C1241"/>
    <w:rsid w:val="009C2443"/>
    <w:rsid w:val="009C43AD"/>
    <w:rsid w:val="009D2F7D"/>
    <w:rsid w:val="009D4D29"/>
    <w:rsid w:val="009D5AE6"/>
    <w:rsid w:val="009E2CA7"/>
    <w:rsid w:val="009E6E36"/>
    <w:rsid w:val="009F128B"/>
    <w:rsid w:val="009F58F0"/>
    <w:rsid w:val="009F5FB7"/>
    <w:rsid w:val="009F6FBA"/>
    <w:rsid w:val="00A03538"/>
    <w:rsid w:val="00A064D5"/>
    <w:rsid w:val="00A07028"/>
    <w:rsid w:val="00A102E4"/>
    <w:rsid w:val="00A1164E"/>
    <w:rsid w:val="00A157C8"/>
    <w:rsid w:val="00A16307"/>
    <w:rsid w:val="00A20811"/>
    <w:rsid w:val="00A21DF9"/>
    <w:rsid w:val="00A227DC"/>
    <w:rsid w:val="00A22F9C"/>
    <w:rsid w:val="00A25D1D"/>
    <w:rsid w:val="00A32EF2"/>
    <w:rsid w:val="00A36975"/>
    <w:rsid w:val="00A36E2A"/>
    <w:rsid w:val="00A36EDB"/>
    <w:rsid w:val="00A453D8"/>
    <w:rsid w:val="00A4578F"/>
    <w:rsid w:val="00A46DF5"/>
    <w:rsid w:val="00A5038B"/>
    <w:rsid w:val="00A515D5"/>
    <w:rsid w:val="00A60247"/>
    <w:rsid w:val="00A617E9"/>
    <w:rsid w:val="00A63EA5"/>
    <w:rsid w:val="00A642FA"/>
    <w:rsid w:val="00A70E4B"/>
    <w:rsid w:val="00A73EA5"/>
    <w:rsid w:val="00A74777"/>
    <w:rsid w:val="00A77EE9"/>
    <w:rsid w:val="00A86B57"/>
    <w:rsid w:val="00A875FF"/>
    <w:rsid w:val="00A87F6D"/>
    <w:rsid w:val="00A96245"/>
    <w:rsid w:val="00A964A5"/>
    <w:rsid w:val="00A97417"/>
    <w:rsid w:val="00A979DB"/>
    <w:rsid w:val="00AA0A6A"/>
    <w:rsid w:val="00AA2DEE"/>
    <w:rsid w:val="00AA4A8B"/>
    <w:rsid w:val="00AB6456"/>
    <w:rsid w:val="00AC426B"/>
    <w:rsid w:val="00AC55E0"/>
    <w:rsid w:val="00AC579D"/>
    <w:rsid w:val="00AC658B"/>
    <w:rsid w:val="00AE11DC"/>
    <w:rsid w:val="00AE13B8"/>
    <w:rsid w:val="00AE51CB"/>
    <w:rsid w:val="00AE5404"/>
    <w:rsid w:val="00AE5C2C"/>
    <w:rsid w:val="00AE7132"/>
    <w:rsid w:val="00AF0834"/>
    <w:rsid w:val="00AF1486"/>
    <w:rsid w:val="00AF244A"/>
    <w:rsid w:val="00AF54D7"/>
    <w:rsid w:val="00AF6828"/>
    <w:rsid w:val="00B04992"/>
    <w:rsid w:val="00B06728"/>
    <w:rsid w:val="00B1518B"/>
    <w:rsid w:val="00B157FB"/>
    <w:rsid w:val="00B15F21"/>
    <w:rsid w:val="00B22E34"/>
    <w:rsid w:val="00B23A55"/>
    <w:rsid w:val="00B23D6E"/>
    <w:rsid w:val="00B23FFA"/>
    <w:rsid w:val="00B2436D"/>
    <w:rsid w:val="00B26513"/>
    <w:rsid w:val="00B3654F"/>
    <w:rsid w:val="00B37008"/>
    <w:rsid w:val="00B415CF"/>
    <w:rsid w:val="00B42E73"/>
    <w:rsid w:val="00B4458A"/>
    <w:rsid w:val="00B45F2E"/>
    <w:rsid w:val="00B47076"/>
    <w:rsid w:val="00B528CA"/>
    <w:rsid w:val="00B54138"/>
    <w:rsid w:val="00B62F0C"/>
    <w:rsid w:val="00B75A70"/>
    <w:rsid w:val="00B805FA"/>
    <w:rsid w:val="00B8198E"/>
    <w:rsid w:val="00B86B63"/>
    <w:rsid w:val="00B86F50"/>
    <w:rsid w:val="00BA40CA"/>
    <w:rsid w:val="00BB16F8"/>
    <w:rsid w:val="00BB2B12"/>
    <w:rsid w:val="00BB4BA9"/>
    <w:rsid w:val="00BC445B"/>
    <w:rsid w:val="00BC5C64"/>
    <w:rsid w:val="00BC7880"/>
    <w:rsid w:val="00BD5A21"/>
    <w:rsid w:val="00BD6381"/>
    <w:rsid w:val="00BD7CC9"/>
    <w:rsid w:val="00BE63DA"/>
    <w:rsid w:val="00BE689D"/>
    <w:rsid w:val="00BF1F97"/>
    <w:rsid w:val="00BF6C5A"/>
    <w:rsid w:val="00BF7F49"/>
    <w:rsid w:val="00C00590"/>
    <w:rsid w:val="00C03947"/>
    <w:rsid w:val="00C05DF4"/>
    <w:rsid w:val="00C05EBA"/>
    <w:rsid w:val="00C079EA"/>
    <w:rsid w:val="00C17875"/>
    <w:rsid w:val="00C17C92"/>
    <w:rsid w:val="00C2193E"/>
    <w:rsid w:val="00C225FC"/>
    <w:rsid w:val="00C2413A"/>
    <w:rsid w:val="00C25E1C"/>
    <w:rsid w:val="00C310F9"/>
    <w:rsid w:val="00C3119B"/>
    <w:rsid w:val="00C326DC"/>
    <w:rsid w:val="00C376FA"/>
    <w:rsid w:val="00C45F58"/>
    <w:rsid w:val="00C4659E"/>
    <w:rsid w:val="00C4754E"/>
    <w:rsid w:val="00C50690"/>
    <w:rsid w:val="00C64FD7"/>
    <w:rsid w:val="00C702DF"/>
    <w:rsid w:val="00C734F7"/>
    <w:rsid w:val="00C74473"/>
    <w:rsid w:val="00C843BD"/>
    <w:rsid w:val="00C86306"/>
    <w:rsid w:val="00C86BCF"/>
    <w:rsid w:val="00C9265B"/>
    <w:rsid w:val="00C964BB"/>
    <w:rsid w:val="00C9714C"/>
    <w:rsid w:val="00CB09DB"/>
    <w:rsid w:val="00CB75EF"/>
    <w:rsid w:val="00CB7CC9"/>
    <w:rsid w:val="00CC4B8E"/>
    <w:rsid w:val="00CD1432"/>
    <w:rsid w:val="00CD17C3"/>
    <w:rsid w:val="00CE2223"/>
    <w:rsid w:val="00CE5172"/>
    <w:rsid w:val="00CE7129"/>
    <w:rsid w:val="00CF1E3E"/>
    <w:rsid w:val="00CF738D"/>
    <w:rsid w:val="00D00A28"/>
    <w:rsid w:val="00D02120"/>
    <w:rsid w:val="00D06346"/>
    <w:rsid w:val="00D149D9"/>
    <w:rsid w:val="00D1573C"/>
    <w:rsid w:val="00D17F8A"/>
    <w:rsid w:val="00D27A22"/>
    <w:rsid w:val="00D32ED5"/>
    <w:rsid w:val="00D3338C"/>
    <w:rsid w:val="00D34182"/>
    <w:rsid w:val="00D420C8"/>
    <w:rsid w:val="00D448E2"/>
    <w:rsid w:val="00D545BA"/>
    <w:rsid w:val="00D676D7"/>
    <w:rsid w:val="00D83B9B"/>
    <w:rsid w:val="00D83FED"/>
    <w:rsid w:val="00D938F1"/>
    <w:rsid w:val="00D96209"/>
    <w:rsid w:val="00DA55D9"/>
    <w:rsid w:val="00DA79AC"/>
    <w:rsid w:val="00DB4326"/>
    <w:rsid w:val="00DC1F9E"/>
    <w:rsid w:val="00DC354C"/>
    <w:rsid w:val="00DC3563"/>
    <w:rsid w:val="00DC6541"/>
    <w:rsid w:val="00DC72D6"/>
    <w:rsid w:val="00DD184D"/>
    <w:rsid w:val="00DD263D"/>
    <w:rsid w:val="00DE3644"/>
    <w:rsid w:val="00DF176C"/>
    <w:rsid w:val="00DF2378"/>
    <w:rsid w:val="00E0489C"/>
    <w:rsid w:val="00E11CBB"/>
    <w:rsid w:val="00E11D09"/>
    <w:rsid w:val="00E15E76"/>
    <w:rsid w:val="00E16F32"/>
    <w:rsid w:val="00E17AC8"/>
    <w:rsid w:val="00E24C12"/>
    <w:rsid w:val="00E33180"/>
    <w:rsid w:val="00E33884"/>
    <w:rsid w:val="00E42707"/>
    <w:rsid w:val="00E433A7"/>
    <w:rsid w:val="00E47FA8"/>
    <w:rsid w:val="00E51A87"/>
    <w:rsid w:val="00E5406C"/>
    <w:rsid w:val="00E57F72"/>
    <w:rsid w:val="00E5C25D"/>
    <w:rsid w:val="00E6394C"/>
    <w:rsid w:val="00E7206B"/>
    <w:rsid w:val="00E74062"/>
    <w:rsid w:val="00E81897"/>
    <w:rsid w:val="00E8760B"/>
    <w:rsid w:val="00E92C8B"/>
    <w:rsid w:val="00E933E1"/>
    <w:rsid w:val="00E9380A"/>
    <w:rsid w:val="00EA2A4B"/>
    <w:rsid w:val="00EA3BA5"/>
    <w:rsid w:val="00EB27F4"/>
    <w:rsid w:val="00EB6BD0"/>
    <w:rsid w:val="00EC1555"/>
    <w:rsid w:val="00ED0620"/>
    <w:rsid w:val="00ED15F7"/>
    <w:rsid w:val="00ED5CE5"/>
    <w:rsid w:val="00EE2673"/>
    <w:rsid w:val="00EE3C91"/>
    <w:rsid w:val="00EE6113"/>
    <w:rsid w:val="00EF1081"/>
    <w:rsid w:val="00EF2E14"/>
    <w:rsid w:val="00EF3C06"/>
    <w:rsid w:val="00F05FF9"/>
    <w:rsid w:val="00F1364F"/>
    <w:rsid w:val="00F13BD1"/>
    <w:rsid w:val="00F15B14"/>
    <w:rsid w:val="00F1641A"/>
    <w:rsid w:val="00F17E60"/>
    <w:rsid w:val="00F224AE"/>
    <w:rsid w:val="00F22F13"/>
    <w:rsid w:val="00F23CF7"/>
    <w:rsid w:val="00F2662C"/>
    <w:rsid w:val="00F27716"/>
    <w:rsid w:val="00F31EB0"/>
    <w:rsid w:val="00F362F6"/>
    <w:rsid w:val="00F3730E"/>
    <w:rsid w:val="00F402D3"/>
    <w:rsid w:val="00F4298B"/>
    <w:rsid w:val="00F510ED"/>
    <w:rsid w:val="00F5260B"/>
    <w:rsid w:val="00F53FD4"/>
    <w:rsid w:val="00F55F2B"/>
    <w:rsid w:val="00F608BC"/>
    <w:rsid w:val="00F632BF"/>
    <w:rsid w:val="00F668DF"/>
    <w:rsid w:val="00F70BBF"/>
    <w:rsid w:val="00F70F53"/>
    <w:rsid w:val="00F7217F"/>
    <w:rsid w:val="00F758E6"/>
    <w:rsid w:val="00F8355F"/>
    <w:rsid w:val="00F86450"/>
    <w:rsid w:val="00F8701B"/>
    <w:rsid w:val="00F87494"/>
    <w:rsid w:val="00F876E0"/>
    <w:rsid w:val="00F94F25"/>
    <w:rsid w:val="00F97FD9"/>
    <w:rsid w:val="00FB068C"/>
    <w:rsid w:val="00FB7018"/>
    <w:rsid w:val="00FC2383"/>
    <w:rsid w:val="00FC7BCD"/>
    <w:rsid w:val="00FD2AFC"/>
    <w:rsid w:val="00FD3BAE"/>
    <w:rsid w:val="00FD5162"/>
    <w:rsid w:val="00FD7E84"/>
    <w:rsid w:val="00FD98A9"/>
    <w:rsid w:val="00FE16E9"/>
    <w:rsid w:val="00FE1A5F"/>
    <w:rsid w:val="00FE4F9A"/>
    <w:rsid w:val="00FE5B5E"/>
    <w:rsid w:val="00FE6413"/>
    <w:rsid w:val="00FE704C"/>
    <w:rsid w:val="00FE7662"/>
    <w:rsid w:val="00FF2745"/>
    <w:rsid w:val="00FF49E5"/>
    <w:rsid w:val="00FF5781"/>
    <w:rsid w:val="00FF6A9A"/>
    <w:rsid w:val="00FF6E91"/>
    <w:rsid w:val="02E7CC4E"/>
    <w:rsid w:val="0350ED45"/>
    <w:rsid w:val="05EA338C"/>
    <w:rsid w:val="063B0202"/>
    <w:rsid w:val="063F3701"/>
    <w:rsid w:val="08D42528"/>
    <w:rsid w:val="0B57ED8F"/>
    <w:rsid w:val="0CE0EFDE"/>
    <w:rsid w:val="0DF5F933"/>
    <w:rsid w:val="0F2A2A82"/>
    <w:rsid w:val="1171ABA0"/>
    <w:rsid w:val="12A0CD8A"/>
    <w:rsid w:val="1310DDE6"/>
    <w:rsid w:val="162D3F4C"/>
    <w:rsid w:val="1631E85F"/>
    <w:rsid w:val="191C0BD1"/>
    <w:rsid w:val="1A1AE4DB"/>
    <w:rsid w:val="1A413674"/>
    <w:rsid w:val="1AAE0A7E"/>
    <w:rsid w:val="1C378541"/>
    <w:rsid w:val="1E203B7A"/>
    <w:rsid w:val="2184B89F"/>
    <w:rsid w:val="2277EF0E"/>
    <w:rsid w:val="22F5F3F6"/>
    <w:rsid w:val="23E68F1C"/>
    <w:rsid w:val="255CB809"/>
    <w:rsid w:val="25ACCD49"/>
    <w:rsid w:val="25D3EA4B"/>
    <w:rsid w:val="28CDE196"/>
    <w:rsid w:val="28D05B21"/>
    <w:rsid w:val="2966B501"/>
    <w:rsid w:val="2A8743A0"/>
    <w:rsid w:val="301204CA"/>
    <w:rsid w:val="32B18544"/>
    <w:rsid w:val="336359CE"/>
    <w:rsid w:val="344FF984"/>
    <w:rsid w:val="3619881F"/>
    <w:rsid w:val="37000113"/>
    <w:rsid w:val="3C6CA251"/>
    <w:rsid w:val="3C9B1720"/>
    <w:rsid w:val="3CAF30C8"/>
    <w:rsid w:val="3CD80AFD"/>
    <w:rsid w:val="40DC8343"/>
    <w:rsid w:val="4AA3A88D"/>
    <w:rsid w:val="4B76A514"/>
    <w:rsid w:val="4CECE331"/>
    <w:rsid w:val="4E25B9B9"/>
    <w:rsid w:val="4E5121A2"/>
    <w:rsid w:val="4FBD79FB"/>
    <w:rsid w:val="50050B38"/>
    <w:rsid w:val="504CF9DD"/>
    <w:rsid w:val="5072FBFF"/>
    <w:rsid w:val="5161BFAA"/>
    <w:rsid w:val="51CCDCFC"/>
    <w:rsid w:val="52267CD1"/>
    <w:rsid w:val="52ECB5BE"/>
    <w:rsid w:val="530BDAA2"/>
    <w:rsid w:val="538ABE64"/>
    <w:rsid w:val="53F8EBF5"/>
    <w:rsid w:val="55C581B3"/>
    <w:rsid w:val="57BBE490"/>
    <w:rsid w:val="5873AD4E"/>
    <w:rsid w:val="5A837552"/>
    <w:rsid w:val="5E0FE714"/>
    <w:rsid w:val="5E3CC592"/>
    <w:rsid w:val="5E4B9AEE"/>
    <w:rsid w:val="5EE30D93"/>
    <w:rsid w:val="5F24F069"/>
    <w:rsid w:val="5F2F50FF"/>
    <w:rsid w:val="620006CD"/>
    <w:rsid w:val="6933186A"/>
    <w:rsid w:val="69A3276F"/>
    <w:rsid w:val="69CF5369"/>
    <w:rsid w:val="6B053CD3"/>
    <w:rsid w:val="6B49DC11"/>
    <w:rsid w:val="6BABE141"/>
    <w:rsid w:val="6C4ECCE5"/>
    <w:rsid w:val="6F630672"/>
    <w:rsid w:val="7013006B"/>
    <w:rsid w:val="72190CE6"/>
    <w:rsid w:val="72AC27F1"/>
    <w:rsid w:val="7453EBE0"/>
    <w:rsid w:val="7564FA21"/>
    <w:rsid w:val="75A44FB8"/>
    <w:rsid w:val="7689678A"/>
    <w:rsid w:val="7BE54F9A"/>
    <w:rsid w:val="7EBD5ABE"/>
    <w:rsid w:val="7F3DA4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7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1EB0"/>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1C26B9"/>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464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5"/>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6"/>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7"/>
      </w:numPr>
      <w:spacing w:line="240" w:lineRule="exact"/>
    </w:pPr>
  </w:style>
  <w:style w:type="paragraph" w:customStyle="1" w:styleId="ANVS-Paragraaf">
    <w:name w:val="ANVS - Paragraaf"/>
    <w:basedOn w:val="Normal"/>
    <w:next w:val="Normal"/>
    <w:pPr>
      <w:numPr>
        <w:ilvl w:val="1"/>
        <w:numId w:val="5"/>
      </w:numPr>
      <w:spacing w:before="200" w:line="240" w:lineRule="exact"/>
    </w:pPr>
    <w:rPr>
      <w:b/>
      <w:color w:val="E17000"/>
    </w:rPr>
  </w:style>
  <w:style w:type="paragraph" w:customStyle="1" w:styleId="ANVS-Subparagraaf">
    <w:name w:val="ANVS - Subparagraaf"/>
    <w:basedOn w:val="Normal"/>
    <w:next w:val="Normal"/>
    <w:pPr>
      <w:numPr>
        <w:ilvl w:val="2"/>
        <w:numId w:val="5"/>
      </w:numPr>
      <w:spacing w:before="240"/>
    </w:pPr>
    <w:rPr>
      <w:color w:val="275937"/>
    </w:rPr>
  </w:style>
  <w:style w:type="paragraph" w:customStyle="1" w:styleId="ANVS-Subsubparagraaf">
    <w:name w:val="ANVS - Subsubparagraaf"/>
    <w:basedOn w:val="Normal"/>
    <w:next w:val="Normal"/>
    <w:pPr>
      <w:numPr>
        <w:ilvl w:val="3"/>
        <w:numId w:val="5"/>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8"/>
      </w:numPr>
      <w:spacing w:line="240" w:lineRule="exact"/>
    </w:pPr>
  </w:style>
  <w:style w:type="paragraph" w:customStyle="1" w:styleId="DPstandaardopsomming2">
    <w:name w:val="DP standaard opsomming 2"/>
    <w:basedOn w:val="Normal"/>
    <w:next w:val="Normal"/>
    <w:pPr>
      <w:numPr>
        <w:ilvl w:val="1"/>
        <w:numId w:val="8"/>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9"/>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10"/>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13"/>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13"/>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11"/>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11"/>
      </w:numPr>
      <w:tabs>
        <w:tab w:val="left" w:pos="0"/>
      </w:tabs>
      <w:spacing w:before="240"/>
      <w:ind w:left="-1120"/>
      <w:outlineLvl w:val="1"/>
    </w:pPr>
    <w:rPr>
      <w:b/>
    </w:rPr>
  </w:style>
  <w:style w:type="paragraph" w:customStyle="1" w:styleId="Huisstijl-Kop3">
    <w:name w:val="Huisstijl - Kop 3"/>
    <w:basedOn w:val="Normal"/>
    <w:next w:val="Normal"/>
    <w:pPr>
      <w:numPr>
        <w:ilvl w:val="2"/>
        <w:numId w:val="11"/>
      </w:numPr>
      <w:tabs>
        <w:tab w:val="left" w:pos="0"/>
      </w:tabs>
      <w:spacing w:before="240"/>
      <w:ind w:left="-1120"/>
      <w:outlineLvl w:val="2"/>
    </w:pPr>
    <w:rPr>
      <w:i/>
    </w:rPr>
  </w:style>
  <w:style w:type="paragraph" w:customStyle="1" w:styleId="Huisstijl-Kop4">
    <w:name w:val="Huisstijl - Kop 4"/>
    <w:basedOn w:val="Normal"/>
    <w:next w:val="Normal"/>
    <w:pPr>
      <w:numPr>
        <w:ilvl w:val="3"/>
        <w:numId w:val="11"/>
      </w:numPr>
      <w:tabs>
        <w:tab w:val="left" w:pos="0"/>
      </w:tabs>
      <w:spacing w:before="240"/>
      <w:ind w:left="-1120"/>
      <w:outlineLvl w:val="3"/>
    </w:pPr>
  </w:style>
  <w:style w:type="paragraph" w:customStyle="1" w:styleId="Huisstijl-Kopznr1">
    <w:name w:val="Huisstijl - Kop z.nr 1"/>
    <w:basedOn w:val="Normal"/>
    <w:next w:val="Normal"/>
    <w:pPr>
      <w:numPr>
        <w:numId w:val="12"/>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12"/>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12"/>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12"/>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4"/>
      </w:numPr>
      <w:spacing w:line="240" w:lineRule="exact"/>
    </w:pPr>
  </w:style>
  <w:style w:type="paragraph" w:customStyle="1" w:styleId="ILTOpsomming15">
    <w:name w:val="ILT Opsomming 1.5"/>
    <w:basedOn w:val="Normal"/>
    <w:next w:val="Normal"/>
    <w:pPr>
      <w:numPr>
        <w:ilvl w:val="1"/>
        <w:numId w:val="14"/>
      </w:numPr>
      <w:spacing w:line="300" w:lineRule="exact"/>
    </w:pPr>
  </w:style>
  <w:style w:type="paragraph" w:customStyle="1" w:styleId="ILTOpsommingbullet">
    <w:name w:val="ILT Opsomming bullet"/>
    <w:basedOn w:val="Normal"/>
    <w:next w:val="Normal"/>
    <w:pPr>
      <w:numPr>
        <w:ilvl w:val="2"/>
        <w:numId w:val="14"/>
      </w:numPr>
      <w:spacing w:line="300" w:lineRule="exact"/>
    </w:pPr>
  </w:style>
  <w:style w:type="paragraph" w:customStyle="1" w:styleId="ILTRapport-je">
    <w:name w:val="ILT Rapport - je"/>
    <w:basedOn w:val="Normal"/>
    <w:next w:val="Normal"/>
    <w:pPr>
      <w:numPr>
        <w:ilvl w:val="1"/>
        <w:numId w:val="15"/>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5"/>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6"/>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7"/>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9"/>
      </w:numPr>
      <w:spacing w:line="240" w:lineRule="exact"/>
    </w:pPr>
  </w:style>
  <w:style w:type="paragraph" w:customStyle="1" w:styleId="NEaopsommingextra">
    <w:name w:val="NEa opsomming extra"/>
    <w:basedOn w:val="Normal"/>
    <w:next w:val="Normal"/>
    <w:pPr>
      <w:numPr>
        <w:numId w:val="20"/>
      </w:numPr>
    </w:pPr>
  </w:style>
  <w:style w:type="paragraph" w:customStyle="1" w:styleId="NEaOpsommingstekst">
    <w:name w:val="NEa Opsommingstekst"/>
    <w:basedOn w:val="NEaStandaard"/>
    <w:pPr>
      <w:numPr>
        <w:numId w:val="21"/>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8"/>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2"/>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2"/>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23"/>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22"/>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5"/>
      </w:numPr>
      <w:spacing w:after="180"/>
    </w:pPr>
  </w:style>
  <w:style w:type="paragraph" w:customStyle="1" w:styleId="SSFNummeringKredietovereenkomstA">
    <w:name w:val="SSF Nummering Kredietovereenkomst (A)"/>
    <w:basedOn w:val="SSFPaginanummering"/>
    <w:next w:val="SSFStandaard"/>
    <w:pPr>
      <w:numPr>
        <w:numId w:val="26"/>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7"/>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41C47"/>
    <w:pPr>
      <w:tabs>
        <w:tab w:val="center" w:pos="4536"/>
        <w:tab w:val="right" w:pos="9072"/>
      </w:tabs>
      <w:spacing w:line="240" w:lineRule="auto"/>
    </w:pPr>
  </w:style>
  <w:style w:type="character" w:customStyle="1" w:styleId="HeaderChar">
    <w:name w:val="Header Char"/>
    <w:basedOn w:val="DefaultParagraphFont"/>
    <w:link w:val="Header"/>
    <w:uiPriority w:val="99"/>
    <w:rsid w:val="00341C47"/>
    <w:rPr>
      <w:rFonts w:ascii="Verdana" w:hAnsi="Verdana"/>
      <w:color w:val="000000"/>
      <w:sz w:val="18"/>
      <w:szCs w:val="18"/>
    </w:rPr>
  </w:style>
  <w:style w:type="paragraph" w:styleId="Footer">
    <w:name w:val="footer"/>
    <w:basedOn w:val="Normal"/>
    <w:link w:val="FooterChar"/>
    <w:uiPriority w:val="99"/>
    <w:unhideWhenUsed/>
    <w:rsid w:val="00341C47"/>
    <w:pPr>
      <w:tabs>
        <w:tab w:val="center" w:pos="4536"/>
        <w:tab w:val="right" w:pos="9072"/>
      </w:tabs>
      <w:spacing w:line="240" w:lineRule="auto"/>
    </w:pPr>
  </w:style>
  <w:style w:type="character" w:customStyle="1" w:styleId="FooterChar">
    <w:name w:val="Footer Char"/>
    <w:basedOn w:val="DefaultParagraphFont"/>
    <w:link w:val="Footer"/>
    <w:uiPriority w:val="99"/>
    <w:rsid w:val="00341C47"/>
    <w:rPr>
      <w:rFonts w:ascii="Verdana" w:hAnsi="Verdana"/>
      <w:color w:val="000000"/>
      <w:sz w:val="18"/>
      <w:szCs w:val="18"/>
    </w:rPr>
  </w:style>
  <w:style w:type="paragraph" w:styleId="ListParagraph">
    <w:name w:val="List Paragraph"/>
    <w:basedOn w:val="Normal"/>
    <w:uiPriority w:val="34"/>
    <w:qFormat/>
    <w:rsid w:val="00341C47"/>
    <w:pPr>
      <w:ind w:left="720"/>
      <w:contextualSpacing/>
    </w:pPr>
  </w:style>
  <w:style w:type="paragraph" w:styleId="NormalIndent">
    <w:name w:val="Normal Indent"/>
    <w:basedOn w:val="Normal"/>
    <w:unhideWhenUsed/>
    <w:rsid w:val="00663A17"/>
    <w:pPr>
      <w:widowControl w:val="0"/>
      <w:autoSpaceDN/>
      <w:spacing w:line="360" w:lineRule="auto"/>
      <w:ind w:left="567"/>
      <w:textAlignment w:val="auto"/>
    </w:pPr>
    <w:rPr>
      <w:rFonts w:ascii="Times New Roman" w:eastAsia="Times New Roman" w:hAnsi="Times New Roman" w:cs="Times New Roman"/>
      <w:color w:val="auto"/>
      <w:sz w:val="24"/>
      <w:szCs w:val="20"/>
      <w:lang w:val="en-GB" w:eastAsia="fr-BE"/>
    </w:rPr>
  </w:style>
  <w:style w:type="paragraph" w:styleId="FootnoteText">
    <w:name w:val="footnote text"/>
    <w:basedOn w:val="Normal"/>
    <w:link w:val="FootnoteTextChar"/>
    <w:uiPriority w:val="99"/>
    <w:unhideWhenUsed/>
    <w:qFormat/>
    <w:rsid w:val="0074146B"/>
    <w:pPr>
      <w:spacing w:line="240" w:lineRule="auto"/>
    </w:pPr>
    <w:rPr>
      <w:sz w:val="20"/>
      <w:szCs w:val="20"/>
    </w:rPr>
  </w:style>
  <w:style w:type="character" w:customStyle="1" w:styleId="FootnoteTextChar">
    <w:name w:val="Footnote Text Char"/>
    <w:basedOn w:val="DefaultParagraphFont"/>
    <w:link w:val="FootnoteText"/>
    <w:uiPriority w:val="99"/>
    <w:rsid w:val="0074146B"/>
    <w:rPr>
      <w:rFonts w:ascii="Verdana" w:hAnsi="Verdana"/>
      <w:color w:val="000000"/>
    </w:rPr>
  </w:style>
  <w:style w:type="character" w:styleId="FootnoteReference">
    <w:name w:val="footnote reference"/>
    <w:basedOn w:val="DefaultParagraphFont"/>
    <w:uiPriority w:val="99"/>
    <w:semiHidden/>
    <w:unhideWhenUsed/>
    <w:rsid w:val="0074146B"/>
    <w:rPr>
      <w:vertAlign w:val="superscript"/>
    </w:rPr>
  </w:style>
  <w:style w:type="character" w:styleId="CommentReference">
    <w:name w:val="annotation reference"/>
    <w:basedOn w:val="DefaultParagraphFont"/>
    <w:uiPriority w:val="99"/>
    <w:semiHidden/>
    <w:unhideWhenUsed/>
    <w:rsid w:val="00F22F13"/>
    <w:rPr>
      <w:sz w:val="16"/>
      <w:szCs w:val="16"/>
    </w:rPr>
  </w:style>
  <w:style w:type="paragraph" w:styleId="CommentText">
    <w:name w:val="annotation text"/>
    <w:basedOn w:val="Normal"/>
    <w:link w:val="CommentTextChar"/>
    <w:uiPriority w:val="99"/>
    <w:unhideWhenUsed/>
    <w:rsid w:val="00F22F13"/>
    <w:pPr>
      <w:spacing w:line="240" w:lineRule="auto"/>
    </w:pPr>
    <w:rPr>
      <w:sz w:val="20"/>
      <w:szCs w:val="20"/>
    </w:rPr>
  </w:style>
  <w:style w:type="character" w:customStyle="1" w:styleId="CommentTextChar">
    <w:name w:val="Comment Text Char"/>
    <w:basedOn w:val="DefaultParagraphFont"/>
    <w:link w:val="CommentText"/>
    <w:uiPriority w:val="99"/>
    <w:rsid w:val="00F22F1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22F13"/>
    <w:rPr>
      <w:b/>
      <w:bCs/>
    </w:rPr>
  </w:style>
  <w:style w:type="character" w:customStyle="1" w:styleId="CommentSubjectChar">
    <w:name w:val="Comment Subject Char"/>
    <w:basedOn w:val="CommentTextChar"/>
    <w:link w:val="CommentSubject"/>
    <w:uiPriority w:val="99"/>
    <w:semiHidden/>
    <w:rsid w:val="00F22F13"/>
    <w:rPr>
      <w:rFonts w:ascii="Verdana" w:hAnsi="Verdana"/>
      <w:b/>
      <w:bCs/>
      <w:color w:val="000000"/>
    </w:rPr>
  </w:style>
  <w:style w:type="paragraph" w:styleId="Revision">
    <w:name w:val="Revision"/>
    <w:hidden/>
    <w:uiPriority w:val="99"/>
    <w:semiHidden/>
    <w:rsid w:val="008E2611"/>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68733F"/>
    <w:rPr>
      <w:color w:val="605E5C"/>
      <w:shd w:val="clear" w:color="auto" w:fill="E1DFDD"/>
    </w:rPr>
  </w:style>
  <w:style w:type="character" w:styleId="FollowedHyperlink">
    <w:name w:val="FollowedHyperlink"/>
    <w:basedOn w:val="DefaultParagraphFont"/>
    <w:uiPriority w:val="99"/>
    <w:semiHidden/>
    <w:unhideWhenUsed/>
    <w:rsid w:val="00EA2A4B"/>
    <w:rPr>
      <w:color w:val="96607D" w:themeColor="followedHyperlink"/>
      <w:u w:val="single"/>
    </w:rPr>
  </w:style>
  <w:style w:type="character" w:customStyle="1" w:styleId="Heading2Char">
    <w:name w:val="Heading 2 Char"/>
    <w:basedOn w:val="DefaultParagraphFont"/>
    <w:link w:val="Heading2"/>
    <w:uiPriority w:val="9"/>
    <w:rsid w:val="004649C6"/>
    <w:rPr>
      <w:rFonts w:asciiTheme="majorHAnsi" w:eastAsiaTheme="majorEastAsia" w:hAnsiTheme="majorHAnsi" w:cstheme="majorBidi"/>
      <w:color w:val="0F4761" w:themeColor="accent1" w:themeShade="BF"/>
      <w:sz w:val="32"/>
      <w:szCs w:val="32"/>
    </w:rPr>
  </w:style>
  <w:style w:type="character" w:customStyle="1" w:styleId="Heading1Char">
    <w:name w:val="Heading 1 Char"/>
    <w:basedOn w:val="DefaultParagraphFont"/>
    <w:link w:val="Heading1"/>
    <w:uiPriority w:val="99"/>
    <w:semiHidden/>
    <w:rsid w:val="001C26B9"/>
    <w:rPr>
      <w:rFonts w:asciiTheme="majorHAnsi" w:eastAsiaTheme="majorEastAsia" w:hAnsiTheme="majorHAnsi" w:cstheme="majorBidi"/>
      <w:color w:val="0F4761" w:themeColor="accent1" w:themeShade="BF"/>
      <w:sz w:val="32"/>
      <w:szCs w:val="32"/>
    </w:rPr>
  </w:style>
  <w:style w:type="character" w:styleId="PlaceholderText">
    <w:name w:val="Placeholder Text"/>
    <w:basedOn w:val="DefaultParagraphFont"/>
    <w:uiPriority w:val="99"/>
    <w:semiHidden/>
    <w:rsid w:val="009130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179">
      <w:bodyDiv w:val="1"/>
      <w:marLeft w:val="0"/>
      <w:marRight w:val="0"/>
      <w:marTop w:val="0"/>
      <w:marBottom w:val="0"/>
      <w:divBdr>
        <w:top w:val="none" w:sz="0" w:space="0" w:color="auto"/>
        <w:left w:val="none" w:sz="0" w:space="0" w:color="auto"/>
        <w:bottom w:val="none" w:sz="0" w:space="0" w:color="auto"/>
        <w:right w:val="none" w:sz="0" w:space="0" w:color="auto"/>
      </w:divBdr>
    </w:div>
    <w:div w:id="84544344">
      <w:bodyDiv w:val="1"/>
      <w:marLeft w:val="0"/>
      <w:marRight w:val="0"/>
      <w:marTop w:val="0"/>
      <w:marBottom w:val="0"/>
      <w:divBdr>
        <w:top w:val="none" w:sz="0" w:space="0" w:color="auto"/>
        <w:left w:val="none" w:sz="0" w:space="0" w:color="auto"/>
        <w:bottom w:val="none" w:sz="0" w:space="0" w:color="auto"/>
        <w:right w:val="none" w:sz="0" w:space="0" w:color="auto"/>
      </w:divBdr>
    </w:div>
    <w:div w:id="113912358">
      <w:bodyDiv w:val="1"/>
      <w:marLeft w:val="0"/>
      <w:marRight w:val="0"/>
      <w:marTop w:val="0"/>
      <w:marBottom w:val="0"/>
      <w:divBdr>
        <w:top w:val="none" w:sz="0" w:space="0" w:color="auto"/>
        <w:left w:val="none" w:sz="0" w:space="0" w:color="auto"/>
        <w:bottom w:val="none" w:sz="0" w:space="0" w:color="auto"/>
        <w:right w:val="none" w:sz="0" w:space="0" w:color="auto"/>
      </w:divBdr>
    </w:div>
    <w:div w:id="173152893">
      <w:bodyDiv w:val="1"/>
      <w:marLeft w:val="0"/>
      <w:marRight w:val="0"/>
      <w:marTop w:val="0"/>
      <w:marBottom w:val="0"/>
      <w:divBdr>
        <w:top w:val="none" w:sz="0" w:space="0" w:color="auto"/>
        <w:left w:val="none" w:sz="0" w:space="0" w:color="auto"/>
        <w:bottom w:val="none" w:sz="0" w:space="0" w:color="auto"/>
        <w:right w:val="none" w:sz="0" w:space="0" w:color="auto"/>
      </w:divBdr>
    </w:div>
    <w:div w:id="312488459">
      <w:bodyDiv w:val="1"/>
      <w:marLeft w:val="0"/>
      <w:marRight w:val="0"/>
      <w:marTop w:val="0"/>
      <w:marBottom w:val="0"/>
      <w:divBdr>
        <w:top w:val="none" w:sz="0" w:space="0" w:color="auto"/>
        <w:left w:val="none" w:sz="0" w:space="0" w:color="auto"/>
        <w:bottom w:val="none" w:sz="0" w:space="0" w:color="auto"/>
        <w:right w:val="none" w:sz="0" w:space="0" w:color="auto"/>
      </w:divBdr>
    </w:div>
    <w:div w:id="320933036">
      <w:bodyDiv w:val="1"/>
      <w:marLeft w:val="0"/>
      <w:marRight w:val="0"/>
      <w:marTop w:val="0"/>
      <w:marBottom w:val="0"/>
      <w:divBdr>
        <w:top w:val="none" w:sz="0" w:space="0" w:color="auto"/>
        <w:left w:val="none" w:sz="0" w:space="0" w:color="auto"/>
        <w:bottom w:val="none" w:sz="0" w:space="0" w:color="auto"/>
        <w:right w:val="none" w:sz="0" w:space="0" w:color="auto"/>
      </w:divBdr>
    </w:div>
    <w:div w:id="524172916">
      <w:bodyDiv w:val="1"/>
      <w:marLeft w:val="0"/>
      <w:marRight w:val="0"/>
      <w:marTop w:val="0"/>
      <w:marBottom w:val="0"/>
      <w:divBdr>
        <w:top w:val="none" w:sz="0" w:space="0" w:color="auto"/>
        <w:left w:val="none" w:sz="0" w:space="0" w:color="auto"/>
        <w:bottom w:val="none" w:sz="0" w:space="0" w:color="auto"/>
        <w:right w:val="none" w:sz="0" w:space="0" w:color="auto"/>
      </w:divBdr>
      <w:divsChild>
        <w:div w:id="1733894073">
          <w:marLeft w:val="0"/>
          <w:marRight w:val="0"/>
          <w:marTop w:val="0"/>
          <w:marBottom w:val="0"/>
          <w:divBdr>
            <w:top w:val="none" w:sz="0" w:space="0" w:color="auto"/>
            <w:left w:val="none" w:sz="0" w:space="0" w:color="auto"/>
            <w:bottom w:val="none" w:sz="0" w:space="0" w:color="auto"/>
            <w:right w:val="none" w:sz="0" w:space="0" w:color="auto"/>
          </w:divBdr>
        </w:div>
      </w:divsChild>
    </w:div>
    <w:div w:id="678972918">
      <w:bodyDiv w:val="1"/>
      <w:marLeft w:val="0"/>
      <w:marRight w:val="0"/>
      <w:marTop w:val="0"/>
      <w:marBottom w:val="0"/>
      <w:divBdr>
        <w:top w:val="none" w:sz="0" w:space="0" w:color="auto"/>
        <w:left w:val="none" w:sz="0" w:space="0" w:color="auto"/>
        <w:bottom w:val="none" w:sz="0" w:space="0" w:color="auto"/>
        <w:right w:val="none" w:sz="0" w:space="0" w:color="auto"/>
      </w:divBdr>
    </w:div>
    <w:div w:id="719207004">
      <w:bodyDiv w:val="1"/>
      <w:marLeft w:val="0"/>
      <w:marRight w:val="0"/>
      <w:marTop w:val="0"/>
      <w:marBottom w:val="0"/>
      <w:divBdr>
        <w:top w:val="none" w:sz="0" w:space="0" w:color="auto"/>
        <w:left w:val="none" w:sz="0" w:space="0" w:color="auto"/>
        <w:bottom w:val="none" w:sz="0" w:space="0" w:color="auto"/>
        <w:right w:val="none" w:sz="0" w:space="0" w:color="auto"/>
      </w:divBdr>
    </w:div>
    <w:div w:id="792868134">
      <w:bodyDiv w:val="1"/>
      <w:marLeft w:val="0"/>
      <w:marRight w:val="0"/>
      <w:marTop w:val="0"/>
      <w:marBottom w:val="0"/>
      <w:divBdr>
        <w:top w:val="none" w:sz="0" w:space="0" w:color="auto"/>
        <w:left w:val="none" w:sz="0" w:space="0" w:color="auto"/>
        <w:bottom w:val="none" w:sz="0" w:space="0" w:color="auto"/>
        <w:right w:val="none" w:sz="0" w:space="0" w:color="auto"/>
      </w:divBdr>
    </w:div>
    <w:div w:id="866062163">
      <w:bodyDiv w:val="1"/>
      <w:marLeft w:val="0"/>
      <w:marRight w:val="0"/>
      <w:marTop w:val="0"/>
      <w:marBottom w:val="0"/>
      <w:divBdr>
        <w:top w:val="none" w:sz="0" w:space="0" w:color="auto"/>
        <w:left w:val="none" w:sz="0" w:space="0" w:color="auto"/>
        <w:bottom w:val="none" w:sz="0" w:space="0" w:color="auto"/>
        <w:right w:val="none" w:sz="0" w:space="0" w:color="auto"/>
      </w:divBdr>
    </w:div>
    <w:div w:id="1036614095">
      <w:bodyDiv w:val="1"/>
      <w:marLeft w:val="0"/>
      <w:marRight w:val="0"/>
      <w:marTop w:val="0"/>
      <w:marBottom w:val="0"/>
      <w:divBdr>
        <w:top w:val="none" w:sz="0" w:space="0" w:color="auto"/>
        <w:left w:val="none" w:sz="0" w:space="0" w:color="auto"/>
        <w:bottom w:val="none" w:sz="0" w:space="0" w:color="auto"/>
        <w:right w:val="none" w:sz="0" w:space="0" w:color="auto"/>
      </w:divBdr>
    </w:div>
    <w:div w:id="1056123177">
      <w:bodyDiv w:val="1"/>
      <w:marLeft w:val="0"/>
      <w:marRight w:val="0"/>
      <w:marTop w:val="0"/>
      <w:marBottom w:val="0"/>
      <w:divBdr>
        <w:top w:val="none" w:sz="0" w:space="0" w:color="auto"/>
        <w:left w:val="none" w:sz="0" w:space="0" w:color="auto"/>
        <w:bottom w:val="none" w:sz="0" w:space="0" w:color="auto"/>
        <w:right w:val="none" w:sz="0" w:space="0" w:color="auto"/>
      </w:divBdr>
    </w:div>
    <w:div w:id="1287002712">
      <w:bodyDiv w:val="1"/>
      <w:marLeft w:val="0"/>
      <w:marRight w:val="0"/>
      <w:marTop w:val="0"/>
      <w:marBottom w:val="0"/>
      <w:divBdr>
        <w:top w:val="none" w:sz="0" w:space="0" w:color="auto"/>
        <w:left w:val="none" w:sz="0" w:space="0" w:color="auto"/>
        <w:bottom w:val="none" w:sz="0" w:space="0" w:color="auto"/>
        <w:right w:val="none" w:sz="0" w:space="0" w:color="auto"/>
      </w:divBdr>
    </w:div>
    <w:div w:id="1471170162">
      <w:bodyDiv w:val="1"/>
      <w:marLeft w:val="0"/>
      <w:marRight w:val="0"/>
      <w:marTop w:val="0"/>
      <w:marBottom w:val="0"/>
      <w:divBdr>
        <w:top w:val="none" w:sz="0" w:space="0" w:color="auto"/>
        <w:left w:val="none" w:sz="0" w:space="0" w:color="auto"/>
        <w:bottom w:val="none" w:sz="0" w:space="0" w:color="auto"/>
        <w:right w:val="none" w:sz="0" w:space="0" w:color="auto"/>
      </w:divBdr>
    </w:div>
    <w:div w:id="1589267685">
      <w:bodyDiv w:val="1"/>
      <w:marLeft w:val="0"/>
      <w:marRight w:val="0"/>
      <w:marTop w:val="0"/>
      <w:marBottom w:val="0"/>
      <w:divBdr>
        <w:top w:val="none" w:sz="0" w:space="0" w:color="auto"/>
        <w:left w:val="none" w:sz="0" w:space="0" w:color="auto"/>
        <w:bottom w:val="none" w:sz="0" w:space="0" w:color="auto"/>
        <w:right w:val="none" w:sz="0" w:space="0" w:color="auto"/>
      </w:divBdr>
    </w:div>
    <w:div w:id="1658998451">
      <w:bodyDiv w:val="1"/>
      <w:marLeft w:val="0"/>
      <w:marRight w:val="0"/>
      <w:marTop w:val="0"/>
      <w:marBottom w:val="0"/>
      <w:divBdr>
        <w:top w:val="none" w:sz="0" w:space="0" w:color="auto"/>
        <w:left w:val="none" w:sz="0" w:space="0" w:color="auto"/>
        <w:bottom w:val="none" w:sz="0" w:space="0" w:color="auto"/>
        <w:right w:val="none" w:sz="0" w:space="0" w:color="auto"/>
      </w:divBdr>
    </w:div>
    <w:div w:id="1747071050">
      <w:bodyDiv w:val="1"/>
      <w:marLeft w:val="0"/>
      <w:marRight w:val="0"/>
      <w:marTop w:val="0"/>
      <w:marBottom w:val="0"/>
      <w:divBdr>
        <w:top w:val="none" w:sz="0" w:space="0" w:color="auto"/>
        <w:left w:val="none" w:sz="0" w:space="0" w:color="auto"/>
        <w:bottom w:val="none" w:sz="0" w:space="0" w:color="auto"/>
        <w:right w:val="none" w:sz="0" w:space="0" w:color="auto"/>
      </w:divBdr>
    </w:div>
    <w:div w:id="1769303317">
      <w:bodyDiv w:val="1"/>
      <w:marLeft w:val="0"/>
      <w:marRight w:val="0"/>
      <w:marTop w:val="0"/>
      <w:marBottom w:val="0"/>
      <w:divBdr>
        <w:top w:val="none" w:sz="0" w:space="0" w:color="auto"/>
        <w:left w:val="none" w:sz="0" w:space="0" w:color="auto"/>
        <w:bottom w:val="none" w:sz="0" w:space="0" w:color="auto"/>
        <w:right w:val="none" w:sz="0" w:space="0" w:color="auto"/>
      </w:divBdr>
    </w:div>
    <w:div w:id="1862086635">
      <w:bodyDiv w:val="1"/>
      <w:marLeft w:val="0"/>
      <w:marRight w:val="0"/>
      <w:marTop w:val="0"/>
      <w:marBottom w:val="0"/>
      <w:divBdr>
        <w:top w:val="none" w:sz="0" w:space="0" w:color="auto"/>
        <w:left w:val="none" w:sz="0" w:space="0" w:color="auto"/>
        <w:bottom w:val="none" w:sz="0" w:space="0" w:color="auto"/>
        <w:right w:val="none" w:sz="0" w:space="0" w:color="auto"/>
      </w:divBdr>
    </w:div>
    <w:div w:id="1929580762">
      <w:bodyDiv w:val="1"/>
      <w:marLeft w:val="0"/>
      <w:marRight w:val="0"/>
      <w:marTop w:val="0"/>
      <w:marBottom w:val="0"/>
      <w:divBdr>
        <w:top w:val="none" w:sz="0" w:space="0" w:color="auto"/>
        <w:left w:val="none" w:sz="0" w:space="0" w:color="auto"/>
        <w:bottom w:val="none" w:sz="0" w:space="0" w:color="auto"/>
        <w:right w:val="none" w:sz="0" w:space="0" w:color="auto"/>
      </w:divBdr>
    </w:div>
    <w:div w:id="2073889565">
      <w:bodyDiv w:val="1"/>
      <w:marLeft w:val="0"/>
      <w:marRight w:val="0"/>
      <w:marTop w:val="0"/>
      <w:marBottom w:val="0"/>
      <w:divBdr>
        <w:top w:val="none" w:sz="0" w:space="0" w:color="auto"/>
        <w:left w:val="none" w:sz="0" w:space="0" w:color="auto"/>
        <w:bottom w:val="none" w:sz="0" w:space="0" w:color="auto"/>
        <w:right w:val="none" w:sz="0" w:space="0" w:color="auto"/>
      </w:divBdr>
    </w:div>
    <w:div w:id="2083600899">
      <w:bodyDiv w:val="1"/>
      <w:marLeft w:val="0"/>
      <w:marRight w:val="0"/>
      <w:marTop w:val="0"/>
      <w:marBottom w:val="0"/>
      <w:divBdr>
        <w:top w:val="none" w:sz="0" w:space="0" w:color="auto"/>
        <w:left w:val="none" w:sz="0" w:space="0" w:color="auto"/>
        <w:bottom w:val="none" w:sz="0" w:space="0" w:color="auto"/>
        <w:right w:val="none" w:sz="0" w:space="0" w:color="auto"/>
      </w:divBdr>
    </w:div>
    <w:div w:id="2123526270">
      <w:bodyDiv w:val="1"/>
      <w:marLeft w:val="0"/>
      <w:marRight w:val="0"/>
      <w:marTop w:val="0"/>
      <w:marBottom w:val="0"/>
      <w:divBdr>
        <w:top w:val="none" w:sz="0" w:space="0" w:color="auto"/>
        <w:left w:val="none" w:sz="0" w:space="0" w:color="auto"/>
        <w:bottom w:val="none" w:sz="0" w:space="0" w:color="auto"/>
        <w:right w:val="none" w:sz="0" w:space="0" w:color="auto"/>
      </w:divBdr>
      <w:divsChild>
        <w:div w:id="6427398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webSetting" Target="webSettings0.xml" Id="rId28"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2112-2644.html" TargetMode="External"/><Relationship Id="rId1" Type="http://schemas.openxmlformats.org/officeDocument/2006/relationships/hyperlink" Target="https://transport.ec.europa.eu/news-events/news/green-deal-greening-freight-more-economic-gain-less-environmental-impact-2023-07-11_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2761A78A-7674-40BC-A509-8FAAB31802A4}"/>
      </w:docPartPr>
      <w:docPartBody>
        <w:p w:rsidR="00933795" w:rsidRDefault="00933795">
          <w:r w:rsidRPr="00055E71">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95"/>
    <w:rsid w:val="006132EB"/>
    <w:rsid w:val="009337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79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3876</ap:Words>
  <ap:Characters>22098</ap:Characters>
  <ap:DocSecurity>0</ap:DocSecurity>
  <ap:Lines>184</ap:Lines>
  <ap:Paragraphs>51</ap:Paragraphs>
  <ap:ScaleCrop>false</ap:ScaleCrop>
  <ap:HeadingPairs>
    <vt:vector baseType="variant" size="2">
      <vt:variant>
        <vt:lpstr>Titel</vt:lpstr>
      </vt:variant>
      <vt:variant>
        <vt:i4>1</vt:i4>
      </vt:variant>
    </vt:vector>
  </ap:HeadingPairs>
  <ap:TitlesOfParts>
    <vt:vector baseType="lpstr" size="1">
      <vt:lpstr>Brief aan Parlement - Geannoteerde agenda informele bijeenkomst van EU-transportministers 17-18 maart 2024 te Warschau</vt:lpstr>
    </vt:vector>
  </ap:TitlesOfParts>
  <ap:LinksUpToDate>false</ap:LinksUpToDate>
  <ap:CharactersWithSpaces>25923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2026-05-20T16:11:00.0000000Z</dcterms:created>
  <dcterms:modified xsi:type="dcterms:W3CDTF">2026-05-20T16:11:00.0000000Z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Geannoteerde agenda informele bijeenkomst van EU-transportministers 17-18 maart 2024 te Warschau</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A. van Olst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ies>
</file>