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Pr="00A76077" w:rsidR="007A4E25" w:rsidTr="000161BB" w14:paraId="0743BC3C" w14:textId="77777777">
        <w:trPr>
          <w:trHeight w:val="200"/>
        </w:trPr>
        <w:tc>
          <w:tcPr>
            <w:tcW w:w="2440" w:type="dxa"/>
            <w:tcBorders>
              <w:bottom w:val="dotted" w:color="000000" w:sz="6" w:space="0"/>
            </w:tcBorders>
          </w:tcPr>
          <w:p w:rsidRPr="00A76077" w:rsidR="007A4E25" w:rsidP="00A76077" w:rsidRDefault="007A4E25" w14:paraId="758FBF64" w14:textId="77777777">
            <w:pPr>
              <w:suppressAutoHyphens/>
            </w:pPr>
          </w:p>
        </w:tc>
        <w:tc>
          <w:tcPr>
            <w:tcW w:w="5240" w:type="dxa"/>
            <w:tcBorders>
              <w:bottom w:val="dotted" w:color="000000" w:sz="6" w:space="0"/>
            </w:tcBorders>
          </w:tcPr>
          <w:p w:rsidRPr="00A76077" w:rsidR="007A4E25" w:rsidP="00A76077" w:rsidRDefault="007A4E25" w14:paraId="26AE496E" w14:textId="77777777">
            <w:pPr>
              <w:suppressAutoHyphens/>
            </w:pPr>
          </w:p>
        </w:tc>
      </w:tr>
      <w:tr w:rsidRPr="00A76077" w:rsidR="007A4E25" w:rsidTr="000161BB" w14:paraId="2EC7D6E0" w14:textId="77777777">
        <w:trPr>
          <w:trHeight w:val="200"/>
        </w:trPr>
        <w:tc>
          <w:tcPr>
            <w:tcW w:w="2440" w:type="dxa"/>
            <w:tcBorders>
              <w:top w:val="dotted" w:color="000000" w:sz="6" w:space="0"/>
            </w:tcBorders>
          </w:tcPr>
          <w:p w:rsidRPr="00A76077" w:rsidR="007A4E25" w:rsidP="00A76077" w:rsidRDefault="007A4E25" w14:paraId="4C98F0E9" w14:textId="77777777">
            <w:pPr>
              <w:suppressAutoHyphens/>
            </w:pPr>
          </w:p>
        </w:tc>
        <w:tc>
          <w:tcPr>
            <w:tcW w:w="5240" w:type="dxa"/>
            <w:tcBorders>
              <w:top w:val="dotted" w:color="000000" w:sz="6" w:space="0"/>
            </w:tcBorders>
          </w:tcPr>
          <w:p w:rsidRPr="00A76077" w:rsidR="007A4E25" w:rsidP="00A76077" w:rsidRDefault="007A4E25" w14:paraId="225EED71" w14:textId="77777777">
            <w:pPr>
              <w:suppressAutoHyphens/>
            </w:pPr>
          </w:p>
        </w:tc>
      </w:tr>
      <w:tr w:rsidRPr="00A76077" w:rsidR="007A4E25" w:rsidTr="000161BB" w14:paraId="62A8B73F" w14:textId="77777777">
        <w:trPr>
          <w:trHeight w:val="240"/>
        </w:trPr>
        <w:tc>
          <w:tcPr>
            <w:tcW w:w="2440" w:type="dxa"/>
          </w:tcPr>
          <w:p w:rsidRPr="00A76077" w:rsidR="007A4E25" w:rsidP="00A76077" w:rsidRDefault="00850C49" w14:paraId="438B2C83" w14:textId="77777777">
            <w:pPr>
              <w:pStyle w:val="Referentiegegevens"/>
              <w:suppressAutoHyphens/>
              <w:rPr>
                <w:sz w:val="18"/>
                <w:szCs w:val="18"/>
              </w:rPr>
            </w:pPr>
            <w:r w:rsidRPr="00A76077">
              <w:rPr>
                <w:sz w:val="18"/>
                <w:szCs w:val="18"/>
              </w:rPr>
              <w:t>Bijlage nummer</w:t>
            </w:r>
          </w:p>
        </w:tc>
        <w:tc>
          <w:tcPr>
            <w:tcW w:w="5240" w:type="dxa"/>
          </w:tcPr>
          <w:p w:rsidRPr="00A76077" w:rsidR="007A4E25" w:rsidP="00A76077" w:rsidRDefault="00850C49" w14:paraId="4D376EF6" w14:textId="77777777">
            <w:pPr>
              <w:suppressAutoHyphens/>
            </w:pPr>
            <w:r w:rsidRPr="00A76077">
              <w:t>1</w:t>
            </w:r>
          </w:p>
        </w:tc>
      </w:tr>
      <w:tr w:rsidRPr="00A76077" w:rsidR="007A4E25" w:rsidTr="000161BB" w14:paraId="036B00E3" w14:textId="77777777">
        <w:trPr>
          <w:trHeight w:val="240"/>
        </w:trPr>
        <w:tc>
          <w:tcPr>
            <w:tcW w:w="2440" w:type="dxa"/>
          </w:tcPr>
          <w:p w:rsidRPr="00A76077" w:rsidR="007A4E25" w:rsidP="00A76077" w:rsidRDefault="00850C49" w14:paraId="7D8ACA98" w14:textId="77777777">
            <w:pPr>
              <w:pStyle w:val="Referentiegegevens"/>
              <w:suppressAutoHyphens/>
              <w:rPr>
                <w:sz w:val="18"/>
                <w:szCs w:val="18"/>
              </w:rPr>
            </w:pPr>
            <w:r w:rsidRPr="00A76077">
              <w:rPr>
                <w:sz w:val="18"/>
                <w:szCs w:val="18"/>
              </w:rPr>
              <w:t>Horend bij</w:t>
            </w:r>
          </w:p>
        </w:tc>
        <w:tc>
          <w:tcPr>
            <w:tcW w:w="5240" w:type="dxa"/>
          </w:tcPr>
          <w:p w:rsidRPr="00A76077" w:rsidR="007A4E25" w:rsidP="00A76077" w:rsidRDefault="00850C49" w14:paraId="508B19D6" w14:textId="13A8B8AB">
            <w:pPr>
              <w:suppressAutoHyphens/>
            </w:pPr>
            <w:r w:rsidRPr="00A76077">
              <w:t xml:space="preserve">Opvolging in beeld: Periodieke rapportages Ministerie </w:t>
            </w:r>
            <w:r w:rsidRPr="00A76077" w:rsidR="00462EC8">
              <w:t xml:space="preserve">van </w:t>
            </w:r>
            <w:r w:rsidRPr="00A76077">
              <w:t>Volksgezondheid, Welzijn en Sport vanaf 2024</w:t>
            </w:r>
          </w:p>
        </w:tc>
      </w:tr>
      <w:tr w:rsidRPr="00A76077" w:rsidR="007A4E25" w:rsidTr="000161BB" w14:paraId="03B8E753" w14:textId="77777777">
        <w:trPr>
          <w:trHeight w:val="240"/>
        </w:trPr>
        <w:tc>
          <w:tcPr>
            <w:tcW w:w="2440" w:type="dxa"/>
          </w:tcPr>
          <w:p w:rsidRPr="00A76077" w:rsidR="007A4E25" w:rsidP="00A76077" w:rsidRDefault="00850C49" w14:paraId="3B0DA549" w14:textId="77777777">
            <w:pPr>
              <w:pStyle w:val="Referentiegegevens"/>
              <w:suppressAutoHyphens/>
              <w:rPr>
                <w:sz w:val="18"/>
                <w:szCs w:val="18"/>
              </w:rPr>
            </w:pPr>
            <w:r w:rsidRPr="00A76077">
              <w:rPr>
                <w:sz w:val="18"/>
                <w:szCs w:val="18"/>
              </w:rPr>
              <w:t>Datum</w:t>
            </w:r>
          </w:p>
        </w:tc>
        <w:tc>
          <w:tcPr>
            <w:tcW w:w="5240" w:type="dxa"/>
          </w:tcPr>
          <w:p w:rsidRPr="00A76077" w:rsidR="007A4E25" w:rsidP="00A76077" w:rsidRDefault="007A4E25" w14:paraId="158AAA6D" w14:textId="250DFBA1">
            <w:pPr>
              <w:suppressAutoHyphens/>
            </w:pPr>
          </w:p>
        </w:tc>
      </w:tr>
      <w:tr w:rsidRPr="00A76077" w:rsidR="007A4E25" w:rsidTr="000161BB" w14:paraId="677B2769" w14:textId="77777777">
        <w:trPr>
          <w:trHeight w:val="240"/>
        </w:trPr>
        <w:tc>
          <w:tcPr>
            <w:tcW w:w="2440" w:type="dxa"/>
          </w:tcPr>
          <w:p w:rsidRPr="00A76077" w:rsidR="007A4E25" w:rsidP="00A76077" w:rsidRDefault="007A4E25" w14:paraId="678F18D1" w14:textId="1380EC65">
            <w:pPr>
              <w:pStyle w:val="Referentiegegevens"/>
              <w:suppressAutoHyphens/>
              <w:rPr>
                <w:sz w:val="18"/>
                <w:szCs w:val="18"/>
              </w:rPr>
            </w:pPr>
          </w:p>
        </w:tc>
        <w:tc>
          <w:tcPr>
            <w:tcW w:w="5240" w:type="dxa"/>
          </w:tcPr>
          <w:p w:rsidRPr="00A76077" w:rsidR="007A4E25" w:rsidP="00A76077" w:rsidRDefault="007A4E25" w14:paraId="77B7F692" w14:textId="669F976C">
            <w:pPr>
              <w:suppressAutoHyphens/>
              <w:rPr>
                <w:highlight w:val="yellow"/>
              </w:rPr>
            </w:pPr>
          </w:p>
        </w:tc>
      </w:tr>
      <w:tr w:rsidRPr="00A76077" w:rsidR="007A4E25" w:rsidTr="000161BB" w14:paraId="005AA7FD" w14:textId="77777777">
        <w:trPr>
          <w:trHeight w:val="200"/>
        </w:trPr>
        <w:tc>
          <w:tcPr>
            <w:tcW w:w="2440" w:type="dxa"/>
            <w:tcBorders>
              <w:bottom w:val="dotted" w:color="000000" w:sz="6" w:space="0"/>
            </w:tcBorders>
          </w:tcPr>
          <w:p w:rsidRPr="00A76077" w:rsidR="007A4E25" w:rsidP="00A76077" w:rsidRDefault="007A4E25" w14:paraId="50A5AB40" w14:textId="77777777">
            <w:pPr>
              <w:suppressAutoHyphens/>
            </w:pPr>
          </w:p>
        </w:tc>
        <w:tc>
          <w:tcPr>
            <w:tcW w:w="5240" w:type="dxa"/>
            <w:tcBorders>
              <w:bottom w:val="dotted" w:color="000000" w:sz="6" w:space="0"/>
            </w:tcBorders>
          </w:tcPr>
          <w:p w:rsidRPr="00A76077" w:rsidR="007A4E25" w:rsidP="00A76077" w:rsidRDefault="007A4E25" w14:paraId="7EA7A465" w14:textId="77777777">
            <w:pPr>
              <w:suppressAutoHyphens/>
            </w:pPr>
          </w:p>
        </w:tc>
      </w:tr>
      <w:tr w:rsidRPr="00A76077" w:rsidR="007A4E25" w:rsidTr="000161BB" w14:paraId="21426C1C" w14:textId="77777777">
        <w:trPr>
          <w:trHeight w:val="200"/>
        </w:trPr>
        <w:tc>
          <w:tcPr>
            <w:tcW w:w="2440" w:type="dxa"/>
          </w:tcPr>
          <w:p w:rsidRPr="00A76077" w:rsidR="007A4E25" w:rsidP="00A76077" w:rsidRDefault="007A4E25" w14:paraId="30EB3A9A" w14:textId="77777777">
            <w:pPr>
              <w:suppressAutoHyphens/>
            </w:pPr>
          </w:p>
        </w:tc>
        <w:tc>
          <w:tcPr>
            <w:tcW w:w="5240" w:type="dxa"/>
          </w:tcPr>
          <w:p w:rsidRPr="00A76077" w:rsidR="007A4E25" w:rsidP="00A76077" w:rsidRDefault="007A4E25" w14:paraId="4B33E76F" w14:textId="77777777">
            <w:pPr>
              <w:suppressAutoHyphens/>
            </w:pPr>
          </w:p>
        </w:tc>
      </w:tr>
    </w:tbl>
    <w:p w:rsidRPr="00A76077" w:rsidR="007A4E25" w:rsidP="00A76077" w:rsidRDefault="007A4E25" w14:paraId="0C3A3F66" w14:textId="77777777">
      <w:pPr>
        <w:pStyle w:val="WitregelW1bodytekst"/>
        <w:suppressAutoHyphens/>
      </w:pPr>
    </w:p>
    <w:p w:rsidRPr="00A76077" w:rsidR="00850C49" w:rsidP="00A76077" w:rsidRDefault="00850C49" w14:paraId="018188FD" w14:textId="264F94C2">
      <w:pPr>
        <w:suppressAutoHyphens/>
      </w:pPr>
      <w:r w:rsidRPr="00A76077">
        <w:t xml:space="preserve">In </w:t>
      </w:r>
      <w:r w:rsidRPr="00A76077" w:rsidR="009960EE">
        <w:t>p</w:t>
      </w:r>
      <w:r w:rsidRPr="00A76077">
        <w:t>eriodieke rapportages wordt waar mogelijk ten minste één optie geschetst waarmee een besparing van 20% op de budgettaire grondslag van het (</w:t>
      </w:r>
      <w:proofErr w:type="spellStart"/>
      <w:r w:rsidRPr="00A76077">
        <w:t>beleids</w:t>
      </w:r>
      <w:proofErr w:type="spellEnd"/>
      <w:r w:rsidRPr="00A76077">
        <w:t>)thema kan worden gerealiseerd (op basis van het ‘</w:t>
      </w:r>
      <w:proofErr w:type="spellStart"/>
      <w:r w:rsidRPr="00A76077">
        <w:t>comply</w:t>
      </w:r>
      <w:proofErr w:type="spellEnd"/>
      <w:r w:rsidRPr="00A76077">
        <w:t>-or-</w:t>
      </w:r>
      <w:proofErr w:type="spellStart"/>
      <w:r w:rsidRPr="00A76077">
        <w:t>explain</w:t>
      </w:r>
      <w:proofErr w:type="spellEnd"/>
      <w:r w:rsidRPr="00A76077">
        <w:t xml:space="preserve"> principe’). De besparingsvariant heeft niet het karakter van een aanbeveling, maar </w:t>
      </w:r>
      <w:r w:rsidRPr="00A76077" w:rsidR="00AE04A3">
        <w:t>geeft</w:t>
      </w:r>
      <w:r w:rsidRPr="00A76077">
        <w:t xml:space="preserve"> inzicht in </w:t>
      </w:r>
      <w:r w:rsidRPr="00A76077" w:rsidR="00AE04A3">
        <w:t xml:space="preserve">hoe </w:t>
      </w:r>
      <w:r w:rsidRPr="00A76077">
        <w:t>eventuele besparingen ingevuld zouden kunnen worden, en wat de gevolgen daarvan zijn.</w:t>
      </w:r>
    </w:p>
    <w:p w:rsidRPr="00A76077" w:rsidR="00850C49" w:rsidP="00A76077" w:rsidRDefault="00850C49" w14:paraId="61711246" w14:textId="77777777">
      <w:pPr>
        <w:suppressAutoHyphens/>
      </w:pPr>
    </w:p>
    <w:p w:rsidRPr="00A76077" w:rsidR="00850C49" w:rsidP="00A76077" w:rsidRDefault="00850C49" w14:paraId="49D6E265" w14:textId="72DF9E5E">
      <w:pPr>
        <w:suppressAutoHyphens/>
        <w:rPr>
          <w:highlight w:val="yellow"/>
          <w:u w:val="single"/>
        </w:rPr>
      </w:pPr>
      <w:r w:rsidRPr="00A76077">
        <w:rPr>
          <w:u w:val="single"/>
        </w:rPr>
        <w:t xml:space="preserve">Periodieke rapportage </w:t>
      </w:r>
      <w:r w:rsidRPr="00A76077" w:rsidR="000578BC">
        <w:rPr>
          <w:u w:val="single"/>
        </w:rPr>
        <w:t>‘Arbeidsmarkt en opleidingen zorg en welzijn’</w:t>
      </w:r>
    </w:p>
    <w:p w:rsidRPr="00A76077" w:rsidR="00850C49" w:rsidP="00A76077" w:rsidRDefault="006C66A0" w14:paraId="53B80F43" w14:textId="05954DB0">
      <w:pPr>
        <w:suppressAutoHyphens/>
      </w:pPr>
      <w:r w:rsidRPr="00A76077">
        <w:t>De p</w:t>
      </w:r>
      <w:r w:rsidRPr="00A76077" w:rsidR="00850C49">
        <w:t xml:space="preserve">eriodieke rapportage </w:t>
      </w:r>
      <w:r w:rsidRPr="00A76077" w:rsidR="000578BC">
        <w:t>‘Arbeidsmarkt en opleidingen zorg en welzijn’</w:t>
      </w:r>
      <w:r w:rsidRPr="00A76077" w:rsidR="00850C49">
        <w:t xml:space="preserve"> bevat de volgende besparingsvarianten:</w:t>
      </w:r>
    </w:p>
    <w:p w:rsidRPr="00A76077" w:rsidR="00EA7A72" w:rsidP="00A76077" w:rsidRDefault="00EA7A72" w14:paraId="07D87F6D" w14:textId="77777777">
      <w:pPr>
        <w:suppressAutoHyphens/>
      </w:pPr>
    </w:p>
    <w:p w:rsidRPr="00A76077" w:rsidR="00EA7A72" w:rsidP="00A76077" w:rsidRDefault="00EA7A72" w14:paraId="523AD32C" w14:textId="7C06EF3C">
      <w:pPr>
        <w:suppressAutoHyphens/>
        <w:spacing w:after="60"/>
        <w:rPr>
          <w:i/>
          <w:iCs/>
        </w:rPr>
      </w:pPr>
      <w:r w:rsidRPr="00A76077">
        <w:rPr>
          <w:i/>
          <w:iCs/>
        </w:rPr>
        <w:t xml:space="preserve">Verlaging van de </w:t>
      </w:r>
      <w:proofErr w:type="spellStart"/>
      <w:r w:rsidRPr="00A76077">
        <w:rPr>
          <w:i/>
          <w:iCs/>
        </w:rPr>
        <w:t>beschikbaarheidbijdrage</w:t>
      </w:r>
      <w:proofErr w:type="spellEnd"/>
      <w:r w:rsidRPr="00A76077">
        <w:rPr>
          <w:i/>
          <w:iCs/>
        </w:rPr>
        <w:t xml:space="preserve"> door alleen de gemiddelde, directe kosten van het opleiden uniform te vergoeden</w:t>
      </w:r>
    </w:p>
    <w:p w:rsidRPr="00A76077" w:rsidR="00EA7A72" w:rsidP="00A76077" w:rsidRDefault="00CA4873" w14:paraId="09E9F20D" w14:textId="587B9B4C">
      <w:pPr>
        <w:suppressAutoHyphens/>
      </w:pPr>
      <w:r w:rsidRPr="00A76077">
        <w:t xml:space="preserve">Toelichting: </w:t>
      </w:r>
      <w:r w:rsidRPr="00A76077" w:rsidR="00EA7A72">
        <w:t xml:space="preserve">Zoals in de periodieke rapportage is beschreven, </w:t>
      </w:r>
      <w:r w:rsidRPr="00A76077" w:rsidR="00AE04A3">
        <w:t>variëren</w:t>
      </w:r>
      <w:r w:rsidRPr="00A76077" w:rsidR="00EA7A72">
        <w:t xml:space="preserve"> de kosten van het praktijkonderwijs, met grote variatie in de hoogte van deze kosten tussen specialismen</w:t>
      </w:r>
      <w:r w:rsidRPr="00A76077" w:rsidR="006807D4">
        <w:t xml:space="preserve">. Hogere kosten </w:t>
      </w:r>
      <w:r w:rsidRPr="00A76077" w:rsidR="005C7907">
        <w:t>kome</w:t>
      </w:r>
      <w:r w:rsidRPr="00A76077" w:rsidR="008E1DC4">
        <w:t>n</w:t>
      </w:r>
      <w:r w:rsidRPr="00A76077" w:rsidR="006807D4">
        <w:t xml:space="preserve"> </w:t>
      </w:r>
      <w:r w:rsidRPr="00A76077" w:rsidR="00EA7A72">
        <w:t>voor rekening v</w:t>
      </w:r>
      <w:r w:rsidRPr="00A76077" w:rsidR="0070553A">
        <w:t>an</w:t>
      </w:r>
      <w:r w:rsidRPr="00A76077" w:rsidR="00EA7A72">
        <w:t xml:space="preserve"> de opleidende werkgever.</w:t>
      </w:r>
    </w:p>
    <w:p w:rsidRPr="00A76077" w:rsidR="00CA4873" w:rsidP="00A76077" w:rsidRDefault="00CA4873" w14:paraId="67EC9823" w14:textId="77777777">
      <w:pPr>
        <w:suppressAutoHyphens/>
      </w:pPr>
    </w:p>
    <w:p w:rsidRPr="00A76077" w:rsidR="00CA4873" w:rsidP="00A76077" w:rsidRDefault="00F721EA" w14:paraId="6F0B19B7" w14:textId="66DEB0CD">
      <w:pPr>
        <w:suppressAutoHyphens/>
      </w:pPr>
      <w:r w:rsidRPr="00A76077">
        <w:t>Opvolging</w:t>
      </w:r>
      <w:r w:rsidRPr="00A76077" w:rsidR="00CA4873">
        <w:t xml:space="preserve">: Deze besparingsvariant zal verder verkend worden bij de uitwerking van de in het coalitieakkoord genoemde korting op de medisch-specialistische vervolgopleidingen vanaf 2029. </w:t>
      </w:r>
    </w:p>
    <w:p w:rsidRPr="00A76077" w:rsidR="00EA7A72" w:rsidP="00A76077" w:rsidRDefault="00EA7A72" w14:paraId="35C419E0" w14:textId="77777777">
      <w:pPr>
        <w:suppressAutoHyphens/>
        <w:rPr>
          <w:i/>
          <w:iCs/>
        </w:rPr>
      </w:pPr>
    </w:p>
    <w:p w:rsidRPr="00A76077" w:rsidR="00EA7A72" w:rsidP="00A76077" w:rsidRDefault="00EA7A72" w14:paraId="750AC156" w14:textId="7829F0C7">
      <w:pPr>
        <w:suppressAutoHyphens/>
        <w:spacing w:after="60"/>
        <w:rPr>
          <w:i/>
          <w:iCs/>
        </w:rPr>
      </w:pPr>
      <w:r w:rsidRPr="00A76077">
        <w:rPr>
          <w:i/>
          <w:iCs/>
        </w:rPr>
        <w:t xml:space="preserve">Aanpassen van de hoogte van de </w:t>
      </w:r>
      <w:proofErr w:type="spellStart"/>
      <w:r w:rsidRPr="00A76077">
        <w:rPr>
          <w:i/>
          <w:iCs/>
        </w:rPr>
        <w:t>beschikbaarheidbijdrage</w:t>
      </w:r>
      <w:proofErr w:type="spellEnd"/>
      <w:r w:rsidRPr="00A76077">
        <w:rPr>
          <w:i/>
          <w:iCs/>
        </w:rPr>
        <w:t xml:space="preserve"> aan de totale opleidingskosten van een specialisme</w:t>
      </w:r>
    </w:p>
    <w:p w:rsidRPr="00A76077" w:rsidR="00EA7A72" w:rsidP="00A76077" w:rsidRDefault="00CA4873" w14:paraId="2B273D68" w14:textId="71CEBB48">
      <w:pPr>
        <w:suppressAutoHyphens/>
      </w:pPr>
      <w:r w:rsidRPr="00A76077">
        <w:t xml:space="preserve">Toelichting: </w:t>
      </w:r>
      <w:r w:rsidRPr="00A76077" w:rsidR="00EA7A72">
        <w:t>Zoals in de periodieke rapportage is beschreven, lijkt deze vorm van differentiatie vooralsnog niet kansrijk, omdat er momenteel geen goed zicht is op de variatie tussen de specialismen in de kosten (en opbrengsten) van de vervolgopleiding.</w:t>
      </w:r>
    </w:p>
    <w:p w:rsidRPr="00A76077" w:rsidR="00EA7A72" w:rsidP="00A76077" w:rsidRDefault="00EA7A72" w14:paraId="322DE41E" w14:textId="77777777">
      <w:pPr>
        <w:suppressAutoHyphens/>
      </w:pPr>
    </w:p>
    <w:p w:rsidRPr="00A76077" w:rsidR="00414A0C" w:rsidP="00A76077" w:rsidRDefault="00F721EA" w14:paraId="4D84199D" w14:textId="37D1A05F">
      <w:pPr>
        <w:suppressAutoHyphens/>
      </w:pPr>
      <w:r w:rsidRPr="00A76077">
        <w:t>Opvolging</w:t>
      </w:r>
      <w:r w:rsidRPr="00A76077" w:rsidR="00CA4873">
        <w:t xml:space="preserve">: Deze besparingsvariant zal </w:t>
      </w:r>
      <w:r w:rsidRPr="00A76077" w:rsidR="00EA7A72">
        <w:t>verder verkend worden bij de uitwerking van de in het coalitieakkoord genoemde korting op de medisch-specialistische vervolgopleidingen vanaf 2029.</w:t>
      </w:r>
      <w:r w:rsidRPr="00A76077" w:rsidR="0031655F">
        <w:t xml:space="preserve"> </w:t>
      </w:r>
    </w:p>
    <w:p w:rsidRPr="00A76077" w:rsidR="00414A0C" w:rsidP="00A76077" w:rsidRDefault="00414A0C" w14:paraId="34474D78" w14:textId="77777777">
      <w:pPr>
        <w:suppressAutoHyphens/>
      </w:pPr>
    </w:p>
    <w:p w:rsidRPr="00A76077" w:rsidR="00D65521" w:rsidP="00A76077" w:rsidRDefault="00D65521" w14:paraId="1D848BD1" w14:textId="77777777">
      <w:pPr>
        <w:suppressAutoHyphens/>
        <w:spacing w:line="240" w:lineRule="auto"/>
        <w:rPr>
          <w:i/>
          <w:iCs/>
        </w:rPr>
      </w:pPr>
      <w:r w:rsidRPr="00A76077">
        <w:rPr>
          <w:i/>
          <w:iCs/>
        </w:rPr>
        <w:br w:type="page"/>
      </w:r>
    </w:p>
    <w:p w:rsidRPr="00A76077" w:rsidR="00414A0C" w:rsidP="00A76077" w:rsidRDefault="00C30B08" w14:paraId="5B27426B" w14:textId="143DAF8E">
      <w:pPr>
        <w:suppressAutoHyphens/>
        <w:spacing w:after="60"/>
        <w:rPr>
          <w:i/>
          <w:iCs/>
        </w:rPr>
      </w:pPr>
      <w:r w:rsidRPr="00A76077">
        <w:rPr>
          <w:i/>
          <w:iCs/>
        </w:rPr>
        <w:lastRenderedPageBreak/>
        <w:t>(Terug)leggen van de</w:t>
      </w:r>
      <w:r w:rsidRPr="00A76077" w:rsidR="00414A0C">
        <w:rPr>
          <w:i/>
          <w:iCs/>
        </w:rPr>
        <w:t xml:space="preserve"> opleidingsverantwoordelijkheid bij werkgevers</w:t>
      </w:r>
    </w:p>
    <w:p w:rsidRPr="00A76077" w:rsidR="00CA4873" w:rsidP="00A76077" w:rsidRDefault="00CA4873" w14:paraId="6A3680BC" w14:textId="77777777">
      <w:pPr>
        <w:suppressAutoHyphens/>
      </w:pPr>
      <w:r w:rsidRPr="00A76077">
        <w:t xml:space="preserve">Toelichting: </w:t>
      </w:r>
      <w:r w:rsidRPr="00A76077" w:rsidR="000F36FD">
        <w:t>De periodieke rapportage signaleert een</w:t>
      </w:r>
      <w:r w:rsidRPr="00A76077" w:rsidR="00C30B08">
        <w:t xml:space="preserve"> overkoepelende besparing in de overheidsuitgaven op lange termijn als de opleidingsverantwoordelijkheid meer bij de werkgevers wordt (terug)gelegd. </w:t>
      </w:r>
    </w:p>
    <w:p w:rsidRPr="00A76077" w:rsidR="00CA4873" w:rsidP="00A76077" w:rsidRDefault="00CA4873" w14:paraId="7BB10C33" w14:textId="77777777">
      <w:pPr>
        <w:suppressAutoHyphens/>
      </w:pPr>
    </w:p>
    <w:p w:rsidRPr="00A76077" w:rsidR="00EA7A72" w:rsidP="00A76077" w:rsidRDefault="00F721EA" w14:paraId="67357C94" w14:textId="51F801D7">
      <w:pPr>
        <w:suppressAutoHyphens/>
      </w:pPr>
      <w:r w:rsidRPr="00A76077">
        <w:t>Opvolging</w:t>
      </w:r>
      <w:r w:rsidRPr="00A76077" w:rsidR="00CA4873">
        <w:t xml:space="preserve">: </w:t>
      </w:r>
      <w:r w:rsidRPr="00A76077" w:rsidR="00414A0C">
        <w:t>Het</w:t>
      </w:r>
      <w:r w:rsidRPr="00A76077" w:rsidR="0031655F">
        <w:t xml:space="preserve"> kabinet</w:t>
      </w:r>
      <w:r w:rsidRPr="00A76077" w:rsidR="000043AC">
        <w:t xml:space="preserve"> </w:t>
      </w:r>
      <w:r w:rsidRPr="00A76077" w:rsidR="00414A0C">
        <w:t xml:space="preserve">zal </w:t>
      </w:r>
      <w:r w:rsidRPr="00A76077" w:rsidR="00397EDE">
        <w:t>de</w:t>
      </w:r>
      <w:r w:rsidRPr="00A76077" w:rsidR="00B3758D">
        <w:t xml:space="preserve"> Kamer </w:t>
      </w:r>
      <w:r w:rsidRPr="00A76077" w:rsidR="000043AC">
        <w:t>op korte termijn informeren over de eerste stappen in het traject om het financieringsinstrumentarium voor opleiden in zorg en welzijn te herzien.</w:t>
      </w:r>
    </w:p>
    <w:p w:rsidRPr="00A76077" w:rsidR="00CA4873" w:rsidP="00A76077" w:rsidRDefault="00CA4873" w14:paraId="4BA58269" w14:textId="77777777">
      <w:pPr>
        <w:suppressAutoHyphens/>
      </w:pPr>
    </w:p>
    <w:p w:rsidRPr="00A76077" w:rsidR="000578BC" w:rsidP="00A76077" w:rsidRDefault="000578BC" w14:paraId="5041005D" w14:textId="2F1B6184">
      <w:pPr>
        <w:suppressAutoHyphens/>
        <w:rPr>
          <w:highlight w:val="yellow"/>
          <w:u w:val="single"/>
        </w:rPr>
      </w:pPr>
      <w:r w:rsidRPr="00A76077">
        <w:rPr>
          <w:u w:val="single"/>
        </w:rPr>
        <w:t>Periodieke rapportage ‘Beschikbaarheid in Perspectief, Beschikbaarheid medische producten, 2017 t/m 2023’</w:t>
      </w:r>
    </w:p>
    <w:p w:rsidRPr="00A76077" w:rsidR="000C0A30" w:rsidP="00A76077" w:rsidRDefault="000C0A30" w14:paraId="3DEE688E" w14:textId="765CD597">
      <w:pPr>
        <w:suppressAutoHyphens/>
      </w:pPr>
      <w:r w:rsidRPr="00A76077">
        <w:t xml:space="preserve">Het kabinet deelt de constatering uit de periodieke rapportage </w:t>
      </w:r>
      <w:r w:rsidRPr="00A76077" w:rsidR="002154DD">
        <w:t xml:space="preserve">‘Beschikbaarheid in Perspectief, Beschikbaarheid medische producten, 2017 t/m 2023’ </w:t>
      </w:r>
      <w:r w:rsidRPr="00A76077">
        <w:t>dat er niet één besparingsoptie is waarmee 20% (oftewel een besparing van ongeveer 2 miljard euro) op de totale budgettaire grondslag kan worden gerealiseerd. Schrappen in het basispakket en het invoeren van eigen bijdrages zijn, zoals de periodieke rapportage aangeeft, budgettair reeds uitgewerkt in onder andere Zorgkeuzes in Kaart, maar betekenen onherroepelijk een vermindering van de beschikbaarheid van geneesmiddelen, medische hulpmiddelen en/of lichaamsmaterialen.</w:t>
      </w:r>
    </w:p>
    <w:p w:rsidRPr="00A76077" w:rsidR="000C0A30" w:rsidP="00A76077" w:rsidRDefault="000C0A30" w14:paraId="106261BD" w14:textId="77777777">
      <w:pPr>
        <w:suppressAutoHyphens/>
      </w:pPr>
    </w:p>
    <w:p w:rsidRPr="00A76077" w:rsidR="000578BC" w:rsidP="00A76077" w:rsidRDefault="006C66A0" w14:paraId="68B7C50D" w14:textId="6297003E">
      <w:pPr>
        <w:suppressAutoHyphens/>
      </w:pPr>
      <w:r w:rsidRPr="00A76077">
        <w:t xml:space="preserve">De periodieke </w:t>
      </w:r>
      <w:r w:rsidRPr="00A76077" w:rsidR="000578BC">
        <w:t xml:space="preserve">rapportage bevat </w:t>
      </w:r>
      <w:r w:rsidRPr="00A76077" w:rsidR="00EA5ADD">
        <w:t xml:space="preserve">wel </w:t>
      </w:r>
      <w:r w:rsidRPr="00A76077" w:rsidR="000578BC">
        <w:t>de volgende besparingsvariant:</w:t>
      </w:r>
    </w:p>
    <w:p w:rsidRPr="00A76077" w:rsidR="004C3D3A" w:rsidP="00A76077" w:rsidRDefault="004C3D3A" w14:paraId="5C435F41" w14:textId="77777777">
      <w:pPr>
        <w:suppressAutoHyphens/>
      </w:pPr>
    </w:p>
    <w:p w:rsidRPr="00A76077" w:rsidR="00EA7A72" w:rsidP="00A76077" w:rsidRDefault="00EA7A72" w14:paraId="23E3D4C4" w14:textId="423C23F0">
      <w:pPr>
        <w:suppressAutoHyphens/>
        <w:spacing w:after="60"/>
        <w:rPr>
          <w:i/>
          <w:iCs/>
        </w:rPr>
      </w:pPr>
      <w:r w:rsidRPr="00A76077">
        <w:rPr>
          <w:i/>
          <w:iCs/>
        </w:rPr>
        <w:t>Onderzoeken van de afbakeningsproblematiek</w:t>
      </w:r>
    </w:p>
    <w:p w:rsidRPr="00A76077" w:rsidR="00E04D58" w:rsidP="00A76077" w:rsidRDefault="00CA4873" w14:paraId="6342F167" w14:textId="56E38DE8">
      <w:pPr>
        <w:suppressAutoHyphens/>
      </w:pPr>
      <w:r w:rsidRPr="00A76077">
        <w:t xml:space="preserve">Toelichting: </w:t>
      </w:r>
      <w:r w:rsidRPr="00A76077" w:rsidR="00E04D58">
        <w:t>De periodieke rapportage signaleert dat de huidige afbakening in de aanspraak tussen intramurale, geneeskundige zorg en extramurale, farmaceutische zorg aanspraak vaak tot problemen leidt, waaronder verkeerde prikkels of een ondoelmatige inzet van geneesmiddelen.</w:t>
      </w:r>
    </w:p>
    <w:p w:rsidRPr="00A76077" w:rsidR="00E04D58" w:rsidP="00A76077" w:rsidRDefault="00E04D58" w14:paraId="5DB60324" w14:textId="77777777">
      <w:pPr>
        <w:suppressAutoHyphens/>
      </w:pPr>
    </w:p>
    <w:p w:rsidRPr="00A76077" w:rsidR="000F36FD" w:rsidP="00A76077" w:rsidRDefault="00F721EA" w14:paraId="763574CA" w14:textId="23E97D76">
      <w:pPr>
        <w:suppressAutoHyphens/>
      </w:pPr>
      <w:r w:rsidRPr="00A76077">
        <w:t>Opvolging</w:t>
      </w:r>
      <w:r w:rsidRPr="00A76077" w:rsidR="00E04D58">
        <w:t xml:space="preserve">: </w:t>
      </w:r>
      <w:r w:rsidRPr="00A76077" w:rsidR="000F36FD">
        <w:t>Het kabinet</w:t>
      </w:r>
      <w:r w:rsidRPr="00A76077" w:rsidR="00D87F45">
        <w:t xml:space="preserve"> steunt de aanbeveling </w:t>
      </w:r>
      <w:r w:rsidRPr="00A76077" w:rsidR="000F36FD">
        <w:t>uit de periodieke rapportage</w:t>
      </w:r>
      <w:r w:rsidRPr="00A76077" w:rsidR="00D87F45">
        <w:t xml:space="preserve"> </w:t>
      </w:r>
      <w:r w:rsidRPr="00A76077" w:rsidR="00EA7A72">
        <w:t>om de afbakeningsproblematiek verder te onderzoeken. D</w:t>
      </w:r>
      <w:r w:rsidRPr="00A76077" w:rsidR="00D87F45">
        <w:t>e</w:t>
      </w:r>
      <w:r w:rsidRPr="00A76077" w:rsidR="00D43823">
        <w:t>ze</w:t>
      </w:r>
      <w:r w:rsidRPr="00A76077" w:rsidR="00D87F45">
        <w:t xml:space="preserve"> problematiek, en hiermee een mogelijk samenhangende besparing,</w:t>
      </w:r>
      <w:r w:rsidRPr="00A76077" w:rsidR="00EA7A72">
        <w:t xml:space="preserve"> wordt</w:t>
      </w:r>
      <w:r w:rsidRPr="00A76077" w:rsidR="00D87F45">
        <w:t xml:space="preserve"> </w:t>
      </w:r>
      <w:r w:rsidRPr="00A76077" w:rsidR="000578BC">
        <w:t>betrokken bij de invulling van de taakstelling in het coalitieakkoord van 150 miljoen euro structureel op het budget voor geneesmiddelen.</w:t>
      </w:r>
    </w:p>
    <w:sectPr w:rsidRPr="00A76077" w:rsidR="000F36FD">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8947" w14:textId="77777777" w:rsidR="0058019F" w:rsidRDefault="0058019F">
      <w:pPr>
        <w:spacing w:line="240" w:lineRule="auto"/>
      </w:pPr>
      <w:r>
        <w:separator/>
      </w:r>
    </w:p>
  </w:endnote>
  <w:endnote w:type="continuationSeparator" w:id="0">
    <w:p w14:paraId="32B64CC3" w14:textId="77777777" w:rsidR="0058019F" w:rsidRDefault="00580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3DF8" w14:textId="77777777" w:rsidR="0058019F" w:rsidRDefault="0058019F">
      <w:pPr>
        <w:spacing w:line="240" w:lineRule="auto"/>
      </w:pPr>
      <w:r>
        <w:separator/>
      </w:r>
    </w:p>
  </w:footnote>
  <w:footnote w:type="continuationSeparator" w:id="0">
    <w:p w14:paraId="28EE4CAD" w14:textId="77777777" w:rsidR="0058019F" w:rsidRDefault="005801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7DE1" w14:textId="77777777" w:rsidR="007A4E25" w:rsidRDefault="00850C49">
    <w:r>
      <w:rPr>
        <w:noProof/>
      </w:rPr>
      <mc:AlternateContent>
        <mc:Choice Requires="wps">
          <w:drawing>
            <wp:anchor distT="0" distB="0" distL="0" distR="0" simplePos="0" relativeHeight="251652096" behindDoc="0" locked="1" layoutInCell="1" allowOverlap="1" wp14:anchorId="45FF81F9" wp14:editId="7629FFCD">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9A01CE" w14:textId="77777777" w:rsidR="007A4E25" w:rsidRDefault="007A4E25">
                          <w:pPr>
                            <w:pStyle w:val="WitregelW1"/>
                          </w:pPr>
                        </w:p>
                        <w:p w14:paraId="79442EB3" w14:textId="77777777" w:rsidR="007A4E25" w:rsidRDefault="00850C49">
                          <w:pPr>
                            <w:pStyle w:val="Referentiegegevensbold"/>
                          </w:pPr>
                          <w:r>
                            <w:t>Onze referentie</w:t>
                          </w:r>
                        </w:p>
                        <w:p w14:paraId="4CE99B19" w14:textId="77777777" w:rsidR="00F60931" w:rsidRPr="00F60931" w:rsidRDefault="00F60931" w:rsidP="00F60931">
                          <w:pPr>
                            <w:pStyle w:val="Referentiegegevens"/>
                          </w:pPr>
                          <w:r w:rsidRPr="00F60931">
                            <w:t>4378369-1097936-FEZ</w:t>
                          </w:r>
                        </w:p>
                        <w:p w14:paraId="47C07453" w14:textId="239CAEC6" w:rsidR="007A4E25" w:rsidRDefault="007A4E25">
                          <w:pPr>
                            <w:pStyle w:val="Referentiegegevens"/>
                          </w:pPr>
                        </w:p>
                      </w:txbxContent>
                    </wps:txbx>
                    <wps:bodyPr vert="horz" wrap="square" lIns="0" tIns="0" rIns="0" bIns="0" anchor="t" anchorCtr="0"/>
                  </wps:wsp>
                </a:graphicData>
              </a:graphic>
            </wp:anchor>
          </w:drawing>
        </mc:Choice>
        <mc:Fallback>
          <w:pict>
            <v:shapetype w14:anchorId="45FF81F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9A01CE" w14:textId="77777777" w:rsidR="007A4E25" w:rsidRDefault="007A4E25">
                    <w:pPr>
                      <w:pStyle w:val="WitregelW1"/>
                    </w:pPr>
                  </w:p>
                  <w:p w14:paraId="79442EB3" w14:textId="77777777" w:rsidR="007A4E25" w:rsidRDefault="00850C49">
                    <w:pPr>
                      <w:pStyle w:val="Referentiegegevensbold"/>
                    </w:pPr>
                    <w:r>
                      <w:t>Onze referentie</w:t>
                    </w:r>
                  </w:p>
                  <w:p w14:paraId="4CE99B19" w14:textId="77777777" w:rsidR="00F60931" w:rsidRPr="00F60931" w:rsidRDefault="00F60931" w:rsidP="00F60931">
                    <w:pPr>
                      <w:pStyle w:val="Referentiegegevens"/>
                    </w:pPr>
                    <w:r w:rsidRPr="00F60931">
                      <w:t>4378369-1097936-FEZ</w:t>
                    </w:r>
                  </w:p>
                  <w:p w14:paraId="47C07453" w14:textId="239CAEC6" w:rsidR="007A4E25" w:rsidRDefault="007A4E25">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4474D37" wp14:editId="7E6A06A0">
              <wp:simplePos x="1007744" y="10194925"/>
              <wp:positionH relativeFrom="page">
                <wp:posOffset>1007744</wp:posOffset>
              </wp:positionH>
              <wp:positionV relativeFrom="paragraph">
                <wp:posOffset>10194925</wp:posOffset>
              </wp:positionV>
              <wp:extent cx="479044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C9873B4" w14:textId="77777777" w:rsidR="00850C49" w:rsidRDefault="00850C49"/>
                      </w:txbxContent>
                    </wps:txbx>
                    <wps:bodyPr vert="horz" wrap="square" lIns="0" tIns="0" rIns="0" bIns="0" anchor="t" anchorCtr="0"/>
                  </wps:wsp>
                </a:graphicData>
              </a:graphic>
            </wp:anchor>
          </w:drawing>
        </mc:Choice>
        <mc:Fallback>
          <w:pict>
            <v:shape w14:anchorId="44474D37" id="46fef06f-aa3c-11ea-a756-beb5f67e67be" o:spid="_x0000_s1027" type="#_x0000_t202" alt="Voettekst"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2C9873B4" w14:textId="77777777" w:rsidR="00850C49" w:rsidRDefault="00850C49"/>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48D2B8D" wp14:editId="76CC8AC6">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505CEB" w14:textId="26FB53F5" w:rsidR="007A4E25" w:rsidRDefault="00850C49">
                          <w:pPr>
                            <w:pStyle w:val="Referentiegegevens"/>
                          </w:pPr>
                          <w:r>
                            <w:t xml:space="preserve">Pagina </w:t>
                          </w:r>
                          <w:r>
                            <w:fldChar w:fldCharType="begin"/>
                          </w:r>
                          <w:r>
                            <w:instrText>PAGE</w:instrText>
                          </w:r>
                          <w:r>
                            <w:fldChar w:fldCharType="separate"/>
                          </w:r>
                          <w:r w:rsidR="000578BC">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48D2B8D" id="46fef0b8-aa3c-11ea-a756-beb5f67e67be" o:spid="_x0000_s1028" type="#_x0000_t202" alt="Paginanummering"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F505CEB" w14:textId="26FB53F5" w:rsidR="007A4E25" w:rsidRDefault="00850C49">
                    <w:pPr>
                      <w:pStyle w:val="Referentiegegevens"/>
                    </w:pPr>
                    <w:r>
                      <w:t xml:space="preserve">Pagina </w:t>
                    </w:r>
                    <w:r>
                      <w:fldChar w:fldCharType="begin"/>
                    </w:r>
                    <w:r>
                      <w:instrText>PAGE</w:instrText>
                    </w:r>
                    <w:r>
                      <w:fldChar w:fldCharType="separate"/>
                    </w:r>
                    <w:r w:rsidR="000578BC">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FF4C3DE" wp14:editId="0C0AF1E5">
              <wp:simplePos x="1007744" y="1965325"/>
              <wp:positionH relativeFrom="page">
                <wp:posOffset>1007744</wp:posOffset>
              </wp:positionH>
              <wp:positionV relativeFrom="paragraph">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929F3EA" w14:textId="77777777" w:rsidR="00850C49" w:rsidRDefault="00850C49"/>
                      </w:txbxContent>
                    </wps:txbx>
                    <wps:bodyPr vert="horz" wrap="square" lIns="0" tIns="0" rIns="0" bIns="0" anchor="t" anchorCtr="0"/>
                  </wps:wsp>
                </a:graphicData>
              </a:graphic>
            </wp:anchor>
          </w:drawing>
        </mc:Choice>
        <mc:Fallback>
          <w:pict>
            <v:shape w14:anchorId="1FF4C3DE"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4929F3EA" w14:textId="77777777" w:rsidR="00850C49" w:rsidRDefault="00850C49"/>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BA01" w14:textId="77777777" w:rsidR="007A4E25" w:rsidRDefault="00850C49">
    <w:pPr>
      <w:spacing w:after="4835" w:line="14" w:lineRule="exact"/>
    </w:pPr>
    <w:r>
      <w:rPr>
        <w:noProof/>
      </w:rPr>
      <mc:AlternateContent>
        <mc:Choice Requires="wps">
          <w:drawing>
            <wp:anchor distT="0" distB="0" distL="0" distR="0" simplePos="0" relativeHeight="251656192" behindDoc="0" locked="1" layoutInCell="1" allowOverlap="1" wp14:anchorId="1AEE944B" wp14:editId="4DBBBA44">
              <wp:simplePos x="1007744" y="1954530"/>
              <wp:positionH relativeFrom="page">
                <wp:posOffset>1007744</wp:posOffset>
              </wp:positionH>
              <wp:positionV relativeFrom="paragraph">
                <wp:posOffset>1954530</wp:posOffset>
              </wp:positionV>
              <wp:extent cx="4787900" cy="2089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208915"/>
                      </a:xfrm>
                      <a:prstGeom prst="rect">
                        <a:avLst/>
                      </a:prstGeom>
                      <a:noFill/>
                    </wps:spPr>
                    <wps:txbx>
                      <w:txbxContent>
                        <w:p w14:paraId="4F2F68EF" w14:textId="77777777" w:rsidR="00850C49" w:rsidRDefault="00850C49"/>
                      </w:txbxContent>
                    </wps:txbx>
                    <wps:bodyPr vert="horz" wrap="square" lIns="0" tIns="0" rIns="0" bIns="0" anchor="t" anchorCtr="0"/>
                  </wps:wsp>
                </a:graphicData>
              </a:graphic>
            </wp:anchor>
          </w:drawing>
        </mc:Choice>
        <mc:Fallback>
          <w:pict>
            <v:shapetype w14:anchorId="1AEE944B" id="_x0000_t202" coordsize="21600,21600" o:spt="202" path="m,l,21600r21600,l21600,xe">
              <v:stroke joinstyle="miter"/>
              <v:path gradientshapeok="t" o:connecttype="rect"/>
            </v:shapetype>
            <v:shape id="46ff9a2f-aa3c-11ea-a756-beb5f67e67be" o:spid="_x0000_s1030" type="#_x0000_t202" style="position:absolute;margin-left:79.35pt;margin-top:153.9pt;width:377pt;height:16.4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" filled="f" stroked="f">
              <v:textbox inset="0,0,0,0">
                <w:txbxContent>
                  <w:p w14:paraId="4F2F68EF" w14:textId="77777777" w:rsidR="00850C49" w:rsidRDefault="00850C4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5E5A54F" wp14:editId="4603A309">
              <wp:simplePos x="2418715" y="2740025"/>
              <wp:positionH relativeFrom="page">
                <wp:posOffset>2418715</wp:posOffset>
              </wp:positionH>
              <wp:positionV relativeFrom="paragraph">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7BF09452" w14:textId="35DB5312" w:rsidR="00850C49" w:rsidRDefault="009F5063">
                          <w:r w:rsidRPr="009F5063">
                            <w:t>Besparingsvarianten uit periodieke rapportages</w:t>
                          </w:r>
                        </w:p>
                      </w:txbxContent>
                    </wps:txbx>
                    <wps:bodyPr vert="horz" wrap="square" lIns="0" tIns="0" rIns="0" bIns="0" anchor="t" anchorCtr="0"/>
                  </wps:wsp>
                </a:graphicData>
              </a:graphic>
            </wp:anchor>
          </w:drawing>
        </mc:Choice>
        <mc:Fallback>
          <w:pict>
            <v:shape w14:anchorId="35E5A54F"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7BF09452" w14:textId="35DB5312" w:rsidR="00850C49" w:rsidRDefault="009F5063">
                    <w:r w:rsidRPr="009F5063">
                      <w:t>Besparingsvarianten uit periodieke rapportages</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4927A39" wp14:editId="52678A0A">
              <wp:simplePos x="5921375" y="1965325"/>
              <wp:positionH relativeFrom="page">
                <wp:posOffset>5921375</wp:posOffset>
              </wp:positionH>
              <wp:positionV relativeFrom="paragraph">
                <wp:posOffset>1965325</wp:posOffset>
              </wp:positionV>
              <wp:extent cx="1277620" cy="8009890"/>
              <wp:effectExtent l="0" t="0" r="0" b="0"/>
              <wp:wrapNone/>
              <wp:docPr id="7"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97D2AB" w14:textId="77777777" w:rsidR="007A4E25" w:rsidRDefault="007A4E25">
                          <w:pPr>
                            <w:pStyle w:val="WitregelW1"/>
                          </w:pPr>
                        </w:p>
                        <w:p w14:paraId="3379AEE8" w14:textId="77777777" w:rsidR="007A4E25" w:rsidRDefault="00850C49">
                          <w:pPr>
                            <w:pStyle w:val="Referentiegegevensbold"/>
                          </w:pPr>
                          <w:r>
                            <w:t>Onze referentie</w:t>
                          </w:r>
                        </w:p>
                        <w:p w14:paraId="5E37CA61" w14:textId="6E799055" w:rsidR="007A4E25" w:rsidRDefault="0091558E">
                          <w:pPr>
                            <w:pStyle w:val="Referentiegegevens"/>
                          </w:pPr>
                          <w:bookmarkStart w:id="0" w:name="_Hlk227842358"/>
                          <w:r>
                            <w:t>4</w:t>
                          </w:r>
                          <w:r w:rsidRPr="0091558E">
                            <w:t>3783</w:t>
                          </w:r>
                          <w:r w:rsidR="00F60931">
                            <w:t>69</w:t>
                          </w:r>
                          <w:r w:rsidRPr="0091558E">
                            <w:t>-10979</w:t>
                          </w:r>
                          <w:r w:rsidR="00F60931">
                            <w:t>36</w:t>
                          </w:r>
                          <w:r w:rsidRPr="0091558E">
                            <w:t>-FEZ</w:t>
                          </w:r>
                        </w:p>
                        <w:p w14:paraId="210A0BB0" w14:textId="77777777" w:rsidR="00F60931" w:rsidRPr="00F60931" w:rsidRDefault="00F60931" w:rsidP="00F60931"/>
                        <w:bookmarkEnd w:id="0"/>
                        <w:p w14:paraId="1D5BCBC0" w14:textId="77777777" w:rsidR="007A4E25" w:rsidRDefault="007A4E25">
                          <w:pPr>
                            <w:pStyle w:val="WitregelW1"/>
                          </w:pPr>
                        </w:p>
                        <w:p w14:paraId="65A4366D" w14:textId="77777777" w:rsidR="007A4E25" w:rsidRDefault="007A4E25"/>
                      </w:txbxContent>
                    </wps:txbx>
                    <wps:bodyPr vert="horz" wrap="square" lIns="0" tIns="0" rIns="0" bIns="0" anchor="t" anchorCtr="0"/>
                  </wps:wsp>
                </a:graphicData>
              </a:graphic>
            </wp:anchor>
          </w:drawing>
        </mc:Choice>
        <mc:Fallback>
          <w:pict>
            <v:shape w14:anchorId="14927A39" id="46feec20-aa3c-11ea-a756-beb5f67e67be" o:spid="_x0000_s1032"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897D2AB" w14:textId="77777777" w:rsidR="007A4E25" w:rsidRDefault="007A4E25">
                    <w:pPr>
                      <w:pStyle w:val="WitregelW1"/>
                    </w:pPr>
                  </w:p>
                  <w:p w14:paraId="3379AEE8" w14:textId="77777777" w:rsidR="007A4E25" w:rsidRDefault="00850C49">
                    <w:pPr>
                      <w:pStyle w:val="Referentiegegevensbold"/>
                    </w:pPr>
                    <w:r>
                      <w:t>Onze referentie</w:t>
                    </w:r>
                  </w:p>
                  <w:p w14:paraId="5E37CA61" w14:textId="6E799055" w:rsidR="007A4E25" w:rsidRDefault="0091558E">
                    <w:pPr>
                      <w:pStyle w:val="Referentiegegevens"/>
                    </w:pPr>
                    <w:bookmarkStart w:id="1" w:name="_Hlk227842358"/>
                    <w:r>
                      <w:t>4</w:t>
                    </w:r>
                    <w:r w:rsidRPr="0091558E">
                      <w:t>3783</w:t>
                    </w:r>
                    <w:r w:rsidR="00F60931">
                      <w:t>69</w:t>
                    </w:r>
                    <w:r w:rsidRPr="0091558E">
                      <w:t>-10979</w:t>
                    </w:r>
                    <w:r w:rsidR="00F60931">
                      <w:t>36</w:t>
                    </w:r>
                    <w:r w:rsidRPr="0091558E">
                      <w:t>-FEZ</w:t>
                    </w:r>
                  </w:p>
                  <w:p w14:paraId="210A0BB0" w14:textId="77777777" w:rsidR="00F60931" w:rsidRPr="00F60931" w:rsidRDefault="00F60931" w:rsidP="00F60931"/>
                  <w:bookmarkEnd w:id="1"/>
                  <w:p w14:paraId="1D5BCBC0" w14:textId="77777777" w:rsidR="007A4E25" w:rsidRDefault="007A4E25">
                    <w:pPr>
                      <w:pStyle w:val="WitregelW1"/>
                    </w:pPr>
                  </w:p>
                  <w:p w14:paraId="65A4366D" w14:textId="77777777" w:rsidR="007A4E25" w:rsidRDefault="007A4E25"/>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9277759" wp14:editId="2A1A89BE">
              <wp:simplePos x="1007744" y="10194925"/>
              <wp:positionH relativeFrom="page">
                <wp:posOffset>1007744</wp:posOffset>
              </wp:positionH>
              <wp:positionV relativeFrom="paragraph">
                <wp:posOffset>10194925</wp:posOffset>
              </wp:positionV>
              <wp:extent cx="4790440" cy="161925"/>
              <wp:effectExtent l="0" t="0" r="0" b="0"/>
              <wp:wrapNone/>
              <wp:docPr id="8" name="46feec6f-aa3c-11ea-a756-beb5f67e67be"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FF3970A" w14:textId="77777777" w:rsidR="00850C49" w:rsidRDefault="00850C49"/>
                      </w:txbxContent>
                    </wps:txbx>
                    <wps:bodyPr vert="horz" wrap="square" lIns="0" tIns="0" rIns="0" bIns="0" anchor="t" anchorCtr="0"/>
                  </wps:wsp>
                </a:graphicData>
              </a:graphic>
            </wp:anchor>
          </w:drawing>
        </mc:Choice>
        <mc:Fallback>
          <w:pict>
            <v:shape w14:anchorId="69277759" id="46feec6f-aa3c-11ea-a756-beb5f67e67be" o:spid="_x0000_s1033" type="#_x0000_t202" alt="Voettekst"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1FF3970A" w14:textId="77777777" w:rsidR="00850C49" w:rsidRDefault="00850C49"/>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72313E4" wp14:editId="77BEF1CF">
              <wp:simplePos x="5921375" y="10194925"/>
              <wp:positionH relativeFrom="page">
                <wp:posOffset>5921375</wp:posOffset>
              </wp:positionH>
              <wp:positionV relativeFrom="paragraph">
                <wp:posOffset>10194925</wp:posOffset>
              </wp:positionV>
              <wp:extent cx="1285875" cy="161290"/>
              <wp:effectExtent l="0" t="0" r="0" b="0"/>
              <wp:wrapNone/>
              <wp:docPr id="9"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315B32" w14:textId="77777777" w:rsidR="007A4E25" w:rsidRDefault="00850C4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72313E4" id="46feecbe-aa3c-11ea-a756-beb5f67e67be" o:spid="_x0000_s1034" type="#_x0000_t202" alt="Paginanummering"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23315B32" w14:textId="77777777" w:rsidR="007A4E25" w:rsidRDefault="00850C4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34F862F" wp14:editId="4CDBC02B">
              <wp:simplePos x="3545840" y="0"/>
              <wp:positionH relativeFrom="page">
                <wp:posOffset>3545840</wp:posOffset>
              </wp:positionH>
              <wp:positionV relativeFrom="paragraph">
                <wp:posOffset>0</wp:posOffset>
              </wp:positionV>
              <wp:extent cx="467995" cy="1583055"/>
              <wp:effectExtent l="0" t="0" r="0" b="0"/>
              <wp:wrapNone/>
              <wp:docPr id="10"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BBA233" w14:textId="40A854EA" w:rsidR="007A4E25" w:rsidRDefault="007A4E25">
                          <w:pPr>
                            <w:spacing w:line="240" w:lineRule="auto"/>
                          </w:pPr>
                        </w:p>
                      </w:txbxContent>
                    </wps:txbx>
                    <wps:bodyPr vert="horz" wrap="square" lIns="0" tIns="0" rIns="0" bIns="0" anchor="t" anchorCtr="0"/>
                  </wps:wsp>
                </a:graphicData>
              </a:graphic>
            </wp:anchor>
          </w:drawing>
        </mc:Choice>
        <mc:Fallback>
          <w:pict>
            <v:shape w14:anchorId="734F862F" id="46feed0e-aa3c-11ea-a756-beb5f67e67be" o:spid="_x0000_s1035" type="#_x0000_t202" alt="Container voor beeldmerk"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ABBA233" w14:textId="40A854EA" w:rsidR="007A4E25" w:rsidRDefault="007A4E25">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5681EA5" wp14:editId="266C5E6F">
              <wp:simplePos x="3995420" y="0"/>
              <wp:positionH relativeFrom="page">
                <wp:posOffset>3995420</wp:posOffset>
              </wp:positionH>
              <wp:positionV relativeFrom="paragraph">
                <wp:posOffset>0</wp:posOffset>
              </wp:positionV>
              <wp:extent cx="2339975" cy="1583690"/>
              <wp:effectExtent l="0" t="0" r="0" b="0"/>
              <wp:wrapNone/>
              <wp:docPr id="12"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3785C1" w14:textId="77777777" w:rsidR="007A4E25" w:rsidRDefault="00850C49">
                          <w:pPr>
                            <w:spacing w:line="240" w:lineRule="auto"/>
                          </w:pPr>
                          <w:r>
                            <w:rPr>
                              <w:noProof/>
                            </w:rPr>
                            <w:drawing>
                              <wp:inline distT="0" distB="0" distL="0" distR="0" wp14:anchorId="4E998A49" wp14:editId="735AEEAE">
                                <wp:extent cx="2339975" cy="1582834"/>
                                <wp:effectExtent l="0" t="0" r="0" b="0"/>
                                <wp:docPr id="13"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681EA5" id="46feed67-aa3c-11ea-a756-beb5f67e67be" o:spid="_x0000_s1036" type="#_x0000_t202" alt="Container voor woordmerk"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33785C1" w14:textId="77777777" w:rsidR="007A4E25" w:rsidRDefault="00850C49">
                    <w:pPr>
                      <w:spacing w:line="240" w:lineRule="auto"/>
                    </w:pPr>
                    <w:r>
                      <w:rPr>
                        <w:noProof/>
                      </w:rPr>
                      <w:drawing>
                        <wp:inline distT="0" distB="0" distL="0" distR="0" wp14:anchorId="4E998A49" wp14:editId="735AEEAE">
                          <wp:extent cx="2339975" cy="1582834"/>
                          <wp:effectExtent l="0" t="0" r="0" b="0"/>
                          <wp:docPr id="13"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66F8E89" wp14:editId="20BBD8D1">
              <wp:simplePos x="1007744" y="2496820"/>
              <wp:positionH relativeFrom="page">
                <wp:posOffset>1007744</wp:posOffset>
              </wp:positionH>
              <wp:positionV relativeFrom="paragraph">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19FD107B" w14:textId="77777777" w:rsidR="007A4E25" w:rsidRDefault="00850C49">
                          <w:pPr>
                            <w:spacing w:line="240" w:lineRule="auto"/>
                          </w:pPr>
                          <w:r>
                            <w:rPr>
                              <w:noProof/>
                            </w:rPr>
                            <w:drawing>
                              <wp:inline distT="0" distB="0" distL="0" distR="0" wp14:anchorId="02837317" wp14:editId="07E2DFCC">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2"/>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6F8E89"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19FD107B" w14:textId="77777777" w:rsidR="007A4E25" w:rsidRDefault="00850C49">
                    <w:pPr>
                      <w:spacing w:line="240" w:lineRule="auto"/>
                    </w:pPr>
                    <w:r>
                      <w:rPr>
                        <w:noProof/>
                      </w:rPr>
                      <w:drawing>
                        <wp:inline distT="0" distB="0" distL="0" distR="0" wp14:anchorId="02837317" wp14:editId="07E2DFCC">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2"/>
                                  <a:stretch>
                                    <a:fillRect/>
                                  </a:stretch>
                                </pic:blipFill>
                                <pic:spPr bwMode="auto">
                                  <a:xfrm>
                                    <a:off x="0" y="0"/>
                                    <a:ext cx="1238250" cy="536370"/>
                                  </a:xfrm>
                                  <a:prstGeom prst="rect">
                                    <a:avLst/>
                                  </a:prstGeom>
                                </pic:spPr>
                              </pic:pic>
                            </a:graphicData>
                          </a:graphic>
                        </wp:inline>
                      </w:drawing>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E92338"/>
    <w:multiLevelType w:val="multilevel"/>
    <w:tmpl w:val="FD31181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9443A80"/>
    <w:multiLevelType w:val="multilevel"/>
    <w:tmpl w:val="141F039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09162EA"/>
    <w:multiLevelType w:val="multilevel"/>
    <w:tmpl w:val="231DC25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95F20F2"/>
    <w:multiLevelType w:val="hybridMultilevel"/>
    <w:tmpl w:val="1D6AA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151FA4"/>
    <w:multiLevelType w:val="multilevel"/>
    <w:tmpl w:val="EAB296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13158469">
    <w:abstractNumId w:val="2"/>
  </w:num>
  <w:num w:numId="2" w16cid:durableId="1025407132">
    <w:abstractNumId w:val="4"/>
  </w:num>
  <w:num w:numId="3" w16cid:durableId="2119792416">
    <w:abstractNumId w:val="0"/>
  </w:num>
  <w:num w:numId="4" w16cid:durableId="339547287">
    <w:abstractNumId w:val="1"/>
  </w:num>
  <w:num w:numId="5" w16cid:durableId="770010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49"/>
    <w:rsid w:val="0000326B"/>
    <w:rsid w:val="000043AC"/>
    <w:rsid w:val="000161BB"/>
    <w:rsid w:val="00022AE8"/>
    <w:rsid w:val="000578BC"/>
    <w:rsid w:val="0007691F"/>
    <w:rsid w:val="00077D3E"/>
    <w:rsid w:val="00082F9C"/>
    <w:rsid w:val="00086CC0"/>
    <w:rsid w:val="00095B36"/>
    <w:rsid w:val="000C0A30"/>
    <w:rsid w:val="000E3A0B"/>
    <w:rsid w:val="000F36FD"/>
    <w:rsid w:val="000F6C92"/>
    <w:rsid w:val="00106076"/>
    <w:rsid w:val="00135CDA"/>
    <w:rsid w:val="001A5528"/>
    <w:rsid w:val="001B6CA7"/>
    <w:rsid w:val="001F6C76"/>
    <w:rsid w:val="002154DD"/>
    <w:rsid w:val="00224AF6"/>
    <w:rsid w:val="002264BF"/>
    <w:rsid w:val="0031655F"/>
    <w:rsid w:val="00322091"/>
    <w:rsid w:val="00397EDE"/>
    <w:rsid w:val="003D556D"/>
    <w:rsid w:val="003F1E86"/>
    <w:rsid w:val="003F3095"/>
    <w:rsid w:val="00413824"/>
    <w:rsid w:val="00414832"/>
    <w:rsid w:val="00414A0C"/>
    <w:rsid w:val="00435CC6"/>
    <w:rsid w:val="004425BA"/>
    <w:rsid w:val="00454CDD"/>
    <w:rsid w:val="0045727A"/>
    <w:rsid w:val="00462EC8"/>
    <w:rsid w:val="00484B14"/>
    <w:rsid w:val="004B2DA0"/>
    <w:rsid w:val="004B6237"/>
    <w:rsid w:val="004C3D3A"/>
    <w:rsid w:val="004E73D4"/>
    <w:rsid w:val="00501042"/>
    <w:rsid w:val="00552524"/>
    <w:rsid w:val="0057251A"/>
    <w:rsid w:val="0058019F"/>
    <w:rsid w:val="005C7907"/>
    <w:rsid w:val="005F2A65"/>
    <w:rsid w:val="0063580B"/>
    <w:rsid w:val="00676C29"/>
    <w:rsid w:val="006807D4"/>
    <w:rsid w:val="00682686"/>
    <w:rsid w:val="006A5AF9"/>
    <w:rsid w:val="006C02B5"/>
    <w:rsid w:val="006C66A0"/>
    <w:rsid w:val="006F08C0"/>
    <w:rsid w:val="0070553A"/>
    <w:rsid w:val="007449F0"/>
    <w:rsid w:val="00751D03"/>
    <w:rsid w:val="007906EB"/>
    <w:rsid w:val="007A4E25"/>
    <w:rsid w:val="007B126C"/>
    <w:rsid w:val="007B32AF"/>
    <w:rsid w:val="007C446D"/>
    <w:rsid w:val="007C71A6"/>
    <w:rsid w:val="007C7E36"/>
    <w:rsid w:val="007D4056"/>
    <w:rsid w:val="008016B6"/>
    <w:rsid w:val="00804690"/>
    <w:rsid w:val="00804E17"/>
    <w:rsid w:val="00811012"/>
    <w:rsid w:val="00840A36"/>
    <w:rsid w:val="00841810"/>
    <w:rsid w:val="00844A19"/>
    <w:rsid w:val="00850C49"/>
    <w:rsid w:val="008536A7"/>
    <w:rsid w:val="00877A47"/>
    <w:rsid w:val="008866DD"/>
    <w:rsid w:val="008B0153"/>
    <w:rsid w:val="008E1DC4"/>
    <w:rsid w:val="008F4AED"/>
    <w:rsid w:val="00913672"/>
    <w:rsid w:val="0091558E"/>
    <w:rsid w:val="00917776"/>
    <w:rsid w:val="0093356A"/>
    <w:rsid w:val="00941075"/>
    <w:rsid w:val="00956C5D"/>
    <w:rsid w:val="009960EE"/>
    <w:rsid w:val="009F5063"/>
    <w:rsid w:val="00A169AA"/>
    <w:rsid w:val="00A31D38"/>
    <w:rsid w:val="00A620F8"/>
    <w:rsid w:val="00A710E6"/>
    <w:rsid w:val="00A76077"/>
    <w:rsid w:val="00A7766C"/>
    <w:rsid w:val="00AC03AE"/>
    <w:rsid w:val="00AC3BB4"/>
    <w:rsid w:val="00AE04A3"/>
    <w:rsid w:val="00AE23C1"/>
    <w:rsid w:val="00B34836"/>
    <w:rsid w:val="00B36E79"/>
    <w:rsid w:val="00B3758D"/>
    <w:rsid w:val="00B51F59"/>
    <w:rsid w:val="00B52669"/>
    <w:rsid w:val="00C008B6"/>
    <w:rsid w:val="00C10136"/>
    <w:rsid w:val="00C30B08"/>
    <w:rsid w:val="00C63BF0"/>
    <w:rsid w:val="00CA1439"/>
    <w:rsid w:val="00CA4873"/>
    <w:rsid w:val="00CD1565"/>
    <w:rsid w:val="00D22DC2"/>
    <w:rsid w:val="00D33326"/>
    <w:rsid w:val="00D43823"/>
    <w:rsid w:val="00D61569"/>
    <w:rsid w:val="00D61A2F"/>
    <w:rsid w:val="00D65521"/>
    <w:rsid w:val="00D87F45"/>
    <w:rsid w:val="00DC0C35"/>
    <w:rsid w:val="00DD478F"/>
    <w:rsid w:val="00DE086D"/>
    <w:rsid w:val="00E04D58"/>
    <w:rsid w:val="00E15A7F"/>
    <w:rsid w:val="00E16DFF"/>
    <w:rsid w:val="00E57599"/>
    <w:rsid w:val="00E828C4"/>
    <w:rsid w:val="00EA5ADD"/>
    <w:rsid w:val="00EA7A72"/>
    <w:rsid w:val="00EB0D52"/>
    <w:rsid w:val="00EC5704"/>
    <w:rsid w:val="00F10BDF"/>
    <w:rsid w:val="00F13A56"/>
    <w:rsid w:val="00F4682D"/>
    <w:rsid w:val="00F60931"/>
    <w:rsid w:val="00F721EA"/>
    <w:rsid w:val="00FA1559"/>
    <w:rsid w:val="00FA22A5"/>
    <w:rsid w:val="00FB27C8"/>
    <w:rsid w:val="00FB4409"/>
    <w:rsid w:val="00FC6151"/>
    <w:rsid w:val="00FF3945"/>
    <w:rsid w:val="00FF5836"/>
    <w:rsid w:val="00FF6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873"/>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50C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0C49"/>
    <w:rPr>
      <w:rFonts w:ascii="Verdana" w:hAnsi="Verdana"/>
      <w:color w:val="000000"/>
      <w:sz w:val="18"/>
      <w:szCs w:val="18"/>
    </w:rPr>
  </w:style>
  <w:style w:type="paragraph" w:styleId="Voettekst">
    <w:name w:val="footer"/>
    <w:basedOn w:val="Standaard"/>
    <w:link w:val="VoettekstChar"/>
    <w:uiPriority w:val="99"/>
    <w:unhideWhenUsed/>
    <w:rsid w:val="00850C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0C49"/>
    <w:rPr>
      <w:rFonts w:ascii="Verdana" w:hAnsi="Verdana"/>
      <w:color w:val="000000"/>
      <w:sz w:val="18"/>
      <w:szCs w:val="18"/>
    </w:rPr>
  </w:style>
  <w:style w:type="paragraph" w:styleId="Lijstalinea">
    <w:name w:val="List Paragraph"/>
    <w:basedOn w:val="Standaard"/>
    <w:uiPriority w:val="34"/>
    <w:semiHidden/>
    <w:rsid w:val="00EA7A72"/>
    <w:pPr>
      <w:ind w:left="720"/>
      <w:contextualSpacing/>
    </w:pPr>
  </w:style>
  <w:style w:type="character" w:styleId="Verwijzingopmerking">
    <w:name w:val="annotation reference"/>
    <w:basedOn w:val="Standaardalinea-lettertype"/>
    <w:uiPriority w:val="99"/>
    <w:semiHidden/>
    <w:unhideWhenUsed/>
    <w:rsid w:val="00B3758D"/>
    <w:rPr>
      <w:sz w:val="16"/>
      <w:szCs w:val="16"/>
    </w:rPr>
  </w:style>
  <w:style w:type="paragraph" w:styleId="Tekstopmerking">
    <w:name w:val="annotation text"/>
    <w:basedOn w:val="Standaard"/>
    <w:link w:val="TekstopmerkingChar"/>
    <w:uiPriority w:val="99"/>
    <w:unhideWhenUsed/>
    <w:rsid w:val="00B3758D"/>
    <w:pPr>
      <w:spacing w:line="240" w:lineRule="auto"/>
    </w:pPr>
    <w:rPr>
      <w:sz w:val="20"/>
      <w:szCs w:val="20"/>
    </w:rPr>
  </w:style>
  <w:style w:type="character" w:customStyle="1" w:styleId="TekstopmerkingChar">
    <w:name w:val="Tekst opmerking Char"/>
    <w:basedOn w:val="Standaardalinea-lettertype"/>
    <w:link w:val="Tekstopmerking"/>
    <w:uiPriority w:val="99"/>
    <w:rsid w:val="00B3758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758D"/>
    <w:rPr>
      <w:b/>
      <w:bCs/>
    </w:rPr>
  </w:style>
  <w:style w:type="character" w:customStyle="1" w:styleId="OnderwerpvanopmerkingChar">
    <w:name w:val="Onderwerp van opmerking Char"/>
    <w:basedOn w:val="TekstopmerkingChar"/>
    <w:link w:val="Onderwerpvanopmerking"/>
    <w:uiPriority w:val="99"/>
    <w:semiHidden/>
    <w:rsid w:val="00B3758D"/>
    <w:rPr>
      <w:rFonts w:ascii="Verdana" w:hAnsi="Verdana"/>
      <w:b/>
      <w:bCs/>
      <w:color w:val="000000"/>
    </w:rPr>
  </w:style>
  <w:style w:type="paragraph" w:styleId="Revisie">
    <w:name w:val="Revision"/>
    <w:hidden/>
    <w:uiPriority w:val="99"/>
    <w:semiHidden/>
    <w:rsid w:val="00414A0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83443">
      <w:bodyDiv w:val="1"/>
      <w:marLeft w:val="0"/>
      <w:marRight w:val="0"/>
      <w:marTop w:val="0"/>
      <w:marBottom w:val="0"/>
      <w:divBdr>
        <w:top w:val="none" w:sz="0" w:space="0" w:color="auto"/>
        <w:left w:val="none" w:sz="0" w:space="0" w:color="auto"/>
        <w:bottom w:val="none" w:sz="0" w:space="0" w:color="auto"/>
        <w:right w:val="none" w:sz="0" w:space="0" w:color="auto"/>
      </w:divBdr>
    </w:div>
    <w:div w:id="820314552">
      <w:bodyDiv w:val="1"/>
      <w:marLeft w:val="0"/>
      <w:marRight w:val="0"/>
      <w:marTop w:val="0"/>
      <w:marBottom w:val="0"/>
      <w:divBdr>
        <w:top w:val="none" w:sz="0" w:space="0" w:color="auto"/>
        <w:left w:val="none" w:sz="0" w:space="0" w:color="auto"/>
        <w:bottom w:val="none" w:sz="0" w:space="0" w:color="auto"/>
        <w:right w:val="none" w:sz="0" w:space="0" w:color="auto"/>
      </w:divBdr>
    </w:div>
    <w:div w:id="821508475">
      <w:bodyDiv w:val="1"/>
      <w:marLeft w:val="0"/>
      <w:marRight w:val="0"/>
      <w:marTop w:val="0"/>
      <w:marBottom w:val="0"/>
      <w:divBdr>
        <w:top w:val="none" w:sz="0" w:space="0" w:color="auto"/>
        <w:left w:val="none" w:sz="0" w:space="0" w:color="auto"/>
        <w:bottom w:val="none" w:sz="0" w:space="0" w:color="auto"/>
        <w:right w:val="none" w:sz="0" w:space="0" w:color="auto"/>
      </w:divBdr>
    </w:div>
    <w:div w:id="1446268301">
      <w:bodyDiv w:val="1"/>
      <w:marLeft w:val="0"/>
      <w:marRight w:val="0"/>
      <w:marTop w:val="0"/>
      <w:marBottom w:val="0"/>
      <w:divBdr>
        <w:top w:val="none" w:sz="0" w:space="0" w:color="auto"/>
        <w:left w:val="none" w:sz="0" w:space="0" w:color="auto"/>
        <w:bottom w:val="none" w:sz="0" w:space="0" w:color="auto"/>
        <w:right w:val="none" w:sz="0" w:space="0" w:color="auto"/>
      </w:divBdr>
    </w:div>
    <w:div w:id="1508446206">
      <w:bodyDiv w:val="1"/>
      <w:marLeft w:val="0"/>
      <w:marRight w:val="0"/>
      <w:marTop w:val="0"/>
      <w:marBottom w:val="0"/>
      <w:divBdr>
        <w:top w:val="none" w:sz="0" w:space="0" w:color="auto"/>
        <w:left w:val="none" w:sz="0" w:space="0" w:color="auto"/>
        <w:bottom w:val="none" w:sz="0" w:space="0" w:color="auto"/>
        <w:right w:val="none" w:sz="0" w:space="0" w:color="auto"/>
      </w:divBdr>
    </w:div>
    <w:div w:id="1709717742">
      <w:bodyDiv w:val="1"/>
      <w:marLeft w:val="0"/>
      <w:marRight w:val="0"/>
      <w:marTop w:val="0"/>
      <w:marBottom w:val="0"/>
      <w:divBdr>
        <w:top w:val="none" w:sz="0" w:space="0" w:color="auto"/>
        <w:left w:val="none" w:sz="0" w:space="0" w:color="auto"/>
        <w:bottom w:val="none" w:sz="0" w:space="0" w:color="auto"/>
        <w:right w:val="none" w:sz="0" w:space="0" w:color="auto"/>
      </w:divBdr>
    </w:div>
    <w:div w:id="1834907669">
      <w:bodyDiv w:val="1"/>
      <w:marLeft w:val="0"/>
      <w:marRight w:val="0"/>
      <w:marTop w:val="0"/>
      <w:marBottom w:val="0"/>
      <w:divBdr>
        <w:top w:val="none" w:sz="0" w:space="0" w:color="auto"/>
        <w:left w:val="none" w:sz="0" w:space="0" w:color="auto"/>
        <w:bottom w:val="none" w:sz="0" w:space="0" w:color="auto"/>
        <w:right w:val="none" w:sz="0" w:space="0" w:color="auto"/>
      </w:divBdr>
    </w:div>
    <w:div w:id="194006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577</ap:Words>
  <ap:Characters>3179</ap:Characters>
  <ap:DocSecurity>0</ap:DocSecurity>
  <ap:Lines>26</ap:Lines>
  <ap:Paragraphs>7</ap:Paragraphs>
  <ap:ScaleCrop>false</ap:ScaleCrop>
  <ap:LinksUpToDate>false</ap:LinksUpToDate>
  <ap:CharactersWithSpaces>3749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2026-05-20T14:48:00.0000000Z</dcterms:created>
  <dcterms:modified xsi:type="dcterms:W3CDTF">2026-05-20T14:49:00.0000000Z</dcterms:modified>
  <dc:description>------------------------</dc:description>
  <dc:subject/>
  <keywords/>
  <version/>
  <category/>
</coreProperties>
</file>