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37A2" w:rsidR="00897378" w:rsidP="00AB37A2" w:rsidRDefault="00897378" w14:paraId="601D6138" w14:textId="77777777">
      <w:pPr>
        <w:suppressAutoHyphens/>
        <w:rPr>
          <w:szCs w:val="18"/>
          <w:lang w:val="en-US"/>
        </w:rPr>
      </w:pPr>
      <w:bookmarkStart w:name="bmkOndertekening" w:id="0"/>
      <w:bookmarkStart w:name="bmkMinuut" w:id="1"/>
      <w:bookmarkEnd w:id="0"/>
      <w:bookmarkEnd w:id="1"/>
    </w:p>
    <w:p w:rsidRPr="00AB37A2" w:rsidR="00897378" w:rsidP="00AB37A2" w:rsidRDefault="00897378" w14:paraId="6227958E" w14:textId="77777777">
      <w:pPr>
        <w:suppressAutoHyphens/>
        <w:rPr>
          <w:szCs w:val="18"/>
          <w:lang w:val="en-US"/>
        </w:rPr>
      </w:pPr>
    </w:p>
    <w:p w:rsidRPr="00AB37A2" w:rsidR="00897378" w:rsidP="00AB37A2" w:rsidRDefault="00137EDD" w14:paraId="23A15E3A" w14:textId="77777777">
      <w:pPr>
        <w:pStyle w:val="Retouradres"/>
        <w:suppressAutoHyphens/>
        <w:rPr>
          <w:sz w:val="18"/>
          <w:szCs w:val="18"/>
        </w:rPr>
      </w:pPr>
      <w:r w:rsidRPr="00AB37A2">
        <w:rPr>
          <w:sz w:val="18"/>
          <w:szCs w:val="18"/>
        </w:rPr>
        <w:t>&gt; Ret</w:t>
      </w:r>
      <w:r w:rsidRPr="00AB37A2" w:rsidR="00375EAB">
        <w:rPr>
          <w:sz w:val="18"/>
          <w:szCs w:val="18"/>
        </w:rPr>
        <w:t xml:space="preserve">ouradres Postbus 20350 2500 EJ </w:t>
      </w:r>
      <w:r w:rsidRPr="00AB37A2" w:rsidR="009A0B66">
        <w:rPr>
          <w:sz w:val="18"/>
          <w:szCs w:val="18"/>
        </w:rPr>
        <w:t xml:space="preserve"> </w:t>
      </w:r>
      <w:r w:rsidRPr="00AB37A2">
        <w:rPr>
          <w:sz w:val="18"/>
          <w:szCs w:val="18"/>
        </w:rPr>
        <w:t>Den Haag</w:t>
      </w:r>
    </w:p>
    <w:p w:rsidRPr="00AB37A2" w:rsidR="00897378" w:rsidP="00AB37A2" w:rsidRDefault="00897378" w14:paraId="00A8914B" w14:textId="77777777">
      <w:pPr>
        <w:pStyle w:val="Retouradres"/>
        <w:suppressAutoHyphens/>
        <w:rPr>
          <w:sz w:val="18"/>
          <w:szCs w:val="18"/>
        </w:rPr>
      </w:pPr>
    </w:p>
    <w:p w:rsidRPr="00AB37A2" w:rsidR="00897378" w:rsidP="00AB37A2" w:rsidRDefault="00137EDD" w14:paraId="5DDAA2E4" w14:textId="77777777">
      <w:pPr>
        <w:suppressAutoHyphens/>
        <w:outlineLvl w:val="0"/>
        <w:rPr>
          <w:szCs w:val="18"/>
        </w:rPr>
      </w:pPr>
      <w:r w:rsidRPr="00AB37A2">
        <w:rPr>
          <w:szCs w:val="18"/>
        </w:rPr>
        <w:t>De Voorzitter van de Tweede Kamer</w:t>
      </w:r>
    </w:p>
    <w:p w:rsidRPr="00AB37A2" w:rsidR="00897378" w:rsidP="00AB37A2" w:rsidRDefault="00137EDD" w14:paraId="27A7EAF5" w14:textId="77777777">
      <w:pPr>
        <w:suppressAutoHyphens/>
        <w:rPr>
          <w:szCs w:val="18"/>
          <w:lang w:val="de-DE"/>
        </w:rPr>
      </w:pPr>
      <w:r w:rsidRPr="00AB37A2">
        <w:rPr>
          <w:szCs w:val="18"/>
          <w:lang w:val="de-DE"/>
        </w:rPr>
        <w:t>der Staten-Generaal</w:t>
      </w:r>
    </w:p>
    <w:p w:rsidRPr="00AB37A2" w:rsidR="00897378" w:rsidP="00AB37A2" w:rsidRDefault="00137EDD" w14:paraId="6FED8E0B" w14:textId="77777777">
      <w:pPr>
        <w:suppressAutoHyphens/>
        <w:rPr>
          <w:szCs w:val="18"/>
          <w:lang w:val="de-DE"/>
        </w:rPr>
      </w:pPr>
      <w:r w:rsidRPr="00AB37A2">
        <w:rPr>
          <w:szCs w:val="18"/>
          <w:lang w:val="de-DE"/>
        </w:rPr>
        <w:t>Postbus 20018</w:t>
      </w:r>
    </w:p>
    <w:p w:rsidRPr="00AB37A2" w:rsidR="00897378" w:rsidP="00AB37A2" w:rsidRDefault="00137EDD" w14:paraId="076F426C" w14:textId="77777777">
      <w:pPr>
        <w:suppressAutoHyphens/>
        <w:rPr>
          <w:szCs w:val="18"/>
          <w:lang w:val="de-DE"/>
        </w:rPr>
      </w:pPr>
      <w:r w:rsidRPr="00AB37A2">
        <w:rPr>
          <w:szCs w:val="18"/>
          <w:lang w:val="de-DE"/>
        </w:rPr>
        <w:t>2500 EA  DEN HAAG</w:t>
      </w:r>
    </w:p>
    <w:p w:rsidRPr="00AB37A2" w:rsidR="00897378" w:rsidP="00AB37A2" w:rsidRDefault="00897378" w14:paraId="5253D79D" w14:textId="77777777">
      <w:pPr>
        <w:suppressAutoHyphens/>
        <w:rPr>
          <w:szCs w:val="18"/>
          <w:lang w:val="de-DE"/>
        </w:rPr>
      </w:pPr>
    </w:p>
    <w:p w:rsidRPr="00AB37A2" w:rsidR="00897378" w:rsidP="00AB37A2" w:rsidRDefault="00897378" w14:paraId="75838C95" w14:textId="77777777">
      <w:pPr>
        <w:suppressAutoHyphens/>
        <w:rPr>
          <w:szCs w:val="18"/>
          <w:lang w:val="de-DE"/>
        </w:rPr>
      </w:pPr>
    </w:p>
    <w:p w:rsidRPr="00AB37A2" w:rsidR="00897378" w:rsidP="00AB37A2" w:rsidRDefault="00897378" w14:paraId="52B51535" w14:textId="77777777">
      <w:pPr>
        <w:suppressAutoHyphens/>
        <w:rPr>
          <w:szCs w:val="18"/>
          <w:lang w:val="de-DE"/>
        </w:rPr>
      </w:pPr>
    </w:p>
    <w:p w:rsidRPr="00AB37A2" w:rsidR="00897378" w:rsidP="00AB37A2" w:rsidRDefault="00897378" w14:paraId="07FB6D72" w14:textId="77777777">
      <w:pPr>
        <w:suppressAutoHyphens/>
        <w:rPr>
          <w:szCs w:val="18"/>
          <w:lang w:val="de-DE"/>
        </w:rPr>
      </w:pPr>
    </w:p>
    <w:p w:rsidRPr="00AB37A2" w:rsidR="00897378" w:rsidP="00AB37A2" w:rsidRDefault="00897378" w14:paraId="53A26410" w14:textId="77777777">
      <w:pPr>
        <w:suppressAutoHyphens/>
        <w:rPr>
          <w:szCs w:val="18"/>
          <w:lang w:val="de-DE"/>
        </w:rPr>
      </w:pPr>
    </w:p>
    <w:p w:rsidRPr="00AB37A2" w:rsidR="00897378" w:rsidP="00AB37A2" w:rsidRDefault="00897378" w14:paraId="17E595C1" w14:textId="77777777">
      <w:pPr>
        <w:suppressAutoHyphens/>
        <w:rPr>
          <w:szCs w:val="18"/>
          <w:lang w:val="de-DE"/>
        </w:rPr>
      </w:pPr>
    </w:p>
    <w:p w:rsidRPr="00AB37A2" w:rsidR="00897378" w:rsidP="00AB37A2" w:rsidRDefault="00137EDD" w14:paraId="5DAEBBB8" w14:textId="5AE9B611">
      <w:pPr>
        <w:tabs>
          <w:tab w:val="left" w:pos="737"/>
        </w:tabs>
        <w:suppressAutoHyphens/>
        <w:outlineLvl w:val="0"/>
        <w:rPr>
          <w:szCs w:val="18"/>
          <w:lang w:val="de-DE"/>
        </w:rPr>
      </w:pPr>
      <w:r w:rsidRPr="00AB37A2">
        <w:rPr>
          <w:szCs w:val="18"/>
          <w:lang w:val="de-DE"/>
        </w:rPr>
        <w:t>Datum</w:t>
      </w:r>
      <w:r w:rsidRPr="00AB37A2" w:rsidR="00D74EDF">
        <w:rPr>
          <w:szCs w:val="18"/>
          <w:lang w:val="de-DE"/>
        </w:rPr>
        <w:tab/>
      </w:r>
      <w:r w:rsidR="00F06C16">
        <w:rPr>
          <w:szCs w:val="18"/>
          <w:lang w:val="de-DE"/>
        </w:rPr>
        <w:t xml:space="preserve">20 </w:t>
      </w:r>
      <w:proofErr w:type="spellStart"/>
      <w:r w:rsidR="00F06C16">
        <w:rPr>
          <w:szCs w:val="18"/>
          <w:lang w:val="de-DE"/>
        </w:rPr>
        <w:t>mei</w:t>
      </w:r>
      <w:proofErr w:type="spellEnd"/>
      <w:r w:rsidR="00F06C16">
        <w:rPr>
          <w:szCs w:val="18"/>
          <w:lang w:val="de-DE"/>
        </w:rPr>
        <w:t xml:space="preserve"> 2026</w:t>
      </w:r>
    </w:p>
    <w:p w:rsidRPr="00AB37A2" w:rsidR="00897378" w:rsidP="00AB37A2" w:rsidRDefault="00137EDD" w14:paraId="13645AF0" w14:textId="77777777">
      <w:pPr>
        <w:tabs>
          <w:tab w:val="left" w:pos="737"/>
        </w:tabs>
        <w:suppressAutoHyphens/>
        <w:rPr>
          <w:szCs w:val="18"/>
        </w:rPr>
      </w:pPr>
      <w:r w:rsidRPr="00AB37A2">
        <w:rPr>
          <w:szCs w:val="18"/>
        </w:rPr>
        <w:t>Betreft</w:t>
      </w:r>
      <w:r w:rsidRPr="00AB37A2">
        <w:rPr>
          <w:szCs w:val="18"/>
        </w:rPr>
        <w:tab/>
        <w:t>Kamervragen</w:t>
      </w:r>
    </w:p>
    <w:p w:rsidRPr="00AB37A2" w:rsidR="00897378" w:rsidP="00AB37A2" w:rsidRDefault="00897378" w14:paraId="0C015B8B" w14:textId="77777777">
      <w:pPr>
        <w:suppressAutoHyphens/>
        <w:rPr>
          <w:szCs w:val="18"/>
        </w:rPr>
      </w:pPr>
    </w:p>
    <w:p w:rsidRPr="00AB37A2" w:rsidR="00897378" w:rsidP="00AB37A2" w:rsidRDefault="00897378" w14:paraId="2B21995F" w14:textId="77777777">
      <w:pPr>
        <w:suppressAutoHyphens/>
        <w:rPr>
          <w:szCs w:val="18"/>
        </w:rPr>
      </w:pPr>
    </w:p>
    <w:p w:rsidRPr="00AB37A2" w:rsidR="00897378" w:rsidP="00AB37A2" w:rsidRDefault="00897378" w14:paraId="43059BFE" w14:textId="77777777">
      <w:pPr>
        <w:suppressAutoHyphens/>
        <w:rPr>
          <w:szCs w:val="18"/>
        </w:rPr>
      </w:pPr>
    </w:p>
    <w:p w:rsidRPr="00AB37A2" w:rsidR="00AB37A2" w:rsidP="00AB37A2" w:rsidRDefault="00AB37A2" w14:paraId="0362EC79" w14:textId="77777777">
      <w:pPr>
        <w:suppressAutoHyphens/>
        <w:rPr>
          <w:szCs w:val="18"/>
        </w:rPr>
      </w:pPr>
    </w:p>
    <w:p w:rsidRPr="00AB37A2" w:rsidR="00897378" w:rsidP="00AB37A2" w:rsidRDefault="00137EDD" w14:paraId="493E27E1" w14:textId="77777777">
      <w:pPr>
        <w:suppressAutoHyphens/>
        <w:rPr>
          <w:szCs w:val="18"/>
        </w:rPr>
      </w:pPr>
      <w:r w:rsidRPr="00AB37A2">
        <w:rPr>
          <w:szCs w:val="18"/>
        </w:rPr>
        <w:t>Geachte voorzitter,</w:t>
      </w:r>
    </w:p>
    <w:p w:rsidRPr="00AB37A2" w:rsidR="00897378" w:rsidP="00AB37A2" w:rsidRDefault="00897378" w14:paraId="708CBCF3" w14:textId="77777777">
      <w:pPr>
        <w:suppressAutoHyphens/>
        <w:rPr>
          <w:szCs w:val="18"/>
        </w:rPr>
      </w:pPr>
    </w:p>
    <w:p w:rsidRPr="00AB37A2" w:rsidR="00897378" w:rsidP="00AB37A2" w:rsidRDefault="00137EDD" w14:paraId="6239AACA" w14:textId="1ED6E338">
      <w:pPr>
        <w:suppressAutoHyphens/>
        <w:rPr>
          <w:spacing w:val="-2"/>
          <w:szCs w:val="18"/>
        </w:rPr>
      </w:pPr>
      <w:bookmarkStart w:name="bmkBriefTekst" w:id="2"/>
      <w:r w:rsidRPr="00AB37A2">
        <w:rPr>
          <w:spacing w:val="-2"/>
          <w:szCs w:val="18"/>
        </w:rPr>
        <w:t>Hierbij zend ik u</w:t>
      </w:r>
      <w:r w:rsidRPr="00AB37A2" w:rsidR="00B25223">
        <w:rPr>
          <w:szCs w:val="18"/>
        </w:rPr>
        <w:t xml:space="preserve"> </w:t>
      </w:r>
      <w:r w:rsidRPr="00AB37A2">
        <w:rPr>
          <w:spacing w:val="-2"/>
          <w:szCs w:val="18"/>
        </w:rPr>
        <w:t>de antwoorden op de vragen van</w:t>
      </w:r>
      <w:bookmarkEnd w:id="2"/>
      <w:r w:rsidRPr="00AB37A2" w:rsidR="003C1482">
        <w:rPr>
          <w:spacing w:val="-2"/>
          <w:szCs w:val="18"/>
        </w:rPr>
        <w:t xml:space="preserve"> het</w:t>
      </w:r>
      <w:r w:rsidRPr="00AB37A2" w:rsidR="00FF71B3">
        <w:rPr>
          <w:spacing w:val="-2"/>
          <w:szCs w:val="18"/>
        </w:rPr>
        <w:t xml:space="preserve"> lid</w:t>
      </w:r>
      <w:r w:rsidRPr="00AB37A2">
        <w:rPr>
          <w:spacing w:val="-2"/>
          <w:szCs w:val="18"/>
        </w:rPr>
        <w:t xml:space="preserve"> </w:t>
      </w:r>
      <w:r w:rsidRPr="00AB37A2" w:rsidR="00B25223">
        <w:rPr>
          <w:szCs w:val="18"/>
        </w:rPr>
        <w:t>Westerveld (</w:t>
      </w:r>
      <w:r w:rsidRPr="00AB37A2" w:rsidR="00DF58DA">
        <w:rPr>
          <w:szCs w:val="18"/>
        </w:rPr>
        <w:t>GroenLinks-</w:t>
      </w:r>
      <w:r w:rsidRPr="00AB37A2" w:rsidR="00B25223">
        <w:rPr>
          <w:szCs w:val="18"/>
        </w:rPr>
        <w:t>PvdA)</w:t>
      </w:r>
      <w:r w:rsidRPr="00AB37A2" w:rsidR="00674CA6">
        <w:rPr>
          <w:szCs w:val="18"/>
        </w:rPr>
        <w:t xml:space="preserve"> </w:t>
      </w:r>
      <w:r w:rsidRPr="00AB37A2">
        <w:rPr>
          <w:spacing w:val="-2"/>
          <w:szCs w:val="18"/>
        </w:rPr>
        <w:t xml:space="preserve">over </w:t>
      </w:r>
      <w:r w:rsidRPr="00AB37A2" w:rsidR="00B25223">
        <w:rPr>
          <w:szCs w:val="18"/>
        </w:rPr>
        <w:t>kwetsbare jongeren die in Hoenderloo geconfronteerd worden met drugshandel en geweld</w:t>
      </w:r>
      <w:r w:rsidRPr="00AB37A2">
        <w:rPr>
          <w:spacing w:val="-2"/>
          <w:szCs w:val="18"/>
        </w:rPr>
        <w:t xml:space="preserve"> (</w:t>
      </w:r>
      <w:r w:rsidRPr="00AB37A2" w:rsidR="00B25223">
        <w:rPr>
          <w:szCs w:val="18"/>
        </w:rPr>
        <w:t>2026Z06926</w:t>
      </w:r>
      <w:r w:rsidRPr="00AB37A2">
        <w:rPr>
          <w:spacing w:val="-2"/>
          <w:szCs w:val="18"/>
        </w:rPr>
        <w:t>).</w:t>
      </w:r>
    </w:p>
    <w:p w:rsidRPr="00AB37A2" w:rsidR="00897378" w:rsidP="00AB37A2" w:rsidRDefault="00897378" w14:paraId="5959F29B" w14:textId="77777777">
      <w:pPr>
        <w:suppressAutoHyphens/>
        <w:rPr>
          <w:szCs w:val="18"/>
        </w:rPr>
      </w:pPr>
    </w:p>
    <w:p w:rsidRPr="00AB37A2" w:rsidR="00897378" w:rsidP="00AB37A2" w:rsidRDefault="00137EDD" w14:paraId="6ABCFB5F" w14:textId="77777777">
      <w:pPr>
        <w:suppressAutoHyphens/>
        <w:rPr>
          <w:szCs w:val="18"/>
        </w:rPr>
      </w:pPr>
      <w:r w:rsidRPr="00AB37A2">
        <w:rPr>
          <w:szCs w:val="18"/>
        </w:rPr>
        <w:t>Hoogachtend,</w:t>
      </w:r>
    </w:p>
    <w:p w:rsidRPr="00AB37A2" w:rsidR="00D22737" w:rsidP="00AB37A2" w:rsidRDefault="00D22737" w14:paraId="6F046E42" w14:textId="77777777">
      <w:pPr>
        <w:suppressAutoHyphens/>
        <w:rPr>
          <w:spacing w:val="-2"/>
          <w:szCs w:val="18"/>
        </w:rPr>
      </w:pPr>
    </w:p>
    <w:p w:rsidRPr="00AB37A2" w:rsidR="003C1482" w:rsidP="00AB37A2" w:rsidRDefault="00137EDD" w14:paraId="1806D8C2" w14:textId="77777777">
      <w:pPr>
        <w:widowControl w:val="0"/>
        <w:suppressAutoHyphens/>
        <w:autoSpaceDN w:val="0"/>
        <w:textAlignment w:val="baseline"/>
        <w:rPr>
          <w:rFonts w:eastAsia="SimSun" w:cs="Lohit Hindi"/>
          <w:kern w:val="3"/>
          <w:szCs w:val="18"/>
          <w:lang w:eastAsia="zh-CN" w:bidi="hi-IN"/>
        </w:rPr>
      </w:pPr>
      <w:r w:rsidRPr="00AB37A2">
        <w:rPr>
          <w:rFonts w:eastAsia="SimSun" w:cs="Lohit Hindi"/>
          <w:kern w:val="3"/>
          <w:szCs w:val="18"/>
          <w:lang w:eastAsia="zh-CN" w:bidi="hi-IN"/>
        </w:rPr>
        <w:t>de minister van Langdurige Zorg,</w:t>
      </w:r>
    </w:p>
    <w:p w:rsidRPr="00AB37A2" w:rsidR="00D74EDF" w:rsidP="00AB37A2" w:rsidRDefault="00137EDD" w14:paraId="59B64AD7" w14:textId="77777777">
      <w:pPr>
        <w:widowControl w:val="0"/>
        <w:suppressAutoHyphens/>
        <w:autoSpaceDN w:val="0"/>
        <w:textAlignment w:val="baseline"/>
        <w:rPr>
          <w:rFonts w:eastAsia="SimSun" w:cs="Lohit Hindi"/>
          <w:kern w:val="3"/>
          <w:szCs w:val="18"/>
          <w:lang w:eastAsia="zh-CN" w:bidi="hi-IN"/>
        </w:rPr>
      </w:pPr>
      <w:r w:rsidRPr="00AB37A2">
        <w:rPr>
          <w:rFonts w:eastAsia="SimSun" w:cs="Lohit Hindi"/>
          <w:kern w:val="3"/>
          <w:szCs w:val="18"/>
          <w:lang w:eastAsia="zh-CN" w:bidi="hi-IN"/>
        </w:rPr>
        <w:t>Jeugd en Sport,</w:t>
      </w:r>
    </w:p>
    <w:p w:rsidRPr="00AB37A2" w:rsidR="00D74EDF" w:rsidP="00AB37A2" w:rsidRDefault="00D74EDF" w14:paraId="4161F512"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AB37A2" w:rsidR="00AB37A2" w:rsidP="00AB37A2" w:rsidRDefault="00137EDD" w14:paraId="4E549B4E" w14:textId="77777777">
      <w:pPr>
        <w:widowControl w:val="0"/>
        <w:suppressAutoHyphens/>
        <w:autoSpaceDN w:val="0"/>
        <w:textAlignment w:val="baseline"/>
        <w:rPr>
          <w:szCs w:val="18"/>
        </w:rPr>
      </w:pPr>
      <w:r w:rsidRPr="00AB37A2">
        <w:rPr>
          <w:szCs w:val="18"/>
        </w:rPr>
        <w:cr/>
      </w:r>
    </w:p>
    <w:p w:rsidRPr="00AB37A2" w:rsidR="00D74EDF" w:rsidP="00AB37A2" w:rsidRDefault="00137EDD" w14:paraId="66037AA5" w14:textId="051694BC">
      <w:pPr>
        <w:widowControl w:val="0"/>
        <w:suppressAutoHyphens/>
        <w:autoSpaceDN w:val="0"/>
        <w:textAlignment w:val="baseline"/>
        <w:rPr>
          <w:szCs w:val="18"/>
        </w:rPr>
      </w:pPr>
      <w:r w:rsidRPr="00AB37A2">
        <w:rPr>
          <w:szCs w:val="18"/>
        </w:rPr>
        <w:cr/>
      </w:r>
    </w:p>
    <w:p w:rsidRPr="00AB37A2" w:rsidR="003C1482" w:rsidP="00AB37A2" w:rsidRDefault="003C1482" w14:paraId="2E84F43E" w14:textId="77777777">
      <w:pPr>
        <w:widowControl w:val="0"/>
        <w:suppressAutoHyphens/>
        <w:autoSpaceDN w:val="0"/>
        <w:textAlignment w:val="baseline"/>
        <w:rPr>
          <w:rFonts w:eastAsia="SimSun" w:cs="Lohit Hindi"/>
          <w:kern w:val="3"/>
          <w:szCs w:val="18"/>
          <w:lang w:eastAsia="zh-CN" w:bidi="hi-IN"/>
        </w:rPr>
      </w:pPr>
    </w:p>
    <w:p w:rsidRPr="00AB37A2" w:rsidR="00D74EDF" w:rsidP="00AB37A2" w:rsidRDefault="00137EDD" w14:paraId="3D9AC25E" w14:textId="77777777">
      <w:pPr>
        <w:widowControl w:val="0"/>
        <w:suppressAutoHyphens/>
        <w:autoSpaceDN w:val="0"/>
        <w:textAlignment w:val="baseline"/>
        <w:rPr>
          <w:rFonts w:eastAsia="SimSun" w:cs="Lohit Hindi"/>
          <w:kern w:val="3"/>
          <w:szCs w:val="18"/>
          <w:lang w:eastAsia="zh-CN" w:bidi="hi-IN"/>
        </w:rPr>
      </w:pPr>
      <w:r w:rsidRPr="00AB37A2">
        <w:rPr>
          <w:rFonts w:eastAsia="SimSun" w:cs="Lohit Hindi"/>
          <w:kern w:val="3"/>
          <w:szCs w:val="18"/>
          <w:lang w:eastAsia="zh-CN" w:bidi="hi-IN"/>
        </w:rPr>
        <w:t>Mirjam Sterk</w:t>
      </w:r>
    </w:p>
    <w:p w:rsidRPr="00AB37A2" w:rsidR="00180FCE" w:rsidP="00AB37A2" w:rsidRDefault="00180FCE" w14:paraId="122EDFFA" w14:textId="77777777">
      <w:pPr>
        <w:suppressAutoHyphens/>
        <w:rPr>
          <w:szCs w:val="18"/>
        </w:rPr>
      </w:pPr>
    </w:p>
    <w:p w:rsidRPr="00AB37A2" w:rsidR="00180FCE" w:rsidP="00AB37A2" w:rsidRDefault="00180FCE" w14:paraId="2B53407B" w14:textId="77777777">
      <w:pPr>
        <w:suppressAutoHyphens/>
        <w:rPr>
          <w:szCs w:val="18"/>
        </w:rPr>
      </w:pPr>
    </w:p>
    <w:p w:rsidRPr="00AB37A2" w:rsidR="000F2F05" w:rsidP="00AB37A2" w:rsidRDefault="000F2F05" w14:paraId="33DD6D2D" w14:textId="77777777">
      <w:pPr>
        <w:suppressAutoHyphens/>
        <w:rPr>
          <w:szCs w:val="18"/>
        </w:rPr>
      </w:pPr>
    </w:p>
    <w:p w:rsidRPr="00AB37A2" w:rsidR="00A97BB8" w:rsidP="00AB37A2" w:rsidRDefault="00A97BB8" w14:paraId="50B21D8E" w14:textId="77777777">
      <w:pPr>
        <w:suppressAutoHyphens/>
        <w:rPr>
          <w:szCs w:val="18"/>
        </w:rPr>
        <w:sectPr w:rsidRPr="00AB37A2"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AB37A2" w:rsidR="00CF5118" w:rsidP="00AB37A2" w:rsidRDefault="00137EDD" w14:paraId="5C24B1FE" w14:textId="77777777">
      <w:pPr>
        <w:suppressAutoHyphens/>
        <w:rPr>
          <w:szCs w:val="18"/>
        </w:rPr>
      </w:pPr>
      <w:r w:rsidRPr="00AB37A2">
        <w:rPr>
          <w:szCs w:val="18"/>
        </w:rPr>
        <w:lastRenderedPageBreak/>
        <w:t xml:space="preserve">Antwoorden op Kamervragen van het lid Westerveld (GroenLinks-PvdA) over kwetsbare </w:t>
      </w:r>
      <w:r w:rsidRPr="00AB37A2">
        <w:rPr>
          <w:szCs w:val="18"/>
        </w:rPr>
        <w:t>jongeren die in Hoenderloo geconfronteerd worden met drugshandel en geweld. (2026Z06926, ingezonden 2 april 2026).</w:t>
      </w:r>
    </w:p>
    <w:p w:rsidRPr="00AB37A2" w:rsidR="00CF5118" w:rsidP="00AB37A2" w:rsidRDefault="00CF5118" w14:paraId="06CD3C36" w14:textId="77777777">
      <w:pPr>
        <w:suppressAutoHyphens/>
        <w:rPr>
          <w:szCs w:val="18"/>
        </w:rPr>
      </w:pPr>
    </w:p>
    <w:p w:rsidRPr="00AB37A2" w:rsidR="00AB37A2" w:rsidP="00AB37A2" w:rsidRDefault="00AB37A2" w14:paraId="4D49B78E" w14:textId="77777777">
      <w:pPr>
        <w:suppressAutoHyphens/>
        <w:rPr>
          <w:szCs w:val="18"/>
        </w:rPr>
      </w:pPr>
    </w:p>
    <w:p w:rsidRPr="00AB37A2" w:rsidR="00CF5118" w:rsidP="00AB37A2" w:rsidRDefault="00137EDD" w14:paraId="0A8B9C6B" w14:textId="77777777">
      <w:pPr>
        <w:suppressAutoHyphens/>
        <w:rPr>
          <w:szCs w:val="18"/>
        </w:rPr>
      </w:pPr>
      <w:r w:rsidRPr="00AB37A2">
        <w:rPr>
          <w:szCs w:val="18"/>
        </w:rPr>
        <w:t>Vraag 1</w:t>
      </w:r>
    </w:p>
    <w:p w:rsidRPr="00AB37A2" w:rsidR="00CF5118" w:rsidP="00AB37A2" w:rsidRDefault="00137EDD" w14:paraId="28FC5C36" w14:textId="77777777">
      <w:pPr>
        <w:suppressAutoHyphens/>
        <w:rPr>
          <w:szCs w:val="18"/>
        </w:rPr>
      </w:pPr>
      <w:r w:rsidRPr="00AB37A2">
        <w:rPr>
          <w:szCs w:val="18"/>
        </w:rPr>
        <w:t>Bent u bekend met het bericht ‘Inspectie: criminelen actief op jeugdzorgterrein in Hoenderloo’?[1]</w:t>
      </w:r>
    </w:p>
    <w:p w:rsidRPr="00AB37A2" w:rsidR="00CF5118" w:rsidP="00AB37A2" w:rsidRDefault="00CF5118" w14:paraId="746A44F4" w14:textId="77777777">
      <w:pPr>
        <w:suppressAutoHyphens/>
        <w:rPr>
          <w:szCs w:val="18"/>
        </w:rPr>
      </w:pPr>
    </w:p>
    <w:p w:rsidRPr="00AB37A2" w:rsidR="00CF5118" w:rsidP="00AB37A2" w:rsidRDefault="00137EDD" w14:paraId="2BE42D78" w14:textId="77777777">
      <w:pPr>
        <w:suppressAutoHyphens/>
        <w:rPr>
          <w:szCs w:val="18"/>
        </w:rPr>
      </w:pPr>
      <w:r w:rsidRPr="00AB37A2">
        <w:rPr>
          <w:szCs w:val="18"/>
        </w:rPr>
        <w:t>Antwoord 1</w:t>
      </w:r>
    </w:p>
    <w:p w:rsidRPr="00AB37A2" w:rsidR="00CF5118" w:rsidP="00AB37A2" w:rsidRDefault="00137EDD" w14:paraId="6BB10C90" w14:textId="77777777">
      <w:pPr>
        <w:suppressAutoHyphens/>
        <w:rPr>
          <w:szCs w:val="18"/>
        </w:rPr>
      </w:pPr>
      <w:r w:rsidRPr="00AB37A2">
        <w:rPr>
          <w:szCs w:val="18"/>
        </w:rPr>
        <w:t>Ja</w:t>
      </w:r>
    </w:p>
    <w:p w:rsidRPr="00AB37A2" w:rsidR="00CF5118" w:rsidP="00AB37A2" w:rsidRDefault="00CF5118" w14:paraId="023BE475" w14:textId="77777777">
      <w:pPr>
        <w:suppressAutoHyphens/>
        <w:rPr>
          <w:szCs w:val="18"/>
        </w:rPr>
      </w:pPr>
    </w:p>
    <w:p w:rsidRPr="00AB37A2" w:rsidR="00CF5118" w:rsidP="00AB37A2" w:rsidRDefault="00137EDD" w14:paraId="4EB7FE99" w14:textId="77777777">
      <w:pPr>
        <w:suppressAutoHyphens/>
        <w:rPr>
          <w:szCs w:val="18"/>
        </w:rPr>
      </w:pPr>
      <w:r w:rsidRPr="00AB37A2">
        <w:rPr>
          <w:szCs w:val="18"/>
        </w:rPr>
        <w:t>Vraag 2</w:t>
      </w:r>
    </w:p>
    <w:p w:rsidRPr="00AB37A2" w:rsidR="00CF5118" w:rsidP="00AB37A2" w:rsidRDefault="00137EDD" w14:paraId="03AEFFDE" w14:textId="77777777">
      <w:pPr>
        <w:suppressAutoHyphens/>
        <w:rPr>
          <w:szCs w:val="18"/>
        </w:rPr>
      </w:pPr>
      <w:r w:rsidRPr="00AB37A2">
        <w:rPr>
          <w:szCs w:val="18"/>
        </w:rPr>
        <w:t>Herkent u het beeld dat geschetst wordt door de Inspectie Gezondheidszorg en Jeugd (IGJ), die stelt dat zij een terrein ziet ‘met potentieel grote risico’s voor jongeren’? Hoeveel zorgaanbieders zijn er inmiddels gevestigd op het terrein?</w:t>
      </w:r>
    </w:p>
    <w:p w:rsidRPr="00AB37A2" w:rsidR="00CF5118" w:rsidP="00AB37A2" w:rsidRDefault="00CF5118" w14:paraId="6B9A8851" w14:textId="77777777">
      <w:pPr>
        <w:suppressAutoHyphens/>
        <w:rPr>
          <w:b/>
          <w:bCs/>
          <w:szCs w:val="18"/>
        </w:rPr>
      </w:pPr>
    </w:p>
    <w:p w:rsidRPr="00AB37A2" w:rsidR="00CF5118" w:rsidP="00AB37A2" w:rsidRDefault="00137EDD" w14:paraId="226C6CC3" w14:textId="77777777">
      <w:pPr>
        <w:suppressAutoHyphens/>
        <w:rPr>
          <w:szCs w:val="18"/>
        </w:rPr>
      </w:pPr>
      <w:r w:rsidRPr="00AB37A2">
        <w:rPr>
          <w:szCs w:val="18"/>
        </w:rPr>
        <w:t>Antwoord 2</w:t>
      </w:r>
    </w:p>
    <w:p w:rsidRPr="00AB37A2" w:rsidR="00CF5118" w:rsidP="00AB37A2" w:rsidRDefault="00137EDD" w14:paraId="34952685" w14:textId="77777777">
      <w:pPr>
        <w:suppressAutoHyphens/>
        <w:rPr>
          <w:szCs w:val="18"/>
        </w:rPr>
      </w:pPr>
      <w:r w:rsidRPr="00AB37A2">
        <w:rPr>
          <w:szCs w:val="18"/>
        </w:rPr>
        <w:t xml:space="preserve">De IGJ beschrijft hoe een optelsom van factoren maakt dat ze een terrein met potentiële grote risico’s voor jongeren zien. Dit herken ik en dit baart mij zorgen. </w:t>
      </w:r>
    </w:p>
    <w:p w:rsidRPr="00AB37A2" w:rsidR="00CF5118" w:rsidP="00AB37A2" w:rsidRDefault="00137EDD" w14:paraId="58F38033" w14:textId="77777777">
      <w:pPr>
        <w:suppressAutoHyphens/>
        <w:rPr>
          <w:szCs w:val="18"/>
        </w:rPr>
      </w:pPr>
      <w:r w:rsidRPr="00AB37A2">
        <w:rPr>
          <w:szCs w:val="18"/>
        </w:rPr>
        <w:t>De gemeente Apeldoorn geeft aan dat er op dit moment 16 unieke zorgaanbieders gevestigd zijn op het terrein. Dit verschilt van de 20 zorgaanbieders die de IGJ voor het recente toezicht heeft kunnen herleiden. Het verschil laat zich verklaren door twee factoren: een aantal aanbieders heeft het terrein in de afgelopen periode verlaten en de gehanteerde telwijze verschilt, waarbij soms wordt uitgegaan van unieke aanbieders met meerdere vestigingen en soms van de afzonderlijke vestigingen of locaties zelf.</w:t>
      </w:r>
    </w:p>
    <w:p w:rsidRPr="00AB37A2" w:rsidR="00CF5118" w:rsidP="00AB37A2" w:rsidRDefault="00CF5118" w14:paraId="108A1419" w14:textId="77777777">
      <w:pPr>
        <w:suppressAutoHyphens/>
        <w:rPr>
          <w:szCs w:val="18"/>
        </w:rPr>
      </w:pPr>
    </w:p>
    <w:p w:rsidRPr="00AB37A2" w:rsidR="00CF5118" w:rsidP="00AB37A2" w:rsidRDefault="00137EDD" w14:paraId="1C31C851" w14:textId="77777777">
      <w:pPr>
        <w:suppressAutoHyphens/>
        <w:rPr>
          <w:szCs w:val="18"/>
        </w:rPr>
      </w:pPr>
      <w:r w:rsidRPr="00AB37A2">
        <w:rPr>
          <w:szCs w:val="18"/>
        </w:rPr>
        <w:t>Vraag 3</w:t>
      </w:r>
    </w:p>
    <w:p w:rsidRPr="00AB37A2" w:rsidR="00CF5118" w:rsidP="00AB37A2" w:rsidRDefault="00137EDD" w14:paraId="3CDE9EF9" w14:textId="77777777">
      <w:pPr>
        <w:suppressAutoHyphens/>
        <w:rPr>
          <w:szCs w:val="18"/>
        </w:rPr>
      </w:pPr>
      <w:r w:rsidRPr="00AB37A2">
        <w:rPr>
          <w:szCs w:val="18"/>
        </w:rPr>
        <w:t>Hoe verklaart u het dat medio 2024 soortgelijke bevindingen werden gedaan door Follow the Money en Pointer, waarover destijds al Kamervragen zijn gesteld en dat twee jaar later de situatie nog steeds zorgelijk is?</w:t>
      </w:r>
    </w:p>
    <w:p w:rsidRPr="00AB37A2" w:rsidR="00CF5118" w:rsidP="00AB37A2" w:rsidRDefault="00CF5118" w14:paraId="43857E3D" w14:textId="77777777">
      <w:pPr>
        <w:suppressAutoHyphens/>
        <w:rPr>
          <w:b/>
          <w:bCs/>
          <w:szCs w:val="18"/>
        </w:rPr>
      </w:pPr>
    </w:p>
    <w:p w:rsidRPr="00AB37A2" w:rsidR="00CF5118" w:rsidP="00AB37A2" w:rsidRDefault="00137EDD" w14:paraId="7348C472" w14:textId="77777777">
      <w:pPr>
        <w:suppressAutoHyphens/>
        <w:rPr>
          <w:szCs w:val="18"/>
        </w:rPr>
      </w:pPr>
      <w:r w:rsidRPr="00AB37A2">
        <w:rPr>
          <w:szCs w:val="18"/>
        </w:rPr>
        <w:t>Antwoord 3</w:t>
      </w:r>
    </w:p>
    <w:p w:rsidRPr="00AB37A2" w:rsidR="00CF5118" w:rsidP="00AB37A2" w:rsidRDefault="00137EDD" w14:paraId="49A544E5" w14:textId="77777777">
      <w:pPr>
        <w:suppressAutoHyphens/>
        <w:rPr>
          <w:szCs w:val="18"/>
        </w:rPr>
      </w:pPr>
      <w:r w:rsidRPr="00AB37A2">
        <w:rPr>
          <w:szCs w:val="18"/>
        </w:rPr>
        <w:t xml:space="preserve">De bevindingen van de IGJ zijn zorgelijk. Tegelijkertijd is het niet zo dat er sinds 2024 niets is gebeurd. De IGJ is al langere tijd actief bij een aantal aanbieders op het Hoenderloo-terrein. Er zijn sinds 2024 meermaals meldingen opgepakt, deze worden echter niet gepubliceerd. </w:t>
      </w:r>
    </w:p>
    <w:p w:rsidRPr="00AB37A2" w:rsidR="00CF5118" w:rsidP="00AB37A2" w:rsidRDefault="00CF5118" w14:paraId="6450EC37" w14:textId="77777777">
      <w:pPr>
        <w:suppressAutoHyphens/>
        <w:rPr>
          <w:szCs w:val="18"/>
        </w:rPr>
      </w:pPr>
    </w:p>
    <w:p w:rsidRPr="00AB37A2" w:rsidR="00CF5118" w:rsidP="00AB37A2" w:rsidRDefault="00137EDD" w14:paraId="0F82F0D2" w14:textId="77777777">
      <w:pPr>
        <w:suppressAutoHyphens/>
        <w:rPr>
          <w:szCs w:val="18"/>
        </w:rPr>
      </w:pPr>
      <w:r w:rsidRPr="00AB37A2">
        <w:rPr>
          <w:szCs w:val="18"/>
        </w:rPr>
        <w:t>Vraag 4</w:t>
      </w:r>
    </w:p>
    <w:p w:rsidRPr="00AB37A2" w:rsidR="00CF5118" w:rsidP="00AB37A2" w:rsidRDefault="00137EDD" w14:paraId="2D5D5EEA" w14:textId="25886A0F">
      <w:pPr>
        <w:suppressAutoHyphens/>
        <w:rPr>
          <w:szCs w:val="18"/>
        </w:rPr>
      </w:pPr>
      <w:r w:rsidRPr="00AB37A2">
        <w:rPr>
          <w:szCs w:val="18"/>
        </w:rPr>
        <w:t>In antwoord</w:t>
      </w:r>
      <w:r w:rsidRPr="00AB37A2" w:rsidR="00AB37A2">
        <w:rPr>
          <w:szCs w:val="18"/>
        </w:rPr>
        <w:t xml:space="preserve"> </w:t>
      </w:r>
      <w:r w:rsidRPr="00AB37A2">
        <w:rPr>
          <w:szCs w:val="18"/>
        </w:rPr>
        <w:t>op 11 juni 2024 [2] gestelde schriftelijke</w:t>
      </w:r>
      <w:r w:rsidRPr="00AB37A2" w:rsidR="00AB37A2">
        <w:rPr>
          <w:szCs w:val="18"/>
        </w:rPr>
        <w:t xml:space="preserve"> </w:t>
      </w:r>
      <w:r w:rsidRPr="00AB37A2">
        <w:rPr>
          <w:szCs w:val="18"/>
        </w:rPr>
        <w:t>vragen wordt bericht</w:t>
      </w:r>
      <w:r w:rsidRPr="00AB37A2" w:rsidR="00AB37A2">
        <w:rPr>
          <w:szCs w:val="18"/>
        </w:rPr>
        <w:t xml:space="preserve"> </w:t>
      </w:r>
      <w:r w:rsidRPr="00AB37A2">
        <w:rPr>
          <w:szCs w:val="18"/>
        </w:rPr>
        <w:t>dat er een platform zou worden opgericht voor zorgaanbieders, vertegenwoordigers van bewoners, de wijkagent, De Vos Groep, de regionale welzijnsorganisatie en een inhoudelijke jeugdzorg-expert van de gemeente Apeldoorn; en dit platform erop gericht is om de lijnen tussen de verschillende partijen in het gebied kort te houden om zodoende sneller in te kunnen grijpen bij eventuele incidenten. Bestaat dit platform nog steeds? Zo ja, hoe vaak kome</w:t>
      </w:r>
      <w:r w:rsidRPr="00AB37A2">
        <w:rPr>
          <w:szCs w:val="18"/>
        </w:rPr>
        <w:t>n genoemde partijen bij elkaar, aan wie leggen zij verantwoording af en wat heeft het precies opgeleverd?</w:t>
      </w:r>
    </w:p>
    <w:p w:rsidRPr="00AB37A2" w:rsidR="00CF5118" w:rsidP="00AB37A2" w:rsidRDefault="00CF5118" w14:paraId="720EFA71" w14:textId="77777777">
      <w:pPr>
        <w:suppressAutoHyphens/>
        <w:rPr>
          <w:b/>
          <w:bCs/>
          <w:szCs w:val="18"/>
        </w:rPr>
      </w:pPr>
    </w:p>
    <w:p w:rsidRPr="00AB37A2" w:rsidR="00AB37A2" w:rsidP="00AB37A2" w:rsidRDefault="00AB37A2" w14:paraId="2B6D72E2" w14:textId="77777777">
      <w:pPr>
        <w:suppressAutoHyphens/>
        <w:rPr>
          <w:b/>
          <w:bCs/>
          <w:szCs w:val="18"/>
        </w:rPr>
      </w:pPr>
    </w:p>
    <w:p w:rsidRPr="00AB37A2" w:rsidR="00AB37A2" w:rsidP="00AB37A2" w:rsidRDefault="00AB37A2" w14:paraId="5C806256" w14:textId="77777777">
      <w:pPr>
        <w:suppressAutoHyphens/>
        <w:rPr>
          <w:b/>
          <w:bCs/>
          <w:szCs w:val="18"/>
        </w:rPr>
      </w:pPr>
    </w:p>
    <w:p w:rsidRPr="00AB37A2" w:rsidR="00AB37A2" w:rsidP="00AB37A2" w:rsidRDefault="00AB37A2" w14:paraId="4EAC9AA2" w14:textId="77777777">
      <w:pPr>
        <w:suppressAutoHyphens/>
        <w:rPr>
          <w:b/>
          <w:bCs/>
          <w:szCs w:val="18"/>
        </w:rPr>
      </w:pPr>
    </w:p>
    <w:p w:rsidRPr="00AB37A2" w:rsidR="00CF5118" w:rsidP="00AB37A2" w:rsidRDefault="00137EDD" w14:paraId="43AAAD2C" w14:textId="77777777">
      <w:pPr>
        <w:suppressAutoHyphens/>
        <w:rPr>
          <w:szCs w:val="18"/>
        </w:rPr>
      </w:pPr>
      <w:r w:rsidRPr="00AB37A2">
        <w:rPr>
          <w:szCs w:val="18"/>
        </w:rPr>
        <w:lastRenderedPageBreak/>
        <w:t>Antwoord 4</w:t>
      </w:r>
    </w:p>
    <w:p w:rsidRPr="00AB37A2" w:rsidR="00CF5118" w:rsidP="00AB37A2" w:rsidRDefault="00137EDD" w14:paraId="05C24F06" w14:textId="77777777">
      <w:pPr>
        <w:suppressAutoHyphens/>
        <w:rPr>
          <w:szCs w:val="18"/>
        </w:rPr>
      </w:pPr>
      <w:r w:rsidRPr="00AB37A2">
        <w:rPr>
          <w:szCs w:val="18"/>
        </w:rPr>
        <w:t xml:space="preserve">De gemeente Apeldoorn geeft aan dat het platform nog steeds actief is en eens per 6 weken samenkomt. Een afvaardiging van de zorgaanbieders op het terrein, dorpsbelangenverenigingen, De Vos Groep, Gemeente Apeldoorn en de wijkagent sluiten aan bij dit overleg. Binnen het platform worden signalen, bijzonderheden en actuele ontwikkelingen in Hoenderloo gedeeld en waar nodig afgestemd. Samenwerking wordt hier gestimuleerd en er worden afspraken over communicatie gemaakt. De korte lijnen hebben bijgedragen aan </w:t>
      </w:r>
      <w:r w:rsidRPr="00AB37A2">
        <w:rPr>
          <w:szCs w:val="18"/>
        </w:rPr>
        <w:t xml:space="preserve">begrip en een adequate afhandeling bij meldingen. Het platform heeft daarmee vooral een signalerende en verbindende functie, gericht op het delen van informatie, afstemmen tussen partijen en tijdig agenderen van relevante ontwikkelingen. </w:t>
      </w:r>
    </w:p>
    <w:p w:rsidRPr="00AB37A2" w:rsidR="00CF5118" w:rsidP="00AB37A2" w:rsidRDefault="00CF5118" w14:paraId="0A5E4B16" w14:textId="77777777">
      <w:pPr>
        <w:suppressAutoHyphens/>
        <w:rPr>
          <w:szCs w:val="18"/>
        </w:rPr>
      </w:pPr>
    </w:p>
    <w:p w:rsidRPr="00AB37A2" w:rsidR="00CF5118" w:rsidP="00AB37A2" w:rsidRDefault="00137EDD" w14:paraId="5E733D6B" w14:textId="77777777">
      <w:pPr>
        <w:suppressAutoHyphens/>
        <w:rPr>
          <w:szCs w:val="18"/>
        </w:rPr>
      </w:pPr>
      <w:r w:rsidRPr="00AB37A2">
        <w:rPr>
          <w:szCs w:val="18"/>
        </w:rPr>
        <w:t>Aanvullend vindt iedere vier weken overleg plaats met de gebiedswethouder en gebiedsdirecteur. In dit overleg worden de belangrijkste signalen en actualiteiten uit het dorp besproken en, indien nodig, vertaald naar bestuurlijke aandacht of vervolgacties. Concreet gaat het onder meer om een bemiddelende rol van een gebiedsbestuurder, communicatie naar inwoners en (nieuwe) samenwerkingsafspraken.</w:t>
      </w:r>
    </w:p>
    <w:p w:rsidRPr="00AB37A2" w:rsidR="00CF5118" w:rsidP="00AB37A2" w:rsidRDefault="00CF5118" w14:paraId="06081514" w14:textId="77777777">
      <w:pPr>
        <w:suppressAutoHyphens/>
        <w:rPr>
          <w:szCs w:val="18"/>
        </w:rPr>
      </w:pPr>
    </w:p>
    <w:p w:rsidRPr="00AB37A2" w:rsidR="00CF5118" w:rsidP="00AB37A2" w:rsidRDefault="00137EDD" w14:paraId="7F1D669F" w14:textId="77777777">
      <w:pPr>
        <w:suppressAutoHyphens/>
        <w:rPr>
          <w:szCs w:val="18"/>
        </w:rPr>
      </w:pPr>
      <w:r w:rsidRPr="00AB37A2">
        <w:rPr>
          <w:szCs w:val="18"/>
        </w:rPr>
        <w:t>Vraag 5</w:t>
      </w:r>
    </w:p>
    <w:p w:rsidRPr="00AB37A2" w:rsidR="00CF5118" w:rsidP="00AB37A2" w:rsidRDefault="00137EDD" w14:paraId="25F6D11B" w14:textId="77777777">
      <w:pPr>
        <w:suppressAutoHyphens/>
        <w:rPr>
          <w:szCs w:val="18"/>
        </w:rPr>
      </w:pPr>
      <w:r w:rsidRPr="00AB37A2">
        <w:rPr>
          <w:szCs w:val="18"/>
        </w:rPr>
        <w:t xml:space="preserve">Weten inmiddels gemeenten allemaal waar hun jongeren verblijven? Wat is er </w:t>
      </w:r>
      <w:r w:rsidRPr="00AB37A2">
        <w:rPr>
          <w:szCs w:val="18"/>
        </w:rPr>
        <w:t>gebeurd sinds juni 2024 om dit in kaart te brengen? Wat hebben de afspraken om het aantal plaatsingen buiten de regio waarin een jongere is opgegroeid terug te brengen en concreet opgeleverd?  </w:t>
      </w:r>
    </w:p>
    <w:p w:rsidRPr="00AB37A2" w:rsidR="00CF5118" w:rsidP="00AB37A2" w:rsidRDefault="00CF5118" w14:paraId="08C0CFA7" w14:textId="77777777">
      <w:pPr>
        <w:suppressAutoHyphens/>
        <w:rPr>
          <w:szCs w:val="18"/>
        </w:rPr>
      </w:pPr>
    </w:p>
    <w:p w:rsidRPr="00AB37A2" w:rsidR="00CF5118" w:rsidP="00AB37A2" w:rsidRDefault="00137EDD" w14:paraId="67EB0126" w14:textId="77777777">
      <w:pPr>
        <w:suppressAutoHyphens/>
        <w:rPr>
          <w:szCs w:val="18"/>
        </w:rPr>
      </w:pPr>
      <w:r w:rsidRPr="00AB37A2">
        <w:rPr>
          <w:szCs w:val="18"/>
        </w:rPr>
        <w:t>Vraag 6</w:t>
      </w:r>
    </w:p>
    <w:p w:rsidRPr="00AB37A2" w:rsidR="00CF5118" w:rsidP="00AB37A2" w:rsidRDefault="00137EDD" w14:paraId="3D97F395" w14:textId="77777777">
      <w:pPr>
        <w:suppressAutoHyphens/>
        <w:rPr>
          <w:szCs w:val="18"/>
        </w:rPr>
      </w:pPr>
      <w:r w:rsidRPr="00AB37A2">
        <w:rPr>
          <w:szCs w:val="18"/>
        </w:rPr>
        <w:t>Wat is de stand van zaken van de uitvoering van de toezegging dat vanuit de Hervomingsagenda ingezet zou worden op betere (landelijke) monitoring en het versterken van datagedreven werken bij gemeenten? Hoe rijmt dat met het feit dat wederom geconstateerd werd dat gemeenten wederom onvoldoende zicht hebben op waar hun inwoners worden ondergebracht?</w:t>
      </w:r>
    </w:p>
    <w:p w:rsidRPr="00AB37A2" w:rsidR="00AB37A2" w:rsidP="00AB37A2" w:rsidRDefault="00AB37A2" w14:paraId="398D91A6" w14:textId="77777777">
      <w:pPr>
        <w:suppressAutoHyphens/>
        <w:rPr>
          <w:szCs w:val="18"/>
        </w:rPr>
      </w:pPr>
    </w:p>
    <w:p w:rsidRPr="00AB37A2" w:rsidR="00CF5118" w:rsidP="00AB37A2" w:rsidRDefault="00137EDD" w14:paraId="096880BC" w14:textId="6E687CED">
      <w:pPr>
        <w:suppressAutoHyphens/>
        <w:rPr>
          <w:szCs w:val="18"/>
        </w:rPr>
      </w:pPr>
      <w:r w:rsidRPr="00AB37A2">
        <w:rPr>
          <w:szCs w:val="18"/>
        </w:rPr>
        <w:t>Antwoord 5 en 6:</w:t>
      </w:r>
    </w:p>
    <w:p w:rsidRPr="00AB37A2" w:rsidR="00CF5118" w:rsidP="00AB37A2" w:rsidRDefault="00137EDD" w14:paraId="091F6B77" w14:textId="77777777">
      <w:pPr>
        <w:suppressAutoHyphens/>
        <w:rPr>
          <w:szCs w:val="18"/>
        </w:rPr>
      </w:pPr>
      <w:r w:rsidRPr="00AB37A2">
        <w:rPr>
          <w:szCs w:val="18"/>
        </w:rPr>
        <w:t xml:space="preserve">Gemeenten zijn verantwoordelijk voor het treffen van een voorziening op het gebied van jeugdhulp als dat nodig is. De gemeente is niet altijd inhoudelijk betrokken bij een casus. Vanuit hun </w:t>
      </w:r>
      <w:r w:rsidRPr="00AB37A2">
        <w:rPr>
          <w:szCs w:val="18"/>
        </w:rPr>
        <w:t>toezichthoudende rol is het nodig dat gemeenten weten van welke aanbieder de jongere de zorg ontvangt. Dit is informatie waarover zij beschikken vanuit de inkooprelatie met een betreffende aanbieder. Het is echter niet altijd bekend op welke locatie de cliënt verblijft, dat is voor dit type toezicht ook niet noodzakelijk. De jeugdhulpaanbieder is zelf verantwoordelijk voor het verlenen van verantwoorde hulp. En de IGJ houdt toezicht op de kwaliteit en veiligheid van de zorg.</w:t>
      </w:r>
    </w:p>
    <w:p w:rsidRPr="00AB37A2" w:rsidR="00CF5118" w:rsidP="00AB37A2" w:rsidRDefault="00CF5118" w14:paraId="156A6C6E" w14:textId="77777777">
      <w:pPr>
        <w:suppressAutoHyphens/>
        <w:rPr>
          <w:szCs w:val="18"/>
        </w:rPr>
      </w:pPr>
    </w:p>
    <w:p w:rsidRPr="00AB37A2" w:rsidR="00CF5118" w:rsidP="00AB37A2" w:rsidRDefault="00137EDD" w14:paraId="2ECE7448" w14:textId="77777777">
      <w:pPr>
        <w:suppressAutoHyphens/>
        <w:rPr>
          <w:szCs w:val="18"/>
        </w:rPr>
      </w:pPr>
      <w:r w:rsidRPr="00AB37A2">
        <w:rPr>
          <w:szCs w:val="18"/>
        </w:rPr>
        <w:t>In de zoektocht naar passende hulp wordt, bij gebrek aan passende zorg, soms gekozen voor plaatsingen op een zorglocatie ver buiten de regio die oorspronkelijk niet door de gemeente is gecontracteerd. Dergelijke plaatsingen zijn kwetsbaarder. Zo worden er bijvoorbeeld meestal minder eisen gesteld aan plaatsingen via maatwerkcontracten. Het is daarom belangrijk dat er beter zicht komt op deze plaatsingen. Samen met de VNG en de Branches Gespecialiseerde Zorg voor Jeugd (BGZJ) zet ik daarom stappen om één-op-</w:t>
      </w:r>
      <w:r w:rsidRPr="00AB37A2">
        <w:rPr>
          <w:szCs w:val="18"/>
        </w:rPr>
        <w:t xml:space="preserve">één plaatsingen en buitencontractuele plaatsingen buiten de regio die niet in het belang zijn van de jeugdige, in beeld te krijgen en zo veel als mogelijk tegen te gaan. Gemeenten </w:t>
      </w:r>
      <w:r w:rsidRPr="00AB37A2">
        <w:rPr>
          <w:szCs w:val="18"/>
        </w:rPr>
        <w:lastRenderedPageBreak/>
        <w:t>worden daarvoor op zeer korte termijn verzocht om deze zomer deze jongeren per jeugdregio in beeld te brengen, als zijnde een nulmeting. Daarna gaan jeugdregio’s stapsgewijs toe werken naar meer zicht op de jongere en diens zorgbehoefte met als doel dat zij zoveel mogelijk in eigen regio hulp ontvangen. Ook wordt gekeken of er een</w:t>
      </w:r>
      <w:r w:rsidRPr="00AB37A2">
        <w:rPr>
          <w:szCs w:val="18"/>
        </w:rPr>
        <w:t xml:space="preserve"> verklarende analyse is, of de huidige zorg passend is én hoe toegewerkt wordt naar passende zorg voor deze jeugdige. Gemeenten kunnen hier per direct ondersteuning bij krijgen vanuit een landelijk programma vanuit het Ondersteuningsteam Zorg voor de Jeugd (OZJ). Ik volg de inspanningen van de gemeenten en verwacht uw Kamer in het najaar te kunnen informeren over de eerste bevindingen.</w:t>
      </w:r>
    </w:p>
    <w:p w:rsidRPr="00AB37A2" w:rsidR="00CF5118" w:rsidP="00AB37A2" w:rsidRDefault="00CF5118" w14:paraId="414FAA19" w14:textId="77777777">
      <w:pPr>
        <w:suppressAutoHyphens/>
        <w:rPr>
          <w:szCs w:val="18"/>
        </w:rPr>
      </w:pPr>
    </w:p>
    <w:p w:rsidRPr="00AB37A2" w:rsidR="00CF5118" w:rsidP="00AB37A2" w:rsidRDefault="00137EDD" w14:paraId="283D66E9" w14:textId="77777777">
      <w:pPr>
        <w:suppressAutoHyphens/>
        <w:rPr>
          <w:szCs w:val="18"/>
        </w:rPr>
      </w:pPr>
      <w:r w:rsidRPr="00AB37A2">
        <w:rPr>
          <w:szCs w:val="18"/>
        </w:rPr>
        <w:t>Vanuit de Hervormingsagenda wordt daarnaast onverminderd ingezet op het verbeteren van het (landelijk) inzicht in het stelsel en het verbeteren van datagedreven werken. Het CBS werkt nu aan een data-infrastructuur voor een centrale monitor van het jeugdstelsel (met o.a. een dashboard en statistieken) en is voornemens na de zomer een eerste versie te lanceren. Deze bevat waar mogelijk cijfers op landelijk, regionaal en gemeentelijk niveau. Daarnaast zet de VNG in op het stimuleren en verbeteren van datagedre</w:t>
      </w:r>
      <w:r w:rsidRPr="00AB37A2">
        <w:rPr>
          <w:szCs w:val="18"/>
        </w:rPr>
        <w:t>ven werken bij gemeenten, waarbij de centrale monitor ook gebruikt kan worden.</w:t>
      </w:r>
      <w:r w:rsidRPr="00AB37A2">
        <w:rPr>
          <w:rFonts w:cs="Arial"/>
          <w:i/>
          <w:iCs/>
          <w:color w:val="242424"/>
          <w:szCs w:val="18"/>
        </w:rPr>
        <w:t xml:space="preserve"> </w:t>
      </w:r>
    </w:p>
    <w:p w:rsidRPr="00AB37A2" w:rsidR="00CF5118" w:rsidP="00AB37A2" w:rsidRDefault="00CF5118" w14:paraId="56A1CCB7" w14:textId="77777777">
      <w:pPr>
        <w:suppressAutoHyphens/>
        <w:rPr>
          <w:szCs w:val="18"/>
        </w:rPr>
      </w:pPr>
    </w:p>
    <w:p w:rsidRPr="00AB37A2" w:rsidR="00CF5118" w:rsidP="00AB37A2" w:rsidRDefault="00137EDD" w14:paraId="18375AAE" w14:textId="77777777">
      <w:pPr>
        <w:suppressAutoHyphens/>
        <w:rPr>
          <w:szCs w:val="18"/>
        </w:rPr>
      </w:pPr>
      <w:r w:rsidRPr="00AB37A2">
        <w:rPr>
          <w:szCs w:val="18"/>
        </w:rPr>
        <w:t>Vraag 7</w:t>
      </w:r>
    </w:p>
    <w:p w:rsidRPr="00AB37A2" w:rsidR="00CF5118" w:rsidP="00AB37A2" w:rsidRDefault="00137EDD" w14:paraId="1E9E82A8" w14:textId="77777777">
      <w:pPr>
        <w:suppressAutoHyphens/>
        <w:rPr>
          <w:szCs w:val="18"/>
        </w:rPr>
      </w:pPr>
      <w:r w:rsidRPr="00AB37A2">
        <w:rPr>
          <w:szCs w:val="18"/>
        </w:rPr>
        <w:t xml:space="preserve">Deelt u de constatering uit het onderzoeksrapport dat de volgende factoren een rol spelen bij het ontbreken van passende hulp van voldoende kwaliteit voor jongeren in Hoenderloo: </w:t>
      </w:r>
    </w:p>
    <w:p w:rsidRPr="00AB37A2" w:rsidR="00CF5118" w:rsidP="00AB37A2" w:rsidRDefault="00137EDD" w14:paraId="42071869" w14:textId="77777777">
      <w:pPr>
        <w:pStyle w:val="Lijstalinea"/>
        <w:numPr>
          <w:ilvl w:val="0"/>
          <w:numId w:val="48"/>
        </w:numPr>
        <w:suppressAutoHyphens/>
        <w:rPr>
          <w:szCs w:val="18"/>
          <w:lang w:val="nl-NL"/>
        </w:rPr>
      </w:pPr>
      <w:r w:rsidRPr="00AB37A2">
        <w:rPr>
          <w:szCs w:val="18"/>
          <w:lang w:val="nl-NL"/>
        </w:rPr>
        <w:t xml:space="preserve">onvoldoende passende hulp in de eigen regio, </w:t>
      </w:r>
    </w:p>
    <w:p w:rsidRPr="00AB37A2" w:rsidR="00CF5118" w:rsidP="00AB37A2" w:rsidRDefault="00137EDD" w14:paraId="25404285" w14:textId="77777777">
      <w:pPr>
        <w:pStyle w:val="Lijstalinea"/>
        <w:numPr>
          <w:ilvl w:val="0"/>
          <w:numId w:val="48"/>
        </w:numPr>
        <w:suppressAutoHyphens/>
        <w:rPr>
          <w:szCs w:val="18"/>
          <w:lang w:val="nl-NL"/>
        </w:rPr>
      </w:pPr>
      <w:r w:rsidRPr="00AB37A2">
        <w:rPr>
          <w:szCs w:val="18"/>
          <w:lang w:val="nl-NL"/>
        </w:rPr>
        <w:t xml:space="preserve">het niet op orde zijn van bestuurlijke randvoorwaarden voor kwalitatief goede en veilige hulp, </w:t>
      </w:r>
    </w:p>
    <w:p w:rsidRPr="00AB37A2" w:rsidR="00CF5118" w:rsidP="00AB37A2" w:rsidRDefault="00137EDD" w14:paraId="2D44C202" w14:textId="77777777">
      <w:pPr>
        <w:pStyle w:val="Lijstalinea"/>
        <w:numPr>
          <w:ilvl w:val="0"/>
          <w:numId w:val="48"/>
        </w:numPr>
        <w:suppressAutoHyphens/>
        <w:rPr>
          <w:szCs w:val="18"/>
          <w:lang w:val="nl-NL"/>
        </w:rPr>
      </w:pPr>
      <w:r w:rsidRPr="00AB37A2">
        <w:rPr>
          <w:szCs w:val="18"/>
          <w:lang w:val="nl-NL"/>
        </w:rPr>
        <w:t xml:space="preserve">het onvoldoende planmatig en ontwikkelingsgericht werken door zorgverleners, </w:t>
      </w:r>
    </w:p>
    <w:p w:rsidRPr="00AB37A2" w:rsidR="00CF5118" w:rsidP="00AB37A2" w:rsidRDefault="00137EDD" w14:paraId="41D38A76" w14:textId="77777777">
      <w:pPr>
        <w:pStyle w:val="Lijstalinea"/>
        <w:numPr>
          <w:ilvl w:val="0"/>
          <w:numId w:val="48"/>
        </w:numPr>
        <w:suppressAutoHyphens/>
        <w:rPr>
          <w:szCs w:val="18"/>
          <w:lang w:val="nl-NL"/>
        </w:rPr>
      </w:pPr>
      <w:r w:rsidRPr="00AB37A2">
        <w:rPr>
          <w:szCs w:val="18"/>
          <w:lang w:val="nl-NL"/>
        </w:rPr>
        <w:t xml:space="preserve">het onrechtmatig inzetten van vrijheidsbeperkende maatregelen, </w:t>
      </w:r>
    </w:p>
    <w:p w:rsidRPr="00AB37A2" w:rsidR="00CF5118" w:rsidP="00AB37A2" w:rsidRDefault="00137EDD" w14:paraId="6B73B27F" w14:textId="77777777">
      <w:pPr>
        <w:pStyle w:val="Lijstalinea"/>
        <w:numPr>
          <w:ilvl w:val="0"/>
          <w:numId w:val="48"/>
        </w:numPr>
        <w:suppressAutoHyphens/>
        <w:rPr>
          <w:szCs w:val="18"/>
          <w:lang w:val="nl-NL"/>
        </w:rPr>
      </w:pPr>
      <w:r w:rsidRPr="00AB37A2">
        <w:rPr>
          <w:szCs w:val="18"/>
          <w:lang w:val="nl-NL"/>
        </w:rPr>
        <w:t xml:space="preserve">het ontbreken van voldoende onderwijs en/of dagbesteding en het tekortschieten van de veiligheid van de leefomgeving? </w:t>
      </w:r>
    </w:p>
    <w:p w:rsidRPr="00AB37A2" w:rsidR="00CF5118" w:rsidP="00AB37A2" w:rsidRDefault="00137EDD" w14:paraId="5093A5FA" w14:textId="77777777">
      <w:pPr>
        <w:suppressAutoHyphens/>
        <w:rPr>
          <w:szCs w:val="18"/>
        </w:rPr>
      </w:pPr>
      <w:r w:rsidRPr="00AB37A2">
        <w:rPr>
          <w:szCs w:val="18"/>
        </w:rPr>
        <w:t>Zo ja, kunt u per factor aangeven welke concrete maatregelen u gaat nemen om op korte en lange termijn verbetering te realiseren? Zo nee, kunt u per factor aangeven waarom u deze mening niet deelt?</w:t>
      </w:r>
    </w:p>
    <w:p w:rsidRPr="00AB37A2" w:rsidR="00CF5118" w:rsidP="00AB37A2" w:rsidRDefault="00CF5118" w14:paraId="4B533AC4" w14:textId="77777777">
      <w:pPr>
        <w:suppressAutoHyphens/>
        <w:rPr>
          <w:szCs w:val="18"/>
        </w:rPr>
      </w:pPr>
    </w:p>
    <w:p w:rsidRPr="00AB37A2" w:rsidR="00CF5118" w:rsidP="00AB37A2" w:rsidRDefault="00137EDD" w14:paraId="53024DF7" w14:textId="77777777">
      <w:pPr>
        <w:suppressAutoHyphens/>
        <w:rPr>
          <w:szCs w:val="18"/>
        </w:rPr>
      </w:pPr>
      <w:r w:rsidRPr="00AB37A2">
        <w:rPr>
          <w:szCs w:val="18"/>
        </w:rPr>
        <w:t>Antwoord 7</w:t>
      </w:r>
    </w:p>
    <w:p w:rsidRPr="00AB37A2" w:rsidR="00CF5118" w:rsidP="00AB37A2" w:rsidRDefault="00137EDD" w14:paraId="1A75D1A0" w14:textId="77777777">
      <w:pPr>
        <w:suppressAutoHyphens/>
        <w:rPr>
          <w:szCs w:val="18"/>
        </w:rPr>
      </w:pPr>
      <w:r w:rsidRPr="00AB37A2">
        <w:rPr>
          <w:szCs w:val="18"/>
        </w:rPr>
        <w:t>Ik herken de constateringen uit het onderzoeksrapport van de IGJ. Het organiseren en bieden van passende hulp is een gezamenlijke opgave van alle betrokken partijen (overheden/aanbieders/professionals).</w:t>
      </w:r>
    </w:p>
    <w:p w:rsidRPr="00AB37A2" w:rsidR="00CF5118" w:rsidP="00AB37A2" w:rsidRDefault="00CF5118" w14:paraId="34F7B93F" w14:textId="77777777">
      <w:pPr>
        <w:suppressAutoHyphens/>
        <w:rPr>
          <w:szCs w:val="18"/>
        </w:rPr>
      </w:pPr>
    </w:p>
    <w:p w:rsidRPr="00AB37A2" w:rsidR="00CF5118" w:rsidP="00AB37A2" w:rsidRDefault="00137EDD" w14:paraId="1E8A82BA" w14:textId="77777777">
      <w:pPr>
        <w:suppressAutoHyphens/>
        <w:rPr>
          <w:szCs w:val="18"/>
        </w:rPr>
      </w:pPr>
      <w:r w:rsidRPr="00AB37A2">
        <w:rPr>
          <w:szCs w:val="18"/>
        </w:rPr>
        <w:t>Dat er voor jongeren met de meest zware problematiek nog te vaak onvoldoende passende jeugdhulp beschikbaar is, heeft verschillende oorzaken die uiteenlopen van onvoldoende goede (verklarende) analyse aan het begin van een traject tot aan het ontbreken van het benodigd aanbod. Zie daarvoor ook mijn recente brief over acties m.b.t. aanpak t.b.v. passende jeugdhulp voor jongeren met complexe problematiek.</w:t>
      </w:r>
      <w:r w:rsidRPr="00AB37A2">
        <w:rPr>
          <w:rStyle w:val="Voetnootmarkering"/>
          <w:szCs w:val="18"/>
        </w:rPr>
        <w:footnoteReference w:id="1"/>
      </w:r>
      <w:r w:rsidRPr="00AB37A2">
        <w:rPr>
          <w:szCs w:val="18"/>
        </w:rPr>
        <w:t xml:space="preserve"> Het is niet eenvoudig om passende zorg te organiseren voor jongeren met complexe problematiek en onze inzet zal daarom niet in alle gevallen direct resultaat hebben. </w:t>
      </w:r>
    </w:p>
    <w:p w:rsidRPr="00AB37A2" w:rsidR="00CF5118" w:rsidP="00AB37A2" w:rsidRDefault="00CF5118" w14:paraId="42C5CF12" w14:textId="77777777">
      <w:pPr>
        <w:suppressAutoHyphens/>
        <w:rPr>
          <w:szCs w:val="18"/>
        </w:rPr>
      </w:pPr>
    </w:p>
    <w:p w:rsidRPr="00AB37A2" w:rsidR="00CF5118" w:rsidP="00AB37A2" w:rsidRDefault="00137EDD" w14:paraId="39A5B38A" w14:textId="77777777">
      <w:pPr>
        <w:suppressAutoHyphens/>
        <w:rPr>
          <w:szCs w:val="18"/>
        </w:rPr>
      </w:pPr>
      <w:r w:rsidRPr="00AB37A2">
        <w:rPr>
          <w:szCs w:val="18"/>
        </w:rPr>
        <w:lastRenderedPageBreak/>
        <w:t>Vrijheidsbeperking in de open residentiële jeugdhulp is volgens de Jeugdwet niet toegestaan. Er wordt volop ingezet op het voorkomen hiervan, onder meer middels het informeren van de sector met de handreiking ‘Omgaan met dilemma’s rond vrijheidsbeperking in de open jeugdhulp met verblijf’. Deze is in opdracht van VWS opgesteld. Tegelijkertijd zullen er specifieke omstandigheden blijven bestaan waarin de inzet van vrijheidsbeperkende maatregelen nodig is om te zorgen dat een jongere passende hulp kan krijgen</w:t>
      </w:r>
      <w:r w:rsidRPr="00AB37A2">
        <w:rPr>
          <w:szCs w:val="18"/>
        </w:rPr>
        <w:t xml:space="preserve">. Daarom werk ik, zoals mijn voorganger heeft aangekondigd, aan een wetswijziging om de toepassing van vrijheidsbeperking in specifieke omstandigheden in de open residentiële jeugdhulp mogelijk te maken. </w:t>
      </w:r>
    </w:p>
    <w:p w:rsidRPr="00AB37A2" w:rsidR="00CF5118" w:rsidP="00AB37A2" w:rsidRDefault="00CF5118" w14:paraId="24E59258" w14:textId="77777777">
      <w:pPr>
        <w:suppressAutoHyphens/>
        <w:rPr>
          <w:szCs w:val="18"/>
        </w:rPr>
      </w:pPr>
    </w:p>
    <w:p w:rsidRPr="00AB37A2" w:rsidR="00CF5118" w:rsidP="00AB37A2" w:rsidRDefault="00137EDD" w14:paraId="162C1250" w14:textId="77777777">
      <w:pPr>
        <w:suppressAutoHyphens/>
        <w:rPr>
          <w:szCs w:val="18"/>
          <w:highlight w:val="yellow"/>
        </w:rPr>
      </w:pPr>
      <w:r w:rsidRPr="00AB37A2">
        <w:rPr>
          <w:szCs w:val="18"/>
        </w:rPr>
        <w:t xml:space="preserve">Vanuit de transformatie van de gesloten jeugdhulp wordt gewerkt aan de realisatie van alternatieven voor gesloten jeugdhulp. Onderdeel daarvan is ook het voorkomen dat kinderen gesloten geplaatst worden. Om hier een impuls aan te geven gaan we de bestuurlijke afspraken over de transformatie gesloten jeugdhulp uit 2024 aanvullen en verder concretiseren. Tot slot treffen we vanuit de Hervormingsagenda verschillende maatregelen om de jeugdhulp te verbeteren. Zoals de Wet verbetering beschikbaarheid jeugdzorg, </w:t>
      </w:r>
      <w:r w:rsidRPr="00AB37A2">
        <w:rPr>
          <w:szCs w:val="18"/>
        </w:rPr>
        <w:t xml:space="preserve">de verbetering van kwaliteit in de sector en de ombouw van residentiële jeugdhulpinstellingen naar kleinschaligheid. </w:t>
      </w:r>
    </w:p>
    <w:p w:rsidRPr="00AB37A2" w:rsidR="00CF5118" w:rsidP="00AB37A2" w:rsidRDefault="00CF5118" w14:paraId="33C74075" w14:textId="77777777">
      <w:pPr>
        <w:suppressAutoHyphens/>
        <w:rPr>
          <w:szCs w:val="18"/>
        </w:rPr>
      </w:pPr>
    </w:p>
    <w:p w:rsidRPr="00AB37A2" w:rsidR="00CF5118" w:rsidP="00AB37A2" w:rsidRDefault="00137EDD" w14:paraId="7E00A796" w14:textId="77777777">
      <w:pPr>
        <w:suppressAutoHyphens/>
        <w:rPr>
          <w:szCs w:val="18"/>
        </w:rPr>
      </w:pPr>
      <w:r w:rsidRPr="00AB37A2">
        <w:rPr>
          <w:szCs w:val="18"/>
        </w:rPr>
        <w:t>Vraag 8</w:t>
      </w:r>
    </w:p>
    <w:p w:rsidRPr="00AB37A2" w:rsidR="00CF5118" w:rsidP="00AB37A2" w:rsidRDefault="00137EDD" w14:paraId="7A2A1296" w14:textId="77777777">
      <w:pPr>
        <w:suppressAutoHyphens/>
        <w:rPr>
          <w:szCs w:val="18"/>
        </w:rPr>
      </w:pPr>
      <w:r w:rsidRPr="00AB37A2">
        <w:rPr>
          <w:szCs w:val="18"/>
        </w:rPr>
        <w:t xml:space="preserve">Hoeveel incidenten hebben er plaats gevonden op het terrein in Hoenderloo sinds 1 januari 2025 waarbij er sprake was van bijvoorbeeld middelengebruik, bedreiging, geweld, nachtelijke </w:t>
      </w:r>
      <w:r w:rsidRPr="00AB37A2">
        <w:rPr>
          <w:szCs w:val="18"/>
        </w:rPr>
        <w:t>activiteiten of vernielingen? Hoeveel incidenten hebben er sinds 1 januari 2025 plaatsgevonden op het terrein waarbij jongeren zich onveilig voelden?</w:t>
      </w:r>
    </w:p>
    <w:p w:rsidRPr="00AB37A2" w:rsidR="00CF5118" w:rsidP="00AB37A2" w:rsidRDefault="00CF5118" w14:paraId="3B17F051" w14:textId="77777777">
      <w:pPr>
        <w:suppressAutoHyphens/>
        <w:rPr>
          <w:szCs w:val="18"/>
        </w:rPr>
      </w:pPr>
    </w:p>
    <w:p w:rsidRPr="00AB37A2" w:rsidR="00CF5118" w:rsidP="00AB37A2" w:rsidRDefault="00137EDD" w14:paraId="206B1597" w14:textId="77777777">
      <w:pPr>
        <w:suppressAutoHyphens/>
        <w:rPr>
          <w:szCs w:val="18"/>
        </w:rPr>
      </w:pPr>
      <w:r w:rsidRPr="00AB37A2">
        <w:rPr>
          <w:szCs w:val="18"/>
        </w:rPr>
        <w:t>Antwoord 8</w:t>
      </w:r>
    </w:p>
    <w:p w:rsidRPr="00AB37A2" w:rsidR="00CF5118" w:rsidP="00AB37A2" w:rsidRDefault="00137EDD" w14:paraId="4728043E" w14:textId="77777777">
      <w:pPr>
        <w:suppressAutoHyphens/>
        <w:rPr>
          <w:szCs w:val="18"/>
        </w:rPr>
      </w:pPr>
      <w:r w:rsidRPr="00AB37A2">
        <w:rPr>
          <w:szCs w:val="18"/>
        </w:rPr>
        <w:t>Voor de beantwoording van deze vraag heb ik navraag gedaan bij de gemeente Apeldoorn en de politie. De categorieën die in de vraag beschreven zijn, worden niet als dusdanig geregistreerd. Daarom is voor de beantwoording van deze vraag aangesloten bij meldingen zoals deze worden geregistreerd bij de politie.</w:t>
      </w:r>
    </w:p>
    <w:p w:rsidRPr="00AB37A2" w:rsidR="00CF5118" w:rsidP="00AB37A2" w:rsidRDefault="00137EDD" w14:paraId="653795D0" w14:textId="77777777">
      <w:pPr>
        <w:suppressAutoHyphens/>
        <w:rPr>
          <w:szCs w:val="18"/>
        </w:rPr>
      </w:pPr>
      <w:r w:rsidRPr="00AB37A2">
        <w:rPr>
          <w:szCs w:val="18"/>
        </w:rPr>
        <w:t>Sinds 1 januari 2025 heeft de politie in totaal 1.160 meldingen gehad op het Hoenderloo-terrein. Deze waren van de volgende aard:</w:t>
      </w:r>
    </w:p>
    <w:p w:rsidRPr="00AB37A2" w:rsidR="00CF5118" w:rsidP="00AB37A2" w:rsidRDefault="00137EDD" w14:paraId="207B3DDB" w14:textId="77777777">
      <w:pPr>
        <w:pStyle w:val="Lijstalinea"/>
        <w:numPr>
          <w:ilvl w:val="0"/>
          <w:numId w:val="50"/>
        </w:numPr>
        <w:suppressAutoHyphens/>
        <w:rPr>
          <w:szCs w:val="18"/>
        </w:rPr>
      </w:pPr>
      <w:r w:rsidRPr="00AB37A2">
        <w:rPr>
          <w:szCs w:val="18"/>
        </w:rPr>
        <w:t>305 x ongeoorloofd afwezig;</w:t>
      </w:r>
    </w:p>
    <w:p w:rsidRPr="00AB37A2" w:rsidR="00CF5118" w:rsidP="00AB37A2" w:rsidRDefault="00137EDD" w14:paraId="3300C69D" w14:textId="77777777">
      <w:pPr>
        <w:pStyle w:val="Lijstalinea"/>
        <w:numPr>
          <w:ilvl w:val="0"/>
          <w:numId w:val="50"/>
        </w:numPr>
        <w:suppressAutoHyphens/>
        <w:rPr>
          <w:szCs w:val="18"/>
        </w:rPr>
      </w:pPr>
      <w:r w:rsidRPr="00AB37A2">
        <w:rPr>
          <w:szCs w:val="18"/>
        </w:rPr>
        <w:t>179 x vermissing minderjarig persoon;</w:t>
      </w:r>
    </w:p>
    <w:p w:rsidRPr="00AB37A2" w:rsidR="00CF5118" w:rsidP="00AB37A2" w:rsidRDefault="00137EDD" w14:paraId="3FD03686" w14:textId="77777777">
      <w:pPr>
        <w:pStyle w:val="Lijstalinea"/>
        <w:numPr>
          <w:ilvl w:val="0"/>
          <w:numId w:val="50"/>
        </w:numPr>
        <w:suppressAutoHyphens/>
        <w:rPr>
          <w:szCs w:val="18"/>
          <w:lang w:val="nl-NL"/>
        </w:rPr>
      </w:pPr>
      <w:r w:rsidRPr="00AB37A2">
        <w:rPr>
          <w:szCs w:val="18"/>
          <w:lang w:val="nl-NL"/>
        </w:rPr>
        <w:t>77 x ruzie/twist zonder vervolg;</w:t>
      </w:r>
    </w:p>
    <w:p w:rsidRPr="00AB37A2" w:rsidR="00CF5118" w:rsidP="00AB37A2" w:rsidRDefault="00137EDD" w14:paraId="31C88314" w14:textId="77777777">
      <w:pPr>
        <w:pStyle w:val="Lijstalinea"/>
        <w:numPr>
          <w:ilvl w:val="0"/>
          <w:numId w:val="50"/>
        </w:numPr>
        <w:suppressAutoHyphens/>
        <w:rPr>
          <w:szCs w:val="18"/>
        </w:rPr>
      </w:pPr>
      <w:r w:rsidRPr="00AB37A2">
        <w:rPr>
          <w:szCs w:val="18"/>
        </w:rPr>
        <w:t>42 x verdachte situatie;</w:t>
      </w:r>
    </w:p>
    <w:p w:rsidRPr="00AB37A2" w:rsidR="00CF5118" w:rsidP="00AB37A2" w:rsidRDefault="00137EDD" w14:paraId="74596C48" w14:textId="77777777">
      <w:pPr>
        <w:pStyle w:val="Lijstalinea"/>
        <w:numPr>
          <w:ilvl w:val="0"/>
          <w:numId w:val="50"/>
        </w:numPr>
        <w:suppressAutoHyphens/>
        <w:rPr>
          <w:szCs w:val="18"/>
        </w:rPr>
      </w:pPr>
      <w:r w:rsidRPr="00AB37A2">
        <w:rPr>
          <w:szCs w:val="18"/>
        </w:rPr>
        <w:t>28 x melding overlast jeugd;</w:t>
      </w:r>
    </w:p>
    <w:p w:rsidRPr="00AB37A2" w:rsidR="00CF5118" w:rsidP="00AB37A2" w:rsidRDefault="00137EDD" w14:paraId="259BF414" w14:textId="77777777">
      <w:pPr>
        <w:pStyle w:val="Lijstalinea"/>
        <w:numPr>
          <w:ilvl w:val="0"/>
          <w:numId w:val="50"/>
        </w:numPr>
        <w:suppressAutoHyphens/>
        <w:rPr>
          <w:szCs w:val="18"/>
        </w:rPr>
      </w:pPr>
      <w:r w:rsidRPr="00AB37A2">
        <w:rPr>
          <w:szCs w:val="18"/>
        </w:rPr>
        <w:t>20 x vermissing meerderjarig persoon.</w:t>
      </w:r>
    </w:p>
    <w:p w:rsidRPr="00AB37A2" w:rsidR="00CF5118" w:rsidP="00AB37A2" w:rsidRDefault="00137EDD" w14:paraId="6AEF68B9" w14:textId="77777777">
      <w:pPr>
        <w:suppressAutoHyphens/>
        <w:rPr>
          <w:szCs w:val="18"/>
        </w:rPr>
      </w:pPr>
      <w:r w:rsidRPr="00AB37A2">
        <w:rPr>
          <w:szCs w:val="18"/>
        </w:rPr>
        <w:t>Daarnaast zijn er in totaal 13 incidenten geweest waarbij er sprake is geweest van middelengebruik. Er zijn 5 incidenten geweest waarbij sprake was van bedreiging.</w:t>
      </w:r>
    </w:p>
    <w:p w:rsidRPr="00AB37A2" w:rsidR="00CF5118" w:rsidP="00AB37A2" w:rsidRDefault="00137EDD" w14:paraId="7D9169A7" w14:textId="77777777">
      <w:pPr>
        <w:suppressAutoHyphens/>
        <w:rPr>
          <w:szCs w:val="18"/>
        </w:rPr>
      </w:pPr>
      <w:r w:rsidRPr="00AB37A2">
        <w:rPr>
          <w:szCs w:val="18"/>
        </w:rPr>
        <w:t xml:space="preserve">Er zijn 19 incidenten geweest waarbij er sprake was van </w:t>
      </w:r>
      <w:r w:rsidRPr="00AB37A2">
        <w:rPr>
          <w:szCs w:val="18"/>
        </w:rPr>
        <w:t>vernieling. Er wordt niet geregistreerd of een bepaald incident een gevoel van onveiligheid bij jongeren tot gevolg heeft. Een gesprek met een politieagent kan bovendien door de ene jongere als beschermend, maar door de ander als onveilig worden ervaren.</w:t>
      </w:r>
    </w:p>
    <w:p w:rsidRPr="00AB37A2" w:rsidR="00CF5118" w:rsidP="00AB37A2" w:rsidRDefault="00CF5118" w14:paraId="4E8F33F6" w14:textId="77777777">
      <w:pPr>
        <w:suppressAutoHyphens/>
        <w:rPr>
          <w:szCs w:val="18"/>
        </w:rPr>
      </w:pPr>
    </w:p>
    <w:p w:rsidRPr="00AB37A2" w:rsidR="00AB37A2" w:rsidP="00AB37A2" w:rsidRDefault="00AB37A2" w14:paraId="745DFD49" w14:textId="77777777">
      <w:pPr>
        <w:suppressAutoHyphens/>
        <w:rPr>
          <w:szCs w:val="18"/>
        </w:rPr>
      </w:pPr>
    </w:p>
    <w:p w:rsidRPr="00AB37A2" w:rsidR="00AB37A2" w:rsidP="00AB37A2" w:rsidRDefault="00AB37A2" w14:paraId="01A55944" w14:textId="77777777">
      <w:pPr>
        <w:suppressAutoHyphens/>
        <w:rPr>
          <w:szCs w:val="18"/>
        </w:rPr>
      </w:pPr>
    </w:p>
    <w:p w:rsidRPr="00AB37A2" w:rsidR="00AB37A2" w:rsidP="00AB37A2" w:rsidRDefault="00AB37A2" w14:paraId="1E7C3799" w14:textId="77777777">
      <w:pPr>
        <w:suppressAutoHyphens/>
        <w:rPr>
          <w:szCs w:val="18"/>
        </w:rPr>
      </w:pPr>
    </w:p>
    <w:p w:rsidRPr="00AB37A2" w:rsidR="00CF5118" w:rsidP="00AB37A2" w:rsidRDefault="00137EDD" w14:paraId="66C94DCA" w14:textId="77777777">
      <w:pPr>
        <w:suppressAutoHyphens/>
        <w:rPr>
          <w:szCs w:val="18"/>
        </w:rPr>
      </w:pPr>
      <w:r w:rsidRPr="00AB37A2">
        <w:rPr>
          <w:szCs w:val="18"/>
        </w:rPr>
        <w:lastRenderedPageBreak/>
        <w:t>Ik heb deze vraag eveneens voorgelegd aan de IGJ. De IGJ beschikt niet over een totaaloverzicht van het aantal incidenten dat sinds 1 januari 2025 heeft plaatsgevonden op het Hoenderloo-terrein. De IGJ heeft in het toezicht op het Hoenderloo-terrein bij de 20, destijds bij de IGJ bekende zorgaanbieders, het aantal incidenten in de jeugdhulp uitgevraagd. In de periode 2024 tot mei 2025 hebben deze zorgaanbieders 319 incidenten gerapporteerd. Ook zijn zorgaanbieders gevraagd voorbeelden van incidenten te geve</w:t>
      </w:r>
      <w:r w:rsidRPr="00AB37A2">
        <w:rPr>
          <w:szCs w:val="18"/>
        </w:rPr>
        <w:t xml:space="preserve">n. De genoemde voorbeelden heeft IGJ gecategoriseerd in ‘middelengebruik, bedreiging, geweld, nachtelijke activiteiten of vernielingen’. De IGJ beschikt echter niet over cijfers over het aantal incidenten per hiervoor genoemde categorie of het aantal incidenten waarbij jongeren zich onveilig voelden. </w:t>
      </w:r>
    </w:p>
    <w:p w:rsidRPr="00AB37A2" w:rsidR="00CF5118" w:rsidP="00AB37A2" w:rsidRDefault="00CF5118" w14:paraId="53BA2E06" w14:textId="77777777">
      <w:pPr>
        <w:suppressAutoHyphens/>
        <w:rPr>
          <w:szCs w:val="18"/>
        </w:rPr>
      </w:pPr>
    </w:p>
    <w:p w:rsidRPr="00AB37A2" w:rsidR="00CF5118" w:rsidP="00AB37A2" w:rsidRDefault="00137EDD" w14:paraId="28848EBF" w14:textId="77777777">
      <w:pPr>
        <w:suppressAutoHyphens/>
        <w:rPr>
          <w:szCs w:val="18"/>
        </w:rPr>
      </w:pPr>
      <w:r w:rsidRPr="00AB37A2">
        <w:rPr>
          <w:szCs w:val="18"/>
        </w:rPr>
        <w:t>Vraag 9</w:t>
      </w:r>
    </w:p>
    <w:p w:rsidRPr="00AB37A2" w:rsidR="00CF5118" w:rsidP="00AB37A2" w:rsidRDefault="00137EDD" w14:paraId="006504D1" w14:textId="77777777">
      <w:pPr>
        <w:suppressAutoHyphens/>
        <w:rPr>
          <w:szCs w:val="18"/>
        </w:rPr>
      </w:pPr>
      <w:r w:rsidRPr="00AB37A2">
        <w:rPr>
          <w:szCs w:val="18"/>
        </w:rPr>
        <w:t>Hoeveel incidenten hebben er sinds 1 januari 2025 plaatsgevonden binnen de jeugdzorg waarbij er sprake was van bijvoorbeeld middelengebruik, bedreiging, geweld, nachtelijke activiteiten of vernielingen? Hoeveel incidenten hebben er sinds 1 januari 2025 plaatsgevonden waarbij jongeren zich onveilig voelden?</w:t>
      </w:r>
    </w:p>
    <w:p w:rsidRPr="00AB37A2" w:rsidR="00CF5118" w:rsidP="00AB37A2" w:rsidRDefault="00CF5118" w14:paraId="3E7667B8" w14:textId="77777777">
      <w:pPr>
        <w:suppressAutoHyphens/>
        <w:rPr>
          <w:szCs w:val="18"/>
        </w:rPr>
      </w:pPr>
    </w:p>
    <w:p w:rsidRPr="00AB37A2" w:rsidR="00CF5118" w:rsidP="00AB37A2" w:rsidRDefault="00137EDD" w14:paraId="5F75D49C" w14:textId="77777777">
      <w:pPr>
        <w:suppressAutoHyphens/>
        <w:rPr>
          <w:szCs w:val="18"/>
        </w:rPr>
      </w:pPr>
      <w:r w:rsidRPr="00AB37A2">
        <w:rPr>
          <w:szCs w:val="18"/>
        </w:rPr>
        <w:t>Antwoord 9</w:t>
      </w:r>
    </w:p>
    <w:p w:rsidRPr="00AB37A2" w:rsidR="00CF5118" w:rsidP="00AB37A2" w:rsidRDefault="00137EDD" w14:paraId="466A59EF" w14:textId="77777777">
      <w:pPr>
        <w:suppressAutoHyphens/>
        <w:rPr>
          <w:szCs w:val="18"/>
        </w:rPr>
      </w:pPr>
      <w:r w:rsidRPr="00AB37A2">
        <w:rPr>
          <w:szCs w:val="18"/>
        </w:rPr>
        <w:t xml:space="preserve">Jeugdhulpaanbieders moeten een calamiteit of geweld bij de verlening van jeugdhulp verplicht melden bij de IGJ. Aanbieders hoeven dus niet alle incidenten bij de inspectie te melden. Het is wel belangrijk dat aanbieders deze zelf registreren en analyseren. Tijdens het toezicht kan de inspectie deze incidentenregistratie inzien en meenemen in het toezicht. </w:t>
      </w:r>
    </w:p>
    <w:p w:rsidRPr="00AB37A2" w:rsidR="00CF5118" w:rsidP="00AB37A2" w:rsidRDefault="00137EDD" w14:paraId="790909ED" w14:textId="77777777">
      <w:pPr>
        <w:suppressAutoHyphens/>
        <w:rPr>
          <w:szCs w:val="18"/>
        </w:rPr>
      </w:pPr>
      <w:r w:rsidRPr="00AB37A2">
        <w:rPr>
          <w:szCs w:val="18"/>
        </w:rPr>
        <w:t>In het jaarbeeld van de IGJ staat dat er in 2025 in totaal 1.240 meldingen binnen de jeugdzorg zijn gedaan, waarvan 160 meldingen over calamiteiten, 410 meldingen over geweld en 670 ‘andere meldingen’. De IGJ registreert deze meldingen niet volgens de categorieën middelengebruik, bedreiging, geweld, nachtelijke activiteiten of vernielingen.</w:t>
      </w:r>
    </w:p>
    <w:p w:rsidRPr="00AB37A2" w:rsidR="00CF5118" w:rsidP="00AB37A2" w:rsidRDefault="00137EDD" w14:paraId="6ACEBCB6" w14:textId="77777777">
      <w:pPr>
        <w:suppressAutoHyphens/>
        <w:rPr>
          <w:szCs w:val="18"/>
        </w:rPr>
      </w:pPr>
      <w:r w:rsidRPr="00AB37A2">
        <w:rPr>
          <w:szCs w:val="18"/>
        </w:rPr>
        <w:t> </w:t>
      </w:r>
    </w:p>
    <w:p w:rsidRPr="00AB37A2" w:rsidR="00CF5118" w:rsidP="00AB37A2" w:rsidRDefault="00137EDD" w14:paraId="182A7673" w14:textId="77777777">
      <w:pPr>
        <w:suppressAutoHyphens/>
        <w:rPr>
          <w:szCs w:val="18"/>
        </w:rPr>
      </w:pPr>
      <w:bookmarkStart w:name="_Hlk226474660" w:id="8"/>
      <w:r w:rsidRPr="00AB37A2">
        <w:rPr>
          <w:szCs w:val="18"/>
        </w:rPr>
        <w:t>Vraag 10</w:t>
      </w:r>
    </w:p>
    <w:p w:rsidRPr="00AB37A2" w:rsidR="00CF5118" w:rsidP="00AB37A2" w:rsidRDefault="00137EDD" w14:paraId="300ED5A5" w14:textId="77777777">
      <w:pPr>
        <w:suppressAutoHyphens/>
        <w:rPr>
          <w:szCs w:val="18"/>
        </w:rPr>
      </w:pPr>
      <w:r w:rsidRPr="00AB37A2">
        <w:rPr>
          <w:szCs w:val="18"/>
        </w:rPr>
        <w:t xml:space="preserve">Kunt u aangeven hoeveel onderzoeksrapporten van de Inspectie Gezondheidszorg en Jeugd (IGJ) er sinds 1 januari 2025 tot op heden zijn verschenen over misstanden bij de jeugdzorg en jeugdzorgaanbieders? </w:t>
      </w:r>
    </w:p>
    <w:p w:rsidRPr="00AB37A2" w:rsidR="00CF5118" w:rsidP="00AB37A2" w:rsidRDefault="00137EDD" w14:paraId="4426F9CD" w14:textId="77777777">
      <w:pPr>
        <w:suppressAutoHyphens/>
        <w:rPr>
          <w:szCs w:val="18"/>
        </w:rPr>
      </w:pPr>
      <w:r w:rsidRPr="00AB37A2">
        <w:rPr>
          <w:szCs w:val="18"/>
        </w:rPr>
        <w:t>Kunt u hierbij nader toelichten wat de aard is geweest van elk van deze rapporten en welke opvolging er heeft plaatsgevonden?</w:t>
      </w:r>
    </w:p>
    <w:bookmarkEnd w:id="8"/>
    <w:p w:rsidRPr="00AB37A2" w:rsidR="00CF5118" w:rsidP="00AB37A2" w:rsidRDefault="00CF5118" w14:paraId="264A05AA" w14:textId="77777777">
      <w:pPr>
        <w:suppressAutoHyphens/>
        <w:rPr>
          <w:b/>
          <w:bCs/>
          <w:szCs w:val="18"/>
        </w:rPr>
      </w:pPr>
    </w:p>
    <w:p w:rsidRPr="00AB37A2" w:rsidR="00CF5118" w:rsidP="00AB37A2" w:rsidRDefault="00137EDD" w14:paraId="00C81C95" w14:textId="77777777">
      <w:pPr>
        <w:suppressAutoHyphens/>
        <w:rPr>
          <w:szCs w:val="18"/>
        </w:rPr>
      </w:pPr>
      <w:r w:rsidRPr="00AB37A2">
        <w:rPr>
          <w:szCs w:val="18"/>
        </w:rPr>
        <w:t>Antwoord 10</w:t>
      </w:r>
    </w:p>
    <w:p w:rsidRPr="00AB37A2" w:rsidR="00CF5118" w:rsidP="00AB37A2" w:rsidRDefault="00137EDD" w14:paraId="17FD4118" w14:textId="77777777">
      <w:pPr>
        <w:suppressAutoHyphens/>
        <w:rPr>
          <w:szCs w:val="18"/>
        </w:rPr>
      </w:pPr>
      <w:r w:rsidRPr="00AB37A2">
        <w:rPr>
          <w:szCs w:val="18"/>
        </w:rPr>
        <w:t>De IGJ publiceert rapporten over individuele aanbieders naar aanleiding van haar toezicht op een hiertoe bestemde website</w:t>
      </w:r>
      <w:r w:rsidRPr="00AB37A2">
        <w:rPr>
          <w:szCs w:val="18"/>
          <w:vertAlign w:val="superscript"/>
        </w:rPr>
        <w:footnoteReference w:id="2"/>
      </w:r>
      <w:r w:rsidRPr="00AB37A2">
        <w:rPr>
          <w:szCs w:val="18"/>
        </w:rPr>
        <w:t>. Daarbij kan gezocht worden op sector jeugdzorg, publicatiejaar en het soort toezichtdocument. In de rapporten is te lezen wat de aard van het toezicht was en welke opvolging de IGJ hieraan heeft gegeven. Daarnaast publiceert de IGJ overkoepelende rapporten op haar website. Sinds 1 januari 2025 zijn (thematische) rapporten verschenen over de uitvoering van jeugdbescherming, gesloten jeugdhulp, gezinshuizen, pleegzorg, eetstoornissenzorg en het Hoenderloo-terrein. Dergelijke rapporten worden vanuit de IGJ g</w:t>
      </w:r>
      <w:r w:rsidRPr="00AB37A2">
        <w:rPr>
          <w:szCs w:val="18"/>
        </w:rPr>
        <w:t>epubliceerd op haar website. De aanbevelingen uit de rapporten richten zich op de jeugdhulpverleners en landelijke partijen die hier opvolging aan moeten geven.</w:t>
      </w:r>
    </w:p>
    <w:p w:rsidRPr="00AB37A2" w:rsidR="00CF5118" w:rsidP="00AB37A2" w:rsidRDefault="00CF5118" w14:paraId="69B6FBB3" w14:textId="77777777">
      <w:pPr>
        <w:suppressAutoHyphens/>
        <w:rPr>
          <w:szCs w:val="18"/>
        </w:rPr>
      </w:pPr>
    </w:p>
    <w:p w:rsidRPr="00AB37A2" w:rsidR="00CF5118" w:rsidP="00AB37A2" w:rsidRDefault="00137EDD" w14:paraId="2BE30065" w14:textId="77777777">
      <w:pPr>
        <w:suppressAutoHyphens/>
        <w:rPr>
          <w:szCs w:val="18"/>
        </w:rPr>
      </w:pPr>
      <w:r w:rsidRPr="00AB37A2">
        <w:rPr>
          <w:szCs w:val="18"/>
        </w:rPr>
        <w:lastRenderedPageBreak/>
        <w:t>Vraag 11</w:t>
      </w:r>
    </w:p>
    <w:p w:rsidRPr="00AB37A2" w:rsidR="00CF5118" w:rsidP="00AB37A2" w:rsidRDefault="00137EDD" w14:paraId="3E92F650" w14:textId="77777777">
      <w:pPr>
        <w:suppressAutoHyphens/>
        <w:rPr>
          <w:szCs w:val="18"/>
        </w:rPr>
      </w:pPr>
      <w:r w:rsidRPr="00AB37A2">
        <w:rPr>
          <w:szCs w:val="18"/>
        </w:rPr>
        <w:t xml:space="preserve">Vind u dat het stelsel van toezicht en controle op misstanden effectief is en naar behoren werkt? Vind u dat de IGJ en gemeenten voldoende bestuurlijke instrumenten hebben om tijdig in te grijpen bij misstanden? </w:t>
      </w:r>
    </w:p>
    <w:p w:rsidRPr="00AB37A2" w:rsidR="00CF5118" w:rsidP="00AB37A2" w:rsidRDefault="00137EDD" w14:paraId="270029D0" w14:textId="77777777">
      <w:pPr>
        <w:suppressAutoHyphens/>
        <w:rPr>
          <w:szCs w:val="18"/>
        </w:rPr>
      </w:pPr>
      <w:r w:rsidRPr="00AB37A2">
        <w:rPr>
          <w:szCs w:val="18"/>
        </w:rPr>
        <w:t>Zo nee, kunt u toelichten wat u gaat doen om deze instanties meer bevoegdheden te geven?</w:t>
      </w:r>
    </w:p>
    <w:p w:rsidRPr="00AB37A2" w:rsidR="00CF5118" w:rsidP="00AB37A2" w:rsidRDefault="00CF5118" w14:paraId="4C50E6BB" w14:textId="77777777">
      <w:pPr>
        <w:suppressAutoHyphens/>
        <w:rPr>
          <w:szCs w:val="18"/>
        </w:rPr>
      </w:pPr>
    </w:p>
    <w:p w:rsidRPr="00AB37A2" w:rsidR="00CF5118" w:rsidP="00AB37A2" w:rsidRDefault="00137EDD" w14:paraId="56B0696D" w14:textId="77777777">
      <w:pPr>
        <w:suppressAutoHyphens/>
        <w:rPr>
          <w:szCs w:val="18"/>
        </w:rPr>
      </w:pPr>
      <w:r w:rsidRPr="00AB37A2">
        <w:rPr>
          <w:szCs w:val="18"/>
        </w:rPr>
        <w:t>Antwoord 11</w:t>
      </w:r>
    </w:p>
    <w:p w:rsidRPr="00AB37A2" w:rsidR="00CF5118" w:rsidP="00AB37A2" w:rsidRDefault="00137EDD" w14:paraId="48C95E1A" w14:textId="77777777">
      <w:pPr>
        <w:suppressAutoHyphens/>
        <w:rPr>
          <w:szCs w:val="18"/>
        </w:rPr>
      </w:pPr>
      <w:r w:rsidRPr="00AB37A2">
        <w:rPr>
          <w:szCs w:val="18"/>
        </w:rPr>
        <w:t>Het toezicht op de uitvoering van de Jeugdwet is belegd bij verschillende partijen die hierin vanuit hun eigen expertise een verantwoordelijkheid hebben.</w:t>
      </w:r>
    </w:p>
    <w:p w:rsidRPr="00AB37A2" w:rsidR="00CF5118" w:rsidP="00AB37A2" w:rsidRDefault="00137EDD" w14:paraId="702BEDAC" w14:textId="77777777">
      <w:pPr>
        <w:suppressAutoHyphens/>
        <w:rPr>
          <w:szCs w:val="18"/>
        </w:rPr>
      </w:pPr>
      <w:r w:rsidRPr="00AB37A2">
        <w:rPr>
          <w:szCs w:val="18"/>
        </w:rPr>
        <w:t>Het stelsel van toezicht en controle is in ontwikkeling en er zijn recentelijk maatregelen genomen om het toezicht verder aan te scherpen. Vanaf 1 januari 2026 moeten bijvoorbeeld (bepaalde) jeugdhulpaanbieders en gecertificeerde instellingen, op grond van de wet Verbetering beschikbaarheid jeugdzorg, een interne toezichthouder hebben. Daarnaast heeft de Nederlandse Zorgautoriteit (NZa) een wettelijke toezichtstaak gekregen op het terrein van de Jeugdwet voor het toezicht op de openbare jaarverantwoording e</w:t>
      </w:r>
      <w:r w:rsidRPr="00AB37A2">
        <w:rPr>
          <w:szCs w:val="18"/>
        </w:rPr>
        <w:t xml:space="preserve">n transparantie financiële bedrijfsvoering van jeugdhulpaanbieders en gecertificeerde instellingen (inwerkingtredingsdatum 1 januari 2027). </w:t>
      </w:r>
    </w:p>
    <w:p w:rsidRPr="00AB37A2" w:rsidR="00CF5118" w:rsidP="00AB37A2" w:rsidRDefault="00CF5118" w14:paraId="6049E4B5" w14:textId="77777777">
      <w:pPr>
        <w:suppressAutoHyphens/>
        <w:rPr>
          <w:szCs w:val="18"/>
        </w:rPr>
      </w:pPr>
    </w:p>
    <w:p w:rsidRPr="00AB37A2" w:rsidR="00CF5118" w:rsidP="00AB37A2" w:rsidRDefault="00137EDD" w14:paraId="0DD7CC19" w14:textId="77777777">
      <w:pPr>
        <w:suppressAutoHyphens/>
        <w:rPr>
          <w:szCs w:val="18"/>
        </w:rPr>
      </w:pPr>
      <w:r w:rsidRPr="00AB37A2">
        <w:rPr>
          <w:szCs w:val="18"/>
        </w:rPr>
        <w:t xml:space="preserve">Toezicht kan incidenten helaas nooit helemaal voorkomen. Toezichthouders kunnen ook niet overal tegelijk zijn. Daarom maken toezichthouders op grond van risicoanalyse keuzes over waar de risico’s het grootst zijn en toezicht het meest effectief is. Hierbij is het belangrijk dat toezichthouders waar mogelijk informatie met elkaar uitwisselen en goed en multidisciplinair met elkaar samenwerken, zodat zij elkaar ook kunnen aanvullen en versterken. </w:t>
      </w:r>
    </w:p>
    <w:p w:rsidRPr="00AB37A2" w:rsidR="00CF5118" w:rsidP="00AB37A2" w:rsidRDefault="00CF5118" w14:paraId="2ABD947B" w14:textId="77777777">
      <w:pPr>
        <w:suppressAutoHyphens/>
        <w:rPr>
          <w:szCs w:val="18"/>
        </w:rPr>
      </w:pPr>
    </w:p>
    <w:p w:rsidRPr="00AB37A2" w:rsidR="00CF5118" w:rsidP="00AB37A2" w:rsidRDefault="00137EDD" w14:paraId="45F5EB67" w14:textId="77777777">
      <w:pPr>
        <w:suppressAutoHyphens/>
        <w:rPr>
          <w:szCs w:val="18"/>
        </w:rPr>
      </w:pPr>
      <w:r w:rsidRPr="00AB37A2">
        <w:rPr>
          <w:szCs w:val="18"/>
        </w:rPr>
        <w:t>Inspecties en de NZa hebben diverse bestuurlijke, maar ook informele instrumenten om te zorgen dat jeugdzorgaanbieders zich aan de wet- en regelgeving houden. Ook gemeenten hebben bestuursrechtelijk instrumenten tot hun beschikking en kunnen vanuit hun rol als inkoper maatregelen nemen om te zorgen dat kwaliteitseisen worden nageleefd. Het is hierbij van belang dat bestaande bevoegdheden/instrumenten optimaal worden benut en dat multidisciplinaire samenwerking tussen partijen wordt bevorderd. Er zijn en wor</w:t>
      </w:r>
      <w:r w:rsidRPr="00AB37A2">
        <w:rPr>
          <w:szCs w:val="18"/>
        </w:rPr>
        <w:t xml:space="preserve">den nog stappen gezet om samenwerking tussen toezichthouders beter mogelijk te maken. Bijvoorbeeld door het ontwikkelen van regelgeving die toezichthoudende partijen beter in staat stelt gegevens met elkaar uit te wisselen. Voor meer informatie hierover verwijs ik u ook naar de Kamerbrief over zorgfraude die nog voor de zomer aan uw Kamer wordt toegestuurd. Daarin staat ook dat ik naast het versterken van het toezicht heb besloten een vergunningsplicht voor jeugdhulpaanbieders in te voeren. Door toelating, </w:t>
      </w:r>
      <w:r w:rsidRPr="00AB37A2">
        <w:rPr>
          <w:szCs w:val="18"/>
        </w:rPr>
        <w:t xml:space="preserve">screening en toezicht beter met elkaar te verbinden, ontstaat een samenhangende aanpak waarbij risico’s en misstanden eerder worden gesignaleerd en aangepakt. </w:t>
      </w:r>
    </w:p>
    <w:p w:rsidRPr="00AB37A2" w:rsidR="00CF5118" w:rsidP="00AB37A2" w:rsidRDefault="00CF5118" w14:paraId="0654BB84" w14:textId="77777777">
      <w:pPr>
        <w:suppressAutoHyphens/>
        <w:rPr>
          <w:szCs w:val="18"/>
        </w:rPr>
      </w:pPr>
    </w:p>
    <w:p w:rsidRPr="00AB37A2" w:rsidR="00CF5118" w:rsidP="00AB37A2" w:rsidRDefault="00137EDD" w14:paraId="7BAA7C69" w14:textId="77777777">
      <w:pPr>
        <w:suppressAutoHyphens/>
        <w:rPr>
          <w:szCs w:val="18"/>
        </w:rPr>
      </w:pPr>
      <w:r w:rsidRPr="00AB37A2">
        <w:rPr>
          <w:szCs w:val="18"/>
        </w:rPr>
        <w:t>Ten slotte zijn er in het Aanvullend Zorg en Welzijnsakkoord afspraken gemaakt met betrokken partijen over de aanpak van zorgfraude. Deze maatregelen dragen in brede zin bij aan een effectief stelstel van toezicht en controle. Er wordt o.a. ingezet op het verder verstevigen en professionaliseren van het gemeentelijk toezicht. Ik ben voornemens om dit met een stimuleringsprogramma verder vorm te geven. Over de invulling hiervan ben ik met de VNG in overleg.  </w:t>
      </w:r>
    </w:p>
    <w:p w:rsidRPr="00AB37A2" w:rsidR="00CF5118" w:rsidP="00AB37A2" w:rsidRDefault="00CF5118" w14:paraId="5673B098" w14:textId="77777777">
      <w:pPr>
        <w:suppressAutoHyphens/>
        <w:rPr>
          <w:szCs w:val="18"/>
        </w:rPr>
      </w:pPr>
    </w:p>
    <w:p w:rsidRPr="00AB37A2" w:rsidR="00CF5118" w:rsidP="00AB37A2" w:rsidRDefault="00CF5118" w14:paraId="2F4A9927" w14:textId="77777777">
      <w:pPr>
        <w:suppressAutoHyphens/>
        <w:rPr>
          <w:szCs w:val="18"/>
        </w:rPr>
      </w:pPr>
    </w:p>
    <w:p w:rsidRPr="00AB37A2" w:rsidR="00CF5118" w:rsidP="00AB37A2" w:rsidRDefault="00CF5118" w14:paraId="5A417DC9" w14:textId="77777777">
      <w:pPr>
        <w:suppressAutoHyphens/>
        <w:rPr>
          <w:szCs w:val="18"/>
        </w:rPr>
      </w:pPr>
    </w:p>
    <w:p w:rsidRPr="00AB37A2" w:rsidR="00CF5118" w:rsidP="00AB37A2" w:rsidRDefault="00137EDD" w14:paraId="1D837365" w14:textId="72EE04BB">
      <w:pPr>
        <w:suppressAutoHyphens/>
        <w:rPr>
          <w:szCs w:val="18"/>
        </w:rPr>
      </w:pPr>
      <w:r w:rsidRPr="00AB37A2">
        <w:rPr>
          <w:szCs w:val="18"/>
        </w:rPr>
        <w:t xml:space="preserve">[1] Follow the Money, 30 maart 2026, “Inspectie: criminelen actief op jeugdzorgterrein in Hoenderloo”, </w:t>
      </w:r>
      <w:hyperlink w:history="1" r:id="rId11">
        <w:r w:rsidRPr="00AB37A2" w:rsidR="00CF5118">
          <w:rPr>
            <w:rStyle w:val="Hyperlink"/>
            <w:szCs w:val="18"/>
          </w:rPr>
          <w:t>https://www.ftm.nl/artikelen/rapport-inspectie-criminelen-actief-op-jeugdzorgterrein-hoenderloo</w:t>
        </w:r>
      </w:hyperlink>
      <w:r w:rsidRPr="00AB37A2">
        <w:rPr>
          <w:szCs w:val="18"/>
        </w:rPr>
        <w:t>.</w:t>
      </w:r>
    </w:p>
    <w:p w:rsidRPr="00AB37A2" w:rsidR="00CF5118" w:rsidP="00AB37A2" w:rsidRDefault="00CF5118" w14:paraId="56EEA855" w14:textId="77777777">
      <w:pPr>
        <w:suppressAutoHyphens/>
        <w:rPr>
          <w:szCs w:val="18"/>
        </w:rPr>
      </w:pPr>
    </w:p>
    <w:p w:rsidRPr="00AB37A2" w:rsidR="00CF5118" w:rsidP="00AB37A2" w:rsidRDefault="00137EDD" w14:paraId="1CBC9907" w14:textId="02929861">
      <w:pPr>
        <w:suppressAutoHyphens/>
        <w:rPr>
          <w:szCs w:val="18"/>
        </w:rPr>
      </w:pPr>
      <w:r w:rsidRPr="00AB37A2">
        <w:rPr>
          <w:szCs w:val="18"/>
        </w:rPr>
        <w:t>[2] Aanhangsel Handelingen II, vergaderjaar 2023-2024, nr. 2471, </w:t>
      </w:r>
      <w:hyperlink w:history="1" r:id="rId12">
        <w:r w:rsidRPr="00AB37A2" w:rsidR="00CF5118">
          <w:rPr>
            <w:rStyle w:val="Hyperlink"/>
            <w:szCs w:val="18"/>
          </w:rPr>
          <w:t>https://www.rijksoverheid.nl/documenten/kamerstukken/2024/09/05/beantwoording-kamervragen-over-de-berichten-van-follow-the-money-en-pointer-over-de-jeugdzorgbedrijven-op-het-hoenderlooterrein</w:t>
        </w:r>
      </w:hyperlink>
      <w:r w:rsidRPr="00AB37A2">
        <w:rPr>
          <w:szCs w:val="18"/>
        </w:rPr>
        <w:t>.</w:t>
      </w:r>
    </w:p>
    <w:p w:rsidRPr="00AB37A2" w:rsidR="00DC00BE" w:rsidP="00AB37A2" w:rsidRDefault="00DC00BE" w14:paraId="0A475459" w14:textId="77777777">
      <w:pPr>
        <w:suppressAutoHyphens/>
        <w:rPr>
          <w:szCs w:val="18"/>
        </w:rPr>
      </w:pPr>
    </w:p>
    <w:sectPr w:rsidRPr="00AB37A2" w:rsidR="00DC00BE" w:rsidSect="00D11661">
      <w:footerReference w:type="default" r:id="rId13"/>
      <w:headerReference w:type="first" r:id="rId14"/>
      <w:footerReference w:type="first" r:id="rId15"/>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D95E9" w14:textId="77777777" w:rsidR="006151DB" w:rsidRDefault="006151DB">
      <w:pPr>
        <w:spacing w:line="240" w:lineRule="auto"/>
      </w:pPr>
      <w:r>
        <w:separator/>
      </w:r>
    </w:p>
  </w:endnote>
  <w:endnote w:type="continuationSeparator" w:id="0">
    <w:p w14:paraId="5307B5C7" w14:textId="77777777" w:rsidR="006151DB" w:rsidRDefault="006151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Gadugi"/>
    <w:charset w:val="00"/>
    <w:family w:val="swiss"/>
    <w:pitch w:val="variable"/>
    <w:sig w:usb0="E7002EFF" w:usb1="D200FDFF" w:usb2="0A246029" w:usb3="00000000" w:csb0="000001FF" w:csb1="00000000"/>
  </w:font>
  <w:font w:name="Lohit Hindi">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5344" w14:textId="77777777" w:rsidR="00D11661" w:rsidRDefault="00137EDD">
    <w:pPr>
      <w:pStyle w:val="Voettekst"/>
    </w:pPr>
    <w:r>
      <w:rPr>
        <w:noProof/>
      </w:rPr>
      <mc:AlternateContent>
        <mc:Choice Requires="wps">
          <w:drawing>
            <wp:anchor distT="0" distB="0" distL="114300" distR="114300" simplePos="0" relativeHeight="251655168" behindDoc="0" locked="0" layoutInCell="1" allowOverlap="1" wp14:anchorId="1788EE80" wp14:editId="7B32540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EB0E5" w14:textId="77777777" w:rsidR="00D11661" w:rsidRDefault="00137ED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788EE8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F2EB0E5" w14:textId="77777777" w:rsidR="00D11661" w:rsidRDefault="00137ED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AF3C" w14:textId="77777777" w:rsidR="00D11661" w:rsidRDefault="00137EDD">
    <w:pPr>
      <w:pStyle w:val="Voettekst"/>
    </w:pPr>
    <w:r>
      <w:rPr>
        <w:noProof/>
      </w:rPr>
      <mc:AlternateContent>
        <mc:Choice Requires="wps">
          <w:drawing>
            <wp:anchor distT="0" distB="0" distL="114300" distR="114300" simplePos="0" relativeHeight="251660288" behindDoc="0" locked="0" layoutInCell="1" allowOverlap="1" wp14:anchorId="54CD8A58" wp14:editId="6C41460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1046DB" w14:textId="77777777" w:rsidR="00D11661" w:rsidRDefault="00137ED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4CD8A5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31046DB" w14:textId="77777777" w:rsidR="00D11661" w:rsidRDefault="00137ED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A48A" w14:textId="77777777" w:rsidR="00F860AE" w:rsidRDefault="00137EDD">
    <w:pPr>
      <w:pStyle w:val="Voettekst"/>
    </w:pPr>
    <w:r>
      <w:rPr>
        <w:noProof/>
      </w:rPr>
      <mc:AlternateContent>
        <mc:Choice Requires="wps">
          <w:drawing>
            <wp:anchor distT="0" distB="0" distL="114300" distR="114300" simplePos="0" relativeHeight="251657216" behindDoc="0" locked="0" layoutInCell="1" allowOverlap="1" wp14:anchorId="1F28889C" wp14:editId="710D8B21">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3A8CE7" w14:textId="77777777" w:rsidR="00D11661" w:rsidRDefault="00137ED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F28889C"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23A8CE7" w14:textId="77777777" w:rsidR="00D11661" w:rsidRDefault="00137ED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6FD4" w14:textId="77777777" w:rsidR="006151DB" w:rsidRDefault="006151DB">
      <w:pPr>
        <w:spacing w:line="240" w:lineRule="auto"/>
      </w:pPr>
      <w:r>
        <w:separator/>
      </w:r>
    </w:p>
  </w:footnote>
  <w:footnote w:type="continuationSeparator" w:id="0">
    <w:p w14:paraId="2ABDBB0A" w14:textId="77777777" w:rsidR="006151DB" w:rsidRDefault="006151DB">
      <w:pPr>
        <w:spacing w:line="240" w:lineRule="auto"/>
      </w:pPr>
      <w:r>
        <w:continuationSeparator/>
      </w:r>
    </w:p>
  </w:footnote>
  <w:footnote w:id="1">
    <w:p w14:paraId="2F9F759D" w14:textId="77777777" w:rsidR="00CF5118" w:rsidRPr="009526A0" w:rsidRDefault="00137EDD" w:rsidP="00CF5118">
      <w:pPr>
        <w:pStyle w:val="Voetnoottekst"/>
        <w:rPr>
          <w:sz w:val="16"/>
          <w:szCs w:val="16"/>
        </w:rPr>
      </w:pPr>
      <w:r w:rsidRPr="009526A0">
        <w:rPr>
          <w:rStyle w:val="Voetnootmarkering"/>
          <w:sz w:val="16"/>
          <w:szCs w:val="16"/>
        </w:rPr>
        <w:footnoteRef/>
      </w:r>
      <w:r w:rsidRPr="009526A0">
        <w:rPr>
          <w:sz w:val="16"/>
          <w:szCs w:val="16"/>
        </w:rPr>
        <w:t xml:space="preserve"> Kamerstukken II, 2025-2026,31839-1149.</w:t>
      </w:r>
    </w:p>
  </w:footnote>
  <w:footnote w:id="2">
    <w:p w14:paraId="136FCEFF" w14:textId="77777777" w:rsidR="00CF5118" w:rsidRPr="00AF324F" w:rsidRDefault="00137EDD" w:rsidP="00CF5118">
      <w:pPr>
        <w:pStyle w:val="Voetnoottekst"/>
      </w:pPr>
      <w:r w:rsidRPr="009526A0">
        <w:rPr>
          <w:rStyle w:val="Voetnootmarkering"/>
          <w:sz w:val="12"/>
        </w:rPr>
        <w:footnoteRef/>
      </w:r>
      <w:r w:rsidRPr="009526A0">
        <w:rPr>
          <w:sz w:val="12"/>
        </w:rPr>
        <w:t xml:space="preserve"> </w:t>
      </w:r>
      <w:hyperlink r:id="rId1" w:history="1">
        <w:r w:rsidR="00CF5118" w:rsidRPr="009526A0">
          <w:rPr>
            <w:rStyle w:val="Hyperlink"/>
            <w:sz w:val="16"/>
            <w:szCs w:val="16"/>
          </w:rPr>
          <w:t>https://toezichtdocumenten.igj.nl/</w:t>
        </w:r>
      </w:hyperlink>
      <w:r w:rsidRPr="009526A0">
        <w:rPr>
          <w:sz w:val="16"/>
          <w:szCs w:val="16"/>
        </w:rPr>
        <w:t xml:space="preserve"> en </w:t>
      </w:r>
      <w:hyperlink r:id="rId2" w:history="1">
        <w:r w:rsidR="00CF5118">
          <w:rPr>
            <w:rStyle w:val="Hyperlink"/>
            <w:sz w:val="16"/>
            <w:szCs w:val="16"/>
          </w:rPr>
          <w:t>https://www.igj.nl/zorgsectoren/jeugd</w:t>
        </w:r>
      </w:hyperlink>
      <w:r w:rsidRPr="007640E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3762" w14:textId="77777777" w:rsidR="00F860AE" w:rsidRDefault="00137EDD"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155D3EAE" wp14:editId="353A444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F094E"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55D3EAE"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B3F094E"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617C" w14:textId="77777777" w:rsidR="00F860AE" w:rsidRDefault="00137EDD">
    <w:pPr>
      <w:pStyle w:val="Koptekst"/>
    </w:pPr>
    <w:r>
      <w:rPr>
        <w:noProof/>
      </w:rPr>
      <w:drawing>
        <wp:anchor distT="0" distB="0" distL="114300" distR="114300" simplePos="0" relativeHeight="251658240" behindDoc="0" locked="0" layoutInCell="1" allowOverlap="1" wp14:anchorId="175ADC19" wp14:editId="13BA5F4F">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58B2A1" w14:textId="77777777" w:rsidR="00F860AE" w:rsidRDefault="00137EDD">
    <w:pPr>
      <w:pStyle w:val="Koptekst"/>
    </w:pPr>
    <w:r w:rsidRPr="002A273F">
      <w:rPr>
        <w:noProof/>
      </w:rPr>
      <mc:AlternateContent>
        <mc:Choice Requires="wps">
          <w:drawing>
            <wp:anchor distT="0" distB="0" distL="114300" distR="114300" simplePos="0" relativeHeight="251659264" behindDoc="0" locked="0" layoutInCell="1" allowOverlap="1" wp14:anchorId="6FE72453" wp14:editId="11698110">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8D596" w14:textId="77777777" w:rsidR="00360635" w:rsidRDefault="00137EDD" w:rsidP="00360635">
                          <w:pPr>
                            <w:pStyle w:val="Huisstijl-Afzendgegevenskop"/>
                          </w:pPr>
                          <w:r>
                            <w:t>Directoraat-Generaal Langdurige Zorg</w:t>
                          </w:r>
                        </w:p>
                        <w:p w14:paraId="2766B4F5" w14:textId="77777777" w:rsidR="00360635" w:rsidRPr="002508FA" w:rsidRDefault="00360635" w:rsidP="00360635">
                          <w:pPr>
                            <w:pStyle w:val="Huisstijl-Afzendgegevenskop"/>
                          </w:pPr>
                        </w:p>
                        <w:p w14:paraId="2A38F033" w14:textId="77777777" w:rsidR="00F860AE" w:rsidRDefault="00137EDD" w:rsidP="00A97BB8">
                          <w:pPr>
                            <w:pStyle w:val="Afzendgegevens"/>
                          </w:pPr>
                          <w:r>
                            <w:t>Bezoekadres:</w:t>
                          </w:r>
                        </w:p>
                        <w:p w14:paraId="65639C28" w14:textId="77777777" w:rsidR="00F860AE" w:rsidRPr="00FF71B3" w:rsidRDefault="00137EDD" w:rsidP="00A97BB8">
                          <w:pPr>
                            <w:pStyle w:val="Afzendgegevens"/>
                            <w:rPr>
                              <w:lang w:val="de-DE"/>
                            </w:rPr>
                          </w:pPr>
                          <w:r w:rsidRPr="00FF71B3">
                            <w:rPr>
                              <w:lang w:val="de-DE"/>
                            </w:rPr>
                            <w:t>Parnassusplein 5</w:t>
                          </w:r>
                        </w:p>
                        <w:p w14:paraId="396A9D3F" w14:textId="77777777" w:rsidR="00F860AE" w:rsidRPr="00FF71B3" w:rsidRDefault="00137EDD" w:rsidP="00A97BB8">
                          <w:pPr>
                            <w:pStyle w:val="Afzendgegevens"/>
                            <w:rPr>
                              <w:lang w:val="de-DE"/>
                            </w:rPr>
                          </w:pPr>
                          <w:r w:rsidRPr="00FF71B3">
                            <w:rPr>
                              <w:lang w:val="de-DE"/>
                            </w:rPr>
                            <w:t>251</w:t>
                          </w:r>
                          <w:r w:rsidR="00375EAB" w:rsidRPr="00FF71B3">
                            <w:rPr>
                              <w:lang w:val="de-DE"/>
                            </w:rPr>
                            <w:t>1</w:t>
                          </w:r>
                          <w:r w:rsidRPr="00FF71B3">
                            <w:rPr>
                              <w:lang w:val="de-DE"/>
                            </w:rPr>
                            <w:t xml:space="preserve"> </w:t>
                          </w:r>
                          <w:r w:rsidR="00375EAB" w:rsidRPr="00FF71B3">
                            <w:rPr>
                              <w:lang w:val="de-DE"/>
                            </w:rPr>
                            <w:t>VX</w:t>
                          </w:r>
                          <w:r w:rsidRPr="00FF71B3">
                            <w:rPr>
                              <w:lang w:val="de-DE"/>
                            </w:rPr>
                            <w:t xml:space="preserve"> </w:t>
                          </w:r>
                          <w:r w:rsidR="009A0B66" w:rsidRPr="00FF71B3">
                            <w:rPr>
                              <w:lang w:val="de-DE"/>
                            </w:rPr>
                            <w:t xml:space="preserve"> </w:t>
                          </w:r>
                          <w:r w:rsidR="00375EAB" w:rsidRPr="00FF71B3">
                            <w:rPr>
                              <w:lang w:val="de-DE"/>
                            </w:rPr>
                            <w:t>Den Haag</w:t>
                          </w:r>
                        </w:p>
                        <w:p w14:paraId="4A1F573F" w14:textId="77777777" w:rsidR="00F860AE" w:rsidRPr="00FF71B3" w:rsidRDefault="00137EDD" w:rsidP="00A97BB8">
                          <w:pPr>
                            <w:pStyle w:val="Afzendgegevens"/>
                            <w:tabs>
                              <w:tab w:val="left" w:pos="170"/>
                            </w:tabs>
                            <w:rPr>
                              <w:lang w:val="de-DE"/>
                            </w:rPr>
                          </w:pPr>
                          <w:r w:rsidRPr="00FF71B3">
                            <w:rPr>
                              <w:lang w:val="de-DE"/>
                            </w:rPr>
                            <w:t>T</w:t>
                          </w:r>
                          <w:r w:rsidRPr="00FF71B3">
                            <w:rPr>
                              <w:lang w:val="de-DE"/>
                            </w:rPr>
                            <w:tab/>
                            <w:t>070 340 79 11</w:t>
                          </w:r>
                        </w:p>
                        <w:p w14:paraId="2F62F22A" w14:textId="77777777" w:rsidR="00F860AE" w:rsidRDefault="00137EDD" w:rsidP="00A97BB8">
                          <w:pPr>
                            <w:pStyle w:val="Afzendgegevens"/>
                            <w:tabs>
                              <w:tab w:val="left" w:pos="170"/>
                            </w:tabs>
                          </w:pPr>
                          <w:r>
                            <w:t>F</w:t>
                          </w:r>
                          <w:r>
                            <w:tab/>
                            <w:t>070 340 78 34</w:t>
                          </w:r>
                        </w:p>
                        <w:p w14:paraId="01F10CC7" w14:textId="77777777" w:rsidR="00F860AE" w:rsidRDefault="00137EDD" w:rsidP="00A97BB8">
                          <w:pPr>
                            <w:pStyle w:val="Afzendgegevens"/>
                          </w:pPr>
                          <w:r>
                            <w:t>www.</w:t>
                          </w:r>
                          <w:r w:rsidR="00C2746E">
                            <w:t>rijksoverheid</w:t>
                          </w:r>
                          <w:r>
                            <w:t>.nl</w:t>
                          </w:r>
                        </w:p>
                        <w:p w14:paraId="1783E7C4" w14:textId="77777777" w:rsidR="00F860AE" w:rsidRDefault="00F860AE" w:rsidP="00A97BB8">
                          <w:pPr>
                            <w:pStyle w:val="Afzendgegevenswitregel2"/>
                          </w:pPr>
                        </w:p>
                        <w:p w14:paraId="3A5F09E5" w14:textId="77777777" w:rsidR="00F860AE" w:rsidRDefault="00137EDD" w:rsidP="00A97BB8">
                          <w:pPr>
                            <w:pStyle w:val="Afzendgegevenskopjes"/>
                          </w:pPr>
                          <w:r>
                            <w:t>Ons kenmerk</w:t>
                          </w:r>
                        </w:p>
                        <w:p w14:paraId="6B0B6FCE" w14:textId="77777777" w:rsidR="00D74EDF" w:rsidRPr="00420166" w:rsidRDefault="00137EDD" w:rsidP="00D74EDF">
                          <w:pPr>
                            <w:pStyle w:val="Huisstijl-Referentiegegevens"/>
                          </w:pPr>
                          <w:r>
                            <w:t>4370167-1096591-J</w:t>
                          </w:r>
                        </w:p>
                        <w:p w14:paraId="30CD14F8" w14:textId="77777777" w:rsidR="00F860AE" w:rsidRDefault="00F860AE" w:rsidP="00A97BB8">
                          <w:pPr>
                            <w:pStyle w:val="Afzendgegevenswitregel1"/>
                          </w:pPr>
                        </w:p>
                        <w:p w14:paraId="46AA2D8F" w14:textId="77777777" w:rsidR="00F860AE" w:rsidRDefault="00137EDD" w:rsidP="00A97BB8">
                          <w:pPr>
                            <w:pStyle w:val="Afzendgegevenskopjes"/>
                          </w:pPr>
                          <w:r>
                            <w:t>Bijlagen</w:t>
                          </w:r>
                        </w:p>
                        <w:p w14:paraId="09A29B06" w14:textId="77777777" w:rsidR="00F860AE" w:rsidRDefault="00137EDD" w:rsidP="00A97BB8">
                          <w:pPr>
                            <w:pStyle w:val="Afzendgegevens"/>
                          </w:pPr>
                          <w:bookmarkStart w:id="4" w:name="bmkBijlagen"/>
                          <w:bookmarkEnd w:id="4"/>
                          <w:r>
                            <w:t>1</w:t>
                          </w:r>
                        </w:p>
                        <w:p w14:paraId="3E21E103" w14:textId="77777777" w:rsidR="00F860AE" w:rsidRDefault="00F860AE" w:rsidP="00A97BB8">
                          <w:pPr>
                            <w:pStyle w:val="Afzendgegevenswitregel1"/>
                          </w:pPr>
                        </w:p>
                        <w:p w14:paraId="34C213E5" w14:textId="77777777" w:rsidR="00F860AE" w:rsidRDefault="00137EDD" w:rsidP="00A97BB8">
                          <w:pPr>
                            <w:pStyle w:val="Afzendgegevenskopjes"/>
                          </w:pPr>
                          <w:r>
                            <w:t>Datum document</w:t>
                          </w:r>
                        </w:p>
                        <w:p w14:paraId="14820FEF" w14:textId="77777777" w:rsidR="00D74EDF" w:rsidRPr="00D74EDF" w:rsidRDefault="00137EDD" w:rsidP="00D74EDF">
                          <w:pPr>
                            <w:spacing w:line="180" w:lineRule="atLeast"/>
                            <w:rPr>
                              <w:rFonts w:eastAsia="SimSun"/>
                              <w:sz w:val="13"/>
                            </w:rPr>
                          </w:pPr>
                          <w:bookmarkStart w:id="5" w:name="bmkUwBrief"/>
                          <w:bookmarkEnd w:id="5"/>
                          <w:r>
                            <w:rPr>
                              <w:rFonts w:eastAsia="SimSun"/>
                              <w:sz w:val="13"/>
                              <w:szCs w:val="13"/>
                            </w:rPr>
                            <w:t>02 april 2026</w:t>
                          </w:r>
                        </w:p>
                        <w:p w14:paraId="5CAA1233" w14:textId="77777777" w:rsidR="00F860AE" w:rsidRDefault="00F860AE" w:rsidP="00A97BB8">
                          <w:pPr>
                            <w:pStyle w:val="Afzendgegevenswitregel1"/>
                          </w:pPr>
                        </w:p>
                        <w:p w14:paraId="03890838" w14:textId="77777777" w:rsidR="00F860AE" w:rsidRPr="00C45528" w:rsidRDefault="00137EDD" w:rsidP="00A97BB8">
                          <w:pPr>
                            <w:pStyle w:val="Afzendgegevens"/>
                            <w:rPr>
                              <w:i/>
                            </w:rPr>
                          </w:pPr>
                          <w:r>
                            <w:rPr>
                              <w:i/>
                            </w:rPr>
                            <w:t xml:space="preserve">Correspondentie uitsluitend richten aan </w:t>
                          </w:r>
                          <w:r>
                            <w:rPr>
                              <w:i/>
                            </w:rPr>
                            <w:t>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FE72453"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838D596" w14:textId="77777777" w:rsidR="00360635" w:rsidRDefault="00137EDD" w:rsidP="00360635">
                    <w:pPr>
                      <w:pStyle w:val="Huisstijl-Afzendgegevenskop"/>
                    </w:pPr>
                    <w:r>
                      <w:t>Directoraat-Generaal Langdurige Zorg</w:t>
                    </w:r>
                  </w:p>
                  <w:p w14:paraId="2766B4F5" w14:textId="77777777" w:rsidR="00360635" w:rsidRPr="002508FA" w:rsidRDefault="00360635" w:rsidP="00360635">
                    <w:pPr>
                      <w:pStyle w:val="Huisstijl-Afzendgegevenskop"/>
                    </w:pPr>
                  </w:p>
                  <w:p w14:paraId="2A38F033" w14:textId="77777777" w:rsidR="00F860AE" w:rsidRDefault="00137EDD" w:rsidP="00A97BB8">
                    <w:pPr>
                      <w:pStyle w:val="Afzendgegevens"/>
                    </w:pPr>
                    <w:r>
                      <w:t>Bezoekadres:</w:t>
                    </w:r>
                  </w:p>
                  <w:p w14:paraId="65639C28" w14:textId="77777777" w:rsidR="00F860AE" w:rsidRPr="00FF71B3" w:rsidRDefault="00137EDD" w:rsidP="00A97BB8">
                    <w:pPr>
                      <w:pStyle w:val="Afzendgegevens"/>
                      <w:rPr>
                        <w:lang w:val="de-DE"/>
                      </w:rPr>
                    </w:pPr>
                    <w:r w:rsidRPr="00FF71B3">
                      <w:rPr>
                        <w:lang w:val="de-DE"/>
                      </w:rPr>
                      <w:t>Parnassusplein 5</w:t>
                    </w:r>
                  </w:p>
                  <w:p w14:paraId="396A9D3F" w14:textId="77777777" w:rsidR="00F860AE" w:rsidRPr="00FF71B3" w:rsidRDefault="00137EDD" w:rsidP="00A97BB8">
                    <w:pPr>
                      <w:pStyle w:val="Afzendgegevens"/>
                      <w:rPr>
                        <w:lang w:val="de-DE"/>
                      </w:rPr>
                    </w:pPr>
                    <w:r w:rsidRPr="00FF71B3">
                      <w:rPr>
                        <w:lang w:val="de-DE"/>
                      </w:rPr>
                      <w:t>251</w:t>
                    </w:r>
                    <w:r w:rsidR="00375EAB" w:rsidRPr="00FF71B3">
                      <w:rPr>
                        <w:lang w:val="de-DE"/>
                      </w:rPr>
                      <w:t>1</w:t>
                    </w:r>
                    <w:r w:rsidRPr="00FF71B3">
                      <w:rPr>
                        <w:lang w:val="de-DE"/>
                      </w:rPr>
                      <w:t xml:space="preserve"> </w:t>
                    </w:r>
                    <w:r w:rsidR="00375EAB" w:rsidRPr="00FF71B3">
                      <w:rPr>
                        <w:lang w:val="de-DE"/>
                      </w:rPr>
                      <w:t>VX</w:t>
                    </w:r>
                    <w:r w:rsidRPr="00FF71B3">
                      <w:rPr>
                        <w:lang w:val="de-DE"/>
                      </w:rPr>
                      <w:t xml:space="preserve"> </w:t>
                    </w:r>
                    <w:r w:rsidR="009A0B66" w:rsidRPr="00FF71B3">
                      <w:rPr>
                        <w:lang w:val="de-DE"/>
                      </w:rPr>
                      <w:t xml:space="preserve"> </w:t>
                    </w:r>
                    <w:r w:rsidR="00375EAB" w:rsidRPr="00FF71B3">
                      <w:rPr>
                        <w:lang w:val="de-DE"/>
                      </w:rPr>
                      <w:t>Den Haag</w:t>
                    </w:r>
                  </w:p>
                  <w:p w14:paraId="4A1F573F" w14:textId="77777777" w:rsidR="00F860AE" w:rsidRPr="00FF71B3" w:rsidRDefault="00137EDD" w:rsidP="00A97BB8">
                    <w:pPr>
                      <w:pStyle w:val="Afzendgegevens"/>
                      <w:tabs>
                        <w:tab w:val="left" w:pos="170"/>
                      </w:tabs>
                      <w:rPr>
                        <w:lang w:val="de-DE"/>
                      </w:rPr>
                    </w:pPr>
                    <w:r w:rsidRPr="00FF71B3">
                      <w:rPr>
                        <w:lang w:val="de-DE"/>
                      </w:rPr>
                      <w:t>T</w:t>
                    </w:r>
                    <w:r w:rsidRPr="00FF71B3">
                      <w:rPr>
                        <w:lang w:val="de-DE"/>
                      </w:rPr>
                      <w:tab/>
                      <w:t>070 340 79 11</w:t>
                    </w:r>
                  </w:p>
                  <w:p w14:paraId="2F62F22A" w14:textId="77777777" w:rsidR="00F860AE" w:rsidRDefault="00137EDD" w:rsidP="00A97BB8">
                    <w:pPr>
                      <w:pStyle w:val="Afzendgegevens"/>
                      <w:tabs>
                        <w:tab w:val="left" w:pos="170"/>
                      </w:tabs>
                    </w:pPr>
                    <w:r>
                      <w:t>F</w:t>
                    </w:r>
                    <w:r>
                      <w:tab/>
                      <w:t>070 340 78 34</w:t>
                    </w:r>
                  </w:p>
                  <w:p w14:paraId="01F10CC7" w14:textId="77777777" w:rsidR="00F860AE" w:rsidRDefault="00137EDD" w:rsidP="00A97BB8">
                    <w:pPr>
                      <w:pStyle w:val="Afzendgegevens"/>
                    </w:pPr>
                    <w:r>
                      <w:t>www.</w:t>
                    </w:r>
                    <w:r w:rsidR="00C2746E">
                      <w:t>rijksoverheid</w:t>
                    </w:r>
                    <w:r>
                      <w:t>.nl</w:t>
                    </w:r>
                  </w:p>
                  <w:p w14:paraId="1783E7C4" w14:textId="77777777" w:rsidR="00F860AE" w:rsidRDefault="00F860AE" w:rsidP="00A97BB8">
                    <w:pPr>
                      <w:pStyle w:val="Afzendgegevenswitregel2"/>
                    </w:pPr>
                  </w:p>
                  <w:p w14:paraId="3A5F09E5" w14:textId="77777777" w:rsidR="00F860AE" w:rsidRDefault="00137EDD" w:rsidP="00A97BB8">
                    <w:pPr>
                      <w:pStyle w:val="Afzendgegevenskopjes"/>
                    </w:pPr>
                    <w:r>
                      <w:t>Ons kenmerk</w:t>
                    </w:r>
                  </w:p>
                  <w:p w14:paraId="6B0B6FCE" w14:textId="77777777" w:rsidR="00D74EDF" w:rsidRPr="00420166" w:rsidRDefault="00137EDD" w:rsidP="00D74EDF">
                    <w:pPr>
                      <w:pStyle w:val="Huisstijl-Referentiegegevens"/>
                    </w:pPr>
                    <w:r>
                      <w:t>4370167-1096591-J</w:t>
                    </w:r>
                  </w:p>
                  <w:p w14:paraId="30CD14F8" w14:textId="77777777" w:rsidR="00F860AE" w:rsidRDefault="00F860AE" w:rsidP="00A97BB8">
                    <w:pPr>
                      <w:pStyle w:val="Afzendgegevenswitregel1"/>
                    </w:pPr>
                  </w:p>
                  <w:p w14:paraId="46AA2D8F" w14:textId="77777777" w:rsidR="00F860AE" w:rsidRDefault="00137EDD" w:rsidP="00A97BB8">
                    <w:pPr>
                      <w:pStyle w:val="Afzendgegevenskopjes"/>
                    </w:pPr>
                    <w:r>
                      <w:t>Bijlagen</w:t>
                    </w:r>
                  </w:p>
                  <w:p w14:paraId="09A29B06" w14:textId="77777777" w:rsidR="00F860AE" w:rsidRDefault="00137EDD" w:rsidP="00A97BB8">
                    <w:pPr>
                      <w:pStyle w:val="Afzendgegevens"/>
                    </w:pPr>
                    <w:bookmarkStart w:id="6" w:name="bmkBijlagen"/>
                    <w:bookmarkEnd w:id="6"/>
                    <w:r>
                      <w:t>1</w:t>
                    </w:r>
                  </w:p>
                  <w:p w14:paraId="3E21E103" w14:textId="77777777" w:rsidR="00F860AE" w:rsidRDefault="00F860AE" w:rsidP="00A97BB8">
                    <w:pPr>
                      <w:pStyle w:val="Afzendgegevenswitregel1"/>
                    </w:pPr>
                  </w:p>
                  <w:p w14:paraId="34C213E5" w14:textId="77777777" w:rsidR="00F860AE" w:rsidRDefault="00137EDD" w:rsidP="00A97BB8">
                    <w:pPr>
                      <w:pStyle w:val="Afzendgegevenskopjes"/>
                    </w:pPr>
                    <w:r>
                      <w:t>Datum document</w:t>
                    </w:r>
                  </w:p>
                  <w:p w14:paraId="14820FEF" w14:textId="77777777" w:rsidR="00D74EDF" w:rsidRPr="00D74EDF" w:rsidRDefault="00137EDD" w:rsidP="00D74EDF">
                    <w:pPr>
                      <w:spacing w:line="180" w:lineRule="atLeast"/>
                      <w:rPr>
                        <w:rFonts w:eastAsia="SimSun"/>
                        <w:sz w:val="13"/>
                      </w:rPr>
                    </w:pPr>
                    <w:bookmarkStart w:id="7" w:name="bmkUwBrief"/>
                    <w:bookmarkEnd w:id="7"/>
                    <w:r>
                      <w:rPr>
                        <w:rFonts w:eastAsia="SimSun"/>
                        <w:sz w:val="13"/>
                        <w:szCs w:val="13"/>
                      </w:rPr>
                      <w:t>02 april 2026</w:t>
                    </w:r>
                  </w:p>
                  <w:p w14:paraId="5CAA1233" w14:textId="77777777" w:rsidR="00F860AE" w:rsidRDefault="00F860AE" w:rsidP="00A97BB8">
                    <w:pPr>
                      <w:pStyle w:val="Afzendgegevenswitregel1"/>
                    </w:pPr>
                  </w:p>
                  <w:p w14:paraId="03890838" w14:textId="77777777" w:rsidR="00F860AE" w:rsidRPr="00C45528" w:rsidRDefault="00137EDD" w:rsidP="00A97BB8">
                    <w:pPr>
                      <w:pStyle w:val="Afzendgegevens"/>
                      <w:rPr>
                        <w:i/>
                      </w:rPr>
                    </w:pPr>
                    <w:r>
                      <w:rPr>
                        <w:i/>
                      </w:rPr>
                      <w:t xml:space="preserve">Correspondentie uitsluitend richten aan </w:t>
                    </w:r>
                    <w:r>
                      <w:rPr>
                        <w:i/>
                      </w:rPr>
                      <w:t>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F2F" w14:textId="77777777" w:rsidR="00F860AE" w:rsidRDefault="00F860AE">
    <w:pPr>
      <w:pStyle w:val="Koptekst"/>
    </w:pPr>
  </w:p>
  <w:p w14:paraId="278A8900"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F673095"/>
    <w:multiLevelType w:val="hybridMultilevel"/>
    <w:tmpl w:val="F2181AF0"/>
    <w:lvl w:ilvl="0" w:tplc="E9249B98">
      <w:start w:val="1"/>
      <w:numFmt w:val="bullet"/>
      <w:lvlText w:val=""/>
      <w:lvlJc w:val="left"/>
      <w:pPr>
        <w:ind w:left="720" w:hanging="360"/>
      </w:pPr>
      <w:rPr>
        <w:rFonts w:ascii="Symbol" w:hAnsi="Symbol" w:hint="default"/>
      </w:rPr>
    </w:lvl>
    <w:lvl w:ilvl="1" w:tplc="ADDE90EE" w:tentative="1">
      <w:start w:val="1"/>
      <w:numFmt w:val="bullet"/>
      <w:lvlText w:val="o"/>
      <w:lvlJc w:val="left"/>
      <w:pPr>
        <w:ind w:left="1440" w:hanging="360"/>
      </w:pPr>
      <w:rPr>
        <w:rFonts w:ascii="Courier New" w:hAnsi="Courier New" w:cs="Courier New" w:hint="default"/>
      </w:rPr>
    </w:lvl>
    <w:lvl w:ilvl="2" w:tplc="8D509CA6" w:tentative="1">
      <w:start w:val="1"/>
      <w:numFmt w:val="bullet"/>
      <w:lvlText w:val=""/>
      <w:lvlJc w:val="left"/>
      <w:pPr>
        <w:ind w:left="2160" w:hanging="360"/>
      </w:pPr>
      <w:rPr>
        <w:rFonts w:ascii="Wingdings" w:hAnsi="Wingdings" w:hint="default"/>
      </w:rPr>
    </w:lvl>
    <w:lvl w:ilvl="3" w:tplc="0F9061DE" w:tentative="1">
      <w:start w:val="1"/>
      <w:numFmt w:val="bullet"/>
      <w:lvlText w:val=""/>
      <w:lvlJc w:val="left"/>
      <w:pPr>
        <w:ind w:left="2880" w:hanging="360"/>
      </w:pPr>
      <w:rPr>
        <w:rFonts w:ascii="Symbol" w:hAnsi="Symbol" w:hint="default"/>
      </w:rPr>
    </w:lvl>
    <w:lvl w:ilvl="4" w:tplc="0D2459C4" w:tentative="1">
      <w:start w:val="1"/>
      <w:numFmt w:val="bullet"/>
      <w:lvlText w:val="o"/>
      <w:lvlJc w:val="left"/>
      <w:pPr>
        <w:ind w:left="3600" w:hanging="360"/>
      </w:pPr>
      <w:rPr>
        <w:rFonts w:ascii="Courier New" w:hAnsi="Courier New" w:cs="Courier New" w:hint="default"/>
      </w:rPr>
    </w:lvl>
    <w:lvl w:ilvl="5" w:tplc="05CCC212" w:tentative="1">
      <w:start w:val="1"/>
      <w:numFmt w:val="bullet"/>
      <w:lvlText w:val=""/>
      <w:lvlJc w:val="left"/>
      <w:pPr>
        <w:ind w:left="4320" w:hanging="360"/>
      </w:pPr>
      <w:rPr>
        <w:rFonts w:ascii="Wingdings" w:hAnsi="Wingdings" w:hint="default"/>
      </w:rPr>
    </w:lvl>
    <w:lvl w:ilvl="6" w:tplc="E2740B02" w:tentative="1">
      <w:start w:val="1"/>
      <w:numFmt w:val="bullet"/>
      <w:lvlText w:val=""/>
      <w:lvlJc w:val="left"/>
      <w:pPr>
        <w:ind w:left="5040" w:hanging="360"/>
      </w:pPr>
      <w:rPr>
        <w:rFonts w:ascii="Symbol" w:hAnsi="Symbol" w:hint="default"/>
      </w:rPr>
    </w:lvl>
    <w:lvl w:ilvl="7" w:tplc="C898F2FC" w:tentative="1">
      <w:start w:val="1"/>
      <w:numFmt w:val="bullet"/>
      <w:lvlText w:val="o"/>
      <w:lvlJc w:val="left"/>
      <w:pPr>
        <w:ind w:left="5760" w:hanging="360"/>
      </w:pPr>
      <w:rPr>
        <w:rFonts w:ascii="Courier New" w:hAnsi="Courier New" w:cs="Courier New" w:hint="default"/>
      </w:rPr>
    </w:lvl>
    <w:lvl w:ilvl="8" w:tplc="34365C60" w:tentative="1">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51A1C32"/>
    <w:multiLevelType w:val="hybridMultilevel"/>
    <w:tmpl w:val="CA0CBCB0"/>
    <w:lvl w:ilvl="0" w:tplc="E2743DB6">
      <w:start w:val="1"/>
      <w:numFmt w:val="bullet"/>
      <w:lvlText w:val=""/>
      <w:lvlJc w:val="left"/>
      <w:pPr>
        <w:ind w:left="720" w:hanging="360"/>
      </w:pPr>
      <w:rPr>
        <w:rFonts w:ascii="Symbol" w:hAnsi="Symbol" w:hint="default"/>
      </w:rPr>
    </w:lvl>
    <w:lvl w:ilvl="1" w:tplc="D55CE1F0" w:tentative="1">
      <w:start w:val="1"/>
      <w:numFmt w:val="bullet"/>
      <w:lvlText w:val="o"/>
      <w:lvlJc w:val="left"/>
      <w:pPr>
        <w:ind w:left="1440" w:hanging="360"/>
      </w:pPr>
      <w:rPr>
        <w:rFonts w:ascii="Courier New" w:hAnsi="Courier New" w:cs="Courier New" w:hint="default"/>
      </w:rPr>
    </w:lvl>
    <w:lvl w:ilvl="2" w:tplc="66729960" w:tentative="1">
      <w:start w:val="1"/>
      <w:numFmt w:val="bullet"/>
      <w:lvlText w:val=""/>
      <w:lvlJc w:val="left"/>
      <w:pPr>
        <w:ind w:left="2160" w:hanging="360"/>
      </w:pPr>
      <w:rPr>
        <w:rFonts w:ascii="Wingdings" w:hAnsi="Wingdings" w:hint="default"/>
      </w:rPr>
    </w:lvl>
    <w:lvl w:ilvl="3" w:tplc="73B66A38" w:tentative="1">
      <w:start w:val="1"/>
      <w:numFmt w:val="bullet"/>
      <w:lvlText w:val=""/>
      <w:lvlJc w:val="left"/>
      <w:pPr>
        <w:ind w:left="2880" w:hanging="360"/>
      </w:pPr>
      <w:rPr>
        <w:rFonts w:ascii="Symbol" w:hAnsi="Symbol" w:hint="default"/>
      </w:rPr>
    </w:lvl>
    <w:lvl w:ilvl="4" w:tplc="5FACA0B8" w:tentative="1">
      <w:start w:val="1"/>
      <w:numFmt w:val="bullet"/>
      <w:lvlText w:val="o"/>
      <w:lvlJc w:val="left"/>
      <w:pPr>
        <w:ind w:left="3600" w:hanging="360"/>
      </w:pPr>
      <w:rPr>
        <w:rFonts w:ascii="Courier New" w:hAnsi="Courier New" w:cs="Courier New" w:hint="default"/>
      </w:rPr>
    </w:lvl>
    <w:lvl w:ilvl="5" w:tplc="26888E42" w:tentative="1">
      <w:start w:val="1"/>
      <w:numFmt w:val="bullet"/>
      <w:lvlText w:val=""/>
      <w:lvlJc w:val="left"/>
      <w:pPr>
        <w:ind w:left="4320" w:hanging="360"/>
      </w:pPr>
      <w:rPr>
        <w:rFonts w:ascii="Wingdings" w:hAnsi="Wingdings" w:hint="default"/>
      </w:rPr>
    </w:lvl>
    <w:lvl w:ilvl="6" w:tplc="26FC1F98" w:tentative="1">
      <w:start w:val="1"/>
      <w:numFmt w:val="bullet"/>
      <w:lvlText w:val=""/>
      <w:lvlJc w:val="left"/>
      <w:pPr>
        <w:ind w:left="5040" w:hanging="360"/>
      </w:pPr>
      <w:rPr>
        <w:rFonts w:ascii="Symbol" w:hAnsi="Symbol" w:hint="default"/>
      </w:rPr>
    </w:lvl>
    <w:lvl w:ilvl="7" w:tplc="6F2C5CE4" w:tentative="1">
      <w:start w:val="1"/>
      <w:numFmt w:val="bullet"/>
      <w:lvlText w:val="o"/>
      <w:lvlJc w:val="left"/>
      <w:pPr>
        <w:ind w:left="5760" w:hanging="360"/>
      </w:pPr>
      <w:rPr>
        <w:rFonts w:ascii="Courier New" w:hAnsi="Courier New" w:cs="Courier New" w:hint="default"/>
      </w:rPr>
    </w:lvl>
    <w:lvl w:ilvl="8" w:tplc="0E088AD6" w:tentative="1">
      <w:start w:val="1"/>
      <w:numFmt w:val="bullet"/>
      <w:lvlText w:val=""/>
      <w:lvlJc w:val="left"/>
      <w:pPr>
        <w:ind w:left="6480" w:hanging="360"/>
      </w:pPr>
      <w:rPr>
        <w:rFonts w:ascii="Wingdings" w:hAnsi="Wingdings"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90D4909"/>
    <w:multiLevelType w:val="hybridMultilevel"/>
    <w:tmpl w:val="99AC0C42"/>
    <w:lvl w:ilvl="0" w:tplc="A78295C4">
      <w:numFmt w:val="bullet"/>
      <w:lvlText w:val="-"/>
      <w:lvlJc w:val="left"/>
      <w:pPr>
        <w:ind w:left="360" w:hanging="360"/>
      </w:pPr>
      <w:rPr>
        <w:rFonts w:ascii="Verdana" w:eastAsia="Times New Roman" w:hAnsi="Verdana" w:cs="Times New Roman" w:hint="default"/>
      </w:rPr>
    </w:lvl>
    <w:lvl w:ilvl="1" w:tplc="03147BCA" w:tentative="1">
      <w:start w:val="1"/>
      <w:numFmt w:val="bullet"/>
      <w:lvlText w:val="o"/>
      <w:lvlJc w:val="left"/>
      <w:pPr>
        <w:ind w:left="1080" w:hanging="360"/>
      </w:pPr>
      <w:rPr>
        <w:rFonts w:ascii="Courier New" w:hAnsi="Courier New" w:cs="Courier New" w:hint="default"/>
      </w:rPr>
    </w:lvl>
    <w:lvl w:ilvl="2" w:tplc="7C30BEF8" w:tentative="1">
      <w:start w:val="1"/>
      <w:numFmt w:val="bullet"/>
      <w:lvlText w:val=""/>
      <w:lvlJc w:val="left"/>
      <w:pPr>
        <w:ind w:left="1800" w:hanging="360"/>
      </w:pPr>
      <w:rPr>
        <w:rFonts w:ascii="Wingdings" w:hAnsi="Wingdings" w:hint="default"/>
      </w:rPr>
    </w:lvl>
    <w:lvl w:ilvl="3" w:tplc="BCA206FC" w:tentative="1">
      <w:start w:val="1"/>
      <w:numFmt w:val="bullet"/>
      <w:lvlText w:val=""/>
      <w:lvlJc w:val="left"/>
      <w:pPr>
        <w:ind w:left="2520" w:hanging="360"/>
      </w:pPr>
      <w:rPr>
        <w:rFonts w:ascii="Symbol" w:hAnsi="Symbol" w:hint="default"/>
      </w:rPr>
    </w:lvl>
    <w:lvl w:ilvl="4" w:tplc="523E7AB6" w:tentative="1">
      <w:start w:val="1"/>
      <w:numFmt w:val="bullet"/>
      <w:lvlText w:val="o"/>
      <w:lvlJc w:val="left"/>
      <w:pPr>
        <w:ind w:left="3240" w:hanging="360"/>
      </w:pPr>
      <w:rPr>
        <w:rFonts w:ascii="Courier New" w:hAnsi="Courier New" w:cs="Courier New" w:hint="default"/>
      </w:rPr>
    </w:lvl>
    <w:lvl w:ilvl="5" w:tplc="139EFE50" w:tentative="1">
      <w:start w:val="1"/>
      <w:numFmt w:val="bullet"/>
      <w:lvlText w:val=""/>
      <w:lvlJc w:val="left"/>
      <w:pPr>
        <w:ind w:left="3960" w:hanging="360"/>
      </w:pPr>
      <w:rPr>
        <w:rFonts w:ascii="Wingdings" w:hAnsi="Wingdings" w:hint="default"/>
      </w:rPr>
    </w:lvl>
    <w:lvl w:ilvl="6" w:tplc="FA1A7696" w:tentative="1">
      <w:start w:val="1"/>
      <w:numFmt w:val="bullet"/>
      <w:lvlText w:val=""/>
      <w:lvlJc w:val="left"/>
      <w:pPr>
        <w:ind w:left="4680" w:hanging="360"/>
      </w:pPr>
      <w:rPr>
        <w:rFonts w:ascii="Symbol" w:hAnsi="Symbol" w:hint="default"/>
      </w:rPr>
    </w:lvl>
    <w:lvl w:ilvl="7" w:tplc="C492A858" w:tentative="1">
      <w:start w:val="1"/>
      <w:numFmt w:val="bullet"/>
      <w:lvlText w:val="o"/>
      <w:lvlJc w:val="left"/>
      <w:pPr>
        <w:ind w:left="5400" w:hanging="360"/>
      </w:pPr>
      <w:rPr>
        <w:rFonts w:ascii="Courier New" w:hAnsi="Courier New" w:cs="Courier New" w:hint="default"/>
      </w:rPr>
    </w:lvl>
    <w:lvl w:ilvl="8" w:tplc="E9EC9EAE" w:tentative="1">
      <w:start w:val="1"/>
      <w:numFmt w:val="bullet"/>
      <w:lvlText w:val=""/>
      <w:lvlJc w:val="left"/>
      <w:pPr>
        <w:ind w:left="6120" w:hanging="360"/>
      </w:pPr>
      <w:rPr>
        <w:rFonts w:ascii="Wingdings" w:hAnsi="Wingdings" w:hint="default"/>
      </w:r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0"/>
  </w:num>
  <w:num w:numId="15" w16cid:durableId="766197340">
    <w:abstractNumId w:val="17"/>
  </w:num>
  <w:num w:numId="16" w16cid:durableId="639068008">
    <w:abstractNumId w:val="17"/>
  </w:num>
  <w:num w:numId="17" w16cid:durableId="1936866888">
    <w:abstractNumId w:val="17"/>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9"/>
  </w:num>
  <w:num w:numId="29" w16cid:durableId="240991118">
    <w:abstractNumId w:val="19"/>
  </w:num>
  <w:num w:numId="30" w16cid:durableId="311371411">
    <w:abstractNumId w:val="19"/>
  </w:num>
  <w:num w:numId="31" w16cid:durableId="1746295705">
    <w:abstractNumId w:val="19"/>
  </w:num>
  <w:num w:numId="32" w16cid:durableId="1312128105">
    <w:abstractNumId w:val="16"/>
  </w:num>
  <w:num w:numId="33" w16cid:durableId="644700477">
    <w:abstractNumId w:val="16"/>
  </w:num>
  <w:num w:numId="34" w16cid:durableId="1308247941">
    <w:abstractNumId w:val="16"/>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9"/>
  </w:num>
  <w:num w:numId="44" w16cid:durableId="608125816">
    <w:abstractNumId w:val="19"/>
  </w:num>
  <w:num w:numId="45" w16cid:durableId="1362970620">
    <w:abstractNumId w:val="19"/>
  </w:num>
  <w:num w:numId="46" w16cid:durableId="1241016823">
    <w:abstractNumId w:val="19"/>
  </w:num>
  <w:num w:numId="47" w16cid:durableId="787772551">
    <w:abstractNumId w:val="0"/>
  </w:num>
  <w:num w:numId="48" w16cid:durableId="2131509349">
    <w:abstractNumId w:val="11"/>
  </w:num>
  <w:num w:numId="49" w16cid:durableId="1306622702">
    <w:abstractNumId w:val="14"/>
  </w:num>
  <w:num w:numId="50" w16cid:durableId="11381880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3199"/>
    <w:rsid w:val="00024097"/>
    <w:rsid w:val="0003701D"/>
    <w:rsid w:val="0004156C"/>
    <w:rsid w:val="00044264"/>
    <w:rsid w:val="000443E7"/>
    <w:rsid w:val="00067C7F"/>
    <w:rsid w:val="000905C8"/>
    <w:rsid w:val="00091E11"/>
    <w:rsid w:val="000C20F7"/>
    <w:rsid w:val="000C3852"/>
    <w:rsid w:val="000C6771"/>
    <w:rsid w:val="000D3311"/>
    <w:rsid w:val="000E4C38"/>
    <w:rsid w:val="000F262C"/>
    <w:rsid w:val="000F2F05"/>
    <w:rsid w:val="000F3F37"/>
    <w:rsid w:val="000F7D2A"/>
    <w:rsid w:val="00106D6E"/>
    <w:rsid w:val="00111ABC"/>
    <w:rsid w:val="00112CD5"/>
    <w:rsid w:val="00117AEC"/>
    <w:rsid w:val="00126768"/>
    <w:rsid w:val="00132B19"/>
    <w:rsid w:val="00144EAB"/>
    <w:rsid w:val="0014593E"/>
    <w:rsid w:val="0015027E"/>
    <w:rsid w:val="00166333"/>
    <w:rsid w:val="0017367B"/>
    <w:rsid w:val="00180FCE"/>
    <w:rsid w:val="0018245B"/>
    <w:rsid w:val="00191A6E"/>
    <w:rsid w:val="001C22D9"/>
    <w:rsid w:val="001D4912"/>
    <w:rsid w:val="001E37CA"/>
    <w:rsid w:val="001E4AA7"/>
    <w:rsid w:val="00206CA2"/>
    <w:rsid w:val="00211CA7"/>
    <w:rsid w:val="00214C80"/>
    <w:rsid w:val="002508FA"/>
    <w:rsid w:val="00261464"/>
    <w:rsid w:val="0026437C"/>
    <w:rsid w:val="002772AE"/>
    <w:rsid w:val="0027737A"/>
    <w:rsid w:val="00282965"/>
    <w:rsid w:val="00283FB4"/>
    <w:rsid w:val="00292C8C"/>
    <w:rsid w:val="0029323F"/>
    <w:rsid w:val="002937FB"/>
    <w:rsid w:val="00294D69"/>
    <w:rsid w:val="002A273F"/>
    <w:rsid w:val="002A4808"/>
    <w:rsid w:val="002A7945"/>
    <w:rsid w:val="002A7FF7"/>
    <w:rsid w:val="002C728A"/>
    <w:rsid w:val="002E382F"/>
    <w:rsid w:val="002E6EEF"/>
    <w:rsid w:val="002F49BE"/>
    <w:rsid w:val="002F4BAE"/>
    <w:rsid w:val="00305A22"/>
    <w:rsid w:val="00312E83"/>
    <w:rsid w:val="00323A44"/>
    <w:rsid w:val="0032468A"/>
    <w:rsid w:val="00330C81"/>
    <w:rsid w:val="00331F26"/>
    <w:rsid w:val="003408F7"/>
    <w:rsid w:val="00342416"/>
    <w:rsid w:val="003565EF"/>
    <w:rsid w:val="00360635"/>
    <w:rsid w:val="00375EAB"/>
    <w:rsid w:val="00394BD1"/>
    <w:rsid w:val="003977E9"/>
    <w:rsid w:val="003A0FCD"/>
    <w:rsid w:val="003C1482"/>
    <w:rsid w:val="003F281F"/>
    <w:rsid w:val="00420166"/>
    <w:rsid w:val="00440752"/>
    <w:rsid w:val="00443B68"/>
    <w:rsid w:val="004868E0"/>
    <w:rsid w:val="00494227"/>
    <w:rsid w:val="004A1D2C"/>
    <w:rsid w:val="004B50BD"/>
    <w:rsid w:val="004B5A41"/>
    <w:rsid w:val="004C28CC"/>
    <w:rsid w:val="004D3EE4"/>
    <w:rsid w:val="004F4498"/>
    <w:rsid w:val="004F7466"/>
    <w:rsid w:val="00506C21"/>
    <w:rsid w:val="00525092"/>
    <w:rsid w:val="00527323"/>
    <w:rsid w:val="00537EB3"/>
    <w:rsid w:val="00547739"/>
    <w:rsid w:val="00553742"/>
    <w:rsid w:val="00586002"/>
    <w:rsid w:val="005A273B"/>
    <w:rsid w:val="005A668A"/>
    <w:rsid w:val="005C4279"/>
    <w:rsid w:val="005C55B1"/>
    <w:rsid w:val="005D0FE6"/>
    <w:rsid w:val="00605234"/>
    <w:rsid w:val="006151DB"/>
    <w:rsid w:val="006339DB"/>
    <w:rsid w:val="00634D71"/>
    <w:rsid w:val="00635330"/>
    <w:rsid w:val="0065343A"/>
    <w:rsid w:val="00655CFA"/>
    <w:rsid w:val="00656DE0"/>
    <w:rsid w:val="00664139"/>
    <w:rsid w:val="00664686"/>
    <w:rsid w:val="00670F32"/>
    <w:rsid w:val="00670F96"/>
    <w:rsid w:val="00674CA6"/>
    <w:rsid w:val="006774AE"/>
    <w:rsid w:val="00680FCF"/>
    <w:rsid w:val="0068176A"/>
    <w:rsid w:val="006A7FED"/>
    <w:rsid w:val="006B50D8"/>
    <w:rsid w:val="006C0536"/>
    <w:rsid w:val="006C0CC8"/>
    <w:rsid w:val="006D4913"/>
    <w:rsid w:val="006E07B5"/>
    <w:rsid w:val="00721401"/>
    <w:rsid w:val="007275B8"/>
    <w:rsid w:val="00727E4A"/>
    <w:rsid w:val="0075008E"/>
    <w:rsid w:val="007539FC"/>
    <w:rsid w:val="00754BBC"/>
    <w:rsid w:val="00756CC5"/>
    <w:rsid w:val="007605B0"/>
    <w:rsid w:val="007640E5"/>
    <w:rsid w:val="00773942"/>
    <w:rsid w:val="00782C8A"/>
    <w:rsid w:val="00794A93"/>
    <w:rsid w:val="007C0BC6"/>
    <w:rsid w:val="007C258C"/>
    <w:rsid w:val="007D6882"/>
    <w:rsid w:val="007E13A5"/>
    <w:rsid w:val="007F5AEE"/>
    <w:rsid w:val="007F63F2"/>
    <w:rsid w:val="00803A9A"/>
    <w:rsid w:val="00803C7D"/>
    <w:rsid w:val="00804B17"/>
    <w:rsid w:val="008114CF"/>
    <w:rsid w:val="008232FE"/>
    <w:rsid w:val="0082399F"/>
    <w:rsid w:val="00850932"/>
    <w:rsid w:val="008570F5"/>
    <w:rsid w:val="00861D19"/>
    <w:rsid w:val="00891202"/>
    <w:rsid w:val="00897378"/>
    <w:rsid w:val="00897ABA"/>
    <w:rsid w:val="008A42E7"/>
    <w:rsid w:val="008E5C66"/>
    <w:rsid w:val="008F5C23"/>
    <w:rsid w:val="00906B99"/>
    <w:rsid w:val="009071A4"/>
    <w:rsid w:val="00907302"/>
    <w:rsid w:val="00907AC4"/>
    <w:rsid w:val="009170B7"/>
    <w:rsid w:val="009368F6"/>
    <w:rsid w:val="009526A0"/>
    <w:rsid w:val="0096086B"/>
    <w:rsid w:val="009608D3"/>
    <w:rsid w:val="009615EB"/>
    <w:rsid w:val="0096635E"/>
    <w:rsid w:val="0097256C"/>
    <w:rsid w:val="0097481D"/>
    <w:rsid w:val="009945B3"/>
    <w:rsid w:val="009A0559"/>
    <w:rsid w:val="009A0B66"/>
    <w:rsid w:val="009A2918"/>
    <w:rsid w:val="009B7B79"/>
    <w:rsid w:val="009C1DFC"/>
    <w:rsid w:val="009C3267"/>
    <w:rsid w:val="009C6EC6"/>
    <w:rsid w:val="009D1389"/>
    <w:rsid w:val="009E49D6"/>
    <w:rsid w:val="00A00443"/>
    <w:rsid w:val="00A0347D"/>
    <w:rsid w:val="00A1272F"/>
    <w:rsid w:val="00A1671E"/>
    <w:rsid w:val="00A257D1"/>
    <w:rsid w:val="00A439C2"/>
    <w:rsid w:val="00A46115"/>
    <w:rsid w:val="00A75276"/>
    <w:rsid w:val="00A907B9"/>
    <w:rsid w:val="00A97BB8"/>
    <w:rsid w:val="00AB37A2"/>
    <w:rsid w:val="00AB4A9A"/>
    <w:rsid w:val="00AB6116"/>
    <w:rsid w:val="00AC17D5"/>
    <w:rsid w:val="00AC2BFA"/>
    <w:rsid w:val="00AE5E7A"/>
    <w:rsid w:val="00AF324F"/>
    <w:rsid w:val="00B021D3"/>
    <w:rsid w:val="00B04FDB"/>
    <w:rsid w:val="00B25223"/>
    <w:rsid w:val="00B4064E"/>
    <w:rsid w:val="00B42A63"/>
    <w:rsid w:val="00B43456"/>
    <w:rsid w:val="00B452FA"/>
    <w:rsid w:val="00B54A56"/>
    <w:rsid w:val="00B55170"/>
    <w:rsid w:val="00B566C7"/>
    <w:rsid w:val="00B6471C"/>
    <w:rsid w:val="00B65DEA"/>
    <w:rsid w:val="00B820D4"/>
    <w:rsid w:val="00B83641"/>
    <w:rsid w:val="00B963F2"/>
    <w:rsid w:val="00BA19A7"/>
    <w:rsid w:val="00BC5E5A"/>
    <w:rsid w:val="00BC75A2"/>
    <w:rsid w:val="00BE11D3"/>
    <w:rsid w:val="00BE3ABA"/>
    <w:rsid w:val="00BF1E5F"/>
    <w:rsid w:val="00BF363E"/>
    <w:rsid w:val="00C042FE"/>
    <w:rsid w:val="00C12240"/>
    <w:rsid w:val="00C2219A"/>
    <w:rsid w:val="00C2746E"/>
    <w:rsid w:val="00C45528"/>
    <w:rsid w:val="00C67757"/>
    <w:rsid w:val="00C742D7"/>
    <w:rsid w:val="00C76AFD"/>
    <w:rsid w:val="00C80B80"/>
    <w:rsid w:val="00C9417E"/>
    <w:rsid w:val="00CA481F"/>
    <w:rsid w:val="00CB09AE"/>
    <w:rsid w:val="00CC2EDD"/>
    <w:rsid w:val="00CD35C8"/>
    <w:rsid w:val="00CF2030"/>
    <w:rsid w:val="00CF5118"/>
    <w:rsid w:val="00D0069C"/>
    <w:rsid w:val="00D01419"/>
    <w:rsid w:val="00D1126F"/>
    <w:rsid w:val="00D11661"/>
    <w:rsid w:val="00D22737"/>
    <w:rsid w:val="00D324DD"/>
    <w:rsid w:val="00D43321"/>
    <w:rsid w:val="00D46F61"/>
    <w:rsid w:val="00D535A1"/>
    <w:rsid w:val="00D66608"/>
    <w:rsid w:val="00D74EDF"/>
    <w:rsid w:val="00D81FF9"/>
    <w:rsid w:val="00D82490"/>
    <w:rsid w:val="00D87848"/>
    <w:rsid w:val="00D97A0B"/>
    <w:rsid w:val="00DC00BE"/>
    <w:rsid w:val="00DC5645"/>
    <w:rsid w:val="00DF58DA"/>
    <w:rsid w:val="00E00E6C"/>
    <w:rsid w:val="00E1665B"/>
    <w:rsid w:val="00E16C64"/>
    <w:rsid w:val="00E22CBC"/>
    <w:rsid w:val="00E258B4"/>
    <w:rsid w:val="00E25E34"/>
    <w:rsid w:val="00E57FE4"/>
    <w:rsid w:val="00E703F4"/>
    <w:rsid w:val="00EA10D8"/>
    <w:rsid w:val="00EA6D30"/>
    <w:rsid w:val="00EB2F0F"/>
    <w:rsid w:val="00EB49A6"/>
    <w:rsid w:val="00ED4911"/>
    <w:rsid w:val="00ED6774"/>
    <w:rsid w:val="00EE6EBB"/>
    <w:rsid w:val="00EE7520"/>
    <w:rsid w:val="00F01F8C"/>
    <w:rsid w:val="00F06AF8"/>
    <w:rsid w:val="00F06C16"/>
    <w:rsid w:val="00F20C99"/>
    <w:rsid w:val="00F306B5"/>
    <w:rsid w:val="00F358D8"/>
    <w:rsid w:val="00F36B68"/>
    <w:rsid w:val="00F43663"/>
    <w:rsid w:val="00F51572"/>
    <w:rsid w:val="00F60FF6"/>
    <w:rsid w:val="00F860AE"/>
    <w:rsid w:val="00F93113"/>
    <w:rsid w:val="00F94D07"/>
    <w:rsid w:val="00FB3314"/>
    <w:rsid w:val="00FC4A2B"/>
    <w:rsid w:val="00FF71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E3A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DF58DA"/>
    <w:pPr>
      <w:spacing w:after="160" w:line="259" w:lineRule="auto"/>
      <w:ind w:left="720"/>
      <w:contextualSpacing/>
    </w:pPr>
    <w:rPr>
      <w:rFonts w:eastAsiaTheme="minorHAnsi" w:cstheme="minorBidi"/>
      <w:kern w:val="2"/>
      <w:szCs w:val="22"/>
      <w:lang w:val="en-US" w:eastAsia="en-US"/>
      <w14:ligatures w14:val="standardContextual"/>
    </w:rPr>
  </w:style>
  <w:style w:type="character" w:customStyle="1" w:styleId="VoetnoottekstChar">
    <w:name w:val="Voetnoottekst Char"/>
    <w:basedOn w:val="Standaardalinea-lettertype"/>
    <w:link w:val="Voetnoottekst"/>
    <w:uiPriority w:val="99"/>
    <w:semiHidden/>
    <w:rsid w:val="00DF58DA"/>
    <w:rPr>
      <w:rFonts w:ascii="Verdana" w:hAnsi="Verdana"/>
      <w:sz w:val="18"/>
    </w:rPr>
  </w:style>
  <w:style w:type="character" w:styleId="Voetnootmarkering">
    <w:name w:val="footnote reference"/>
    <w:basedOn w:val="Standaardalinea-lettertype"/>
    <w:uiPriority w:val="99"/>
    <w:unhideWhenUsed/>
    <w:rsid w:val="00DF58DA"/>
    <w:rPr>
      <w:vertAlign w:val="superscript"/>
    </w:rPr>
  </w:style>
  <w:style w:type="character" w:styleId="Hyperlink">
    <w:name w:val="Hyperlink"/>
    <w:basedOn w:val="Standaardalinea-lettertype"/>
    <w:uiPriority w:val="99"/>
    <w:unhideWhenUsed/>
    <w:rsid w:val="00DF58DA"/>
    <w:rPr>
      <w:color w:val="0563C1" w:themeColor="hyperlink"/>
      <w:u w:val="single"/>
    </w:rPr>
  </w:style>
  <w:style w:type="paragraph" w:customStyle="1" w:styleId="Huisstijl-Afzendgegevenskop">
    <w:name w:val="Huisstijl - Afzendgegevens kop"/>
    <w:basedOn w:val="Standaard"/>
    <w:rsid w:val="00360635"/>
    <w:pPr>
      <w:widowControl w:val="0"/>
      <w:suppressAutoHyphens/>
      <w:autoSpaceDN w:val="0"/>
      <w:spacing w:line="180" w:lineRule="exact"/>
      <w:textAlignment w:val="baseline"/>
    </w:pPr>
    <w:rPr>
      <w:rFonts w:eastAsia="DejaVu Sans" w:cs="Lohit Hindi"/>
      <w:b/>
      <w:kern w:val="3"/>
      <w:sz w:val="13"/>
      <w:szCs w:val="24"/>
      <w:lang w:eastAsia="zh-CN" w:bidi="hi-IN"/>
    </w:rPr>
  </w:style>
  <w:style w:type="character" w:styleId="Verwijzingopmerking">
    <w:name w:val="annotation reference"/>
    <w:basedOn w:val="Standaardalinea-lettertype"/>
    <w:rsid w:val="001D4912"/>
    <w:rPr>
      <w:sz w:val="16"/>
      <w:szCs w:val="16"/>
    </w:rPr>
  </w:style>
  <w:style w:type="paragraph" w:styleId="Onderwerpvanopmerking">
    <w:name w:val="annotation subject"/>
    <w:basedOn w:val="Tekstopmerking"/>
    <w:next w:val="Tekstopmerking"/>
    <w:link w:val="OnderwerpvanopmerkingChar"/>
    <w:semiHidden/>
    <w:unhideWhenUsed/>
    <w:rsid w:val="001D4912"/>
    <w:rPr>
      <w:b/>
      <w:bCs/>
      <w:sz w:val="20"/>
    </w:rPr>
  </w:style>
  <w:style w:type="character" w:customStyle="1" w:styleId="TekstopmerkingChar">
    <w:name w:val="Tekst opmerking Char"/>
    <w:basedOn w:val="Standaardalinea-lettertype"/>
    <w:link w:val="Tekstopmerking"/>
    <w:semiHidden/>
    <w:rsid w:val="001D4912"/>
    <w:rPr>
      <w:rFonts w:ascii="Verdana" w:hAnsi="Verdana"/>
      <w:sz w:val="18"/>
    </w:rPr>
  </w:style>
  <w:style w:type="character" w:customStyle="1" w:styleId="OnderwerpvanopmerkingChar">
    <w:name w:val="Onderwerp van opmerking Char"/>
    <w:basedOn w:val="TekstopmerkingChar"/>
    <w:link w:val="Onderwerpvanopmerking"/>
    <w:semiHidden/>
    <w:rsid w:val="001D4912"/>
    <w:rPr>
      <w:rFonts w:ascii="Verdana" w:hAnsi="Verdana"/>
      <w:b/>
      <w:bCs/>
      <w:sz w:val="18"/>
    </w:rPr>
  </w:style>
  <w:style w:type="paragraph" w:styleId="Revisie">
    <w:name w:val="Revision"/>
    <w:hidden/>
    <w:uiPriority w:val="99"/>
    <w:semiHidden/>
    <w:rsid w:val="001D4912"/>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rijksoverheid.nl/documenten/kamerstukken/2024/09/05/beantwoording-kamervragen-over-de-berichten-van-follow-the-money-en-pointer-over-de-jeugdzorgbedrijven-op-het-hoenderlooterrein"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www.ftm.nl/artikelen/rapport-inspectie-criminelen-actief-op-jeugdzorgterrein-hoenderloo" TargetMode="Externa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igj.nl/zorgsectoren/jeugd" TargetMode="External"/><Relationship Id="rId1" Type="http://schemas.openxmlformats.org/officeDocument/2006/relationships/hyperlink" Target="https://toezichtdocumenten.igj.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2658</ap:Words>
  <ap:Characters>16128</ap:Characters>
  <ap:DocSecurity>0</ap:DocSecurity>
  <ap:Lines>134</ap:Lines>
  <ap:Paragraphs>37</ap:Paragraphs>
  <ap:ScaleCrop>false</ap:ScaleCrop>
  <ap:LinksUpToDate>false</ap:LinksUpToDate>
  <ap:CharactersWithSpaces>18749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2026-05-20T11:14:00.0000000Z</dcterms:created>
  <dcterms:modified xsi:type="dcterms:W3CDTF">2026-05-20T11:14:00.0000000Z</dcterms:modified>
  <dc:creator/>
  <dc:description>------------------------</dc:description>
  <dc:subject/>
  <dc:title/>
  <keywords/>
  <version/>
  <category/>
</coreProperties>
</file>