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CF7" w:rsidP="00745245" w:rsidRDefault="45BED62F" w14:paraId="4AF8CAA6" w14:textId="38912956">
      <w:pPr>
        <w:pStyle w:val="Kop2"/>
      </w:pPr>
      <w:r>
        <w:t>Bijlage 2 Overzicht besparingsvarianten</w:t>
      </w:r>
    </w:p>
    <w:p w:rsidRPr="00DE0106" w:rsidR="00DE0106" w:rsidP="45BED62F" w:rsidRDefault="45BED62F" w14:paraId="56D2F4E9" w14:textId="177AB2C2">
      <w:pPr>
        <w:rPr>
          <w:u w:val="single"/>
        </w:rPr>
      </w:pPr>
      <w:r w:rsidRPr="45BED62F">
        <w:rPr>
          <w:u w:val="single"/>
        </w:rPr>
        <w:t>Periodieke rapportage Kasbeheer</w:t>
      </w:r>
    </w:p>
    <w:p w:rsidR="00DE0106" w:rsidP="00DE0106" w:rsidRDefault="45BED62F" w14:paraId="6508EA18" w14:textId="7483CCE7">
      <w:r>
        <w:t>De Periodieke rapportage Kasbeheer bevat een groot aantal besparingsopties om vorm te geven aan de 20% besparingsvariant. De minister van Financiën heeft recent uitgebreid over de status van deze besparingsopties gerapporteerd in een Kamerbrief over de gekozen beleidsvoornemens naar aanleiding van de periodieke rapportage (kamerstuk 31935, nr. 94).</w:t>
      </w:r>
    </w:p>
    <w:p w:rsidR="00A512E4" w:rsidP="00DE0106" w:rsidRDefault="45BED62F" w14:paraId="7B347C67" w14:textId="45F21ED7">
      <w:r>
        <w:t xml:space="preserve">De opties om besparing te realiseren middels consistentie van de vergoede rekening-courantrente met de DNB-rente en het afschaffen van de minimum 0% rekening-courantrente zullen onderdeel uitmaken van een evaluatie van de wet Financiering decentrale overheden die in 2026 aan de Kamer wordt aangeboden. In lijn met de besparingsvariant zijn marktconformiteit, toegankelijkheid van de aanbestedingen en eenvoud van de eisen en wensen nu bovendien onderdeel van de eisen en wensen die gesteld worden in de aanbestedingen van het betalingsverkeer van het Rijk. </w:t>
      </w:r>
    </w:p>
    <w:p w:rsidRPr="00DE0106" w:rsidR="00812013" w:rsidP="00DE0106" w:rsidRDefault="45BED62F" w14:paraId="44A85FC4" w14:textId="49F23FDE">
      <w:r>
        <w:t>Het kabinet heeft besloten geen opvolging te geven aan de overige besparingsopties: het doorberekenen van de uitvoeringskosten van schatkistbankieren aan deelnemers, het volgen van de marktrentes, het verlagen van de rentes die gelden binnen schatkistbankieren tot 20% besparing is gerealiseerd, een 0% rekening-courantrente, differentiatie in rentes voor vrijwillige- en verplichte deelnemers, verlaging van de rente voor verplichte deelnemers tot 20% besparing is gerealiseerd en afschaffing van de leenfaciliteit.  Voor nadere toelichting op deze besparingsopties wordt verwezen naar de hierboven aangehaalde Kamerbrief en de periodieke rapportage.</w:t>
      </w:r>
    </w:p>
    <w:p w:rsidRPr="00890F1E" w:rsidR="00BB6D69" w:rsidP="45BED62F" w:rsidRDefault="45BED62F" w14:paraId="1A516B5A" w14:textId="15D56EDE">
      <w:pPr>
        <w:rPr>
          <w:u w:val="single"/>
        </w:rPr>
      </w:pPr>
      <w:r w:rsidRPr="45BED62F">
        <w:rPr>
          <w:u w:val="single"/>
        </w:rPr>
        <w:t>Beleidsdoorlichting Toezicht</w:t>
      </w:r>
    </w:p>
    <w:p w:rsidR="009F0159" w:rsidP="00007AD6" w:rsidRDefault="45BED62F" w14:paraId="037CED35" w14:textId="69E076FD">
      <w:r>
        <w:t xml:space="preserve">De syntheserapportage van </w:t>
      </w:r>
      <w:proofErr w:type="spellStart"/>
      <w:r>
        <w:t>Panteia</w:t>
      </w:r>
      <w:proofErr w:type="spellEnd"/>
      <w:r>
        <w:t xml:space="preserve"> bevat een optie om 20% te besparen. Deze kan worden ingevuld door minder toezicht uit te voeren. De Belastingdienst streeft ernaar dat zoveel mogelijk burgers en bedrijven uit zichtzelf regels naleven, zonder dwingende en kostbare acties van de zijde van de Belastingdienst. Hierbij zet de Belastingdienst meerdere instrumenten in, waarvan toezicht er één is. Een besparing betekent dat er in de personele kosten van toezicht moet worden gesneden.  Dat raakt het toezicht achteraf, waardoor er bijvoorbeeld minder boekenonderzoeken worden uitgevoerd. Het raakt ook het toezicht in de actualiteit. Dat betekent dat er minder (onbedoelde) fouten worden voorkomen of door belastingplichtigen zelf zullen worden hersteld, omdat er bijvoorbeeld minder vooroverleg plaatsvindt en minder PM-brieven en handhavingscommunicatiebrieven worden verstuurd. Die fouten worden er vervolgens ook achteraf minder uitgehaald, waardoor ook de zichtbaarheid van toezicht achteraf afneemt. Dit laatste kan volgens wetenschappelijke inzichten van invloed zijn op het naleven van fiscale wet- en regelgeving en als gevolg daarvan op de belastinginkomsten. Ook de ruimte om passend toezicht uit te voeren, rekening houdend met de menselijke maat, komt onder druk te staan.</w:t>
      </w:r>
    </w:p>
    <w:p w:rsidR="009F0159" w:rsidP="009F0159" w:rsidRDefault="45BED62F" w14:paraId="6AA4B79F" w14:textId="496FC28D">
      <w:r>
        <w:t xml:space="preserve">In de kabinetsreactie is </w:t>
      </w:r>
      <w:proofErr w:type="gramStart"/>
      <w:r>
        <w:t>reeds</w:t>
      </w:r>
      <w:proofErr w:type="gramEnd"/>
      <w:r>
        <w:t xml:space="preserve"> aangegeven dat het Kabinet deze besparingsvariant niet zal overnemen. De Belastingdienst streeft ernaar om het de burgers en bedrijven zo makkelijk mogelijk te maken aan hun verplichtingen te kunnen voldoen, door het vervullen van zijn dienstverlenende rol. Dit is een belangrijk onderdeel van de uitvoerings- en handhavingsstrategie. Het voorkomen van fouten heeft een groter effect op de compliance dan het achteraf herstellen van fouten en is bovendien kostenefficiënter, De Belastingdienst gaat </w:t>
      </w:r>
      <w:proofErr w:type="gramStart"/>
      <w:r>
        <w:lastRenderedPageBreak/>
        <w:t>door</w:t>
      </w:r>
      <w:proofErr w:type="gramEnd"/>
      <w:r>
        <w:t xml:space="preserve"> op de weg van het voorkomen van fouten waarbij de aantallen voor het toezicht achteraf op het niveau worden gehouden van de in het Jaarplan Belastingdienst 2025 aangegeven bandbreedte.  </w:t>
      </w:r>
    </w:p>
    <w:p w:rsidRPr="00116CAC" w:rsidR="00E36DC2" w:rsidP="009F0159" w:rsidRDefault="00E36DC2" w14:paraId="164CF313" w14:textId="77777777"/>
    <w:p w:rsidRPr="00890F1E" w:rsidR="00890F1E" w:rsidP="45BED62F" w:rsidRDefault="45BED62F" w14:paraId="4C1D1C46" w14:textId="1124BBA9">
      <w:pPr>
        <w:rPr>
          <w:u w:val="single"/>
        </w:rPr>
      </w:pPr>
      <w:r w:rsidRPr="45BED62F">
        <w:rPr>
          <w:u w:val="single"/>
        </w:rPr>
        <w:t>Periodieke rapportage Financiering staatsschuld</w:t>
      </w:r>
    </w:p>
    <w:p w:rsidRPr="00DE0106" w:rsidR="00BB6D69" w:rsidP="003745DD" w:rsidRDefault="45BED62F" w14:paraId="097339EB" w14:textId="15FF5D09">
      <w:r>
        <w:t>Volgens de periodieke rapportage zijn besparingsopties op de beleidsuitgaven in dit geval niet mogelijk, omdat het onderzoek concludeert dat een besparing van 20% op de rentekosten grotendeels buiten de invloedsfeer van het Agentschap van de Generale Thesaurie ligt. Rentekosten volgen voornamelijk de markt en de financieringsbehoefte van de overheid. Besparingen op het financieringsbeleid zullen leiden tot hogere rente- en herfinancieringsrisico’s.</w:t>
      </w:r>
    </w:p>
    <w:p w:rsidRPr="00856FE3" w:rsidR="003745DD" w:rsidP="45BED62F" w:rsidRDefault="45BED62F" w14:paraId="3CC3BAC0" w14:textId="36E69D9E">
      <w:pPr>
        <w:rPr>
          <w:u w:val="single"/>
        </w:rPr>
      </w:pPr>
      <w:r w:rsidRPr="45BED62F">
        <w:rPr>
          <w:u w:val="single"/>
        </w:rPr>
        <w:t>Periodieke rapportage Internationale crisismaatregelen tijdens de pandemie</w:t>
      </w:r>
    </w:p>
    <w:p w:rsidR="003745DD" w:rsidP="45BED62F" w:rsidRDefault="45BED62F" w14:paraId="3BE023E1" w14:textId="49A734A4">
      <w:pPr>
        <w:rPr>
          <w:highlight w:val="yellow"/>
        </w:rPr>
      </w:pPr>
      <w:r>
        <w:t>De periodieke rapportage bevat geen besparingsvariant. Deze was niet van toepassing omdat het om garantstelling van Internationale Financiële Instellingen gaat en niet om uitgaven uit de begroting van het ministerie van Financiën.</w:t>
      </w:r>
    </w:p>
    <w:p w:rsidRPr="00745245" w:rsidR="003745DD" w:rsidP="003745DD" w:rsidRDefault="003745DD" w14:paraId="3ADFCDCA" w14:textId="77777777"/>
    <w:sectPr w:rsidRPr="00745245" w:rsidR="003745DD">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5DF5" w14:textId="77777777" w:rsidR="00BA41A2" w:rsidRDefault="00BA41A2" w:rsidP="00DE0106">
      <w:pPr>
        <w:spacing w:after="0" w:line="240" w:lineRule="auto"/>
      </w:pPr>
      <w:r>
        <w:separator/>
      </w:r>
    </w:p>
  </w:endnote>
  <w:endnote w:type="continuationSeparator" w:id="0">
    <w:p w14:paraId="2B40D4CF" w14:textId="77777777" w:rsidR="00BA41A2" w:rsidRDefault="00BA41A2" w:rsidP="00DE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281485"/>
      <w:docPartObj>
        <w:docPartGallery w:val="Page Numbers (Bottom of Page)"/>
        <w:docPartUnique/>
      </w:docPartObj>
    </w:sdtPr>
    <w:sdtEndPr/>
    <w:sdtContent>
      <w:p w14:paraId="0BBC5C31" w14:textId="586112FA" w:rsidR="00DE0106" w:rsidRDefault="00DE0106">
        <w:pPr>
          <w:pStyle w:val="Voettekst"/>
          <w:jc w:val="center"/>
        </w:pPr>
        <w:r>
          <w:fldChar w:fldCharType="begin"/>
        </w:r>
        <w:r>
          <w:instrText>PAGE   \* MERGEFORMAT</w:instrText>
        </w:r>
        <w:r>
          <w:fldChar w:fldCharType="separate"/>
        </w:r>
        <w:r>
          <w:t>2</w:t>
        </w:r>
        <w:r>
          <w:fldChar w:fldCharType="end"/>
        </w:r>
      </w:p>
    </w:sdtContent>
  </w:sdt>
  <w:p w14:paraId="43298C47" w14:textId="77777777" w:rsidR="00DE0106" w:rsidRDefault="00DE01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82CA" w14:textId="77777777" w:rsidR="00BA41A2" w:rsidRDefault="00BA41A2" w:rsidP="00DE0106">
      <w:pPr>
        <w:spacing w:after="0" w:line="240" w:lineRule="auto"/>
      </w:pPr>
      <w:r>
        <w:separator/>
      </w:r>
    </w:p>
  </w:footnote>
  <w:footnote w:type="continuationSeparator" w:id="0">
    <w:p w14:paraId="450C7102" w14:textId="77777777" w:rsidR="00BA41A2" w:rsidRDefault="00BA41A2" w:rsidP="00DE01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79"/>
    <w:rsid w:val="000063D9"/>
    <w:rsid w:val="00007AD6"/>
    <w:rsid w:val="00097390"/>
    <w:rsid w:val="000D2D8F"/>
    <w:rsid w:val="00100F1B"/>
    <w:rsid w:val="00120F06"/>
    <w:rsid w:val="002D7A0E"/>
    <w:rsid w:val="002E5548"/>
    <w:rsid w:val="002E64AE"/>
    <w:rsid w:val="003331D1"/>
    <w:rsid w:val="0036448B"/>
    <w:rsid w:val="003745DD"/>
    <w:rsid w:val="00403A25"/>
    <w:rsid w:val="0045262E"/>
    <w:rsid w:val="00472831"/>
    <w:rsid w:val="00484879"/>
    <w:rsid w:val="00657584"/>
    <w:rsid w:val="00742580"/>
    <w:rsid w:val="00745245"/>
    <w:rsid w:val="007D1672"/>
    <w:rsid w:val="0080724A"/>
    <w:rsid w:val="00812013"/>
    <w:rsid w:val="0084101D"/>
    <w:rsid w:val="0084429D"/>
    <w:rsid w:val="00890F1E"/>
    <w:rsid w:val="008E12C0"/>
    <w:rsid w:val="0096483C"/>
    <w:rsid w:val="009A1C63"/>
    <w:rsid w:val="009F0159"/>
    <w:rsid w:val="009F2223"/>
    <w:rsid w:val="00A43C82"/>
    <w:rsid w:val="00A512E4"/>
    <w:rsid w:val="00A80FE3"/>
    <w:rsid w:val="00A86C6E"/>
    <w:rsid w:val="00AC3F20"/>
    <w:rsid w:val="00AC5B72"/>
    <w:rsid w:val="00AC72B3"/>
    <w:rsid w:val="00B3647A"/>
    <w:rsid w:val="00B8485B"/>
    <w:rsid w:val="00BA41A2"/>
    <w:rsid w:val="00BB6D69"/>
    <w:rsid w:val="00BC3271"/>
    <w:rsid w:val="00BF2CF7"/>
    <w:rsid w:val="00C7005E"/>
    <w:rsid w:val="00C8675C"/>
    <w:rsid w:val="00DE0106"/>
    <w:rsid w:val="00E14CD5"/>
    <w:rsid w:val="00E36DC2"/>
    <w:rsid w:val="00E5146D"/>
    <w:rsid w:val="00EC61CC"/>
    <w:rsid w:val="00ED625E"/>
    <w:rsid w:val="00F25D91"/>
    <w:rsid w:val="00F44EE4"/>
    <w:rsid w:val="00FA791E"/>
    <w:rsid w:val="00FC75C9"/>
    <w:rsid w:val="00FE09D9"/>
    <w:rsid w:val="45BED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D5B05"/>
  <w15:chartTrackingRefBased/>
  <w15:docId w15:val="{08DA5604-7D0E-4868-B7CB-873616A8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4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84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48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48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48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48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48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48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48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8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848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48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48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48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48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8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8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879"/>
    <w:rPr>
      <w:rFonts w:eastAsiaTheme="majorEastAsia" w:cstheme="majorBidi"/>
      <w:color w:val="272727" w:themeColor="text1" w:themeTint="D8"/>
    </w:rPr>
  </w:style>
  <w:style w:type="paragraph" w:styleId="Titel">
    <w:name w:val="Title"/>
    <w:basedOn w:val="Standaard"/>
    <w:next w:val="Standaard"/>
    <w:link w:val="TitelChar"/>
    <w:uiPriority w:val="10"/>
    <w:qFormat/>
    <w:rsid w:val="00484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48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8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8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8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879"/>
    <w:rPr>
      <w:i/>
      <w:iCs/>
      <w:color w:val="404040" w:themeColor="text1" w:themeTint="BF"/>
    </w:rPr>
  </w:style>
  <w:style w:type="paragraph" w:styleId="Lijstalinea">
    <w:name w:val="List Paragraph"/>
    <w:basedOn w:val="Standaard"/>
    <w:uiPriority w:val="34"/>
    <w:qFormat/>
    <w:rsid w:val="00484879"/>
    <w:pPr>
      <w:ind w:left="720"/>
      <w:contextualSpacing/>
    </w:pPr>
  </w:style>
  <w:style w:type="character" w:styleId="Intensievebenadrukking">
    <w:name w:val="Intense Emphasis"/>
    <w:basedOn w:val="Standaardalinea-lettertype"/>
    <w:uiPriority w:val="21"/>
    <w:qFormat/>
    <w:rsid w:val="00484879"/>
    <w:rPr>
      <w:i/>
      <w:iCs/>
      <w:color w:val="0F4761" w:themeColor="accent1" w:themeShade="BF"/>
    </w:rPr>
  </w:style>
  <w:style w:type="paragraph" w:styleId="Duidelijkcitaat">
    <w:name w:val="Intense Quote"/>
    <w:basedOn w:val="Standaard"/>
    <w:next w:val="Standaard"/>
    <w:link w:val="DuidelijkcitaatChar"/>
    <w:uiPriority w:val="30"/>
    <w:qFormat/>
    <w:rsid w:val="00484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4879"/>
    <w:rPr>
      <w:i/>
      <w:iCs/>
      <w:color w:val="0F4761" w:themeColor="accent1" w:themeShade="BF"/>
    </w:rPr>
  </w:style>
  <w:style w:type="character" w:styleId="Intensieveverwijzing">
    <w:name w:val="Intense Reference"/>
    <w:basedOn w:val="Standaardalinea-lettertype"/>
    <w:uiPriority w:val="32"/>
    <w:qFormat/>
    <w:rsid w:val="00484879"/>
    <w:rPr>
      <w:b/>
      <w:bCs/>
      <w:smallCaps/>
      <w:color w:val="0F4761" w:themeColor="accent1" w:themeShade="BF"/>
      <w:spacing w:val="5"/>
    </w:rPr>
  </w:style>
  <w:style w:type="table" w:styleId="Tabelraster">
    <w:name w:val="Table Grid"/>
    <w:uiPriority w:val="39"/>
    <w:rsid w:val="00DE010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DE010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010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0106"/>
    <w:rPr>
      <w:vertAlign w:val="superscript"/>
    </w:rPr>
  </w:style>
  <w:style w:type="paragraph" w:styleId="Koptekst">
    <w:name w:val="header"/>
    <w:basedOn w:val="Standaard"/>
    <w:link w:val="KoptekstChar"/>
    <w:uiPriority w:val="99"/>
    <w:unhideWhenUsed/>
    <w:rsid w:val="00DE01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0106"/>
  </w:style>
  <w:style w:type="paragraph" w:styleId="Voettekst">
    <w:name w:val="footer"/>
    <w:basedOn w:val="Standaard"/>
    <w:link w:val="VoettekstChar"/>
    <w:uiPriority w:val="99"/>
    <w:unhideWhenUsed/>
    <w:rsid w:val="00DE01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0106"/>
  </w:style>
  <w:style w:type="character" w:styleId="Verwijzingopmerking">
    <w:name w:val="annotation reference"/>
    <w:basedOn w:val="Standaardalinea-lettertype"/>
    <w:uiPriority w:val="99"/>
    <w:semiHidden/>
    <w:unhideWhenUsed/>
    <w:rsid w:val="009F0159"/>
    <w:rPr>
      <w:sz w:val="16"/>
      <w:szCs w:val="16"/>
    </w:rPr>
  </w:style>
  <w:style w:type="paragraph" w:styleId="Tekstopmerking">
    <w:name w:val="annotation text"/>
    <w:basedOn w:val="Standaard"/>
    <w:link w:val="TekstopmerkingChar"/>
    <w:uiPriority w:val="99"/>
    <w:unhideWhenUsed/>
    <w:rsid w:val="009F0159"/>
    <w:pPr>
      <w:spacing w:line="240" w:lineRule="auto"/>
    </w:pPr>
    <w:rPr>
      <w:sz w:val="20"/>
      <w:szCs w:val="20"/>
    </w:rPr>
  </w:style>
  <w:style w:type="character" w:customStyle="1" w:styleId="TekstopmerkingChar">
    <w:name w:val="Tekst opmerking Char"/>
    <w:basedOn w:val="Standaardalinea-lettertype"/>
    <w:link w:val="Tekstopmerking"/>
    <w:uiPriority w:val="99"/>
    <w:rsid w:val="009F0159"/>
    <w:rPr>
      <w:sz w:val="20"/>
      <w:szCs w:val="20"/>
    </w:rPr>
  </w:style>
  <w:style w:type="paragraph" w:styleId="Revisie">
    <w:name w:val="Revision"/>
    <w:hidden/>
    <w:uiPriority w:val="99"/>
    <w:semiHidden/>
    <w:rsid w:val="00A512E4"/>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A512E4"/>
    <w:rPr>
      <w:b/>
      <w:bCs/>
    </w:rPr>
  </w:style>
  <w:style w:type="character" w:customStyle="1" w:styleId="OnderwerpvanopmerkingChar">
    <w:name w:val="Onderwerp van opmerking Char"/>
    <w:basedOn w:val="TekstopmerkingChar"/>
    <w:link w:val="Onderwerpvanopmerking"/>
    <w:uiPriority w:val="99"/>
    <w:semiHidden/>
    <w:rsid w:val="00A51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688</ap:Words>
  <ap:Characters>3789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2026-05-20T07:52:00.0000000Z</dcterms:created>
  <dcterms:modified xsi:type="dcterms:W3CDTF">2026-05-20T07:52:00.0000000Z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2026-03-24T07:59:04Z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dd846963-ace8-48e8-8262-ccb617994754</vt:lpwstr>
  </property>
  <property fmtid="{D5CDD505-2E9C-101B-9397-08002B2CF9AE}" pid="8" name="MSIP_Label_0b3866f6-513b-41e9-9aa1-311b4823e2dc_ContentBits">
    <vt:lpwstr>0</vt:lpwstr>
  </property>
  <property fmtid="{D5CDD505-2E9C-101B-9397-08002B2CF9AE}" pid="9" name="MSIP_Label_0b3866f6-513b-41e9-9aa1-311b4823e2dc_Tag">
    <vt:lpwstr>10, 3, 0, 1</vt:lpwstr>
  </property>
</Properties>
</file>