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22292" w:rsidR="00FF3726" w:rsidP="00EE13FE" w:rsidRDefault="00FF3726">
      <w:pPr>
        <w:rPr>
          <w:lang w:val="en-US"/>
        </w:rPr>
      </w:pPr>
      <w:bookmarkStart w:name="_GoBack" w:id="0"/>
      <w:bookmarkEnd w:id="0"/>
    </w:p>
    <w:p w:rsidRPr="00422292" w:rsidR="00FF3726" w:rsidP="00EE13FE" w:rsidRDefault="00FF3726">
      <w:pPr>
        <w:rPr>
          <w:lang w:val="en-US"/>
        </w:rPr>
      </w:pPr>
    </w:p>
    <w:p w:rsidRPr="00422292" w:rsidR="00FF3726" w:rsidP="00EE13FE" w:rsidRDefault="00FF3726">
      <w:pPr>
        <w:rPr>
          <w:lang w:val="en-US"/>
        </w:rPr>
      </w:pPr>
    </w:p>
    <w:p w:rsidRPr="00422292" w:rsidR="00FF3726" w:rsidP="00EE13FE" w:rsidRDefault="00FF3726">
      <w:pPr>
        <w:pStyle w:val="Caption"/>
        <w:rPr>
          <w:lang w:val="en-US"/>
        </w:rPr>
      </w:pPr>
      <w:r w:rsidRPr="00422292">
        <w:rPr>
          <w:lang w:val="en-US"/>
        </w:rPr>
        <w:br w:type="page"/>
      </w:r>
      <w:bookmarkStart w:name="_Toc442703899" w:id="1"/>
      <w:bookmarkStart w:name="_Toc480899026" w:id="2"/>
      <w:bookmarkStart w:name="_Toc503443756" w:id="3"/>
      <w:bookmarkStart w:name="_Toc511138761" w:id="4"/>
      <w:bookmarkStart w:name="_Toc535402206" w:id="5"/>
      <w:bookmarkStart w:name="_Toc4142678" w:id="6"/>
      <w:r w:rsidRPr="00065D51">
        <w:rPr>
          <w:lang w:val="en-US"/>
        </w:rPr>
        <w:lastRenderedPageBreak/>
        <w:t>Afkortingen</w:t>
      </w:r>
      <w:bookmarkEnd w:id="1"/>
      <w:bookmarkEnd w:id="2"/>
      <w:bookmarkEnd w:id="3"/>
      <w:bookmarkEnd w:id="4"/>
      <w:bookmarkEnd w:id="5"/>
      <w:bookmarkEnd w:id="6"/>
    </w:p>
    <w:p w:rsidRPr="00422292" w:rsidR="00E04A89" w:rsidP="00EE13FE" w:rsidRDefault="00D74869">
      <w:pPr>
        <w:spacing w:line="276" w:lineRule="auto"/>
        <w:rPr>
          <w:lang w:val="en-US"/>
        </w:rPr>
      </w:pPr>
      <w:r>
        <w:rPr>
          <w:lang w:val="en-US"/>
        </w:rPr>
        <w:t xml:space="preserve">ATMIS </w:t>
      </w:r>
      <w:r w:rsidRPr="00422292" w:rsidR="003C1460">
        <w:rPr>
          <w:lang w:val="en-US"/>
        </w:rPr>
        <w:tab/>
      </w:r>
      <w:r w:rsidR="0059512E">
        <w:rPr>
          <w:lang w:val="en-US"/>
        </w:rPr>
        <w:tab/>
      </w:r>
      <w:r w:rsidRPr="00422292" w:rsidR="003C1460">
        <w:rPr>
          <w:lang w:val="en-US"/>
        </w:rPr>
        <w:t xml:space="preserve">African Union </w:t>
      </w:r>
      <w:r>
        <w:rPr>
          <w:lang w:val="en-US"/>
        </w:rPr>
        <w:t xml:space="preserve">Transition </w:t>
      </w:r>
      <w:r w:rsidRPr="00422292" w:rsidR="003C1460">
        <w:rPr>
          <w:lang w:val="en-US"/>
        </w:rPr>
        <w:t>Mission in Somalia</w:t>
      </w:r>
    </w:p>
    <w:p w:rsidR="000E3EDB" w:rsidP="00B97DC8" w:rsidRDefault="000E3EDB">
      <w:pPr>
        <w:spacing w:line="276" w:lineRule="auto"/>
        <w:rPr>
          <w:lang w:val="en-US"/>
        </w:rPr>
      </w:pPr>
      <w:r>
        <w:rPr>
          <w:lang w:val="en-US"/>
        </w:rPr>
        <w:t>AU</w:t>
      </w:r>
      <w:r>
        <w:rPr>
          <w:lang w:val="en-US"/>
        </w:rPr>
        <w:tab/>
      </w:r>
      <w:r>
        <w:rPr>
          <w:lang w:val="en-US"/>
        </w:rPr>
        <w:tab/>
        <w:t>African Union</w:t>
      </w:r>
    </w:p>
    <w:p w:rsidRPr="00B97DC8" w:rsidR="0021305E" w:rsidP="00B97DC8" w:rsidRDefault="0021305E">
      <w:pPr>
        <w:spacing w:line="276" w:lineRule="auto"/>
        <w:rPr>
          <w:lang w:val="en-US"/>
        </w:rPr>
      </w:pPr>
      <w:r>
        <w:rPr>
          <w:lang w:val="en-US"/>
        </w:rPr>
        <w:t>BIV</w:t>
      </w:r>
      <w:r>
        <w:rPr>
          <w:lang w:val="en-US"/>
        </w:rPr>
        <w:tab/>
      </w:r>
      <w:r>
        <w:rPr>
          <w:lang w:val="en-US"/>
        </w:rPr>
        <w:tab/>
      </w:r>
      <w:r w:rsidRPr="00423FD6">
        <w:rPr>
          <w:lang w:val="en-US" w:eastAsia="nl-NL"/>
        </w:rPr>
        <w:t>Budget Internationale Veiligheid</w:t>
      </w:r>
    </w:p>
    <w:p w:rsidR="00053895" w:rsidP="00053895" w:rsidRDefault="00053895">
      <w:pPr>
        <w:spacing w:line="276" w:lineRule="auto"/>
        <w:rPr>
          <w:lang w:val="en-US"/>
        </w:rPr>
      </w:pPr>
      <w:r>
        <w:rPr>
          <w:lang w:val="en-US"/>
        </w:rPr>
        <w:t>CAOC</w:t>
      </w:r>
      <w:r>
        <w:rPr>
          <w:lang w:val="en-US"/>
        </w:rPr>
        <w:tab/>
      </w:r>
      <w:r>
        <w:rPr>
          <w:lang w:val="en-US"/>
        </w:rPr>
        <w:tab/>
      </w:r>
      <w:r w:rsidRPr="00053895">
        <w:rPr>
          <w:lang w:val="en-US"/>
        </w:rPr>
        <w:t>Combined Air Operations Centre</w:t>
      </w:r>
    </w:p>
    <w:p w:rsidR="00F43986" w:rsidP="00EE13FE" w:rsidRDefault="00F43986">
      <w:pPr>
        <w:spacing w:line="276" w:lineRule="auto"/>
        <w:rPr>
          <w:lang w:val="en-US"/>
        </w:rPr>
      </w:pPr>
      <w:r w:rsidRPr="00B97DC8">
        <w:rPr>
          <w:lang w:val="en-US"/>
        </w:rPr>
        <w:t>CIMIC</w:t>
      </w:r>
      <w:r w:rsidRPr="00B97DC8">
        <w:rPr>
          <w:lang w:val="en-US"/>
        </w:rPr>
        <w:tab/>
      </w:r>
      <w:r w:rsidRPr="00B97DC8">
        <w:rPr>
          <w:lang w:val="en-US"/>
        </w:rPr>
        <w:tab/>
        <w:t>Civil Military Cooperation</w:t>
      </w:r>
    </w:p>
    <w:p w:rsidR="008E785B" w:rsidP="00EE13FE" w:rsidRDefault="000E3EDB">
      <w:pPr>
        <w:spacing w:line="276" w:lineRule="auto"/>
        <w:rPr>
          <w:lang w:val="en-US"/>
        </w:rPr>
      </w:pPr>
      <w:r>
        <w:rPr>
          <w:lang w:val="en-US"/>
        </w:rPr>
        <w:t>CMF</w:t>
      </w:r>
      <w:r>
        <w:rPr>
          <w:lang w:val="en-US"/>
        </w:rPr>
        <w:tab/>
      </w:r>
      <w:r>
        <w:rPr>
          <w:lang w:val="en-US"/>
        </w:rPr>
        <w:tab/>
        <w:t>Combined Maritime Forces</w:t>
      </w:r>
      <w:r w:rsidR="009C0F36">
        <w:rPr>
          <w:lang w:val="en-US"/>
        </w:rPr>
        <w:t xml:space="preserve"> (Bahrein)</w:t>
      </w:r>
    </w:p>
    <w:p w:rsidR="00053895" w:rsidP="00EE13FE" w:rsidRDefault="00053895">
      <w:pPr>
        <w:spacing w:line="276" w:lineRule="auto"/>
        <w:rPr>
          <w:lang w:val="en-US"/>
        </w:rPr>
      </w:pPr>
      <w:r>
        <w:rPr>
          <w:lang w:val="en-US"/>
        </w:rPr>
        <w:t>CSG</w:t>
      </w:r>
      <w:r>
        <w:rPr>
          <w:lang w:val="en-US"/>
        </w:rPr>
        <w:tab/>
      </w:r>
      <w:r>
        <w:rPr>
          <w:lang w:val="en-US"/>
        </w:rPr>
        <w:tab/>
      </w:r>
      <w:r w:rsidRPr="00053895">
        <w:rPr>
          <w:lang w:val="en-US"/>
        </w:rPr>
        <w:t>Carrier Strike Group</w:t>
      </w:r>
    </w:p>
    <w:p w:rsidR="004E71A5" w:rsidP="369CD2BB" w:rsidRDefault="004E71A5">
      <w:pPr>
        <w:spacing w:line="276" w:lineRule="auto"/>
        <w:rPr>
          <w:lang w:val="en-US"/>
        </w:rPr>
      </w:pPr>
      <w:r>
        <w:rPr>
          <w:lang w:val="en-US"/>
        </w:rPr>
        <w:t>ECC</w:t>
      </w:r>
      <w:r>
        <w:rPr>
          <w:lang w:val="en-US"/>
        </w:rPr>
        <w:tab/>
      </w:r>
      <w:r>
        <w:rPr>
          <w:lang w:val="en-US"/>
        </w:rPr>
        <w:tab/>
        <w:t>Enforcement Coordination Cell</w:t>
      </w:r>
    </w:p>
    <w:p w:rsidRPr="0072564D" w:rsidR="0072564D" w:rsidP="369CD2BB" w:rsidRDefault="0072564D">
      <w:pPr>
        <w:spacing w:line="276" w:lineRule="auto"/>
      </w:pPr>
      <w:r w:rsidRPr="000E320A">
        <w:t>ECID</w:t>
      </w:r>
      <w:r w:rsidRPr="000E320A">
        <w:tab/>
      </w:r>
      <w:r w:rsidRPr="000E320A">
        <w:tab/>
        <w:t>Expertisecentrum Identiteitsfraude en Documenten</w:t>
      </w:r>
    </w:p>
    <w:p w:rsidRPr="00D04B21" w:rsidR="00F76298" w:rsidP="369CD2BB" w:rsidRDefault="00D04B21">
      <w:pPr>
        <w:spacing w:line="276" w:lineRule="auto"/>
      </w:pPr>
      <w:r>
        <w:t>e</w:t>
      </w:r>
      <w:r w:rsidRPr="004D6E67" w:rsidR="00AF4449">
        <w:t>FP</w:t>
      </w:r>
      <w:r w:rsidRPr="00D04B21" w:rsidR="00AF4449">
        <w:tab/>
      </w:r>
      <w:r w:rsidRPr="00D04B21" w:rsidR="00AF4449">
        <w:tab/>
      </w:r>
      <w:r w:rsidRPr="00D04B21" w:rsidR="00B55CC3">
        <w:t xml:space="preserve">Early </w:t>
      </w:r>
      <w:r w:rsidRPr="00D04B21" w:rsidR="00AF4449">
        <w:t>Forward Presence</w:t>
      </w:r>
    </w:p>
    <w:p w:rsidRPr="00E3051E" w:rsidR="00F76298" w:rsidP="00EE13FE" w:rsidRDefault="00F76298">
      <w:pPr>
        <w:spacing w:line="276" w:lineRule="auto"/>
        <w:rPr>
          <w:lang w:val="en-US"/>
        </w:rPr>
      </w:pPr>
      <w:r w:rsidRPr="00E3051E">
        <w:rPr>
          <w:lang w:val="en-US"/>
        </w:rPr>
        <w:t>EUFOR</w:t>
      </w:r>
      <w:r w:rsidRPr="00E3051E" w:rsidR="0031400B">
        <w:rPr>
          <w:lang w:val="en-US"/>
        </w:rPr>
        <w:t xml:space="preserve"> </w:t>
      </w:r>
      <w:r w:rsidRPr="00E3051E" w:rsidR="0037069F">
        <w:rPr>
          <w:lang w:val="en-US"/>
        </w:rPr>
        <w:t>Althea</w:t>
      </w:r>
      <w:r w:rsidRPr="00E3051E">
        <w:rPr>
          <w:lang w:val="en-US"/>
        </w:rPr>
        <w:tab/>
        <w:t>European Union Force in Bosnia and Herzegovina</w:t>
      </w:r>
    </w:p>
    <w:p w:rsidRPr="00E3051E" w:rsidR="002F7F36" w:rsidP="00EE13FE" w:rsidRDefault="002F7F36">
      <w:pPr>
        <w:spacing w:line="276" w:lineRule="auto"/>
        <w:rPr>
          <w:lang w:val="en-US"/>
        </w:rPr>
      </w:pPr>
      <w:r w:rsidRPr="00E3051E">
        <w:rPr>
          <w:lang w:val="en-US"/>
        </w:rPr>
        <w:t>EULEX</w:t>
      </w:r>
      <w:r w:rsidRPr="00E3051E">
        <w:rPr>
          <w:lang w:val="en-US"/>
        </w:rPr>
        <w:tab/>
      </w:r>
      <w:r w:rsidRPr="00E3051E">
        <w:rPr>
          <w:lang w:val="en-US"/>
        </w:rPr>
        <w:tab/>
        <w:t>European Union Rule of Law (Kosovo)</w:t>
      </w:r>
    </w:p>
    <w:p w:rsidRPr="00E3051E" w:rsidR="0090052F" w:rsidP="0090052F" w:rsidRDefault="0090052F">
      <w:pPr>
        <w:spacing w:line="276" w:lineRule="auto"/>
        <w:rPr>
          <w:lang w:val="en-US"/>
        </w:rPr>
      </w:pPr>
      <w:r w:rsidRPr="00E3051E">
        <w:rPr>
          <w:lang w:val="en-US"/>
        </w:rPr>
        <w:t>EUNAVFOR</w:t>
      </w:r>
      <w:r w:rsidRPr="00E3051E">
        <w:rPr>
          <w:lang w:val="en-US"/>
        </w:rPr>
        <w:tab/>
        <w:t>European Union Naval Force</w:t>
      </w:r>
    </w:p>
    <w:p w:rsidRPr="00E3051E" w:rsidR="0090052F" w:rsidP="00EE13FE" w:rsidRDefault="0090052F">
      <w:pPr>
        <w:spacing w:line="276" w:lineRule="auto"/>
        <w:rPr>
          <w:lang w:val="en-US"/>
        </w:rPr>
      </w:pPr>
      <w:r w:rsidRPr="00E3051E">
        <w:rPr>
          <w:lang w:val="en-US"/>
        </w:rPr>
        <w:t>EUPOL COPPS</w:t>
      </w:r>
      <w:r w:rsidRPr="00E3051E">
        <w:rPr>
          <w:lang w:val="en-US"/>
        </w:rPr>
        <w:tab/>
        <w:t xml:space="preserve">EU </w:t>
      </w:r>
      <w:r w:rsidRPr="00E3051E" w:rsidR="006E3E23">
        <w:rPr>
          <w:lang w:val="en-US"/>
        </w:rPr>
        <w:t>Police Coordinating Office</w:t>
      </w:r>
      <w:r w:rsidRPr="00E3051E">
        <w:rPr>
          <w:lang w:val="en-US"/>
        </w:rPr>
        <w:t xml:space="preserve"> for Palestinian Police</w:t>
      </w:r>
      <w:r w:rsidRPr="00E3051E" w:rsidR="006E3E23">
        <w:rPr>
          <w:lang w:val="en-US"/>
        </w:rPr>
        <w:t xml:space="preserve"> Support</w:t>
      </w:r>
    </w:p>
    <w:p w:rsidR="00001098" w:rsidP="00001098" w:rsidRDefault="00001098">
      <w:pPr>
        <w:spacing w:line="276" w:lineRule="auto"/>
        <w:ind w:left="1416" w:hanging="1410"/>
        <w:rPr>
          <w:lang w:val="en-US"/>
        </w:rPr>
      </w:pPr>
      <w:r w:rsidRPr="00E3051E">
        <w:rPr>
          <w:lang w:val="en-US"/>
        </w:rPr>
        <w:t>EU SDI GoG</w:t>
      </w:r>
      <w:r w:rsidRPr="00E3051E">
        <w:rPr>
          <w:lang w:val="en-US"/>
        </w:rPr>
        <w:tab/>
        <w:t>European Union Security and Defence Initiative in support</w:t>
      </w:r>
      <w:r w:rsidRPr="00001098">
        <w:rPr>
          <w:lang w:val="en-US"/>
        </w:rPr>
        <w:t xml:space="preserve"> of West African Countries of the Gulf of Guinea</w:t>
      </w:r>
    </w:p>
    <w:p w:rsidRPr="00944ABF" w:rsidR="00053895" w:rsidP="00EE13FE" w:rsidRDefault="00053895">
      <w:pPr>
        <w:spacing w:line="276" w:lineRule="auto"/>
        <w:rPr>
          <w:lang w:val="en-US"/>
        </w:rPr>
      </w:pPr>
      <w:r>
        <w:rPr>
          <w:lang w:val="en-US"/>
        </w:rPr>
        <w:t>FC</w:t>
      </w:r>
      <w:r>
        <w:rPr>
          <w:lang w:val="en-US"/>
        </w:rPr>
        <w:tab/>
      </w:r>
      <w:r>
        <w:rPr>
          <w:lang w:val="en-US"/>
        </w:rPr>
        <w:tab/>
        <w:t>Force Command</w:t>
      </w:r>
    </w:p>
    <w:p w:rsidR="00584E4B" w:rsidP="00EE13FE" w:rsidRDefault="00584E4B">
      <w:pPr>
        <w:spacing w:line="276" w:lineRule="auto"/>
        <w:rPr>
          <w:lang w:val="en-US"/>
        </w:rPr>
      </w:pPr>
      <w:r w:rsidRPr="00E047D8">
        <w:rPr>
          <w:lang w:val="en-US"/>
        </w:rPr>
        <w:t>GPOI</w:t>
      </w:r>
      <w:r w:rsidRPr="00E047D8">
        <w:rPr>
          <w:lang w:val="en-US"/>
        </w:rPr>
        <w:tab/>
      </w:r>
      <w:r w:rsidRPr="00E047D8">
        <w:rPr>
          <w:lang w:val="en-US"/>
        </w:rPr>
        <w:tab/>
        <w:t>Global Peace Operations Initiative</w:t>
      </w:r>
    </w:p>
    <w:p w:rsidRPr="00B1019D" w:rsidR="00EC5FA9" w:rsidP="00EE13FE" w:rsidRDefault="00EC5FA9">
      <w:pPr>
        <w:spacing w:line="276" w:lineRule="auto"/>
        <w:rPr>
          <w:lang w:val="de-DE"/>
        </w:rPr>
      </w:pPr>
      <w:r w:rsidRPr="00B1019D">
        <w:rPr>
          <w:lang w:val="de-DE"/>
        </w:rPr>
        <w:t>IDF</w:t>
      </w:r>
      <w:r w:rsidRPr="00B1019D">
        <w:rPr>
          <w:lang w:val="de-DE"/>
        </w:rPr>
        <w:tab/>
      </w:r>
      <w:r w:rsidRPr="00B1019D">
        <w:rPr>
          <w:lang w:val="de-DE"/>
        </w:rPr>
        <w:tab/>
        <w:t>Israel D</w:t>
      </w:r>
      <w:r w:rsidRPr="00B1019D" w:rsidR="00760876">
        <w:rPr>
          <w:lang w:val="de-DE"/>
        </w:rPr>
        <w:t>efens</w:t>
      </w:r>
      <w:r w:rsidRPr="00B1019D">
        <w:rPr>
          <w:lang w:val="de-DE"/>
        </w:rPr>
        <w:t>e Forces</w:t>
      </w:r>
    </w:p>
    <w:p w:rsidRPr="00423FD6" w:rsidR="004C4D2B" w:rsidP="00EE13FE" w:rsidRDefault="004C4D2B">
      <w:pPr>
        <w:spacing w:line="276" w:lineRule="auto"/>
        <w:rPr>
          <w:lang w:val="de-DE"/>
        </w:rPr>
      </w:pPr>
      <w:r w:rsidRPr="00423FD6">
        <w:rPr>
          <w:lang w:val="de-DE"/>
        </w:rPr>
        <w:t>IMINT</w:t>
      </w:r>
      <w:r w:rsidRPr="00423FD6">
        <w:rPr>
          <w:lang w:val="de-DE"/>
        </w:rPr>
        <w:tab/>
      </w:r>
      <w:r w:rsidRPr="00423FD6">
        <w:rPr>
          <w:lang w:val="de-DE"/>
        </w:rPr>
        <w:tab/>
        <w:t>Imagery Intelligence</w:t>
      </w:r>
    </w:p>
    <w:p w:rsidRPr="00423FD6" w:rsidR="00FF3726" w:rsidP="00EE13FE" w:rsidRDefault="00FF3726">
      <w:pPr>
        <w:spacing w:line="276" w:lineRule="auto"/>
        <w:rPr>
          <w:lang w:val="de-DE"/>
        </w:rPr>
      </w:pPr>
      <w:r w:rsidRPr="00423FD6">
        <w:rPr>
          <w:lang w:val="de-DE"/>
        </w:rPr>
        <w:t>ISIS</w:t>
      </w:r>
      <w:r w:rsidRPr="00423FD6">
        <w:rPr>
          <w:lang w:val="de-DE"/>
        </w:rPr>
        <w:tab/>
      </w:r>
      <w:r w:rsidRPr="00423FD6">
        <w:rPr>
          <w:lang w:val="de-DE"/>
        </w:rPr>
        <w:tab/>
        <w:t>Islamitische Staat in Irak en Syrië</w:t>
      </w:r>
    </w:p>
    <w:p w:rsidRPr="00423FD6" w:rsidR="00053895" w:rsidP="00EE13FE" w:rsidRDefault="00053895">
      <w:pPr>
        <w:spacing w:line="276" w:lineRule="auto"/>
        <w:rPr>
          <w:lang w:val="en-US"/>
        </w:rPr>
      </w:pPr>
      <w:r>
        <w:rPr>
          <w:lang w:val="en-US"/>
        </w:rPr>
        <w:t>JOCAT</w:t>
      </w:r>
      <w:r>
        <w:rPr>
          <w:lang w:val="en-US"/>
        </w:rPr>
        <w:tab/>
      </w:r>
      <w:r>
        <w:rPr>
          <w:lang w:val="en-US"/>
        </w:rPr>
        <w:tab/>
      </w:r>
      <w:r w:rsidRPr="00053895">
        <w:rPr>
          <w:lang w:val="en-US"/>
        </w:rPr>
        <w:t>Joint Command Advisory Team North</w:t>
      </w:r>
      <w:r>
        <w:rPr>
          <w:lang w:val="en-US"/>
        </w:rPr>
        <w:t xml:space="preserve"> Iraq</w:t>
      </w:r>
    </w:p>
    <w:p w:rsidR="000E3EDB" w:rsidP="00EE13FE" w:rsidRDefault="000E3EDB">
      <w:pPr>
        <w:spacing w:line="276" w:lineRule="auto"/>
      </w:pPr>
      <w:r w:rsidRPr="000B3B8E">
        <w:t>JVOM</w:t>
      </w:r>
      <w:r w:rsidRPr="000B3B8E">
        <w:tab/>
      </w:r>
      <w:r w:rsidRPr="000B3B8E">
        <w:tab/>
        <w:t>Jaarlijkse Voortgangsrapportage Overige Missiebijdragen</w:t>
      </w:r>
    </w:p>
    <w:p w:rsidRPr="00423FD6" w:rsidR="00723340" w:rsidP="00EE13FE" w:rsidRDefault="00005341">
      <w:pPr>
        <w:spacing w:line="276" w:lineRule="auto"/>
      </w:pPr>
      <w:r w:rsidRPr="00423FD6">
        <w:t>KFOR</w:t>
      </w:r>
      <w:r w:rsidRPr="00423FD6">
        <w:tab/>
      </w:r>
      <w:r w:rsidRPr="00423FD6">
        <w:tab/>
      </w:r>
      <w:r w:rsidRPr="00423FD6" w:rsidR="0031400B">
        <w:t>Kosovo Force</w:t>
      </w:r>
    </w:p>
    <w:p w:rsidRPr="00423FD6" w:rsidR="001F5681" w:rsidP="00EE13FE" w:rsidRDefault="001F5681">
      <w:pPr>
        <w:spacing w:line="276" w:lineRule="auto"/>
        <w:rPr>
          <w:lang w:val="en-US"/>
        </w:rPr>
      </w:pPr>
      <w:r w:rsidRPr="00423FD6">
        <w:rPr>
          <w:lang w:val="en-US"/>
        </w:rPr>
        <w:t>LAF</w:t>
      </w:r>
      <w:r w:rsidRPr="00423FD6">
        <w:rPr>
          <w:lang w:val="en-US"/>
        </w:rPr>
        <w:tab/>
      </w:r>
      <w:r w:rsidRPr="00423FD6">
        <w:rPr>
          <w:lang w:val="en-US"/>
        </w:rPr>
        <w:tab/>
        <w:t>Lebanese Armed Forc</w:t>
      </w:r>
      <w:r w:rsidRPr="00423FD6" w:rsidR="0077774B">
        <w:rPr>
          <w:lang w:val="en-US"/>
        </w:rPr>
        <w:t>e</w:t>
      </w:r>
      <w:r w:rsidRPr="00423FD6">
        <w:rPr>
          <w:lang w:val="en-US"/>
        </w:rPr>
        <w:t>s</w:t>
      </w:r>
    </w:p>
    <w:p w:rsidR="00053895" w:rsidP="00EE13FE" w:rsidRDefault="00053895">
      <w:pPr>
        <w:spacing w:line="276" w:lineRule="auto"/>
        <w:rPr>
          <w:lang w:val="en-US"/>
        </w:rPr>
      </w:pPr>
      <w:r w:rsidRPr="008E785B">
        <w:rPr>
          <w:lang w:val="en-US"/>
        </w:rPr>
        <w:t>LCF</w:t>
      </w:r>
      <w:r w:rsidRPr="008E785B">
        <w:rPr>
          <w:lang w:val="en-US"/>
        </w:rPr>
        <w:tab/>
      </w:r>
      <w:r w:rsidRPr="008E785B">
        <w:rPr>
          <w:lang w:val="en-US"/>
        </w:rPr>
        <w:tab/>
        <w:t>Luchtverdedigings- en Commandofregat</w:t>
      </w:r>
    </w:p>
    <w:p w:rsidRPr="008E785B" w:rsidR="0072564D" w:rsidP="00EE13FE" w:rsidRDefault="0072564D">
      <w:pPr>
        <w:spacing w:line="276" w:lineRule="auto"/>
        <w:rPr>
          <w:lang w:val="en-US"/>
        </w:rPr>
      </w:pPr>
      <w:r>
        <w:rPr>
          <w:lang w:val="en-US"/>
        </w:rPr>
        <w:t>MPKI</w:t>
      </w:r>
      <w:r>
        <w:rPr>
          <w:lang w:val="en-US"/>
        </w:rPr>
        <w:tab/>
      </w:r>
      <w:r>
        <w:rPr>
          <w:lang w:val="en-US"/>
        </w:rPr>
        <w:tab/>
        <w:t xml:space="preserve">Military Peacekeeping Intelligence </w:t>
      </w:r>
    </w:p>
    <w:p w:rsidRPr="008E785B" w:rsidR="00053895" w:rsidP="00EE13FE" w:rsidRDefault="00053895">
      <w:pPr>
        <w:spacing w:line="276" w:lineRule="auto"/>
        <w:rPr>
          <w:lang w:val="en-US"/>
        </w:rPr>
      </w:pPr>
      <w:r w:rsidRPr="00053895">
        <w:rPr>
          <w:lang w:val="en-US"/>
        </w:rPr>
        <w:t xml:space="preserve">MSCHOA </w:t>
      </w:r>
      <w:r>
        <w:rPr>
          <w:lang w:val="en-US"/>
        </w:rPr>
        <w:tab/>
      </w:r>
      <w:r w:rsidRPr="00053895">
        <w:rPr>
          <w:lang w:val="en-US"/>
        </w:rPr>
        <w:t>Maritime Security Center Horn of Africa</w:t>
      </w:r>
    </w:p>
    <w:p w:rsidRPr="00E3051E" w:rsidR="00053895" w:rsidP="00053895" w:rsidRDefault="00C30DC0">
      <w:pPr>
        <w:spacing w:line="276" w:lineRule="auto"/>
        <w:ind w:left="1410" w:hanging="1410"/>
        <w:rPr>
          <w:lang w:val="it-IT"/>
        </w:rPr>
      </w:pPr>
      <w:r w:rsidRPr="00E3051E">
        <w:rPr>
          <w:lang w:val="it-IT"/>
        </w:rPr>
        <w:t>MSCIO</w:t>
      </w:r>
      <w:r w:rsidRPr="00E3051E">
        <w:rPr>
          <w:lang w:val="it-IT"/>
        </w:rPr>
        <w:tab/>
      </w:r>
      <w:r w:rsidRPr="00E3051E">
        <w:rPr>
          <w:lang w:val="it-IT"/>
        </w:rPr>
        <w:tab/>
        <w:t xml:space="preserve">Maritime Security Center Indian Ocean </w:t>
      </w:r>
    </w:p>
    <w:p w:rsidR="00012962" w:rsidP="00EE13FE" w:rsidRDefault="00012962">
      <w:pPr>
        <w:spacing w:line="276" w:lineRule="auto"/>
      </w:pPr>
      <w:r w:rsidRPr="00E3051E">
        <w:t>NAVO</w:t>
      </w:r>
      <w:r w:rsidRPr="00E3051E">
        <w:tab/>
      </w:r>
      <w:r w:rsidRPr="00E3051E">
        <w:tab/>
        <w:t>Noord Atlantische Verdragsorganisatie</w:t>
      </w:r>
      <w:r w:rsidRPr="00E3051E" w:rsidR="00884B24">
        <w:t xml:space="preserve"> (ook: NATO)</w:t>
      </w:r>
    </w:p>
    <w:p w:rsidRPr="008E785B" w:rsidR="0021305E" w:rsidP="00EE13FE" w:rsidRDefault="0021305E">
      <w:pPr>
        <w:spacing w:line="276" w:lineRule="auto"/>
        <w:rPr>
          <w:lang w:val="en-US"/>
        </w:rPr>
      </w:pPr>
      <w:r w:rsidRPr="008E785B">
        <w:rPr>
          <w:lang w:val="en-US"/>
        </w:rPr>
        <w:t>NFM</w:t>
      </w:r>
      <w:r w:rsidRPr="008E785B">
        <w:rPr>
          <w:lang w:val="en-US"/>
        </w:rPr>
        <w:tab/>
      </w:r>
      <w:r w:rsidRPr="008E785B">
        <w:rPr>
          <w:lang w:val="en-US"/>
        </w:rPr>
        <w:tab/>
        <w:t>NATO Force Model</w:t>
      </w:r>
    </w:p>
    <w:p w:rsidRPr="008E785B" w:rsidR="004C4D2B" w:rsidP="00EE13FE" w:rsidRDefault="004C4D2B">
      <w:pPr>
        <w:spacing w:line="276" w:lineRule="auto"/>
        <w:rPr>
          <w:lang w:val="en-US"/>
        </w:rPr>
      </w:pPr>
      <w:r w:rsidRPr="008E785B">
        <w:rPr>
          <w:lang w:val="en-US"/>
        </w:rPr>
        <w:t>NMI</w:t>
      </w:r>
      <w:r w:rsidRPr="008E785B">
        <w:rPr>
          <w:lang w:val="en-US"/>
        </w:rPr>
        <w:tab/>
      </w:r>
      <w:r w:rsidRPr="008E785B">
        <w:rPr>
          <w:lang w:val="en-US"/>
        </w:rPr>
        <w:tab/>
        <w:t>NATO Mission Iraq</w:t>
      </w:r>
    </w:p>
    <w:p w:rsidR="003C1460" w:rsidP="00EE13FE" w:rsidRDefault="003C1460">
      <w:pPr>
        <w:spacing w:line="276" w:lineRule="auto"/>
        <w:rPr>
          <w:lang w:val="en-US"/>
        </w:rPr>
      </w:pPr>
      <w:r w:rsidRPr="00E3051E">
        <w:rPr>
          <w:lang w:val="en-US"/>
        </w:rPr>
        <w:t>OHQ</w:t>
      </w:r>
      <w:r w:rsidRPr="00E3051E">
        <w:rPr>
          <w:lang w:val="en-US"/>
        </w:rPr>
        <w:tab/>
      </w:r>
      <w:r w:rsidRPr="00E3051E">
        <w:rPr>
          <w:lang w:val="en-US"/>
        </w:rPr>
        <w:tab/>
        <w:t>Operational Headquarter</w:t>
      </w:r>
    </w:p>
    <w:p w:rsidR="00E82DE7" w:rsidP="00EE13FE" w:rsidRDefault="004C4D2B">
      <w:pPr>
        <w:spacing w:line="276" w:lineRule="auto"/>
        <w:rPr>
          <w:lang w:val="en-US"/>
        </w:rPr>
      </w:pPr>
      <w:r>
        <w:rPr>
          <w:lang w:val="en-US"/>
        </w:rPr>
        <w:t>OIR</w:t>
      </w:r>
      <w:r>
        <w:rPr>
          <w:lang w:val="en-US"/>
        </w:rPr>
        <w:tab/>
      </w:r>
      <w:r>
        <w:rPr>
          <w:lang w:val="en-US"/>
        </w:rPr>
        <w:tab/>
        <w:t>Operation Inherent Resolve</w:t>
      </w:r>
    </w:p>
    <w:p w:rsidR="00053895" w:rsidP="00EE13FE" w:rsidRDefault="00053895">
      <w:pPr>
        <w:spacing w:line="276" w:lineRule="auto"/>
        <w:rPr>
          <w:lang w:val="en-US"/>
        </w:rPr>
      </w:pPr>
      <w:r>
        <w:rPr>
          <w:lang w:val="en-US"/>
        </w:rPr>
        <w:t>ONSA</w:t>
      </w:r>
      <w:r>
        <w:rPr>
          <w:lang w:val="en-US"/>
        </w:rPr>
        <w:tab/>
      </w:r>
      <w:r>
        <w:rPr>
          <w:lang w:val="en-US"/>
        </w:rPr>
        <w:tab/>
      </w:r>
      <w:r w:rsidRPr="008E785B">
        <w:rPr>
          <w:lang w:val="en-US"/>
        </w:rPr>
        <w:t>Office of the National Security Advisor</w:t>
      </w:r>
      <w:r>
        <w:rPr>
          <w:lang w:val="en-US"/>
        </w:rPr>
        <w:t xml:space="preserve"> Iraq</w:t>
      </w:r>
    </w:p>
    <w:p w:rsidR="0072564D" w:rsidP="0072564D" w:rsidRDefault="0072564D">
      <w:pPr>
        <w:spacing w:line="276" w:lineRule="auto"/>
        <w:ind w:left="1410" w:hanging="1410"/>
        <w:rPr>
          <w:lang w:val="en-US"/>
        </w:rPr>
      </w:pPr>
      <w:r>
        <w:rPr>
          <w:lang w:val="en-US"/>
        </w:rPr>
        <w:t>OPKI</w:t>
      </w:r>
      <w:r>
        <w:rPr>
          <w:lang w:val="en-US"/>
        </w:rPr>
        <w:tab/>
        <w:t>Open-Source Peacekeeping Intelligence</w:t>
      </w:r>
    </w:p>
    <w:p w:rsidRPr="00053895" w:rsidR="0072564D" w:rsidP="0072564D" w:rsidRDefault="0072564D">
      <w:pPr>
        <w:spacing w:line="276" w:lineRule="auto"/>
        <w:ind w:left="1410" w:hanging="1410"/>
        <w:rPr>
          <w:lang w:val="en-US"/>
        </w:rPr>
      </w:pPr>
      <w:r>
        <w:rPr>
          <w:lang w:val="en-US"/>
        </w:rPr>
        <w:t>OP SETWISE</w:t>
      </w:r>
      <w:r>
        <w:rPr>
          <w:lang w:val="en-US"/>
        </w:rPr>
        <w:tab/>
        <w:t>Operation SETWISE</w:t>
      </w:r>
    </w:p>
    <w:p w:rsidRPr="00E3051E" w:rsidR="0031400B" w:rsidP="0043676D" w:rsidRDefault="0031400B">
      <w:pPr>
        <w:spacing w:line="276" w:lineRule="auto"/>
        <w:ind w:left="1410" w:hanging="1410"/>
        <w:rPr>
          <w:lang w:val="en-US"/>
        </w:rPr>
      </w:pPr>
      <w:r w:rsidRPr="00E3051E">
        <w:rPr>
          <w:lang w:val="en-US"/>
        </w:rPr>
        <w:t>OSC</w:t>
      </w:r>
      <w:r w:rsidRPr="00E3051E">
        <w:rPr>
          <w:lang w:val="en-US"/>
        </w:rPr>
        <w:tab/>
      </w:r>
      <w:r w:rsidRPr="00E3051E">
        <w:rPr>
          <w:lang w:val="en-US"/>
        </w:rPr>
        <w:tab/>
        <w:t xml:space="preserve">Office </w:t>
      </w:r>
      <w:r w:rsidRPr="003036AA" w:rsidR="002C2B0D">
        <w:rPr>
          <w:lang w:val="en-US"/>
        </w:rPr>
        <w:t>o</w:t>
      </w:r>
      <w:r w:rsidRPr="003036AA">
        <w:rPr>
          <w:lang w:val="en-US"/>
        </w:rPr>
        <w:t xml:space="preserve">f </w:t>
      </w:r>
      <w:r w:rsidRPr="003036AA" w:rsidR="00E3051E">
        <w:rPr>
          <w:lang w:val="en-US"/>
        </w:rPr>
        <w:t xml:space="preserve">the </w:t>
      </w:r>
      <w:r w:rsidRPr="003036AA">
        <w:rPr>
          <w:lang w:val="en-US"/>
        </w:rPr>
        <w:t>Security</w:t>
      </w:r>
      <w:r w:rsidRPr="00E3051E">
        <w:rPr>
          <w:lang w:val="en-US"/>
        </w:rPr>
        <w:t xml:space="preserve"> Coordina</w:t>
      </w:r>
      <w:r w:rsidRPr="00E3051E" w:rsidR="00C11A45">
        <w:rPr>
          <w:lang w:val="en-US"/>
        </w:rPr>
        <w:t>tor</w:t>
      </w:r>
    </w:p>
    <w:p w:rsidR="00E773FE" w:rsidP="00EE13FE" w:rsidRDefault="00E773FE">
      <w:pPr>
        <w:spacing w:line="276" w:lineRule="auto"/>
        <w:rPr>
          <w:lang w:val="en-US"/>
        </w:rPr>
      </w:pPr>
      <w:r w:rsidRPr="00E3051E">
        <w:rPr>
          <w:lang w:val="en-US"/>
        </w:rPr>
        <w:t>POLAD</w:t>
      </w:r>
      <w:r w:rsidRPr="00E3051E">
        <w:rPr>
          <w:lang w:val="en-US"/>
        </w:rPr>
        <w:tab/>
      </w:r>
      <w:r w:rsidRPr="00E3051E">
        <w:rPr>
          <w:lang w:val="en-US"/>
        </w:rPr>
        <w:tab/>
        <w:t>Political Adviso</w:t>
      </w:r>
      <w:r w:rsidRPr="00E3051E" w:rsidR="000E3EDB">
        <w:rPr>
          <w:lang w:val="en-US"/>
        </w:rPr>
        <w:t>r</w:t>
      </w:r>
    </w:p>
    <w:p w:rsidRPr="00E3051E" w:rsidR="00262D51" w:rsidP="00EE13FE" w:rsidRDefault="00262D51">
      <w:pPr>
        <w:spacing w:line="276" w:lineRule="auto"/>
        <w:rPr>
          <w:lang w:val="en-US"/>
        </w:rPr>
      </w:pPr>
      <w:r>
        <w:rPr>
          <w:lang w:val="en-US"/>
        </w:rPr>
        <w:t>PSMX</w:t>
      </w:r>
      <w:r>
        <w:rPr>
          <w:lang w:val="en-US"/>
        </w:rPr>
        <w:tab/>
      </w:r>
      <w:r>
        <w:rPr>
          <w:lang w:val="en-US"/>
        </w:rPr>
        <w:tab/>
        <w:t>Pacific Security Maritime Exchange</w:t>
      </w:r>
    </w:p>
    <w:p w:rsidR="0037069F" w:rsidP="00EE13FE" w:rsidRDefault="0037069F">
      <w:pPr>
        <w:spacing w:line="276" w:lineRule="auto"/>
        <w:rPr>
          <w:lang w:val="en-US"/>
        </w:rPr>
      </w:pPr>
      <w:r w:rsidRPr="00E3051E">
        <w:rPr>
          <w:lang w:val="en-US"/>
        </w:rPr>
        <w:t>SASE</w:t>
      </w:r>
      <w:r w:rsidRPr="00E3051E">
        <w:rPr>
          <w:lang w:val="en-US"/>
        </w:rPr>
        <w:tab/>
      </w:r>
      <w:r w:rsidRPr="00E3051E">
        <w:rPr>
          <w:lang w:val="en-US"/>
        </w:rPr>
        <w:tab/>
        <w:t>Safe and secure environment</w:t>
      </w:r>
    </w:p>
    <w:p w:rsidRPr="00E3051E" w:rsidR="00053895" w:rsidP="00EE13FE" w:rsidRDefault="00053895">
      <w:pPr>
        <w:spacing w:line="276" w:lineRule="auto"/>
        <w:rPr>
          <w:lang w:val="en-US"/>
        </w:rPr>
      </w:pPr>
      <w:r>
        <w:rPr>
          <w:lang w:val="en-US"/>
        </w:rPr>
        <w:t>SDF</w:t>
      </w:r>
      <w:r>
        <w:rPr>
          <w:lang w:val="en-US"/>
        </w:rPr>
        <w:tab/>
      </w:r>
      <w:r>
        <w:rPr>
          <w:lang w:val="en-US"/>
        </w:rPr>
        <w:tab/>
      </w:r>
      <w:r w:rsidRPr="00053895">
        <w:rPr>
          <w:lang w:val="en-US"/>
        </w:rPr>
        <w:t>Syrian Democratic Forces</w:t>
      </w:r>
    </w:p>
    <w:p w:rsidRPr="00E3051E" w:rsidR="00F113CE" w:rsidP="00EE13FE" w:rsidRDefault="00F113CE">
      <w:pPr>
        <w:spacing w:line="276" w:lineRule="auto"/>
        <w:rPr>
          <w:lang w:val="en-US"/>
        </w:rPr>
      </w:pPr>
      <w:r w:rsidRPr="00E3051E">
        <w:rPr>
          <w:lang w:val="en-US"/>
        </w:rPr>
        <w:t>SOF</w:t>
      </w:r>
      <w:r w:rsidRPr="00E3051E">
        <w:rPr>
          <w:lang w:val="en-US"/>
        </w:rPr>
        <w:tab/>
      </w:r>
      <w:r w:rsidRPr="00E3051E">
        <w:rPr>
          <w:lang w:val="en-US"/>
        </w:rPr>
        <w:tab/>
        <w:t>Special Operation</w:t>
      </w:r>
      <w:r w:rsidRPr="00E3051E" w:rsidR="005A0DAE">
        <w:rPr>
          <w:lang w:val="en-US"/>
        </w:rPr>
        <w:t>s</w:t>
      </w:r>
      <w:r w:rsidRPr="00E3051E">
        <w:rPr>
          <w:lang w:val="en-US"/>
        </w:rPr>
        <w:t xml:space="preserve"> Forces</w:t>
      </w:r>
    </w:p>
    <w:p w:rsidR="00A61C34" w:rsidP="00EE13FE" w:rsidRDefault="00A61C34">
      <w:pPr>
        <w:spacing w:line="276" w:lineRule="auto"/>
        <w:rPr>
          <w:lang w:val="en-US"/>
        </w:rPr>
      </w:pPr>
      <w:r w:rsidRPr="00E3051E">
        <w:rPr>
          <w:lang w:val="en-US"/>
        </w:rPr>
        <w:t>SOLE</w:t>
      </w:r>
      <w:r w:rsidRPr="00E3051E">
        <w:rPr>
          <w:lang w:val="en-US"/>
        </w:rPr>
        <w:tab/>
      </w:r>
      <w:r w:rsidRPr="00E3051E">
        <w:rPr>
          <w:lang w:val="en-US"/>
        </w:rPr>
        <w:tab/>
        <w:t>Special Operations Liaison Element</w:t>
      </w:r>
    </w:p>
    <w:p w:rsidR="00053895" w:rsidP="00EE13FE" w:rsidRDefault="00053895">
      <w:pPr>
        <w:spacing w:line="276" w:lineRule="auto"/>
        <w:rPr>
          <w:lang w:val="en-US"/>
        </w:rPr>
      </w:pPr>
      <w:r>
        <w:rPr>
          <w:lang w:val="en-US"/>
        </w:rPr>
        <w:t>SSR</w:t>
      </w:r>
      <w:r>
        <w:rPr>
          <w:lang w:val="en-US"/>
        </w:rPr>
        <w:tab/>
      </w:r>
      <w:r>
        <w:rPr>
          <w:lang w:val="en-US"/>
        </w:rPr>
        <w:tab/>
        <w:t>Security Sector Reform</w:t>
      </w:r>
    </w:p>
    <w:p w:rsidRPr="00E3051E" w:rsidR="004C4D2B" w:rsidP="00EE13FE" w:rsidRDefault="004C4D2B">
      <w:pPr>
        <w:spacing w:line="276" w:lineRule="auto"/>
        <w:rPr>
          <w:lang w:val="en-US"/>
        </w:rPr>
      </w:pPr>
      <w:r>
        <w:rPr>
          <w:lang w:val="en-US"/>
        </w:rPr>
        <w:t>UAV</w:t>
      </w:r>
      <w:r>
        <w:rPr>
          <w:lang w:val="en-US"/>
        </w:rPr>
        <w:tab/>
      </w:r>
      <w:r>
        <w:rPr>
          <w:lang w:val="en-US"/>
        </w:rPr>
        <w:tab/>
      </w:r>
      <w:r w:rsidRPr="008E785B">
        <w:rPr>
          <w:lang w:val="en-US"/>
        </w:rPr>
        <w:t>Unmanned Aerial Vehicles</w:t>
      </w:r>
    </w:p>
    <w:p w:rsidRPr="00E3051E" w:rsidR="0031400B" w:rsidP="00EE13FE" w:rsidRDefault="0031400B">
      <w:pPr>
        <w:spacing w:line="276" w:lineRule="auto"/>
        <w:rPr>
          <w:lang w:val="en-US"/>
        </w:rPr>
      </w:pPr>
      <w:r w:rsidRPr="00E3051E">
        <w:rPr>
          <w:lang w:val="en-US"/>
        </w:rPr>
        <w:t>UNC</w:t>
      </w:r>
      <w:r w:rsidRPr="00E3051E">
        <w:rPr>
          <w:lang w:val="en-US"/>
        </w:rPr>
        <w:tab/>
      </w:r>
      <w:r w:rsidRPr="00E3051E">
        <w:rPr>
          <w:lang w:val="en-US"/>
        </w:rPr>
        <w:tab/>
        <w:t>United Nations Command</w:t>
      </w:r>
      <w:r w:rsidRPr="00E3051E" w:rsidR="0015523C">
        <w:rPr>
          <w:lang w:val="en-US"/>
        </w:rPr>
        <w:t xml:space="preserve"> (</w:t>
      </w:r>
      <w:r w:rsidR="00CB2D55">
        <w:rPr>
          <w:lang w:val="en-US"/>
        </w:rPr>
        <w:t>Zuid-Korea</w:t>
      </w:r>
      <w:r w:rsidRPr="00E3051E" w:rsidR="0015523C">
        <w:rPr>
          <w:lang w:val="en-US"/>
        </w:rPr>
        <w:t>)</w:t>
      </w:r>
    </w:p>
    <w:p w:rsidRPr="00E3051E" w:rsidR="002F7F36" w:rsidP="00EE13FE" w:rsidRDefault="002F7F36">
      <w:pPr>
        <w:spacing w:line="276" w:lineRule="auto"/>
        <w:rPr>
          <w:lang w:val="en-US"/>
        </w:rPr>
      </w:pPr>
      <w:r w:rsidRPr="00E3051E">
        <w:rPr>
          <w:lang w:val="en-US"/>
        </w:rPr>
        <w:t>UNDOF</w:t>
      </w:r>
      <w:r w:rsidRPr="00E3051E">
        <w:rPr>
          <w:lang w:val="en-US"/>
        </w:rPr>
        <w:tab/>
      </w:r>
      <w:r w:rsidRPr="00E3051E">
        <w:rPr>
          <w:lang w:val="en-US"/>
        </w:rPr>
        <w:tab/>
        <w:t>United Nations Disengagement Observer Force</w:t>
      </w:r>
    </w:p>
    <w:p w:rsidRPr="00E3051E" w:rsidR="001F5681" w:rsidP="00EE13FE" w:rsidRDefault="001F5681">
      <w:pPr>
        <w:spacing w:line="276" w:lineRule="auto"/>
        <w:rPr>
          <w:lang w:val="en-US"/>
        </w:rPr>
      </w:pPr>
      <w:r w:rsidRPr="00E3051E">
        <w:rPr>
          <w:lang w:val="en-US"/>
        </w:rPr>
        <w:t>UNIFIL</w:t>
      </w:r>
      <w:r w:rsidRPr="00E3051E">
        <w:rPr>
          <w:lang w:val="en-US"/>
        </w:rPr>
        <w:tab/>
      </w:r>
      <w:r w:rsidRPr="00E3051E">
        <w:rPr>
          <w:lang w:val="en-US"/>
        </w:rPr>
        <w:tab/>
        <w:t xml:space="preserve">United Nations Interim Force </w:t>
      </w:r>
      <w:r w:rsidRPr="00E3051E" w:rsidR="00EC04DA">
        <w:rPr>
          <w:lang w:val="en-US"/>
        </w:rPr>
        <w:t>in Lebanon</w:t>
      </w:r>
    </w:p>
    <w:p w:rsidR="00D7211F" w:rsidP="00EE13FE" w:rsidRDefault="00D7211F">
      <w:pPr>
        <w:spacing w:line="276" w:lineRule="auto"/>
        <w:rPr>
          <w:lang w:val="en-US"/>
        </w:rPr>
      </w:pPr>
      <w:r>
        <w:rPr>
          <w:lang w:val="en-US"/>
        </w:rPr>
        <w:t>UNMPKI</w:t>
      </w:r>
      <w:r>
        <w:rPr>
          <w:lang w:val="en-US"/>
        </w:rPr>
        <w:tab/>
        <w:t>United Nations Military Peacekeeping Intell</w:t>
      </w:r>
      <w:r w:rsidR="00272DE0">
        <w:rPr>
          <w:lang w:val="en-US"/>
        </w:rPr>
        <w:t>igence</w:t>
      </w:r>
    </w:p>
    <w:p w:rsidRPr="00E3051E" w:rsidR="00FF3726" w:rsidP="00EE13FE" w:rsidRDefault="00FF3726">
      <w:pPr>
        <w:spacing w:line="276" w:lineRule="auto"/>
        <w:rPr>
          <w:lang w:val="en-US"/>
        </w:rPr>
      </w:pPr>
      <w:r w:rsidRPr="00E3051E">
        <w:rPr>
          <w:lang w:val="en-US"/>
        </w:rPr>
        <w:t>UNTSO</w:t>
      </w:r>
      <w:r w:rsidRPr="00E3051E">
        <w:rPr>
          <w:lang w:val="en-US"/>
        </w:rPr>
        <w:tab/>
      </w:r>
      <w:r w:rsidRPr="00E3051E">
        <w:rPr>
          <w:lang w:val="en-US"/>
        </w:rPr>
        <w:tab/>
        <w:t>United Nations Truce Supervision Organization</w:t>
      </w:r>
    </w:p>
    <w:p w:rsidRPr="00E3051E" w:rsidR="0015523C" w:rsidP="00EE13FE" w:rsidRDefault="0015523C">
      <w:pPr>
        <w:spacing w:line="276" w:lineRule="auto"/>
        <w:rPr>
          <w:lang w:val="en-US"/>
        </w:rPr>
      </w:pPr>
      <w:r w:rsidRPr="00E3051E">
        <w:rPr>
          <w:lang w:val="en-US"/>
        </w:rPr>
        <w:lastRenderedPageBreak/>
        <w:t>USCENTCOM</w:t>
      </w:r>
      <w:r w:rsidRPr="00E3051E">
        <w:rPr>
          <w:lang w:val="en-US"/>
        </w:rPr>
        <w:tab/>
        <w:t>United States Central Command (Tampa)</w:t>
      </w:r>
    </w:p>
    <w:p w:rsidRPr="00E3051E" w:rsidR="00012962" w:rsidP="00EE13FE" w:rsidRDefault="00012962">
      <w:pPr>
        <w:spacing w:line="276" w:lineRule="auto"/>
      </w:pPr>
      <w:r w:rsidRPr="00E3051E">
        <w:t>VN</w:t>
      </w:r>
      <w:r w:rsidRPr="00E3051E">
        <w:tab/>
      </w:r>
      <w:r w:rsidRPr="00E3051E">
        <w:tab/>
        <w:t>Verenigde Naties</w:t>
      </w:r>
      <w:r w:rsidRPr="00E3051E" w:rsidR="00884B24">
        <w:t xml:space="preserve"> (ook: UN)</w:t>
      </w:r>
    </w:p>
    <w:p w:rsidRPr="00E3051E" w:rsidR="000E3EDB" w:rsidP="00EE13FE" w:rsidRDefault="000E3EDB">
      <w:pPr>
        <w:spacing w:line="276" w:lineRule="auto"/>
      </w:pPr>
      <w:r w:rsidRPr="00E3051E">
        <w:t>VNVR</w:t>
      </w:r>
      <w:r w:rsidRPr="00E3051E">
        <w:tab/>
      </w:r>
      <w:r w:rsidRPr="00E3051E">
        <w:tab/>
        <w:t>Verenigde Naties Veiligheidsraad</w:t>
      </w:r>
    </w:p>
    <w:p w:rsidRPr="00E3051E" w:rsidR="00FF3726" w:rsidP="00EE13FE" w:rsidRDefault="00FF3726">
      <w:pPr>
        <w:spacing w:line="276" w:lineRule="auto"/>
      </w:pPr>
      <w:r w:rsidRPr="00E3051E">
        <w:t>VPD</w:t>
      </w:r>
      <w:r w:rsidRPr="00E3051E">
        <w:tab/>
      </w:r>
      <w:r w:rsidRPr="00E3051E">
        <w:tab/>
        <w:t>Vessel</w:t>
      </w:r>
      <w:r w:rsidRPr="581EF451">
        <w:t xml:space="preserve"> </w:t>
      </w:r>
      <w:r w:rsidRPr="00E3051E">
        <w:t>Protection</w:t>
      </w:r>
      <w:r w:rsidRPr="581EF451">
        <w:t xml:space="preserve"> </w:t>
      </w:r>
      <w:r w:rsidRPr="00E3051E">
        <w:t>Detachment</w:t>
      </w:r>
    </w:p>
    <w:p w:rsidRPr="001E79B8" w:rsidR="00930799" w:rsidP="00EE13FE" w:rsidRDefault="00930799">
      <w:pPr>
        <w:spacing w:line="276" w:lineRule="auto"/>
        <w:rPr>
          <w:lang w:val="en-US"/>
        </w:rPr>
      </w:pPr>
      <w:r w:rsidRPr="001E79B8">
        <w:rPr>
          <w:lang w:val="en-US"/>
        </w:rPr>
        <w:t>WFP</w:t>
      </w:r>
      <w:r w:rsidRPr="001E79B8">
        <w:rPr>
          <w:lang w:val="en-US"/>
        </w:rPr>
        <w:tab/>
      </w:r>
      <w:r w:rsidRPr="001E79B8">
        <w:rPr>
          <w:lang w:val="en-US"/>
        </w:rPr>
        <w:tab/>
        <w:t>World Food Programme</w:t>
      </w:r>
    </w:p>
    <w:p w:rsidRPr="00C30DC0" w:rsidR="00001098" w:rsidP="00EE13FE" w:rsidRDefault="00001098">
      <w:pPr>
        <w:spacing w:line="276" w:lineRule="auto"/>
        <w:rPr>
          <w:lang w:val="en-US"/>
        </w:rPr>
      </w:pPr>
    </w:p>
    <w:p w:rsidRPr="001E79B8" w:rsidR="00BC7956" w:rsidRDefault="00BC7956">
      <w:pPr>
        <w:spacing w:after="200" w:line="276" w:lineRule="auto"/>
        <w:rPr>
          <w:sz w:val="24"/>
          <w:lang w:val="en-US"/>
        </w:rPr>
      </w:pPr>
      <w:bookmarkStart w:name="ltoc" w:id="7"/>
    </w:p>
    <w:p w:rsidR="00DE62EF" w:rsidRDefault="00DE62EF">
      <w:pPr>
        <w:spacing w:after="200" w:line="276" w:lineRule="auto"/>
        <w:rPr>
          <w:sz w:val="24"/>
          <w:lang w:val="en-US"/>
        </w:rPr>
      </w:pPr>
      <w:r>
        <w:rPr>
          <w:sz w:val="24"/>
          <w:lang w:val="en-US"/>
        </w:rPr>
        <w:br w:type="page"/>
      </w:r>
    </w:p>
    <w:p w:rsidRPr="002477E7" w:rsidR="00C30DC0" w:rsidP="002477E7" w:rsidRDefault="00FF3726">
      <w:pPr>
        <w:spacing w:line="300" w:lineRule="atLeast"/>
        <w:rPr>
          <w:sz w:val="24"/>
          <w:lang w:val="en-US"/>
        </w:rPr>
      </w:pPr>
      <w:r w:rsidRPr="7B5F9CB0">
        <w:rPr>
          <w:sz w:val="24"/>
          <w:lang w:val="en-US"/>
        </w:rPr>
        <w:lastRenderedPageBreak/>
        <w:t>Inhoud</w:t>
      </w:r>
      <w:bookmarkEnd w:id="7"/>
      <w:r w:rsidRPr="7B5F9CB0" w:rsidR="0068735C">
        <w:rPr>
          <w:sz w:val="24"/>
          <w:lang w:val="en-US"/>
        </w:rPr>
        <w:t xml:space="preserve"> </w:t>
      </w:r>
    </w:p>
    <w:sdt>
      <w:sdtPr>
        <w:id w:val="722419243"/>
        <w:docPartObj>
          <w:docPartGallery w:val="Table of Contents"/>
          <w:docPartUnique/>
        </w:docPartObj>
      </w:sdtPr>
      <w:sdtEndPr>
        <w:rPr>
          <w:b/>
          <w:bCs/>
          <w:noProof/>
        </w:rPr>
      </w:sdtEndPr>
      <w:sdtContent>
        <w:p w:rsidRPr="00C30DC0" w:rsidR="00B40364" w:rsidP="00C30DC0" w:rsidRDefault="00B40364">
          <w:pPr>
            <w:spacing w:line="300" w:lineRule="atLeast"/>
            <w:rPr>
              <w:sz w:val="24"/>
            </w:rPr>
          </w:pPr>
        </w:p>
        <w:p w:rsidR="001C00DE" w:rsidRDefault="00B40364">
          <w:pPr>
            <w:pStyle w:val="TOC1"/>
            <w:rPr>
              <w:rFonts w:asciiTheme="minorHAnsi" w:hAnsiTheme="minorHAnsi" w:eastAsiaTheme="minorEastAsia" w:cstheme="minorBidi"/>
              <w:b w:val="0"/>
              <w:noProof/>
              <w:sz w:val="22"/>
              <w:szCs w:val="22"/>
              <w:lang w:eastAsia="nl-NL"/>
            </w:rPr>
          </w:pPr>
          <w:r>
            <w:fldChar w:fldCharType="begin"/>
          </w:r>
          <w:r>
            <w:instrText xml:space="preserve"> TOC \o "1-3" \h \z \u </w:instrText>
          </w:r>
          <w:r>
            <w:fldChar w:fldCharType="separate"/>
          </w:r>
          <w:hyperlink w:history="1" w:anchor="_Toc227756562">
            <w:r w:rsidRPr="00290862" w:rsidR="001C00DE">
              <w:rPr>
                <w:rStyle w:val="Hyperlink"/>
                <w:noProof/>
              </w:rPr>
              <w:t>1.</w:t>
            </w:r>
            <w:r w:rsidR="001C00DE">
              <w:rPr>
                <w:rFonts w:asciiTheme="minorHAnsi" w:hAnsiTheme="minorHAnsi" w:eastAsiaTheme="minorEastAsia" w:cstheme="minorBidi"/>
                <w:b w:val="0"/>
                <w:noProof/>
                <w:sz w:val="22"/>
                <w:szCs w:val="22"/>
                <w:lang w:eastAsia="nl-NL"/>
              </w:rPr>
              <w:tab/>
            </w:r>
            <w:r w:rsidRPr="00290862" w:rsidR="001C00DE">
              <w:rPr>
                <w:rStyle w:val="Hyperlink"/>
                <w:noProof/>
              </w:rPr>
              <w:t>Inleiding</w:t>
            </w:r>
            <w:r w:rsidR="001C00DE">
              <w:rPr>
                <w:noProof/>
                <w:webHidden/>
              </w:rPr>
              <w:tab/>
            </w:r>
            <w:r w:rsidR="001C00DE">
              <w:rPr>
                <w:noProof/>
                <w:webHidden/>
              </w:rPr>
              <w:fldChar w:fldCharType="begin"/>
            </w:r>
            <w:r w:rsidR="001C00DE">
              <w:rPr>
                <w:noProof/>
                <w:webHidden/>
              </w:rPr>
              <w:instrText xml:space="preserve"> PAGEREF _Toc227756562 \h </w:instrText>
            </w:r>
            <w:r w:rsidR="001C00DE">
              <w:rPr>
                <w:noProof/>
                <w:webHidden/>
              </w:rPr>
            </w:r>
            <w:r w:rsidR="001C00DE">
              <w:rPr>
                <w:noProof/>
                <w:webHidden/>
              </w:rPr>
              <w:fldChar w:fldCharType="separate"/>
            </w:r>
            <w:r w:rsidR="001C00DE">
              <w:rPr>
                <w:noProof/>
                <w:webHidden/>
              </w:rPr>
              <w:t>5</w:t>
            </w:r>
            <w:r w:rsidR="001C00DE">
              <w:rPr>
                <w:noProof/>
                <w:webHidden/>
              </w:rPr>
              <w:fldChar w:fldCharType="end"/>
            </w:r>
          </w:hyperlink>
        </w:p>
        <w:p w:rsidR="001C00DE" w:rsidRDefault="00956B53">
          <w:pPr>
            <w:pStyle w:val="TOC1"/>
            <w:rPr>
              <w:rFonts w:asciiTheme="minorHAnsi" w:hAnsiTheme="minorHAnsi" w:eastAsiaTheme="minorEastAsia" w:cstheme="minorBidi"/>
              <w:b w:val="0"/>
              <w:noProof/>
              <w:sz w:val="22"/>
              <w:szCs w:val="22"/>
              <w:lang w:eastAsia="nl-NL"/>
            </w:rPr>
          </w:pPr>
          <w:hyperlink w:history="1" w:anchor="_Toc227756563">
            <w:r w:rsidRPr="00290862" w:rsidR="001C00DE">
              <w:rPr>
                <w:rStyle w:val="Hyperlink"/>
                <w:noProof/>
              </w:rPr>
              <w:t>2.</w:t>
            </w:r>
            <w:r w:rsidR="001C00DE">
              <w:rPr>
                <w:rFonts w:asciiTheme="minorHAnsi" w:hAnsiTheme="minorHAnsi" w:eastAsiaTheme="minorEastAsia" w:cstheme="minorBidi"/>
                <w:b w:val="0"/>
                <w:noProof/>
                <w:sz w:val="22"/>
                <w:szCs w:val="22"/>
                <w:lang w:eastAsia="nl-NL"/>
              </w:rPr>
              <w:tab/>
            </w:r>
            <w:r w:rsidRPr="00290862" w:rsidR="001C00DE">
              <w:rPr>
                <w:rStyle w:val="Hyperlink"/>
                <w:noProof/>
              </w:rPr>
              <w:t>Expeditionaire inzet van Nederlandse militairen, civiele experts en politiefunctionarissen</w:t>
            </w:r>
            <w:r w:rsidR="001C00DE">
              <w:rPr>
                <w:noProof/>
                <w:webHidden/>
              </w:rPr>
              <w:tab/>
            </w:r>
            <w:r w:rsidR="001C00DE">
              <w:rPr>
                <w:noProof/>
                <w:webHidden/>
              </w:rPr>
              <w:fldChar w:fldCharType="begin"/>
            </w:r>
            <w:r w:rsidR="001C00DE">
              <w:rPr>
                <w:noProof/>
                <w:webHidden/>
              </w:rPr>
              <w:instrText xml:space="preserve"> PAGEREF _Toc227756563 \h </w:instrText>
            </w:r>
            <w:r w:rsidR="001C00DE">
              <w:rPr>
                <w:noProof/>
                <w:webHidden/>
              </w:rPr>
            </w:r>
            <w:r w:rsidR="001C00DE">
              <w:rPr>
                <w:noProof/>
                <w:webHidden/>
              </w:rPr>
              <w:fldChar w:fldCharType="separate"/>
            </w:r>
            <w:r w:rsidR="001C00DE">
              <w:rPr>
                <w:noProof/>
                <w:webHidden/>
              </w:rPr>
              <w:t>6</w:t>
            </w:r>
            <w:r w:rsidR="001C00DE">
              <w:rPr>
                <w:noProof/>
                <w:webHidden/>
              </w:rPr>
              <w:fldChar w:fldCharType="end"/>
            </w:r>
          </w:hyperlink>
        </w:p>
        <w:p w:rsidR="001C00DE" w:rsidRDefault="00956B53">
          <w:pPr>
            <w:pStyle w:val="TOC2"/>
            <w:rPr>
              <w:rFonts w:asciiTheme="minorHAnsi" w:hAnsiTheme="minorHAnsi" w:eastAsiaTheme="minorEastAsia" w:cstheme="minorBidi"/>
              <w:noProof/>
              <w:sz w:val="22"/>
              <w:szCs w:val="22"/>
              <w:lang w:eastAsia="nl-NL"/>
            </w:rPr>
          </w:pPr>
          <w:hyperlink w:history="1" w:anchor="_Toc227756564">
            <w:r w:rsidRPr="00290862" w:rsidR="001C00DE">
              <w:rPr>
                <w:rStyle w:val="Hyperlink"/>
                <w:noProof/>
              </w:rPr>
              <w:t>2.1.</w:t>
            </w:r>
            <w:r w:rsidR="001C00DE">
              <w:rPr>
                <w:rFonts w:asciiTheme="minorHAnsi" w:hAnsiTheme="minorHAnsi" w:eastAsiaTheme="minorEastAsia" w:cstheme="minorBidi"/>
                <w:noProof/>
                <w:sz w:val="22"/>
                <w:szCs w:val="22"/>
                <w:lang w:eastAsia="nl-NL"/>
              </w:rPr>
              <w:tab/>
            </w:r>
            <w:r w:rsidRPr="00290862" w:rsidR="001C00DE">
              <w:rPr>
                <w:rStyle w:val="Hyperlink"/>
                <w:noProof/>
              </w:rPr>
              <w:t>Inzet en samenhang</w:t>
            </w:r>
            <w:r w:rsidR="001C00DE">
              <w:rPr>
                <w:noProof/>
                <w:webHidden/>
              </w:rPr>
              <w:tab/>
            </w:r>
            <w:r w:rsidR="001C00DE">
              <w:rPr>
                <w:noProof/>
                <w:webHidden/>
              </w:rPr>
              <w:fldChar w:fldCharType="begin"/>
            </w:r>
            <w:r w:rsidR="001C00DE">
              <w:rPr>
                <w:noProof/>
                <w:webHidden/>
              </w:rPr>
              <w:instrText xml:space="preserve"> PAGEREF _Toc227756564 \h </w:instrText>
            </w:r>
            <w:r w:rsidR="001C00DE">
              <w:rPr>
                <w:noProof/>
                <w:webHidden/>
              </w:rPr>
            </w:r>
            <w:r w:rsidR="001C00DE">
              <w:rPr>
                <w:noProof/>
                <w:webHidden/>
              </w:rPr>
              <w:fldChar w:fldCharType="separate"/>
            </w:r>
            <w:r w:rsidR="001C00DE">
              <w:rPr>
                <w:noProof/>
                <w:webHidden/>
              </w:rPr>
              <w:t>6</w:t>
            </w:r>
            <w:r w:rsidR="001C00DE">
              <w:rPr>
                <w:noProof/>
                <w:webHidden/>
              </w:rPr>
              <w:fldChar w:fldCharType="end"/>
            </w:r>
          </w:hyperlink>
        </w:p>
        <w:p w:rsidR="001C00DE" w:rsidRDefault="00956B53">
          <w:pPr>
            <w:pStyle w:val="TOC2"/>
            <w:rPr>
              <w:rFonts w:asciiTheme="minorHAnsi" w:hAnsiTheme="minorHAnsi" w:eastAsiaTheme="minorEastAsia" w:cstheme="minorBidi"/>
              <w:noProof/>
              <w:sz w:val="22"/>
              <w:szCs w:val="22"/>
              <w:lang w:eastAsia="nl-NL"/>
            </w:rPr>
          </w:pPr>
          <w:hyperlink w:history="1" w:anchor="_Toc227756565">
            <w:r w:rsidRPr="00290862" w:rsidR="001C00DE">
              <w:rPr>
                <w:rStyle w:val="Hyperlink"/>
                <w:noProof/>
              </w:rPr>
              <w:t>2.2.</w:t>
            </w:r>
            <w:r w:rsidR="001C00DE">
              <w:rPr>
                <w:rFonts w:asciiTheme="minorHAnsi" w:hAnsiTheme="minorHAnsi" w:eastAsiaTheme="minorEastAsia" w:cstheme="minorBidi"/>
                <w:noProof/>
                <w:sz w:val="22"/>
                <w:szCs w:val="22"/>
                <w:lang w:eastAsia="nl-NL"/>
              </w:rPr>
              <w:tab/>
            </w:r>
            <w:r w:rsidRPr="00290862" w:rsidR="001C00DE">
              <w:rPr>
                <w:rStyle w:val="Hyperlink"/>
                <w:noProof/>
              </w:rPr>
              <w:t>Europa</w:t>
            </w:r>
            <w:r w:rsidR="001C00DE">
              <w:rPr>
                <w:noProof/>
                <w:webHidden/>
              </w:rPr>
              <w:tab/>
            </w:r>
            <w:r w:rsidR="001C00DE">
              <w:rPr>
                <w:noProof/>
                <w:webHidden/>
              </w:rPr>
              <w:fldChar w:fldCharType="begin"/>
            </w:r>
            <w:r w:rsidR="001C00DE">
              <w:rPr>
                <w:noProof/>
                <w:webHidden/>
              </w:rPr>
              <w:instrText xml:space="preserve"> PAGEREF _Toc227756565 \h </w:instrText>
            </w:r>
            <w:r w:rsidR="001C00DE">
              <w:rPr>
                <w:noProof/>
                <w:webHidden/>
              </w:rPr>
            </w:r>
            <w:r w:rsidR="001C00DE">
              <w:rPr>
                <w:noProof/>
                <w:webHidden/>
              </w:rPr>
              <w:fldChar w:fldCharType="separate"/>
            </w:r>
            <w:r w:rsidR="001C00DE">
              <w:rPr>
                <w:noProof/>
                <w:webHidden/>
              </w:rPr>
              <w:t>7</w:t>
            </w:r>
            <w:r w:rsidR="001C00DE">
              <w:rPr>
                <w:noProof/>
                <w:webHidden/>
              </w:rPr>
              <w:fldChar w:fldCharType="end"/>
            </w:r>
          </w:hyperlink>
        </w:p>
        <w:p w:rsidR="001C00DE" w:rsidRDefault="00956B53">
          <w:pPr>
            <w:pStyle w:val="TOC3"/>
            <w:rPr>
              <w:rFonts w:asciiTheme="minorHAnsi" w:hAnsiTheme="minorHAnsi" w:eastAsiaTheme="minorEastAsia" w:cstheme="minorBidi"/>
              <w:noProof/>
              <w:sz w:val="22"/>
              <w:szCs w:val="22"/>
              <w:lang w:eastAsia="nl-NL"/>
            </w:rPr>
          </w:pPr>
          <w:hyperlink w:history="1" w:anchor="_Toc227756566">
            <w:r w:rsidRPr="00290862" w:rsidR="001C00DE">
              <w:rPr>
                <w:rStyle w:val="Hyperlink"/>
                <w:noProof/>
              </w:rPr>
              <w:t>2.2.1.</w:t>
            </w:r>
            <w:r w:rsidR="001C00DE">
              <w:rPr>
                <w:rFonts w:asciiTheme="minorHAnsi" w:hAnsiTheme="minorHAnsi" w:eastAsiaTheme="minorEastAsia" w:cstheme="minorBidi"/>
                <w:noProof/>
                <w:sz w:val="22"/>
                <w:szCs w:val="22"/>
                <w:lang w:eastAsia="nl-NL"/>
              </w:rPr>
              <w:tab/>
            </w:r>
            <w:r w:rsidRPr="00290862" w:rsidR="001C00DE">
              <w:rPr>
                <w:rStyle w:val="Hyperlink"/>
                <w:noProof/>
              </w:rPr>
              <w:t>KFOR</w:t>
            </w:r>
            <w:r w:rsidR="001C00DE">
              <w:rPr>
                <w:noProof/>
                <w:webHidden/>
              </w:rPr>
              <w:tab/>
            </w:r>
            <w:r w:rsidR="001C00DE">
              <w:rPr>
                <w:noProof/>
                <w:webHidden/>
              </w:rPr>
              <w:fldChar w:fldCharType="begin"/>
            </w:r>
            <w:r w:rsidR="001C00DE">
              <w:rPr>
                <w:noProof/>
                <w:webHidden/>
              </w:rPr>
              <w:instrText xml:space="preserve"> PAGEREF _Toc227756566 \h </w:instrText>
            </w:r>
            <w:r w:rsidR="001C00DE">
              <w:rPr>
                <w:noProof/>
                <w:webHidden/>
              </w:rPr>
            </w:r>
            <w:r w:rsidR="001C00DE">
              <w:rPr>
                <w:noProof/>
                <w:webHidden/>
              </w:rPr>
              <w:fldChar w:fldCharType="separate"/>
            </w:r>
            <w:r w:rsidR="001C00DE">
              <w:rPr>
                <w:noProof/>
                <w:webHidden/>
              </w:rPr>
              <w:t>7</w:t>
            </w:r>
            <w:r w:rsidR="001C00DE">
              <w:rPr>
                <w:noProof/>
                <w:webHidden/>
              </w:rPr>
              <w:fldChar w:fldCharType="end"/>
            </w:r>
          </w:hyperlink>
        </w:p>
        <w:p w:rsidR="001C00DE" w:rsidRDefault="00956B53">
          <w:pPr>
            <w:pStyle w:val="TOC2"/>
            <w:rPr>
              <w:rFonts w:asciiTheme="minorHAnsi" w:hAnsiTheme="minorHAnsi" w:eastAsiaTheme="minorEastAsia" w:cstheme="minorBidi"/>
              <w:noProof/>
              <w:sz w:val="22"/>
              <w:szCs w:val="22"/>
              <w:lang w:eastAsia="nl-NL"/>
            </w:rPr>
          </w:pPr>
          <w:hyperlink w:history="1" w:anchor="_Toc227756567">
            <w:r w:rsidRPr="00290862" w:rsidR="001C00DE">
              <w:rPr>
                <w:rStyle w:val="Hyperlink"/>
                <w:noProof/>
              </w:rPr>
              <w:t>2.3.</w:t>
            </w:r>
            <w:r w:rsidR="001C00DE">
              <w:rPr>
                <w:rFonts w:asciiTheme="minorHAnsi" w:hAnsiTheme="minorHAnsi" w:eastAsiaTheme="minorEastAsia" w:cstheme="minorBidi"/>
                <w:noProof/>
                <w:sz w:val="22"/>
                <w:szCs w:val="22"/>
                <w:lang w:eastAsia="nl-NL"/>
              </w:rPr>
              <w:tab/>
            </w:r>
            <w:r w:rsidRPr="00290862" w:rsidR="001C00DE">
              <w:rPr>
                <w:rStyle w:val="Hyperlink"/>
                <w:noProof/>
              </w:rPr>
              <w:t>Midden-Oosten</w:t>
            </w:r>
            <w:r w:rsidR="001C00DE">
              <w:rPr>
                <w:noProof/>
                <w:webHidden/>
              </w:rPr>
              <w:tab/>
            </w:r>
            <w:r w:rsidR="001C00DE">
              <w:rPr>
                <w:noProof/>
                <w:webHidden/>
              </w:rPr>
              <w:fldChar w:fldCharType="begin"/>
            </w:r>
            <w:r w:rsidR="001C00DE">
              <w:rPr>
                <w:noProof/>
                <w:webHidden/>
              </w:rPr>
              <w:instrText xml:space="preserve"> PAGEREF _Toc227756567 \h </w:instrText>
            </w:r>
            <w:r w:rsidR="001C00DE">
              <w:rPr>
                <w:noProof/>
                <w:webHidden/>
              </w:rPr>
            </w:r>
            <w:r w:rsidR="001C00DE">
              <w:rPr>
                <w:noProof/>
                <w:webHidden/>
              </w:rPr>
              <w:fldChar w:fldCharType="separate"/>
            </w:r>
            <w:r w:rsidR="001C00DE">
              <w:rPr>
                <w:noProof/>
                <w:webHidden/>
              </w:rPr>
              <w:t>8</w:t>
            </w:r>
            <w:r w:rsidR="001C00DE">
              <w:rPr>
                <w:noProof/>
                <w:webHidden/>
              </w:rPr>
              <w:fldChar w:fldCharType="end"/>
            </w:r>
          </w:hyperlink>
        </w:p>
        <w:p w:rsidR="001C00DE" w:rsidRDefault="00956B53">
          <w:pPr>
            <w:pStyle w:val="TOC3"/>
            <w:rPr>
              <w:rFonts w:asciiTheme="minorHAnsi" w:hAnsiTheme="minorHAnsi" w:eastAsiaTheme="minorEastAsia" w:cstheme="minorBidi"/>
              <w:noProof/>
              <w:sz w:val="22"/>
              <w:szCs w:val="22"/>
              <w:lang w:eastAsia="nl-NL"/>
            </w:rPr>
          </w:pPr>
          <w:hyperlink w:history="1" w:anchor="_Toc227756568">
            <w:r w:rsidRPr="00290862" w:rsidR="001C00DE">
              <w:rPr>
                <w:rStyle w:val="Hyperlink"/>
                <w:noProof/>
              </w:rPr>
              <w:t>2.3.1.</w:t>
            </w:r>
            <w:r w:rsidR="001C00DE">
              <w:rPr>
                <w:rFonts w:asciiTheme="minorHAnsi" w:hAnsiTheme="minorHAnsi" w:eastAsiaTheme="minorEastAsia" w:cstheme="minorBidi"/>
                <w:noProof/>
                <w:sz w:val="22"/>
                <w:szCs w:val="22"/>
                <w:lang w:eastAsia="nl-NL"/>
              </w:rPr>
              <w:tab/>
            </w:r>
            <w:r w:rsidRPr="00290862" w:rsidR="001C00DE">
              <w:rPr>
                <w:rStyle w:val="Hyperlink"/>
                <w:noProof/>
              </w:rPr>
              <w:t>UNIFIL (Libanon)</w:t>
            </w:r>
            <w:r w:rsidR="001C00DE">
              <w:rPr>
                <w:noProof/>
                <w:webHidden/>
              </w:rPr>
              <w:tab/>
            </w:r>
            <w:r w:rsidR="001C00DE">
              <w:rPr>
                <w:noProof/>
                <w:webHidden/>
              </w:rPr>
              <w:fldChar w:fldCharType="begin"/>
            </w:r>
            <w:r w:rsidR="001C00DE">
              <w:rPr>
                <w:noProof/>
                <w:webHidden/>
              </w:rPr>
              <w:instrText xml:space="preserve"> PAGEREF _Toc227756568 \h </w:instrText>
            </w:r>
            <w:r w:rsidR="001C00DE">
              <w:rPr>
                <w:noProof/>
                <w:webHidden/>
              </w:rPr>
            </w:r>
            <w:r w:rsidR="001C00DE">
              <w:rPr>
                <w:noProof/>
                <w:webHidden/>
              </w:rPr>
              <w:fldChar w:fldCharType="separate"/>
            </w:r>
            <w:r w:rsidR="001C00DE">
              <w:rPr>
                <w:noProof/>
                <w:webHidden/>
              </w:rPr>
              <w:t>8</w:t>
            </w:r>
            <w:r w:rsidR="001C00DE">
              <w:rPr>
                <w:noProof/>
                <w:webHidden/>
              </w:rPr>
              <w:fldChar w:fldCharType="end"/>
            </w:r>
          </w:hyperlink>
        </w:p>
        <w:p w:rsidR="001C00DE" w:rsidRDefault="00956B53">
          <w:pPr>
            <w:pStyle w:val="TOC3"/>
            <w:rPr>
              <w:rFonts w:asciiTheme="minorHAnsi" w:hAnsiTheme="minorHAnsi" w:eastAsiaTheme="minorEastAsia" w:cstheme="minorBidi"/>
              <w:noProof/>
              <w:sz w:val="22"/>
              <w:szCs w:val="22"/>
              <w:lang w:eastAsia="nl-NL"/>
            </w:rPr>
          </w:pPr>
          <w:hyperlink w:history="1" w:anchor="_Toc227756569">
            <w:r w:rsidRPr="00290862" w:rsidR="001C00DE">
              <w:rPr>
                <w:rStyle w:val="Hyperlink"/>
                <w:noProof/>
                <w:lang w:val="es-ES"/>
              </w:rPr>
              <w:t>2.3.2.</w:t>
            </w:r>
            <w:r w:rsidR="001C00DE">
              <w:rPr>
                <w:rFonts w:asciiTheme="minorHAnsi" w:hAnsiTheme="minorHAnsi" w:eastAsiaTheme="minorEastAsia" w:cstheme="minorBidi"/>
                <w:noProof/>
                <w:sz w:val="22"/>
                <w:szCs w:val="22"/>
                <w:lang w:eastAsia="nl-NL"/>
              </w:rPr>
              <w:tab/>
            </w:r>
            <w:r w:rsidRPr="00290862" w:rsidR="001C00DE">
              <w:rPr>
                <w:rStyle w:val="Hyperlink"/>
                <w:noProof/>
                <w:lang w:val="es-ES"/>
              </w:rPr>
              <w:t>UNTSO (Israël, Libanon, de Golan en Egypte)</w:t>
            </w:r>
            <w:r w:rsidR="001C00DE">
              <w:rPr>
                <w:noProof/>
                <w:webHidden/>
              </w:rPr>
              <w:tab/>
            </w:r>
            <w:r w:rsidR="001C00DE">
              <w:rPr>
                <w:noProof/>
                <w:webHidden/>
              </w:rPr>
              <w:fldChar w:fldCharType="begin"/>
            </w:r>
            <w:r w:rsidR="001C00DE">
              <w:rPr>
                <w:noProof/>
                <w:webHidden/>
              </w:rPr>
              <w:instrText xml:space="preserve"> PAGEREF _Toc227756569 \h </w:instrText>
            </w:r>
            <w:r w:rsidR="001C00DE">
              <w:rPr>
                <w:noProof/>
                <w:webHidden/>
              </w:rPr>
            </w:r>
            <w:r w:rsidR="001C00DE">
              <w:rPr>
                <w:noProof/>
                <w:webHidden/>
              </w:rPr>
              <w:fldChar w:fldCharType="separate"/>
            </w:r>
            <w:r w:rsidR="001C00DE">
              <w:rPr>
                <w:noProof/>
                <w:webHidden/>
              </w:rPr>
              <w:t>9</w:t>
            </w:r>
            <w:r w:rsidR="001C00DE">
              <w:rPr>
                <w:noProof/>
                <w:webHidden/>
              </w:rPr>
              <w:fldChar w:fldCharType="end"/>
            </w:r>
          </w:hyperlink>
        </w:p>
        <w:p w:rsidR="001C00DE" w:rsidRDefault="00956B53">
          <w:pPr>
            <w:pStyle w:val="TOC3"/>
            <w:rPr>
              <w:rFonts w:asciiTheme="minorHAnsi" w:hAnsiTheme="minorHAnsi" w:eastAsiaTheme="minorEastAsia" w:cstheme="minorBidi"/>
              <w:noProof/>
              <w:sz w:val="22"/>
              <w:szCs w:val="22"/>
              <w:lang w:eastAsia="nl-NL"/>
            </w:rPr>
          </w:pPr>
          <w:hyperlink w:history="1" w:anchor="_Toc227756570">
            <w:r w:rsidRPr="00290862" w:rsidR="001C00DE">
              <w:rPr>
                <w:rStyle w:val="Hyperlink"/>
                <w:noProof/>
              </w:rPr>
              <w:t>2.3.3.</w:t>
            </w:r>
            <w:r w:rsidR="001C00DE">
              <w:rPr>
                <w:rFonts w:asciiTheme="minorHAnsi" w:hAnsiTheme="minorHAnsi" w:eastAsiaTheme="minorEastAsia" w:cstheme="minorBidi"/>
                <w:noProof/>
                <w:sz w:val="22"/>
                <w:szCs w:val="22"/>
                <w:lang w:eastAsia="nl-NL"/>
              </w:rPr>
              <w:tab/>
            </w:r>
            <w:r w:rsidRPr="00290862" w:rsidR="001C00DE">
              <w:rPr>
                <w:rStyle w:val="Hyperlink"/>
                <w:noProof/>
              </w:rPr>
              <w:t>OSC (Israël en de Palestijnse gebieden)</w:t>
            </w:r>
            <w:r w:rsidR="001C00DE">
              <w:rPr>
                <w:noProof/>
                <w:webHidden/>
              </w:rPr>
              <w:tab/>
            </w:r>
            <w:r w:rsidR="001C00DE">
              <w:rPr>
                <w:noProof/>
                <w:webHidden/>
              </w:rPr>
              <w:fldChar w:fldCharType="begin"/>
            </w:r>
            <w:r w:rsidR="001C00DE">
              <w:rPr>
                <w:noProof/>
                <w:webHidden/>
              </w:rPr>
              <w:instrText xml:space="preserve"> PAGEREF _Toc227756570 \h </w:instrText>
            </w:r>
            <w:r w:rsidR="001C00DE">
              <w:rPr>
                <w:noProof/>
                <w:webHidden/>
              </w:rPr>
            </w:r>
            <w:r w:rsidR="001C00DE">
              <w:rPr>
                <w:noProof/>
                <w:webHidden/>
              </w:rPr>
              <w:fldChar w:fldCharType="separate"/>
            </w:r>
            <w:r w:rsidR="001C00DE">
              <w:rPr>
                <w:noProof/>
                <w:webHidden/>
              </w:rPr>
              <w:t>10</w:t>
            </w:r>
            <w:r w:rsidR="001C00DE">
              <w:rPr>
                <w:noProof/>
                <w:webHidden/>
              </w:rPr>
              <w:fldChar w:fldCharType="end"/>
            </w:r>
          </w:hyperlink>
        </w:p>
        <w:p w:rsidR="001C00DE" w:rsidRDefault="00956B53">
          <w:pPr>
            <w:pStyle w:val="TOC3"/>
            <w:rPr>
              <w:rFonts w:asciiTheme="minorHAnsi" w:hAnsiTheme="minorHAnsi" w:eastAsiaTheme="minorEastAsia" w:cstheme="minorBidi"/>
              <w:noProof/>
              <w:sz w:val="22"/>
              <w:szCs w:val="22"/>
              <w:lang w:eastAsia="nl-NL"/>
            </w:rPr>
          </w:pPr>
          <w:hyperlink w:history="1" w:anchor="_Toc227756571">
            <w:r w:rsidRPr="00290862" w:rsidR="001C00DE">
              <w:rPr>
                <w:rStyle w:val="Hyperlink"/>
                <w:noProof/>
                <w:lang w:val="es-ES"/>
              </w:rPr>
              <w:t>2.3.4.</w:t>
            </w:r>
            <w:r w:rsidR="001C00DE">
              <w:rPr>
                <w:rFonts w:asciiTheme="minorHAnsi" w:hAnsiTheme="minorHAnsi" w:eastAsiaTheme="minorEastAsia" w:cstheme="minorBidi"/>
                <w:noProof/>
                <w:sz w:val="22"/>
                <w:szCs w:val="22"/>
                <w:lang w:eastAsia="nl-NL"/>
              </w:rPr>
              <w:tab/>
            </w:r>
            <w:r w:rsidRPr="00290862" w:rsidR="001C00DE">
              <w:rPr>
                <w:rStyle w:val="Hyperlink"/>
                <w:noProof/>
                <w:lang w:val="es-ES"/>
              </w:rPr>
              <w:t>NMI (Irak)</w:t>
            </w:r>
            <w:r w:rsidR="001C00DE">
              <w:rPr>
                <w:noProof/>
                <w:webHidden/>
              </w:rPr>
              <w:tab/>
            </w:r>
            <w:r w:rsidR="001C00DE">
              <w:rPr>
                <w:noProof/>
                <w:webHidden/>
              </w:rPr>
              <w:fldChar w:fldCharType="begin"/>
            </w:r>
            <w:r w:rsidR="001C00DE">
              <w:rPr>
                <w:noProof/>
                <w:webHidden/>
              </w:rPr>
              <w:instrText xml:space="preserve"> PAGEREF _Toc227756571 \h </w:instrText>
            </w:r>
            <w:r w:rsidR="001C00DE">
              <w:rPr>
                <w:noProof/>
                <w:webHidden/>
              </w:rPr>
            </w:r>
            <w:r w:rsidR="001C00DE">
              <w:rPr>
                <w:noProof/>
                <w:webHidden/>
              </w:rPr>
              <w:fldChar w:fldCharType="separate"/>
            </w:r>
            <w:r w:rsidR="001C00DE">
              <w:rPr>
                <w:noProof/>
                <w:webHidden/>
              </w:rPr>
              <w:t>11</w:t>
            </w:r>
            <w:r w:rsidR="001C00DE">
              <w:rPr>
                <w:noProof/>
                <w:webHidden/>
              </w:rPr>
              <w:fldChar w:fldCharType="end"/>
            </w:r>
          </w:hyperlink>
        </w:p>
        <w:p w:rsidR="001C00DE" w:rsidRDefault="00956B53">
          <w:pPr>
            <w:pStyle w:val="TOC3"/>
            <w:rPr>
              <w:rFonts w:asciiTheme="minorHAnsi" w:hAnsiTheme="minorHAnsi" w:eastAsiaTheme="minorEastAsia" w:cstheme="minorBidi"/>
              <w:noProof/>
              <w:sz w:val="22"/>
              <w:szCs w:val="22"/>
              <w:lang w:eastAsia="nl-NL"/>
            </w:rPr>
          </w:pPr>
          <w:hyperlink w:history="1" w:anchor="_Toc227756572">
            <w:r w:rsidRPr="00290862" w:rsidR="001C00DE">
              <w:rPr>
                <w:rStyle w:val="Hyperlink"/>
                <w:rFonts w:ascii="Calibri" w:hAnsi="Calibri" w:eastAsia="Calibri" w:cs="Calibri"/>
                <w:b/>
                <w:noProof/>
                <w:lang w:eastAsia="nl-NL"/>
              </w:rPr>
              <w:t>2.3.5.</w:t>
            </w:r>
            <w:r w:rsidR="001C00DE">
              <w:rPr>
                <w:rFonts w:asciiTheme="minorHAnsi" w:hAnsiTheme="minorHAnsi" w:eastAsiaTheme="minorEastAsia" w:cstheme="minorBidi"/>
                <w:noProof/>
                <w:sz w:val="22"/>
                <w:szCs w:val="22"/>
                <w:lang w:eastAsia="nl-NL"/>
              </w:rPr>
              <w:tab/>
            </w:r>
            <w:r w:rsidRPr="00290862" w:rsidR="001C00DE">
              <w:rPr>
                <w:rStyle w:val="Hyperlink"/>
                <w:noProof/>
                <w:lang w:val="es-ES"/>
              </w:rPr>
              <w:t>OIR</w:t>
            </w:r>
            <w:r w:rsidR="001C00DE">
              <w:rPr>
                <w:noProof/>
                <w:webHidden/>
              </w:rPr>
              <w:tab/>
            </w:r>
            <w:r w:rsidR="001C00DE">
              <w:rPr>
                <w:noProof/>
                <w:webHidden/>
              </w:rPr>
              <w:fldChar w:fldCharType="begin"/>
            </w:r>
            <w:r w:rsidR="001C00DE">
              <w:rPr>
                <w:noProof/>
                <w:webHidden/>
              </w:rPr>
              <w:instrText xml:space="preserve"> PAGEREF _Toc227756572 \h </w:instrText>
            </w:r>
            <w:r w:rsidR="001C00DE">
              <w:rPr>
                <w:noProof/>
                <w:webHidden/>
              </w:rPr>
            </w:r>
            <w:r w:rsidR="001C00DE">
              <w:rPr>
                <w:noProof/>
                <w:webHidden/>
              </w:rPr>
              <w:fldChar w:fldCharType="separate"/>
            </w:r>
            <w:r w:rsidR="001C00DE">
              <w:rPr>
                <w:noProof/>
                <w:webHidden/>
              </w:rPr>
              <w:t>13</w:t>
            </w:r>
            <w:r w:rsidR="001C00DE">
              <w:rPr>
                <w:noProof/>
                <w:webHidden/>
              </w:rPr>
              <w:fldChar w:fldCharType="end"/>
            </w:r>
          </w:hyperlink>
        </w:p>
        <w:p w:rsidR="001C00DE" w:rsidRDefault="00956B53">
          <w:pPr>
            <w:pStyle w:val="TOC3"/>
            <w:rPr>
              <w:rFonts w:asciiTheme="minorHAnsi" w:hAnsiTheme="minorHAnsi" w:eastAsiaTheme="minorEastAsia" w:cstheme="minorBidi"/>
              <w:noProof/>
              <w:sz w:val="22"/>
              <w:szCs w:val="22"/>
              <w:lang w:eastAsia="nl-NL"/>
            </w:rPr>
          </w:pPr>
          <w:hyperlink w:history="1" w:anchor="_Toc227756573">
            <w:r w:rsidRPr="00290862" w:rsidR="001C00DE">
              <w:rPr>
                <w:rStyle w:val="Hyperlink"/>
                <w:iCs/>
                <w:noProof/>
              </w:rPr>
              <w:t>2.3.6.</w:t>
            </w:r>
            <w:r w:rsidR="001C00DE">
              <w:rPr>
                <w:rFonts w:asciiTheme="minorHAnsi" w:hAnsiTheme="minorHAnsi" w:eastAsiaTheme="minorEastAsia" w:cstheme="minorBidi"/>
                <w:noProof/>
                <w:sz w:val="22"/>
                <w:szCs w:val="22"/>
                <w:lang w:eastAsia="nl-NL"/>
              </w:rPr>
              <w:tab/>
            </w:r>
            <w:r w:rsidRPr="00290862" w:rsidR="001C00DE">
              <w:rPr>
                <w:rStyle w:val="Hyperlink"/>
                <w:noProof/>
              </w:rPr>
              <w:t>Midden</w:t>
            </w:r>
            <w:r w:rsidRPr="00290862" w:rsidR="001C00DE">
              <w:rPr>
                <w:rStyle w:val="Hyperlink"/>
                <w:iCs/>
                <w:noProof/>
              </w:rPr>
              <w:t>-</w:t>
            </w:r>
            <w:r w:rsidRPr="00290862" w:rsidR="001C00DE">
              <w:rPr>
                <w:rStyle w:val="Hyperlink"/>
                <w:noProof/>
              </w:rPr>
              <w:t>Oosten</w:t>
            </w:r>
            <w:r w:rsidRPr="00290862" w:rsidR="001C00DE">
              <w:rPr>
                <w:rStyle w:val="Hyperlink"/>
                <w:iCs/>
                <w:noProof/>
              </w:rPr>
              <w:t xml:space="preserve"> </w:t>
            </w:r>
            <w:r w:rsidRPr="00290862" w:rsidR="001C00DE">
              <w:rPr>
                <w:rStyle w:val="Hyperlink"/>
                <w:noProof/>
              </w:rPr>
              <w:t>maritiem</w:t>
            </w:r>
            <w:r w:rsidR="001C00DE">
              <w:rPr>
                <w:noProof/>
                <w:webHidden/>
              </w:rPr>
              <w:tab/>
            </w:r>
            <w:r w:rsidR="001C00DE">
              <w:rPr>
                <w:noProof/>
                <w:webHidden/>
              </w:rPr>
              <w:fldChar w:fldCharType="begin"/>
            </w:r>
            <w:r w:rsidR="001C00DE">
              <w:rPr>
                <w:noProof/>
                <w:webHidden/>
              </w:rPr>
              <w:instrText xml:space="preserve"> PAGEREF _Toc227756573 \h </w:instrText>
            </w:r>
            <w:r w:rsidR="001C00DE">
              <w:rPr>
                <w:noProof/>
                <w:webHidden/>
              </w:rPr>
            </w:r>
            <w:r w:rsidR="001C00DE">
              <w:rPr>
                <w:noProof/>
                <w:webHidden/>
              </w:rPr>
              <w:fldChar w:fldCharType="separate"/>
            </w:r>
            <w:r w:rsidR="001C00DE">
              <w:rPr>
                <w:noProof/>
                <w:webHidden/>
              </w:rPr>
              <w:t>14</w:t>
            </w:r>
            <w:r w:rsidR="001C00DE">
              <w:rPr>
                <w:noProof/>
                <w:webHidden/>
              </w:rPr>
              <w:fldChar w:fldCharType="end"/>
            </w:r>
          </w:hyperlink>
        </w:p>
        <w:p w:rsidR="001C00DE" w:rsidRDefault="00956B53">
          <w:pPr>
            <w:pStyle w:val="TOC3"/>
            <w:rPr>
              <w:rFonts w:asciiTheme="minorHAnsi" w:hAnsiTheme="minorHAnsi" w:eastAsiaTheme="minorEastAsia" w:cstheme="minorBidi"/>
              <w:noProof/>
              <w:sz w:val="22"/>
              <w:szCs w:val="22"/>
              <w:lang w:eastAsia="nl-NL"/>
            </w:rPr>
          </w:pPr>
          <w:hyperlink w:history="1" w:anchor="_Toc227756574">
            <w:r w:rsidRPr="00290862" w:rsidR="001C00DE">
              <w:rPr>
                <w:rStyle w:val="Hyperlink"/>
                <w:noProof/>
              </w:rPr>
              <w:t>2.3.8.</w:t>
            </w:r>
            <w:r w:rsidR="001C00DE">
              <w:rPr>
                <w:rFonts w:asciiTheme="minorHAnsi" w:hAnsiTheme="minorHAnsi" w:eastAsiaTheme="minorEastAsia" w:cstheme="minorBidi"/>
                <w:noProof/>
                <w:sz w:val="22"/>
                <w:szCs w:val="22"/>
                <w:lang w:eastAsia="nl-NL"/>
              </w:rPr>
              <w:tab/>
            </w:r>
            <w:r w:rsidRPr="00290862" w:rsidR="001C00DE">
              <w:rPr>
                <w:rStyle w:val="Hyperlink"/>
                <w:noProof/>
              </w:rPr>
              <w:t>EUNAVFOR ASPIDES</w:t>
            </w:r>
            <w:r w:rsidR="001C00DE">
              <w:rPr>
                <w:noProof/>
                <w:webHidden/>
              </w:rPr>
              <w:tab/>
            </w:r>
            <w:r w:rsidR="001C00DE">
              <w:rPr>
                <w:noProof/>
                <w:webHidden/>
              </w:rPr>
              <w:fldChar w:fldCharType="begin"/>
            </w:r>
            <w:r w:rsidR="001C00DE">
              <w:rPr>
                <w:noProof/>
                <w:webHidden/>
              </w:rPr>
              <w:instrText xml:space="preserve"> PAGEREF _Toc227756574 \h </w:instrText>
            </w:r>
            <w:r w:rsidR="001C00DE">
              <w:rPr>
                <w:noProof/>
                <w:webHidden/>
              </w:rPr>
            </w:r>
            <w:r w:rsidR="001C00DE">
              <w:rPr>
                <w:noProof/>
                <w:webHidden/>
              </w:rPr>
              <w:fldChar w:fldCharType="separate"/>
            </w:r>
            <w:r w:rsidR="001C00DE">
              <w:rPr>
                <w:noProof/>
                <w:webHidden/>
              </w:rPr>
              <w:t>15</w:t>
            </w:r>
            <w:r w:rsidR="001C00DE">
              <w:rPr>
                <w:noProof/>
                <w:webHidden/>
              </w:rPr>
              <w:fldChar w:fldCharType="end"/>
            </w:r>
          </w:hyperlink>
        </w:p>
        <w:p w:rsidR="001C00DE" w:rsidRDefault="00956B53">
          <w:pPr>
            <w:pStyle w:val="TOC2"/>
            <w:rPr>
              <w:rFonts w:asciiTheme="minorHAnsi" w:hAnsiTheme="minorHAnsi" w:eastAsiaTheme="minorEastAsia" w:cstheme="minorBidi"/>
              <w:noProof/>
              <w:sz w:val="22"/>
              <w:szCs w:val="22"/>
              <w:lang w:eastAsia="nl-NL"/>
            </w:rPr>
          </w:pPr>
          <w:hyperlink w:history="1" w:anchor="_Toc227756575">
            <w:r w:rsidRPr="00290862" w:rsidR="001C00DE">
              <w:rPr>
                <w:rStyle w:val="Hyperlink"/>
                <w:noProof/>
              </w:rPr>
              <w:t>2.4.</w:t>
            </w:r>
            <w:r w:rsidR="001C00DE">
              <w:rPr>
                <w:rFonts w:asciiTheme="minorHAnsi" w:hAnsiTheme="minorHAnsi" w:eastAsiaTheme="minorEastAsia" w:cstheme="minorBidi"/>
                <w:noProof/>
                <w:sz w:val="22"/>
                <w:szCs w:val="22"/>
                <w:lang w:eastAsia="nl-NL"/>
              </w:rPr>
              <w:tab/>
            </w:r>
            <w:r w:rsidRPr="00290862" w:rsidR="001C00DE">
              <w:rPr>
                <w:rStyle w:val="Hyperlink"/>
                <w:noProof/>
              </w:rPr>
              <w:t>Afrika</w:t>
            </w:r>
            <w:r w:rsidR="001C00DE">
              <w:rPr>
                <w:noProof/>
                <w:webHidden/>
              </w:rPr>
              <w:tab/>
            </w:r>
            <w:r w:rsidR="001C00DE">
              <w:rPr>
                <w:noProof/>
                <w:webHidden/>
              </w:rPr>
              <w:fldChar w:fldCharType="begin"/>
            </w:r>
            <w:r w:rsidR="001C00DE">
              <w:rPr>
                <w:noProof/>
                <w:webHidden/>
              </w:rPr>
              <w:instrText xml:space="preserve"> PAGEREF _Toc227756575 \h </w:instrText>
            </w:r>
            <w:r w:rsidR="001C00DE">
              <w:rPr>
                <w:noProof/>
                <w:webHidden/>
              </w:rPr>
            </w:r>
            <w:r w:rsidR="001C00DE">
              <w:rPr>
                <w:noProof/>
                <w:webHidden/>
              </w:rPr>
              <w:fldChar w:fldCharType="separate"/>
            </w:r>
            <w:r w:rsidR="001C00DE">
              <w:rPr>
                <w:noProof/>
                <w:webHidden/>
              </w:rPr>
              <w:t>16</w:t>
            </w:r>
            <w:r w:rsidR="001C00DE">
              <w:rPr>
                <w:noProof/>
                <w:webHidden/>
              </w:rPr>
              <w:fldChar w:fldCharType="end"/>
            </w:r>
          </w:hyperlink>
        </w:p>
        <w:p w:rsidR="001C00DE" w:rsidRDefault="00956B53">
          <w:pPr>
            <w:pStyle w:val="TOC3"/>
            <w:rPr>
              <w:rFonts w:asciiTheme="minorHAnsi" w:hAnsiTheme="minorHAnsi" w:eastAsiaTheme="minorEastAsia" w:cstheme="minorBidi"/>
              <w:noProof/>
              <w:sz w:val="22"/>
              <w:szCs w:val="22"/>
              <w:lang w:eastAsia="nl-NL"/>
            </w:rPr>
          </w:pPr>
          <w:hyperlink w:history="1" w:anchor="_Toc227756576">
            <w:r w:rsidRPr="00290862" w:rsidR="001C00DE">
              <w:rPr>
                <w:rStyle w:val="Hyperlink"/>
                <w:noProof/>
              </w:rPr>
              <w:t>2.4.1.</w:t>
            </w:r>
            <w:r w:rsidR="001C00DE">
              <w:rPr>
                <w:rFonts w:asciiTheme="minorHAnsi" w:hAnsiTheme="minorHAnsi" w:eastAsiaTheme="minorEastAsia" w:cstheme="minorBidi"/>
                <w:noProof/>
                <w:sz w:val="22"/>
                <w:szCs w:val="22"/>
                <w:lang w:eastAsia="nl-NL"/>
              </w:rPr>
              <w:tab/>
            </w:r>
            <w:r w:rsidRPr="00290862" w:rsidR="001C00DE">
              <w:rPr>
                <w:rStyle w:val="Hyperlink"/>
                <w:noProof/>
              </w:rPr>
              <w:t>Sahel en West-Afrikaanse kuststaten</w:t>
            </w:r>
            <w:r w:rsidR="001C00DE">
              <w:rPr>
                <w:noProof/>
                <w:webHidden/>
              </w:rPr>
              <w:tab/>
            </w:r>
            <w:r w:rsidR="001C00DE">
              <w:rPr>
                <w:noProof/>
                <w:webHidden/>
              </w:rPr>
              <w:fldChar w:fldCharType="begin"/>
            </w:r>
            <w:r w:rsidR="001C00DE">
              <w:rPr>
                <w:noProof/>
                <w:webHidden/>
              </w:rPr>
              <w:instrText xml:space="preserve"> PAGEREF _Toc227756576 \h </w:instrText>
            </w:r>
            <w:r w:rsidR="001C00DE">
              <w:rPr>
                <w:noProof/>
                <w:webHidden/>
              </w:rPr>
            </w:r>
            <w:r w:rsidR="001C00DE">
              <w:rPr>
                <w:noProof/>
                <w:webHidden/>
              </w:rPr>
              <w:fldChar w:fldCharType="separate"/>
            </w:r>
            <w:r w:rsidR="001C00DE">
              <w:rPr>
                <w:noProof/>
                <w:webHidden/>
              </w:rPr>
              <w:t>16</w:t>
            </w:r>
            <w:r w:rsidR="001C00DE">
              <w:rPr>
                <w:noProof/>
                <w:webHidden/>
              </w:rPr>
              <w:fldChar w:fldCharType="end"/>
            </w:r>
          </w:hyperlink>
        </w:p>
        <w:p w:rsidR="001C00DE" w:rsidRDefault="00956B53">
          <w:pPr>
            <w:pStyle w:val="TOC3"/>
            <w:rPr>
              <w:rFonts w:asciiTheme="minorHAnsi" w:hAnsiTheme="minorHAnsi" w:eastAsiaTheme="minorEastAsia" w:cstheme="minorBidi"/>
              <w:noProof/>
              <w:sz w:val="22"/>
              <w:szCs w:val="22"/>
              <w:lang w:eastAsia="nl-NL"/>
            </w:rPr>
          </w:pPr>
          <w:hyperlink w:history="1" w:anchor="_Toc227756577">
            <w:r w:rsidRPr="00290862" w:rsidR="001C00DE">
              <w:rPr>
                <w:rStyle w:val="Hyperlink"/>
                <w:noProof/>
              </w:rPr>
              <w:t>2.4.2.</w:t>
            </w:r>
            <w:r w:rsidR="001C00DE">
              <w:rPr>
                <w:rFonts w:asciiTheme="minorHAnsi" w:hAnsiTheme="minorHAnsi" w:eastAsiaTheme="minorEastAsia" w:cstheme="minorBidi"/>
                <w:noProof/>
                <w:sz w:val="22"/>
                <w:szCs w:val="22"/>
                <w:lang w:eastAsia="nl-NL"/>
              </w:rPr>
              <w:tab/>
            </w:r>
            <w:r w:rsidRPr="00290862" w:rsidR="001C00DE">
              <w:rPr>
                <w:rStyle w:val="Hyperlink"/>
                <w:noProof/>
              </w:rPr>
              <w:t>GPOI</w:t>
            </w:r>
            <w:r w:rsidR="001C00DE">
              <w:rPr>
                <w:noProof/>
                <w:webHidden/>
              </w:rPr>
              <w:tab/>
            </w:r>
            <w:r w:rsidR="001C00DE">
              <w:rPr>
                <w:noProof/>
                <w:webHidden/>
              </w:rPr>
              <w:fldChar w:fldCharType="begin"/>
            </w:r>
            <w:r w:rsidR="001C00DE">
              <w:rPr>
                <w:noProof/>
                <w:webHidden/>
              </w:rPr>
              <w:instrText xml:space="preserve"> PAGEREF _Toc227756577 \h </w:instrText>
            </w:r>
            <w:r w:rsidR="001C00DE">
              <w:rPr>
                <w:noProof/>
                <w:webHidden/>
              </w:rPr>
            </w:r>
            <w:r w:rsidR="001C00DE">
              <w:rPr>
                <w:noProof/>
                <w:webHidden/>
              </w:rPr>
              <w:fldChar w:fldCharType="separate"/>
            </w:r>
            <w:r w:rsidR="001C00DE">
              <w:rPr>
                <w:noProof/>
                <w:webHidden/>
              </w:rPr>
              <w:t>16</w:t>
            </w:r>
            <w:r w:rsidR="001C00DE">
              <w:rPr>
                <w:noProof/>
                <w:webHidden/>
              </w:rPr>
              <w:fldChar w:fldCharType="end"/>
            </w:r>
          </w:hyperlink>
        </w:p>
        <w:p w:rsidR="001C00DE" w:rsidRDefault="00956B53">
          <w:pPr>
            <w:pStyle w:val="TOC3"/>
            <w:rPr>
              <w:rFonts w:asciiTheme="minorHAnsi" w:hAnsiTheme="minorHAnsi" w:eastAsiaTheme="minorEastAsia" w:cstheme="minorBidi"/>
              <w:noProof/>
              <w:sz w:val="22"/>
              <w:szCs w:val="22"/>
              <w:lang w:eastAsia="nl-NL"/>
            </w:rPr>
          </w:pPr>
          <w:hyperlink w:history="1" w:anchor="_Toc227756578">
            <w:r w:rsidRPr="00290862" w:rsidR="001C00DE">
              <w:rPr>
                <w:rStyle w:val="Hyperlink"/>
                <w:noProof/>
              </w:rPr>
              <w:t>2.4.3.</w:t>
            </w:r>
            <w:r w:rsidR="001C00DE">
              <w:rPr>
                <w:rFonts w:asciiTheme="minorHAnsi" w:hAnsiTheme="minorHAnsi" w:eastAsiaTheme="minorEastAsia" w:cstheme="minorBidi"/>
                <w:noProof/>
                <w:sz w:val="22"/>
                <w:szCs w:val="22"/>
                <w:lang w:eastAsia="nl-NL"/>
              </w:rPr>
              <w:tab/>
            </w:r>
            <w:r w:rsidRPr="00290862" w:rsidR="001C00DE">
              <w:rPr>
                <w:rStyle w:val="Hyperlink"/>
                <w:noProof/>
              </w:rPr>
              <w:t>EU SDI GOG</w:t>
            </w:r>
            <w:r w:rsidR="001C00DE">
              <w:rPr>
                <w:noProof/>
                <w:webHidden/>
              </w:rPr>
              <w:tab/>
            </w:r>
            <w:r w:rsidR="001C00DE">
              <w:rPr>
                <w:noProof/>
                <w:webHidden/>
              </w:rPr>
              <w:fldChar w:fldCharType="begin"/>
            </w:r>
            <w:r w:rsidR="001C00DE">
              <w:rPr>
                <w:noProof/>
                <w:webHidden/>
              </w:rPr>
              <w:instrText xml:space="preserve"> PAGEREF _Toc227756578 \h </w:instrText>
            </w:r>
            <w:r w:rsidR="001C00DE">
              <w:rPr>
                <w:noProof/>
                <w:webHidden/>
              </w:rPr>
            </w:r>
            <w:r w:rsidR="001C00DE">
              <w:rPr>
                <w:noProof/>
                <w:webHidden/>
              </w:rPr>
              <w:fldChar w:fldCharType="separate"/>
            </w:r>
            <w:r w:rsidR="001C00DE">
              <w:rPr>
                <w:noProof/>
                <w:webHidden/>
              </w:rPr>
              <w:t>16</w:t>
            </w:r>
            <w:r w:rsidR="001C00DE">
              <w:rPr>
                <w:noProof/>
                <w:webHidden/>
              </w:rPr>
              <w:fldChar w:fldCharType="end"/>
            </w:r>
          </w:hyperlink>
        </w:p>
        <w:p w:rsidR="001C00DE" w:rsidRDefault="00956B53">
          <w:pPr>
            <w:pStyle w:val="TOC3"/>
            <w:rPr>
              <w:rFonts w:asciiTheme="minorHAnsi" w:hAnsiTheme="minorHAnsi" w:eastAsiaTheme="minorEastAsia" w:cstheme="minorBidi"/>
              <w:noProof/>
              <w:sz w:val="22"/>
              <w:szCs w:val="22"/>
              <w:lang w:eastAsia="nl-NL"/>
            </w:rPr>
          </w:pPr>
          <w:hyperlink w:history="1" w:anchor="_Toc227756579">
            <w:r w:rsidRPr="00290862" w:rsidR="001C00DE">
              <w:rPr>
                <w:rStyle w:val="Hyperlink"/>
                <w:noProof/>
              </w:rPr>
              <w:t>2.4.4.</w:t>
            </w:r>
            <w:r w:rsidR="001C00DE">
              <w:rPr>
                <w:rFonts w:asciiTheme="minorHAnsi" w:hAnsiTheme="minorHAnsi" w:eastAsiaTheme="minorEastAsia" w:cstheme="minorBidi"/>
                <w:noProof/>
                <w:sz w:val="22"/>
                <w:szCs w:val="22"/>
                <w:lang w:eastAsia="nl-NL"/>
              </w:rPr>
              <w:tab/>
            </w:r>
            <w:r w:rsidRPr="00290862" w:rsidR="001C00DE">
              <w:rPr>
                <w:rStyle w:val="Hyperlink"/>
                <w:noProof/>
              </w:rPr>
              <w:t>EUNAVFOR ATALANTA (Somalië)</w:t>
            </w:r>
            <w:r w:rsidR="001C00DE">
              <w:rPr>
                <w:noProof/>
                <w:webHidden/>
              </w:rPr>
              <w:tab/>
            </w:r>
            <w:r w:rsidR="001C00DE">
              <w:rPr>
                <w:noProof/>
                <w:webHidden/>
              </w:rPr>
              <w:fldChar w:fldCharType="begin"/>
            </w:r>
            <w:r w:rsidR="001C00DE">
              <w:rPr>
                <w:noProof/>
                <w:webHidden/>
              </w:rPr>
              <w:instrText xml:space="preserve"> PAGEREF _Toc227756579 \h </w:instrText>
            </w:r>
            <w:r w:rsidR="001C00DE">
              <w:rPr>
                <w:noProof/>
                <w:webHidden/>
              </w:rPr>
            </w:r>
            <w:r w:rsidR="001C00DE">
              <w:rPr>
                <w:noProof/>
                <w:webHidden/>
              </w:rPr>
              <w:fldChar w:fldCharType="separate"/>
            </w:r>
            <w:r w:rsidR="001C00DE">
              <w:rPr>
                <w:noProof/>
                <w:webHidden/>
              </w:rPr>
              <w:t>17</w:t>
            </w:r>
            <w:r w:rsidR="001C00DE">
              <w:rPr>
                <w:noProof/>
                <w:webHidden/>
              </w:rPr>
              <w:fldChar w:fldCharType="end"/>
            </w:r>
          </w:hyperlink>
        </w:p>
        <w:p w:rsidR="001C00DE" w:rsidRDefault="00956B53">
          <w:pPr>
            <w:pStyle w:val="TOC2"/>
            <w:rPr>
              <w:rFonts w:asciiTheme="minorHAnsi" w:hAnsiTheme="minorHAnsi" w:eastAsiaTheme="minorEastAsia" w:cstheme="minorBidi"/>
              <w:noProof/>
              <w:sz w:val="22"/>
              <w:szCs w:val="22"/>
              <w:lang w:eastAsia="nl-NL"/>
            </w:rPr>
          </w:pPr>
          <w:hyperlink w:history="1" w:anchor="_Toc227756580">
            <w:r w:rsidRPr="00290862" w:rsidR="001C00DE">
              <w:rPr>
                <w:rStyle w:val="Hyperlink"/>
                <w:noProof/>
                <w:lang w:val="en-US"/>
              </w:rPr>
              <w:t>2.5.</w:t>
            </w:r>
            <w:r w:rsidR="001C00DE">
              <w:rPr>
                <w:rFonts w:asciiTheme="minorHAnsi" w:hAnsiTheme="minorHAnsi" w:eastAsiaTheme="minorEastAsia" w:cstheme="minorBidi"/>
                <w:noProof/>
                <w:sz w:val="22"/>
                <w:szCs w:val="22"/>
                <w:lang w:eastAsia="nl-NL"/>
              </w:rPr>
              <w:tab/>
            </w:r>
            <w:r w:rsidRPr="00290862" w:rsidR="001C00DE">
              <w:rPr>
                <w:rStyle w:val="Hyperlink"/>
                <w:noProof/>
                <w:lang w:val="en-US"/>
              </w:rPr>
              <w:t>Overige inzet</w:t>
            </w:r>
            <w:r w:rsidR="001C00DE">
              <w:rPr>
                <w:noProof/>
                <w:webHidden/>
              </w:rPr>
              <w:tab/>
            </w:r>
            <w:r w:rsidR="001C00DE">
              <w:rPr>
                <w:noProof/>
                <w:webHidden/>
              </w:rPr>
              <w:fldChar w:fldCharType="begin"/>
            </w:r>
            <w:r w:rsidR="001C00DE">
              <w:rPr>
                <w:noProof/>
                <w:webHidden/>
              </w:rPr>
              <w:instrText xml:space="preserve"> PAGEREF _Toc227756580 \h </w:instrText>
            </w:r>
            <w:r w:rsidR="001C00DE">
              <w:rPr>
                <w:noProof/>
                <w:webHidden/>
              </w:rPr>
            </w:r>
            <w:r w:rsidR="001C00DE">
              <w:rPr>
                <w:noProof/>
                <w:webHidden/>
              </w:rPr>
              <w:fldChar w:fldCharType="separate"/>
            </w:r>
            <w:r w:rsidR="001C00DE">
              <w:rPr>
                <w:noProof/>
                <w:webHidden/>
              </w:rPr>
              <w:t>18</w:t>
            </w:r>
            <w:r w:rsidR="001C00DE">
              <w:rPr>
                <w:noProof/>
                <w:webHidden/>
              </w:rPr>
              <w:fldChar w:fldCharType="end"/>
            </w:r>
          </w:hyperlink>
        </w:p>
        <w:p w:rsidR="001C00DE" w:rsidRDefault="00956B53">
          <w:pPr>
            <w:pStyle w:val="TOC2"/>
            <w:rPr>
              <w:rFonts w:asciiTheme="minorHAnsi" w:hAnsiTheme="minorHAnsi" w:eastAsiaTheme="minorEastAsia" w:cstheme="minorBidi"/>
              <w:noProof/>
              <w:sz w:val="22"/>
              <w:szCs w:val="22"/>
              <w:lang w:eastAsia="nl-NL"/>
            </w:rPr>
          </w:pPr>
          <w:hyperlink w:history="1" w:anchor="_Toc227756581">
            <w:r w:rsidRPr="00290862" w:rsidR="001C00DE">
              <w:rPr>
                <w:rStyle w:val="Hyperlink"/>
                <w:noProof/>
                <w:lang w:val="en-US"/>
              </w:rPr>
              <w:t>2.6.</w:t>
            </w:r>
            <w:r w:rsidR="001C00DE">
              <w:rPr>
                <w:rFonts w:asciiTheme="minorHAnsi" w:hAnsiTheme="minorHAnsi" w:eastAsiaTheme="minorEastAsia" w:cstheme="minorBidi"/>
                <w:noProof/>
                <w:sz w:val="22"/>
                <w:szCs w:val="22"/>
                <w:lang w:eastAsia="nl-NL"/>
              </w:rPr>
              <w:tab/>
            </w:r>
            <w:r w:rsidRPr="00290862" w:rsidR="001C00DE">
              <w:rPr>
                <w:rStyle w:val="Hyperlink"/>
                <w:noProof/>
                <w:lang w:val="en-US"/>
              </w:rPr>
              <w:t>Early Forward Presence Nederlandse SOF</w:t>
            </w:r>
            <w:r w:rsidR="001C00DE">
              <w:rPr>
                <w:noProof/>
                <w:webHidden/>
              </w:rPr>
              <w:tab/>
            </w:r>
            <w:r w:rsidR="001C00DE">
              <w:rPr>
                <w:noProof/>
                <w:webHidden/>
              </w:rPr>
              <w:fldChar w:fldCharType="begin"/>
            </w:r>
            <w:r w:rsidR="001C00DE">
              <w:rPr>
                <w:noProof/>
                <w:webHidden/>
              </w:rPr>
              <w:instrText xml:space="preserve"> PAGEREF _Toc227756581 \h </w:instrText>
            </w:r>
            <w:r w:rsidR="001C00DE">
              <w:rPr>
                <w:noProof/>
                <w:webHidden/>
              </w:rPr>
            </w:r>
            <w:r w:rsidR="001C00DE">
              <w:rPr>
                <w:noProof/>
                <w:webHidden/>
              </w:rPr>
              <w:fldChar w:fldCharType="separate"/>
            </w:r>
            <w:r w:rsidR="001C00DE">
              <w:rPr>
                <w:noProof/>
                <w:webHidden/>
              </w:rPr>
              <w:t>18</w:t>
            </w:r>
            <w:r w:rsidR="001C00DE">
              <w:rPr>
                <w:noProof/>
                <w:webHidden/>
              </w:rPr>
              <w:fldChar w:fldCharType="end"/>
            </w:r>
          </w:hyperlink>
        </w:p>
        <w:p w:rsidR="001C00DE" w:rsidRDefault="00956B53">
          <w:pPr>
            <w:pStyle w:val="TOC2"/>
            <w:rPr>
              <w:rFonts w:asciiTheme="minorHAnsi" w:hAnsiTheme="minorHAnsi" w:eastAsiaTheme="minorEastAsia" w:cstheme="minorBidi"/>
              <w:noProof/>
              <w:sz w:val="22"/>
              <w:szCs w:val="22"/>
              <w:lang w:eastAsia="nl-NL"/>
            </w:rPr>
          </w:pPr>
          <w:hyperlink w:history="1" w:anchor="_Toc227756582">
            <w:r w:rsidRPr="00290862" w:rsidR="001C00DE">
              <w:rPr>
                <w:rStyle w:val="Hyperlink"/>
                <w:noProof/>
              </w:rPr>
              <w:t>2.7.</w:t>
            </w:r>
            <w:r w:rsidR="001C00DE">
              <w:rPr>
                <w:rFonts w:asciiTheme="minorHAnsi" w:hAnsiTheme="minorHAnsi" w:eastAsiaTheme="minorEastAsia" w:cstheme="minorBidi"/>
                <w:noProof/>
                <w:sz w:val="22"/>
                <w:szCs w:val="22"/>
                <w:lang w:eastAsia="nl-NL"/>
              </w:rPr>
              <w:tab/>
            </w:r>
            <w:r w:rsidRPr="00290862" w:rsidR="001C00DE">
              <w:rPr>
                <w:rStyle w:val="Hyperlink"/>
                <w:noProof/>
              </w:rPr>
              <w:t>Vessel Protection Detachments (Oostkust Afrika)</w:t>
            </w:r>
            <w:r w:rsidR="001C00DE">
              <w:rPr>
                <w:noProof/>
                <w:webHidden/>
              </w:rPr>
              <w:tab/>
            </w:r>
            <w:r w:rsidR="001C00DE">
              <w:rPr>
                <w:noProof/>
                <w:webHidden/>
              </w:rPr>
              <w:fldChar w:fldCharType="begin"/>
            </w:r>
            <w:r w:rsidR="001C00DE">
              <w:rPr>
                <w:noProof/>
                <w:webHidden/>
              </w:rPr>
              <w:instrText xml:space="preserve"> PAGEREF _Toc227756582 \h </w:instrText>
            </w:r>
            <w:r w:rsidR="001C00DE">
              <w:rPr>
                <w:noProof/>
                <w:webHidden/>
              </w:rPr>
            </w:r>
            <w:r w:rsidR="001C00DE">
              <w:rPr>
                <w:noProof/>
                <w:webHidden/>
              </w:rPr>
              <w:fldChar w:fldCharType="separate"/>
            </w:r>
            <w:r w:rsidR="001C00DE">
              <w:rPr>
                <w:noProof/>
                <w:webHidden/>
              </w:rPr>
              <w:t>19</w:t>
            </w:r>
            <w:r w:rsidR="001C00DE">
              <w:rPr>
                <w:noProof/>
                <w:webHidden/>
              </w:rPr>
              <w:fldChar w:fldCharType="end"/>
            </w:r>
          </w:hyperlink>
        </w:p>
        <w:p w:rsidR="001C00DE" w:rsidRDefault="00956B53">
          <w:pPr>
            <w:pStyle w:val="TOC2"/>
            <w:rPr>
              <w:rFonts w:asciiTheme="minorHAnsi" w:hAnsiTheme="minorHAnsi" w:eastAsiaTheme="minorEastAsia" w:cstheme="minorBidi"/>
              <w:noProof/>
              <w:sz w:val="22"/>
              <w:szCs w:val="22"/>
              <w:lang w:eastAsia="nl-NL"/>
            </w:rPr>
          </w:pPr>
          <w:hyperlink w:history="1" w:anchor="_Toc227756583">
            <w:r w:rsidRPr="00290862" w:rsidR="001C00DE">
              <w:rPr>
                <w:rStyle w:val="Hyperlink"/>
                <w:noProof/>
              </w:rPr>
              <w:t>2.8.</w:t>
            </w:r>
            <w:r w:rsidR="001C00DE">
              <w:rPr>
                <w:rFonts w:asciiTheme="minorHAnsi" w:hAnsiTheme="minorHAnsi" w:eastAsiaTheme="minorEastAsia" w:cstheme="minorBidi"/>
                <w:noProof/>
                <w:sz w:val="22"/>
                <w:szCs w:val="22"/>
                <w:lang w:eastAsia="nl-NL"/>
              </w:rPr>
              <w:tab/>
            </w:r>
            <w:r w:rsidRPr="00290862" w:rsidR="001C00DE">
              <w:rPr>
                <w:rStyle w:val="Hyperlink"/>
                <w:noProof/>
              </w:rPr>
              <w:t>Internationale hoofdkwartieren</w:t>
            </w:r>
            <w:r w:rsidR="001C00DE">
              <w:rPr>
                <w:noProof/>
                <w:webHidden/>
              </w:rPr>
              <w:tab/>
            </w:r>
            <w:r w:rsidR="001C00DE">
              <w:rPr>
                <w:noProof/>
                <w:webHidden/>
              </w:rPr>
              <w:fldChar w:fldCharType="begin"/>
            </w:r>
            <w:r w:rsidR="001C00DE">
              <w:rPr>
                <w:noProof/>
                <w:webHidden/>
              </w:rPr>
              <w:instrText xml:space="preserve"> PAGEREF _Toc227756583 \h </w:instrText>
            </w:r>
            <w:r w:rsidR="001C00DE">
              <w:rPr>
                <w:noProof/>
                <w:webHidden/>
              </w:rPr>
            </w:r>
            <w:r w:rsidR="001C00DE">
              <w:rPr>
                <w:noProof/>
                <w:webHidden/>
              </w:rPr>
              <w:fldChar w:fldCharType="separate"/>
            </w:r>
            <w:r w:rsidR="001C00DE">
              <w:rPr>
                <w:noProof/>
                <w:webHidden/>
              </w:rPr>
              <w:t>19</w:t>
            </w:r>
            <w:r w:rsidR="001C00DE">
              <w:rPr>
                <w:noProof/>
                <w:webHidden/>
              </w:rPr>
              <w:fldChar w:fldCharType="end"/>
            </w:r>
          </w:hyperlink>
        </w:p>
        <w:p w:rsidR="001C00DE" w:rsidRDefault="00956B53">
          <w:pPr>
            <w:pStyle w:val="TOC1"/>
            <w:rPr>
              <w:rFonts w:asciiTheme="minorHAnsi" w:hAnsiTheme="minorHAnsi" w:eastAsiaTheme="minorEastAsia" w:cstheme="minorBidi"/>
              <w:b w:val="0"/>
              <w:noProof/>
              <w:sz w:val="22"/>
              <w:szCs w:val="22"/>
              <w:lang w:eastAsia="nl-NL"/>
            </w:rPr>
          </w:pPr>
          <w:hyperlink w:history="1" w:anchor="_Toc227756584">
            <w:r w:rsidRPr="00290862" w:rsidR="001C00DE">
              <w:rPr>
                <w:rStyle w:val="Hyperlink"/>
                <w:noProof/>
              </w:rPr>
              <w:t>3.</w:t>
            </w:r>
            <w:r w:rsidR="001C00DE">
              <w:rPr>
                <w:rFonts w:asciiTheme="minorHAnsi" w:hAnsiTheme="minorHAnsi" w:eastAsiaTheme="minorEastAsia" w:cstheme="minorBidi"/>
                <w:b w:val="0"/>
                <w:noProof/>
                <w:sz w:val="22"/>
                <w:szCs w:val="22"/>
                <w:lang w:eastAsia="nl-NL"/>
              </w:rPr>
              <w:tab/>
            </w:r>
            <w:r w:rsidRPr="00290862" w:rsidR="001C00DE">
              <w:rPr>
                <w:rStyle w:val="Hyperlink"/>
                <w:noProof/>
              </w:rPr>
              <w:t>Slotbeschouwing</w:t>
            </w:r>
            <w:r w:rsidR="001C00DE">
              <w:rPr>
                <w:noProof/>
                <w:webHidden/>
              </w:rPr>
              <w:tab/>
            </w:r>
            <w:r w:rsidR="001C00DE">
              <w:rPr>
                <w:noProof/>
                <w:webHidden/>
              </w:rPr>
              <w:fldChar w:fldCharType="begin"/>
            </w:r>
            <w:r w:rsidR="001C00DE">
              <w:rPr>
                <w:noProof/>
                <w:webHidden/>
              </w:rPr>
              <w:instrText xml:space="preserve"> PAGEREF _Toc227756584 \h </w:instrText>
            </w:r>
            <w:r w:rsidR="001C00DE">
              <w:rPr>
                <w:noProof/>
                <w:webHidden/>
              </w:rPr>
            </w:r>
            <w:r w:rsidR="001C00DE">
              <w:rPr>
                <w:noProof/>
                <w:webHidden/>
              </w:rPr>
              <w:fldChar w:fldCharType="separate"/>
            </w:r>
            <w:r w:rsidR="001C00DE">
              <w:rPr>
                <w:noProof/>
                <w:webHidden/>
              </w:rPr>
              <w:t>20</w:t>
            </w:r>
            <w:r w:rsidR="001C00DE">
              <w:rPr>
                <w:noProof/>
                <w:webHidden/>
              </w:rPr>
              <w:fldChar w:fldCharType="end"/>
            </w:r>
          </w:hyperlink>
        </w:p>
        <w:p w:rsidR="001C00DE" w:rsidRDefault="00956B53">
          <w:pPr>
            <w:pStyle w:val="TOC1"/>
            <w:rPr>
              <w:rFonts w:asciiTheme="minorHAnsi" w:hAnsiTheme="minorHAnsi" w:eastAsiaTheme="minorEastAsia" w:cstheme="minorBidi"/>
              <w:b w:val="0"/>
              <w:noProof/>
              <w:sz w:val="22"/>
              <w:szCs w:val="22"/>
              <w:lang w:eastAsia="nl-NL"/>
            </w:rPr>
          </w:pPr>
          <w:hyperlink w:history="1" w:anchor="_Toc227756585">
            <w:r w:rsidRPr="00290862" w:rsidR="001C00DE">
              <w:rPr>
                <w:rStyle w:val="Hyperlink"/>
                <w:noProof/>
              </w:rPr>
              <w:t>Bijlage 1 Rechtsbasis, mandaten en nationale kaders</w:t>
            </w:r>
            <w:r w:rsidR="001C00DE">
              <w:rPr>
                <w:noProof/>
                <w:webHidden/>
              </w:rPr>
              <w:tab/>
            </w:r>
            <w:r w:rsidR="001C00DE">
              <w:rPr>
                <w:noProof/>
                <w:webHidden/>
              </w:rPr>
              <w:fldChar w:fldCharType="begin"/>
            </w:r>
            <w:r w:rsidR="001C00DE">
              <w:rPr>
                <w:noProof/>
                <w:webHidden/>
              </w:rPr>
              <w:instrText xml:space="preserve"> PAGEREF _Toc227756585 \h </w:instrText>
            </w:r>
            <w:r w:rsidR="001C00DE">
              <w:rPr>
                <w:noProof/>
                <w:webHidden/>
              </w:rPr>
            </w:r>
            <w:r w:rsidR="001C00DE">
              <w:rPr>
                <w:noProof/>
                <w:webHidden/>
              </w:rPr>
              <w:fldChar w:fldCharType="separate"/>
            </w:r>
            <w:r w:rsidR="001C00DE">
              <w:rPr>
                <w:noProof/>
                <w:webHidden/>
              </w:rPr>
              <w:t>22</w:t>
            </w:r>
            <w:r w:rsidR="001C00DE">
              <w:rPr>
                <w:noProof/>
                <w:webHidden/>
              </w:rPr>
              <w:fldChar w:fldCharType="end"/>
            </w:r>
          </w:hyperlink>
        </w:p>
        <w:p w:rsidR="00B40364" w:rsidRDefault="00B40364">
          <w:r>
            <w:rPr>
              <w:b/>
              <w:bCs/>
              <w:noProof/>
            </w:rPr>
            <w:fldChar w:fldCharType="end"/>
          </w:r>
        </w:p>
      </w:sdtContent>
    </w:sdt>
    <w:p w:rsidRPr="00422292" w:rsidR="00B40364" w:rsidP="00EE13FE" w:rsidRDefault="00B40364"/>
    <w:p w:rsidRPr="006A203C" w:rsidR="00CF7286" w:rsidP="00CF7286" w:rsidRDefault="00FF3726">
      <w:pPr>
        <w:pStyle w:val="Heading1"/>
        <w:numPr>
          <w:ilvl w:val="0"/>
          <w:numId w:val="16"/>
        </w:numPr>
      </w:pPr>
      <w:bookmarkStart w:name="toc" w:id="8"/>
      <w:bookmarkEnd w:id="8"/>
      <w:r w:rsidRPr="00422292">
        <w:br w:type="page"/>
      </w:r>
      <w:bookmarkStart w:name="_Toc37161702" w:id="9"/>
      <w:bookmarkStart w:name="_Toc38961413" w:id="10"/>
      <w:bookmarkStart w:name="_Toc69976524" w:id="11"/>
      <w:bookmarkStart w:name="_Toc164845352" w:id="12"/>
      <w:bookmarkStart w:name="_Toc193363081" w:id="13"/>
      <w:bookmarkStart w:name="_Toc193365844" w:id="14"/>
      <w:bookmarkStart w:name="_Toc193981054" w:id="15"/>
      <w:bookmarkStart w:name="_Toc193984051" w:id="16"/>
      <w:bookmarkStart w:name="_Toc227756562" w:id="17"/>
      <w:r w:rsidRPr="006A203C" w:rsidR="00CF7286">
        <w:lastRenderedPageBreak/>
        <w:t>Inleiding</w:t>
      </w:r>
      <w:bookmarkEnd w:id="9"/>
      <w:bookmarkEnd w:id="10"/>
      <w:bookmarkEnd w:id="11"/>
      <w:bookmarkEnd w:id="12"/>
      <w:bookmarkEnd w:id="13"/>
      <w:bookmarkEnd w:id="14"/>
      <w:bookmarkEnd w:id="15"/>
      <w:bookmarkEnd w:id="16"/>
      <w:bookmarkEnd w:id="17"/>
    </w:p>
    <w:p w:rsidR="00CF7286" w:rsidP="00CF7286" w:rsidRDefault="00CF7286">
      <w:pPr>
        <w:jc w:val="both"/>
        <w:rPr>
          <w:rFonts w:eastAsia="Calibri"/>
          <w:lang w:eastAsia="en-US"/>
        </w:rPr>
      </w:pPr>
      <w:r>
        <w:rPr>
          <w:rFonts w:eastAsia="Calibri"/>
          <w:lang w:eastAsia="en-US"/>
        </w:rPr>
        <w:t>Uw Kamer</w:t>
      </w:r>
      <w:r w:rsidRPr="00DE34A9">
        <w:rPr>
          <w:rFonts w:eastAsia="Calibri"/>
          <w:lang w:eastAsia="en-US"/>
        </w:rPr>
        <w:t xml:space="preserve"> </w:t>
      </w:r>
      <w:r>
        <w:rPr>
          <w:rFonts w:eastAsia="Calibri"/>
          <w:lang w:eastAsia="en-US"/>
        </w:rPr>
        <w:t xml:space="preserve">ontvangt </w:t>
      </w:r>
      <w:r w:rsidRPr="00DE34A9">
        <w:rPr>
          <w:rFonts w:eastAsia="Calibri"/>
          <w:lang w:eastAsia="en-US"/>
        </w:rPr>
        <w:t xml:space="preserve">jaarlijks op de derde woensdag in mei een ‘Jaarlijkse voortgangsrapportage </w:t>
      </w:r>
      <w:r>
        <w:rPr>
          <w:rFonts w:eastAsia="Calibri"/>
          <w:lang w:eastAsia="en-US"/>
        </w:rPr>
        <w:t>overige</w:t>
      </w:r>
      <w:r w:rsidRPr="00DE34A9">
        <w:rPr>
          <w:rFonts w:eastAsia="Calibri"/>
          <w:lang w:eastAsia="en-US"/>
        </w:rPr>
        <w:t xml:space="preserve"> missiebijdragen’</w:t>
      </w:r>
      <w:r w:rsidRPr="006E3E23">
        <w:rPr>
          <w:rFonts w:eastAsia="Calibri"/>
          <w:lang w:eastAsia="en-US"/>
        </w:rPr>
        <w:t xml:space="preserve"> (JV</w:t>
      </w:r>
      <w:r>
        <w:rPr>
          <w:rFonts w:eastAsia="Calibri"/>
          <w:lang w:eastAsia="en-US"/>
        </w:rPr>
        <w:t>O</w:t>
      </w:r>
      <w:r w:rsidRPr="006E3E23">
        <w:rPr>
          <w:rFonts w:eastAsia="Calibri"/>
          <w:lang w:eastAsia="en-US"/>
        </w:rPr>
        <w:t>M).</w:t>
      </w:r>
      <w:r>
        <w:rPr>
          <w:rFonts w:eastAsia="Calibri"/>
          <w:lang w:eastAsia="en-US"/>
        </w:rPr>
        <w:t xml:space="preserve"> </w:t>
      </w:r>
      <w:r w:rsidRPr="00B97DC8">
        <w:rPr>
          <w:rFonts w:eastAsia="Calibri"/>
          <w:lang w:eastAsia="en-US"/>
        </w:rPr>
        <w:t>De JV</w:t>
      </w:r>
      <w:r>
        <w:rPr>
          <w:rFonts w:eastAsia="Calibri"/>
          <w:lang w:eastAsia="en-US"/>
        </w:rPr>
        <w:t>O</w:t>
      </w:r>
      <w:r w:rsidRPr="00B97DC8">
        <w:rPr>
          <w:rFonts w:eastAsia="Calibri"/>
          <w:lang w:eastAsia="en-US"/>
        </w:rPr>
        <w:t>M be</w:t>
      </w:r>
      <w:r>
        <w:rPr>
          <w:rFonts w:eastAsia="Calibri"/>
          <w:lang w:eastAsia="en-US"/>
        </w:rPr>
        <w:t>handelt de inzet van militairen en,</w:t>
      </w:r>
      <w:r w:rsidRPr="00161EBB">
        <w:rPr>
          <w:rFonts w:eastAsia="Calibri"/>
          <w:lang w:eastAsia="en-US"/>
        </w:rPr>
        <w:t xml:space="preserve"> </w:t>
      </w:r>
      <w:r>
        <w:rPr>
          <w:rFonts w:eastAsia="Calibri"/>
          <w:lang w:eastAsia="en-US"/>
        </w:rPr>
        <w:t xml:space="preserve">mits actief </w:t>
      </w:r>
      <w:r w:rsidRPr="003036AA">
        <w:rPr>
          <w:rFonts w:eastAsia="Calibri"/>
          <w:lang w:eastAsia="en-US"/>
        </w:rPr>
        <w:t>in dezelfde missie, van civiele experts en/of politiefunctionarissen per regio. De voorliggende rapportage gaat in op de voortgang van en de Nederlandse bijdrage aan die internationale inspanningen</w:t>
      </w:r>
      <w:r>
        <w:rPr>
          <w:rFonts w:eastAsia="Calibri"/>
          <w:lang w:eastAsia="en-US"/>
        </w:rPr>
        <w:t xml:space="preserve"> van mei 2025 tot en april 2026</w:t>
      </w:r>
      <w:r w:rsidRPr="003036AA">
        <w:rPr>
          <w:rFonts w:eastAsia="Calibri"/>
          <w:lang w:eastAsia="en-US"/>
        </w:rPr>
        <w:t>. Voor zover mogelijk wordt beschreven in welke mate de inzet van Nederlandse militaire eenheden, individuele militairen</w:t>
      </w:r>
      <w:r>
        <w:rPr>
          <w:rFonts w:eastAsia="Calibri"/>
          <w:lang w:eastAsia="en-US"/>
        </w:rPr>
        <w:t>,</w:t>
      </w:r>
      <w:r w:rsidRPr="003036AA">
        <w:rPr>
          <w:rFonts w:eastAsia="Calibri"/>
          <w:lang w:eastAsia="en-US"/>
        </w:rPr>
        <w:t xml:space="preserve"> civiele experts en politiefunctionarissen heeft bijgedragen aan de realisatie van de missie- c.q. operatiedoelstellingen.</w:t>
      </w:r>
      <w:r>
        <w:rPr>
          <w:rFonts w:eastAsia="Calibri"/>
          <w:lang w:eastAsia="en-US"/>
        </w:rPr>
        <w:t xml:space="preserve">  </w:t>
      </w:r>
      <w:r w:rsidRPr="00440441" w:rsidR="00440441">
        <w:rPr>
          <w:rFonts w:eastAsia="Calibri"/>
          <w:lang w:eastAsia="en-US"/>
        </w:rPr>
        <w:t>In verschillende brieven (referenties) zijn aan uw Kamer de personele kaders voor de missies die vallen binnen deze voortgangsrapportage gemeld. Binnen de rapportage periode is niet afgeweken van deze kaders.</w:t>
      </w:r>
    </w:p>
    <w:p w:rsidR="00CF7286" w:rsidP="00CF7286" w:rsidRDefault="00CF7286">
      <w:pPr>
        <w:jc w:val="both"/>
        <w:rPr>
          <w:rFonts w:eastAsia="Calibri"/>
          <w:lang w:eastAsia="en-US"/>
        </w:rPr>
      </w:pPr>
    </w:p>
    <w:p w:rsidR="00CF7286" w:rsidP="00CF7286" w:rsidRDefault="00CF7286">
      <w:pPr>
        <w:jc w:val="both"/>
        <w:rPr>
          <w:rFonts w:eastAsia="Calibri"/>
          <w:lang w:eastAsia="en-US"/>
        </w:rPr>
      </w:pPr>
      <w:r w:rsidRPr="00725700">
        <w:rPr>
          <w:rFonts w:eastAsia="Calibri"/>
          <w:lang w:eastAsia="en-US"/>
        </w:rPr>
        <w:t xml:space="preserve">De Nederlandse deelname aan </w:t>
      </w:r>
      <w:r>
        <w:rPr>
          <w:rFonts w:eastAsia="Calibri"/>
          <w:lang w:eastAsia="en-US"/>
        </w:rPr>
        <w:t xml:space="preserve">louter </w:t>
      </w:r>
      <w:r w:rsidRPr="00725700">
        <w:rPr>
          <w:rFonts w:eastAsia="Calibri"/>
          <w:lang w:eastAsia="en-US"/>
        </w:rPr>
        <w:t xml:space="preserve">civiele missies wordt niet in deze voortgangsrapportage behandeld. </w:t>
      </w:r>
      <w:r>
        <w:rPr>
          <w:rFonts w:eastAsia="Calibri"/>
          <w:lang w:eastAsia="en-US"/>
        </w:rPr>
        <w:t>Verantwoording over deze inzet</w:t>
      </w:r>
      <w:r w:rsidRPr="00725700">
        <w:rPr>
          <w:rFonts w:eastAsia="Calibri"/>
          <w:lang w:eastAsia="en-US"/>
        </w:rPr>
        <w:t xml:space="preserve"> is opgenomen in de reguliere verantwoording</w:t>
      </w:r>
      <w:r>
        <w:rPr>
          <w:rFonts w:eastAsia="Calibri"/>
          <w:lang w:eastAsia="en-US"/>
        </w:rPr>
        <w:t>slijn</w:t>
      </w:r>
      <w:r w:rsidRPr="00725700">
        <w:rPr>
          <w:rFonts w:eastAsia="Calibri"/>
          <w:lang w:eastAsia="en-US"/>
        </w:rPr>
        <w:t xml:space="preserve"> van de ministers van Buitenlandse Zaken en </w:t>
      </w:r>
      <w:r>
        <w:rPr>
          <w:rFonts w:eastAsia="Calibri"/>
          <w:lang w:eastAsia="en-US"/>
        </w:rPr>
        <w:t xml:space="preserve">van </w:t>
      </w:r>
      <w:r w:rsidRPr="00725700">
        <w:rPr>
          <w:rFonts w:eastAsia="Calibri"/>
          <w:lang w:eastAsia="en-US"/>
        </w:rPr>
        <w:t xml:space="preserve">Justitie en Veiligheid. </w:t>
      </w:r>
    </w:p>
    <w:p w:rsidR="00CF7286" w:rsidP="00CF7286" w:rsidRDefault="00CF7286">
      <w:pPr>
        <w:spacing w:line="276" w:lineRule="auto"/>
        <w:jc w:val="both"/>
        <w:rPr>
          <w:rFonts w:eastAsia="Calibri"/>
          <w:lang w:eastAsia="en-US"/>
        </w:rPr>
      </w:pPr>
    </w:p>
    <w:p w:rsidRPr="00725700" w:rsidR="00CF7286" w:rsidP="00CF7286" w:rsidRDefault="00CF7286">
      <w:pPr>
        <w:spacing w:after="160" w:line="276" w:lineRule="auto"/>
        <w:jc w:val="both"/>
        <w:rPr>
          <w:rFonts w:eastAsia="Calibri"/>
          <w:lang w:eastAsia="en-US"/>
        </w:rPr>
      </w:pPr>
      <w:r w:rsidRPr="00725700">
        <w:rPr>
          <w:rFonts w:eastAsia="Calibri"/>
          <w:lang w:eastAsia="en-US"/>
        </w:rPr>
        <w:t xml:space="preserve">Over de artikel 100-missiebijdragen van Nederland </w:t>
      </w:r>
      <w:r>
        <w:rPr>
          <w:rFonts w:eastAsia="Calibri"/>
          <w:lang w:eastAsia="en-US"/>
        </w:rPr>
        <w:t>ten behoeve van EUFOR Althea en</w:t>
      </w:r>
      <w:r w:rsidRPr="00725700">
        <w:rPr>
          <w:rFonts w:eastAsia="Calibri"/>
          <w:lang w:eastAsia="en-US"/>
        </w:rPr>
        <w:t xml:space="preserve"> de </w:t>
      </w:r>
      <w:r>
        <w:rPr>
          <w:rFonts w:eastAsia="Calibri"/>
          <w:lang w:eastAsia="en-US"/>
        </w:rPr>
        <w:t xml:space="preserve">Nederlandse </w:t>
      </w:r>
      <w:r w:rsidRPr="00725700">
        <w:rPr>
          <w:rFonts w:eastAsia="Calibri"/>
          <w:lang w:eastAsia="en-US"/>
        </w:rPr>
        <w:t xml:space="preserve">inzet aan de </w:t>
      </w:r>
      <w:r>
        <w:rPr>
          <w:rFonts w:eastAsia="Calibri"/>
          <w:lang w:eastAsia="en-US"/>
        </w:rPr>
        <w:t>NAVO-o</w:t>
      </w:r>
      <w:r w:rsidRPr="00725700">
        <w:rPr>
          <w:rFonts w:eastAsia="Calibri"/>
          <w:lang w:eastAsia="en-US"/>
        </w:rPr>
        <w:t>ostflank</w:t>
      </w:r>
      <w:r>
        <w:rPr>
          <w:rFonts w:eastAsia="Calibri"/>
          <w:lang w:eastAsia="en-US"/>
        </w:rPr>
        <w:t xml:space="preserve"> </w:t>
      </w:r>
      <w:r w:rsidRPr="00725700">
        <w:rPr>
          <w:rFonts w:eastAsia="Calibri"/>
          <w:lang w:eastAsia="en-US"/>
        </w:rPr>
        <w:t xml:space="preserve">ontvangt uw Kamer </w:t>
      </w:r>
      <w:r>
        <w:rPr>
          <w:rFonts w:eastAsia="Calibri"/>
          <w:lang w:eastAsia="en-US"/>
        </w:rPr>
        <w:t>gelijktijdig</w:t>
      </w:r>
      <w:r w:rsidRPr="00725700">
        <w:rPr>
          <w:rFonts w:eastAsia="Calibri"/>
          <w:lang w:eastAsia="en-US"/>
        </w:rPr>
        <w:t xml:space="preserve"> </w:t>
      </w:r>
      <w:r>
        <w:rPr>
          <w:rFonts w:eastAsia="Calibri"/>
          <w:lang w:eastAsia="en-US"/>
        </w:rPr>
        <w:t>separate</w:t>
      </w:r>
      <w:r w:rsidRPr="00725700">
        <w:rPr>
          <w:rFonts w:eastAsia="Calibri"/>
          <w:lang w:eastAsia="en-US"/>
        </w:rPr>
        <w:t xml:space="preserve"> voortgangsrapportages. </w:t>
      </w:r>
      <w:r>
        <w:rPr>
          <w:rFonts w:eastAsia="Calibri"/>
          <w:lang w:eastAsia="en-US"/>
        </w:rPr>
        <w:t>De artikel 100-bijdragen aan de NAVO missie in Irak (NMI), die afliep in de huidige rapportageperiode, en de art 100-inzet in het oosten van de Middellandse Zee worden meegenomen in deze voortgangsrapportage.</w:t>
      </w:r>
    </w:p>
    <w:p w:rsidRPr="00725700" w:rsidR="00CF7286" w:rsidP="00CF7286" w:rsidRDefault="00CF7286">
      <w:pPr>
        <w:spacing w:line="276" w:lineRule="auto"/>
        <w:jc w:val="both"/>
        <w:rPr>
          <w:rFonts w:eastAsia="Calibri"/>
          <w:lang w:eastAsia="en-US"/>
        </w:rPr>
      </w:pPr>
      <w:r w:rsidRPr="00725700">
        <w:rPr>
          <w:rFonts w:eastAsia="Calibri"/>
          <w:lang w:eastAsia="en-US"/>
        </w:rPr>
        <w:t xml:space="preserve">In bijlage 1 van deze voortgangsrapportage zijn de </w:t>
      </w:r>
      <w:r w:rsidRPr="00725700">
        <w:t>rechtsbas</w:t>
      </w:r>
      <w:r>
        <w:t>e</w:t>
      </w:r>
      <w:r w:rsidRPr="00725700">
        <w:t>s, mandaten en nationale kaders</w:t>
      </w:r>
      <w:r w:rsidRPr="00725700">
        <w:rPr>
          <w:rFonts w:eastAsia="Calibri"/>
          <w:lang w:eastAsia="en-US"/>
        </w:rPr>
        <w:t xml:space="preserve"> voor de verschillende</w:t>
      </w:r>
      <w:r>
        <w:rPr>
          <w:rFonts w:eastAsia="Calibri"/>
          <w:lang w:eastAsia="en-US"/>
        </w:rPr>
        <w:t xml:space="preserve"> Nederlandse</w:t>
      </w:r>
      <w:r w:rsidRPr="00725700">
        <w:rPr>
          <w:rFonts w:eastAsia="Calibri"/>
          <w:lang w:eastAsia="en-US"/>
        </w:rPr>
        <w:t xml:space="preserve"> bijdragen aan missies en operaties opgenomen.</w:t>
      </w:r>
      <w:r w:rsidRPr="00C15C91">
        <w:rPr>
          <w:rStyle w:val="FootnoteReference"/>
          <w:rFonts w:ascii="Verdana" w:hAnsi="Verdana"/>
          <w:sz w:val="18"/>
          <w:szCs w:val="18"/>
        </w:rPr>
        <w:footnoteReference w:id="2"/>
      </w:r>
      <w:r w:rsidRPr="2BE78F5C">
        <w:rPr>
          <w:rFonts w:eastAsia="Calibri"/>
          <w:lang w:eastAsia="en-US"/>
        </w:rPr>
        <w:t xml:space="preserve"> </w:t>
      </w:r>
      <w:r w:rsidRPr="00725700">
        <w:rPr>
          <w:rFonts w:eastAsia="Calibri"/>
          <w:lang w:eastAsia="en-US"/>
        </w:rPr>
        <w:t>Hierin is ook</w:t>
      </w:r>
      <w:r w:rsidRPr="00725700" w:rsidDel="00A729AF">
        <w:rPr>
          <w:rFonts w:eastAsia="Calibri"/>
          <w:lang w:eastAsia="en-US"/>
        </w:rPr>
        <w:t xml:space="preserve"> </w:t>
      </w:r>
      <w:r w:rsidRPr="00725700">
        <w:rPr>
          <w:rFonts w:eastAsia="Calibri"/>
          <w:lang w:eastAsia="en-US"/>
        </w:rPr>
        <w:t xml:space="preserve">de inzet aan de </w:t>
      </w:r>
      <w:r>
        <w:rPr>
          <w:rFonts w:eastAsia="Calibri"/>
          <w:lang w:eastAsia="en-US"/>
        </w:rPr>
        <w:t>NAVO-o</w:t>
      </w:r>
      <w:r w:rsidRPr="00725700">
        <w:rPr>
          <w:rFonts w:eastAsia="Calibri"/>
          <w:lang w:eastAsia="en-US"/>
        </w:rPr>
        <w:t>ostflank</w:t>
      </w:r>
      <w:r>
        <w:rPr>
          <w:rFonts w:eastAsia="Calibri"/>
          <w:lang w:eastAsia="en-US"/>
        </w:rPr>
        <w:t xml:space="preserve"> en de Nederlandse bijdrage aan EUFOR Althea</w:t>
      </w:r>
      <w:r w:rsidRPr="00725700">
        <w:rPr>
          <w:rFonts w:eastAsia="Calibri"/>
          <w:lang w:eastAsia="en-US"/>
        </w:rPr>
        <w:t xml:space="preserve"> opgenomen. Hiermee geeft het kabinet gehoor aan de wens van uw Kamer een overzicht van het totaal aantal uitgezonden militairen in de rapportageperiode</w:t>
      </w:r>
      <w:r>
        <w:rPr>
          <w:rFonts w:eastAsia="Calibri"/>
          <w:lang w:eastAsia="en-US"/>
        </w:rPr>
        <w:t xml:space="preserve"> te ontvangen</w:t>
      </w:r>
      <w:r w:rsidRPr="00725700">
        <w:rPr>
          <w:rFonts w:eastAsia="Calibri"/>
          <w:lang w:eastAsia="en-US"/>
        </w:rPr>
        <w:t>.</w:t>
      </w:r>
    </w:p>
    <w:p w:rsidRPr="00725700" w:rsidR="00CF7286" w:rsidP="00CF7286" w:rsidRDefault="00CF7286">
      <w:pPr>
        <w:spacing w:line="276" w:lineRule="auto"/>
        <w:jc w:val="both"/>
        <w:rPr>
          <w:rFonts w:eastAsia="Calibri"/>
          <w:szCs w:val="18"/>
          <w:lang w:eastAsia="en-US"/>
        </w:rPr>
      </w:pPr>
    </w:p>
    <w:p w:rsidR="00CF7286" w:rsidP="00CF7286" w:rsidRDefault="00CF7286">
      <w:pPr>
        <w:spacing w:after="160" w:line="276" w:lineRule="auto"/>
        <w:jc w:val="both"/>
        <w:rPr>
          <w:rFonts w:eastAsia="Calibri"/>
          <w:lang w:eastAsia="en-US"/>
        </w:rPr>
      </w:pPr>
      <w:r w:rsidRPr="00C22B03">
        <w:rPr>
          <w:rFonts w:eastAsia="Calibri"/>
          <w:lang w:eastAsia="en-US"/>
        </w:rPr>
        <w:t>De financiële verantwoording van inzet is opgenomen in het jaarverslag van Defensie. Informatie over de ontwikkelingen in de veiligheidssituatie in de verschillende regio’s zijn opgenomen in het jaarverslag van de Militaire Inlichtingen- en Veiligheidsdienst. De verantwoording van de Nederlandse Militaire Gezondheidszorg tijdens inzet is opgenomen in het jaarverslag van de Inspectie Militaire Gezondheidszorg. De</w:t>
      </w:r>
      <w:r w:rsidRPr="00A7680B">
        <w:rPr>
          <w:rFonts w:eastAsia="Calibri"/>
          <w:lang w:eastAsia="en-US"/>
        </w:rPr>
        <w:t xml:space="preserve"> Inspecteur-Generaal der Krijgsmacht </w:t>
      </w:r>
      <w:r>
        <w:rPr>
          <w:rFonts w:eastAsia="Calibri"/>
          <w:lang w:eastAsia="en-US"/>
        </w:rPr>
        <w:t xml:space="preserve">behandelt </w:t>
      </w:r>
      <w:r w:rsidRPr="00A7680B">
        <w:rPr>
          <w:rFonts w:eastAsia="Calibri"/>
          <w:lang w:eastAsia="en-US"/>
        </w:rPr>
        <w:t>de inzet van Nederlandse militairen</w:t>
      </w:r>
      <w:r>
        <w:rPr>
          <w:rFonts w:eastAsia="Calibri"/>
          <w:lang w:eastAsia="en-US"/>
        </w:rPr>
        <w:t xml:space="preserve"> ook</w:t>
      </w:r>
      <w:r w:rsidRPr="00A7680B">
        <w:rPr>
          <w:rFonts w:eastAsia="Calibri"/>
          <w:lang w:eastAsia="en-US"/>
        </w:rPr>
        <w:t xml:space="preserve"> in zijn jaarverslag.</w:t>
      </w:r>
      <w:r>
        <w:rPr>
          <w:rFonts w:eastAsia="Calibri"/>
          <w:lang w:eastAsia="en-US"/>
        </w:rPr>
        <w:t xml:space="preserve"> In de Stand van Defensie wordt ingegaan op de consequenties van inzet op de inzetbaarheidsdoelen van de krijgsmacht. </w:t>
      </w:r>
    </w:p>
    <w:p w:rsidR="00CF7286" w:rsidP="00CF7286" w:rsidRDefault="00CF7286">
      <w:pPr>
        <w:spacing w:after="200" w:line="276" w:lineRule="auto"/>
        <w:rPr>
          <w:rStyle w:val="Heading1Char"/>
          <w:bCs w:val="0"/>
          <w:highlight w:val="lightGray"/>
        </w:rPr>
      </w:pPr>
      <w:bookmarkStart w:name="_Toc480899031" w:id="18"/>
      <w:bookmarkStart w:name="_Toc503443761" w:id="19"/>
      <w:bookmarkStart w:name="_Toc511138766" w:id="20"/>
      <w:bookmarkStart w:name="_Toc535402211" w:id="21"/>
      <w:bookmarkStart w:name="_Toc4142681" w:id="22"/>
      <w:bookmarkStart w:name="_Toc37161703" w:id="23"/>
      <w:bookmarkStart w:name="_Toc38961414" w:id="24"/>
      <w:bookmarkStart w:name="_Toc69976525" w:id="25"/>
      <w:bookmarkStart w:name="_Toc164845353" w:id="26"/>
      <w:bookmarkStart w:name="_Toc193363082" w:id="27"/>
      <w:bookmarkStart w:name="_Toc193365845" w:id="28"/>
      <w:bookmarkStart w:name="_Toc193981055" w:id="29"/>
      <w:bookmarkStart w:name="_Toc193984052" w:id="30"/>
      <w:bookmarkStart w:name="_Toc442703908" w:id="31"/>
      <w:r>
        <w:rPr>
          <w:rStyle w:val="Heading1Char"/>
          <w:highlight w:val="lightGray"/>
        </w:rPr>
        <w:br w:type="page"/>
      </w:r>
    </w:p>
    <w:p w:rsidRPr="00422292" w:rsidR="00CF7286" w:rsidP="00CF7286" w:rsidRDefault="00CF7286">
      <w:pPr>
        <w:pStyle w:val="Heading1"/>
        <w:numPr>
          <w:ilvl w:val="0"/>
          <w:numId w:val="16"/>
        </w:numPr>
        <w:jc w:val="both"/>
        <w:rPr>
          <w:rStyle w:val="Heading1Char"/>
        </w:rPr>
      </w:pPr>
      <w:bookmarkStart w:name="_Toc227756563" w:id="32"/>
      <w:r w:rsidRPr="00422292">
        <w:rPr>
          <w:rStyle w:val="Heading1Char"/>
        </w:rPr>
        <w:lastRenderedPageBreak/>
        <w:t>Expeditionaire i</w:t>
      </w:r>
      <w:r>
        <w:rPr>
          <w:rStyle w:val="Heading1Char"/>
        </w:rPr>
        <w:t xml:space="preserve">nzet van Nederlandse militairen, </w:t>
      </w:r>
      <w:r w:rsidRPr="00422292">
        <w:rPr>
          <w:rStyle w:val="Heading1Char"/>
        </w:rPr>
        <w:t>civiele experts</w:t>
      </w:r>
      <w:bookmarkEnd w:id="18"/>
      <w:bookmarkEnd w:id="19"/>
      <w:bookmarkEnd w:id="20"/>
      <w:bookmarkEnd w:id="21"/>
      <w:bookmarkEnd w:id="22"/>
      <w:bookmarkEnd w:id="23"/>
      <w:bookmarkEnd w:id="24"/>
      <w:bookmarkEnd w:id="25"/>
      <w:r>
        <w:rPr>
          <w:rStyle w:val="Heading1Char"/>
        </w:rPr>
        <w:t xml:space="preserve"> en politiefunctionarissen</w:t>
      </w:r>
      <w:bookmarkEnd w:id="26"/>
      <w:bookmarkEnd w:id="27"/>
      <w:bookmarkEnd w:id="28"/>
      <w:bookmarkEnd w:id="29"/>
      <w:bookmarkEnd w:id="30"/>
      <w:bookmarkEnd w:id="32"/>
    </w:p>
    <w:p w:rsidRPr="00422292" w:rsidR="00CF7286" w:rsidP="00CF7286" w:rsidRDefault="00CF7286">
      <w:pPr>
        <w:pStyle w:val="Heading2"/>
        <w:numPr>
          <w:ilvl w:val="1"/>
          <w:numId w:val="16"/>
        </w:numPr>
        <w:jc w:val="both"/>
      </w:pPr>
      <w:bookmarkStart w:name="_Toc193984053" w:id="33"/>
      <w:bookmarkStart w:name="_Toc503443762" w:id="34"/>
      <w:bookmarkStart w:name="_Toc511138767" w:id="35"/>
      <w:bookmarkStart w:name="_Toc948727" w:id="36"/>
      <w:bookmarkStart w:name="_Toc535402212" w:id="37"/>
      <w:bookmarkStart w:name="_Toc4142682" w:id="38"/>
      <w:bookmarkStart w:name="_Toc37161704" w:id="39"/>
      <w:bookmarkStart w:name="_Toc38961415" w:id="40"/>
      <w:bookmarkStart w:name="_Toc69976526" w:id="41"/>
      <w:bookmarkStart w:name="_Toc164845354" w:id="42"/>
      <w:bookmarkStart w:name="_Toc193363083" w:id="43"/>
      <w:bookmarkStart w:name="_Toc193365846" w:id="44"/>
      <w:bookmarkStart w:name="_Toc193981056" w:id="45"/>
      <w:bookmarkStart w:name="_Toc227756564" w:id="46"/>
      <w:bookmarkEnd w:id="31"/>
      <w:r>
        <w:t>Inzet en s</w:t>
      </w:r>
      <w:r w:rsidRPr="00422292">
        <w:t>amenhang</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Pr="00422292" w:rsidR="00CF7286" w:rsidP="00CF7286" w:rsidRDefault="00CF7286">
      <w:pPr>
        <w:spacing w:line="276" w:lineRule="auto"/>
        <w:jc w:val="both"/>
      </w:pPr>
    </w:p>
    <w:p w:rsidR="00CF7286" w:rsidP="00CF7286" w:rsidRDefault="00CF7286">
      <w:pPr>
        <w:spacing w:line="276" w:lineRule="auto"/>
        <w:jc w:val="both"/>
      </w:pPr>
      <w:r>
        <w:t>De internationale ontwikkelingen volgden elkaar de afgelopen tijd in hoog tempo op. Ruim vier jaar sinds de start van de Russische agressieoorlog tegen Oekraïne is er nog altijd geen zicht op een staakt-het-vuren. Het recente ontketende conflict tussen Iran enerzijds en Israël en de Verenigde Staten (VS) anderzijds zorgt voor veel onrust in het gehele Midden-Oosten. Daar komt bij dat de instabiliteit in West-Afrika, de S</w:t>
      </w:r>
      <w:r w:rsidR="006D0E90">
        <w:t xml:space="preserve">ahel en de Hoorn van Afrika aanhoudt. Dit betekent dat de </w:t>
      </w:r>
      <w:r>
        <w:t>stabiliteit in de</w:t>
      </w:r>
      <w:r w:rsidR="006D0E90">
        <w:t xml:space="preserve"> regio rond</w:t>
      </w:r>
      <w:r>
        <w:t xml:space="preserve"> Europa onder druk staat. </w:t>
      </w:r>
    </w:p>
    <w:p w:rsidR="00CF7286" w:rsidP="00CF7286" w:rsidRDefault="00CF7286">
      <w:pPr>
        <w:spacing w:line="276" w:lineRule="auto"/>
        <w:jc w:val="both"/>
      </w:pPr>
    </w:p>
    <w:p w:rsidRPr="00B85330" w:rsidR="00CF7286" w:rsidP="00CF7286" w:rsidRDefault="00CF7286">
      <w:pPr>
        <w:spacing w:line="276" w:lineRule="auto"/>
        <w:jc w:val="both"/>
      </w:pPr>
      <w:r w:rsidRPr="00B85330">
        <w:t xml:space="preserve">Zoals geformuleerd in het </w:t>
      </w:r>
      <w:r>
        <w:t>Regeerakkoord</w:t>
      </w:r>
      <w:r w:rsidRPr="00B85330">
        <w:t xml:space="preserve"> </w:t>
      </w:r>
      <w:r>
        <w:t xml:space="preserve">‘Aan de slag, Bouwen aan een beter Nederland’ </w:t>
      </w:r>
      <w:r w:rsidRPr="00B85330">
        <w:t>(</w:t>
      </w:r>
      <w:r>
        <w:t>kenmerk 202600515</w:t>
      </w:r>
      <w:r w:rsidRPr="00B85330">
        <w:t xml:space="preserve">, d.d. </w:t>
      </w:r>
      <w:r>
        <w:t>30 januari 2026</w:t>
      </w:r>
      <w:r w:rsidRPr="00B85330">
        <w:t xml:space="preserve">) </w:t>
      </w:r>
      <w:r>
        <w:t xml:space="preserve">wil dit kabinet een realistisch buitenlandbeleid voeren, waarin de Nederlandse en Europese belangen leidend zijn. De NAVO blijft de hoeksteen  van onze collectieve verdediging en tegelijkertijd is ook een sterke geopolitieke Europese Unie instrumenteel voor onze veiligheid en welvaart. Dit kabinet </w:t>
      </w:r>
      <w:r w:rsidRPr="00B85330">
        <w:t>acht het van belang</w:t>
      </w:r>
      <w:r>
        <w:t xml:space="preserve"> dat Nederland de internationale rechtsorde verdedigt en waar mogelijk actief bevordert. Dit gebeurt onder andere via Nederlandse </w:t>
      </w:r>
      <w:r w:rsidR="00874AFF">
        <w:t>deelname</w:t>
      </w:r>
      <w:r w:rsidRPr="00B85330">
        <w:t xml:space="preserve"> aan internationale missies buiten het NAVO- en EU-grondgebied</w:t>
      </w:r>
      <w:r w:rsidRPr="0024396C">
        <w:t xml:space="preserve">, </w:t>
      </w:r>
      <w:r>
        <w:t>als</w:t>
      </w:r>
      <w:r w:rsidRPr="0024396C">
        <w:t xml:space="preserve"> ook </w:t>
      </w:r>
      <w:r>
        <w:t>via</w:t>
      </w:r>
      <w:r w:rsidRPr="0024396C">
        <w:t xml:space="preserve"> diplomatieke inspanningen en ontwikkelingssamenwerking</w:t>
      </w:r>
      <w:r w:rsidRPr="00B85330">
        <w:t>.</w:t>
      </w:r>
      <w:r>
        <w:t xml:space="preserve"> </w:t>
      </w:r>
      <w:r w:rsidRPr="0024396C">
        <w:t xml:space="preserve">Het kabinet streeft in dit kader </w:t>
      </w:r>
      <w:r>
        <w:t xml:space="preserve">naar </w:t>
      </w:r>
      <w:r w:rsidRPr="0024396C">
        <w:t xml:space="preserve">samenhang tussen deelname aan dergelijke missies </w:t>
      </w:r>
      <w:r>
        <w:t>en</w:t>
      </w:r>
      <w:r w:rsidRPr="0024396C">
        <w:t xml:space="preserve"> complementaire inzet van </w:t>
      </w:r>
      <w:r>
        <w:t xml:space="preserve">(andere) </w:t>
      </w:r>
      <w:r w:rsidRPr="0024396C">
        <w:t xml:space="preserve">militaire, diplomatieke en ontwikkelingsinstrumenten ter versterking van veiligheid en stabiliteit in de landen in deze brief. </w:t>
      </w:r>
      <w:r w:rsidRPr="00B85330">
        <w:t xml:space="preserve"> </w:t>
      </w:r>
    </w:p>
    <w:p w:rsidRPr="00B85330" w:rsidR="00CF7286" w:rsidP="00CF7286" w:rsidRDefault="00CF7286">
      <w:pPr>
        <w:spacing w:line="276" w:lineRule="auto"/>
        <w:jc w:val="both"/>
      </w:pPr>
    </w:p>
    <w:p w:rsidR="00CF7286" w:rsidP="00CF7286" w:rsidRDefault="00CF7286">
      <w:pPr>
        <w:spacing w:line="276" w:lineRule="auto"/>
        <w:jc w:val="both"/>
      </w:pPr>
      <w:r>
        <w:t>De missiebijdragen in de rapportageperiode werden vormgegeven op basis van de Kamerbrief over i</w:t>
      </w:r>
      <w:r w:rsidRPr="00A8119E">
        <w:t xml:space="preserve">nternationale inzet van Nederlandse militairen civiele experts en politiefunctionarissen 2025 - 2028 </w:t>
      </w:r>
      <w:r w:rsidRPr="00136BA6">
        <w:t>(Kamerstuk 29521, nr. 493</w:t>
      </w:r>
      <w:r>
        <w:t>, d.d. XX</w:t>
      </w:r>
      <w:r w:rsidRPr="00136BA6">
        <w:t>)</w:t>
      </w:r>
      <w:r>
        <w:t xml:space="preserve">. Die brief benadrukte het </w:t>
      </w:r>
      <w:r w:rsidRPr="00DE4306">
        <w:t>belang invulling te blijven geven aan internationale missies buiten het NAVO-</w:t>
      </w:r>
      <w:r>
        <w:t>verdragsgebied</w:t>
      </w:r>
      <w:r w:rsidRPr="00DE4306">
        <w:t xml:space="preserve"> en EU-grondgebied</w:t>
      </w:r>
      <w:r>
        <w:t>, omdat ook</w:t>
      </w:r>
      <w:r w:rsidRPr="00DE4306">
        <w:t xml:space="preserve"> conflicten en oorlogen</w:t>
      </w:r>
      <w:r w:rsidR="006D0E90">
        <w:t xml:space="preserve"> elders </w:t>
      </w:r>
      <w:r w:rsidRPr="00DE4306">
        <w:t>onze veiligheid en welvaart en die van bondgenoten kunnen bedreigen</w:t>
      </w:r>
      <w:r>
        <w:t>. Daarnaast is het belangrijk te benadrukken dat inzet van de Nederland</w:t>
      </w:r>
      <w:r w:rsidR="006D0E90">
        <w:t xml:space="preserve">se Krijgsmacht steeds vaker </w:t>
      </w:r>
      <w:r>
        <w:t xml:space="preserve">binnen de grenzen van het Koninkrijk der Nederlanden plaatsvindt. Gezien de gelimiteerde capaciteit van de krijgsmacht en de druk op het verdedigen van het bondgenootschappelijk grondgebied, is ervoor gekozen dat </w:t>
      </w:r>
      <w:r w:rsidRPr="00DE4306">
        <w:t xml:space="preserve">Nederlandse </w:t>
      </w:r>
      <w:r w:rsidR="00874AFF">
        <w:t>inzet</w:t>
      </w:r>
      <w:r w:rsidRPr="00DE4306">
        <w:t xml:space="preserve"> aan missies en operaties </w:t>
      </w:r>
      <w:r>
        <w:t>vooral</w:t>
      </w:r>
      <w:r w:rsidRPr="00DE4306">
        <w:t>eerst moeten bijdragen aan de Nederlandse veiligheidsbelangen</w:t>
      </w:r>
      <w:r>
        <w:t xml:space="preserve">. Tevens is gekozen voor </w:t>
      </w:r>
      <w:r w:rsidRPr="00DE4306">
        <w:t xml:space="preserve">minder grootschalige en langdurige </w:t>
      </w:r>
      <w:r w:rsidR="00484110">
        <w:t>inzet</w:t>
      </w:r>
      <w:r w:rsidRPr="00DE4306">
        <w:t xml:space="preserve"> ver weg. </w:t>
      </w:r>
    </w:p>
    <w:p w:rsidR="00CF7286" w:rsidP="00CF7286" w:rsidRDefault="00CF7286">
      <w:pPr>
        <w:spacing w:line="276" w:lineRule="auto"/>
        <w:jc w:val="both"/>
      </w:pPr>
    </w:p>
    <w:p w:rsidR="00CF7286" w:rsidP="00CF7286" w:rsidRDefault="00CF7286">
      <w:pPr>
        <w:spacing w:line="276" w:lineRule="auto"/>
        <w:jc w:val="both"/>
      </w:pPr>
      <w:r w:rsidRPr="003036AA" w:rsidDel="00B602BC">
        <w:t xml:space="preserve">Nederland heeft </w:t>
      </w:r>
      <w:r>
        <w:t>daarmee</w:t>
      </w:r>
      <w:r w:rsidRPr="003036AA" w:rsidDel="00B602BC">
        <w:t xml:space="preserve"> ook in de afgelopen rapportageperiode een</w:t>
      </w:r>
      <w:r w:rsidR="00874AFF">
        <w:t xml:space="preserve"> waardevol aandeel</w:t>
      </w:r>
      <w:r w:rsidRPr="003036AA" w:rsidDel="00B602BC">
        <w:t xml:space="preserve"> geleverd aan internationale missies en operaties</w:t>
      </w:r>
      <w:r>
        <w:t>, in NAVO-, EU- en VN-verband, alsmede in ad-hoc coalities</w:t>
      </w:r>
      <w:r w:rsidRPr="003036AA" w:rsidDel="00B602BC">
        <w:t xml:space="preserve">. </w:t>
      </w:r>
      <w:r>
        <w:t>D</w:t>
      </w:r>
      <w:r w:rsidRPr="000D539A">
        <w:t>e aanwezigheid van een missie en daarmee de internationale presentie</w:t>
      </w:r>
      <w:r>
        <w:t xml:space="preserve">, levert veelal </w:t>
      </w:r>
      <w:r w:rsidRPr="000D539A">
        <w:t xml:space="preserve">een belangrijke </w:t>
      </w:r>
      <w:r>
        <w:t>bijdrage aan</w:t>
      </w:r>
      <w:r w:rsidRPr="000D539A">
        <w:t xml:space="preserve"> </w:t>
      </w:r>
      <w:r>
        <w:t xml:space="preserve">de regionale </w:t>
      </w:r>
      <w:r w:rsidRPr="000D539A">
        <w:t>veiligheid en stabiliteit</w:t>
      </w:r>
      <w:r>
        <w:t>. Dit kan ook een positieve impact hebben op de interne veiligheid van Europa en Nederland</w:t>
      </w:r>
      <w:r w:rsidRPr="000D539A">
        <w:t xml:space="preserve">. Door hoogwaardige personele </w:t>
      </w:r>
      <w:r>
        <w:t>deelname</w:t>
      </w:r>
      <w:r w:rsidRPr="000D539A">
        <w:t xml:space="preserve"> lever</w:t>
      </w:r>
      <w:r>
        <w:t xml:space="preserve">t </w:t>
      </w:r>
      <w:r w:rsidRPr="000D539A">
        <w:t xml:space="preserve">Nederland </w:t>
      </w:r>
      <w:r>
        <w:t xml:space="preserve">een bijdrage </w:t>
      </w:r>
      <w:r w:rsidRPr="000D539A">
        <w:t xml:space="preserve">aan het behalen van de </w:t>
      </w:r>
      <w:r>
        <w:t>missie</w:t>
      </w:r>
      <w:r w:rsidRPr="000D539A">
        <w:t>doelstellingen</w:t>
      </w:r>
      <w:r>
        <w:t>, en levert de in omvang bescheiden inzet een concrete bijdrage aan het beschermen van Nederlandse belangen</w:t>
      </w:r>
      <w:r w:rsidRPr="00DE4306">
        <w:t>: het veilig houden van Nederland en Europa, ook via de bestrijding van grensoverschrijdende criminaliteit, de bescherming van economische belangen en het tegengaan van irreguliere migratie</w:t>
      </w:r>
      <w:r w:rsidRPr="000D539A">
        <w:t>. Ook</w:t>
      </w:r>
      <w:r>
        <w:t xml:space="preserve"> dragen de Nederlandse bijdragen bij aan een betere informatiepositie </w:t>
      </w:r>
      <w:r w:rsidRPr="000D539A">
        <w:t xml:space="preserve">en </w:t>
      </w:r>
      <w:r>
        <w:t xml:space="preserve">het bevorderen </w:t>
      </w:r>
      <w:r>
        <w:lastRenderedPageBreak/>
        <w:t>van</w:t>
      </w:r>
      <w:r w:rsidRPr="000D539A">
        <w:t xml:space="preserve"> internationale samenwerking</w:t>
      </w:r>
      <w:r>
        <w:t xml:space="preserve">. Met deze inzet neemt Nederland zijn verantwoordelijkheid om naar vermogen bij te dragen. </w:t>
      </w:r>
    </w:p>
    <w:p w:rsidRPr="003E1F1E" w:rsidR="00CF7286" w:rsidP="00CF7286" w:rsidRDefault="00CF7286">
      <w:pPr>
        <w:spacing w:line="276" w:lineRule="auto"/>
        <w:jc w:val="both"/>
      </w:pPr>
    </w:p>
    <w:p w:rsidRPr="005A0628" w:rsidR="00CF7286" w:rsidP="00CF7286" w:rsidRDefault="00CF7286">
      <w:pPr>
        <w:jc w:val="both"/>
      </w:pPr>
      <w:r>
        <w:t xml:space="preserve">De context </w:t>
      </w:r>
      <w:r w:rsidRPr="005A0628">
        <w:t xml:space="preserve">waarbinnen missies en operaties plaatsvinden </w:t>
      </w:r>
      <w:r>
        <w:t xml:space="preserve">is </w:t>
      </w:r>
      <w:r w:rsidRPr="005A0628">
        <w:t>altijd complex en weerbarstig</w:t>
      </w:r>
      <w:r w:rsidRPr="581EF451">
        <w:t xml:space="preserve">. </w:t>
      </w:r>
      <w:r w:rsidRPr="005A0628">
        <w:t>Resultaten van inzet zijn sterk afhankelijk van de welwillendheid van regeringen en andere partners ter plaatse en de internationale coalitie waarin we opereren.</w:t>
      </w:r>
      <w:r w:rsidRPr="581EF451">
        <w:t xml:space="preserve"> </w:t>
      </w:r>
      <w:r w:rsidRPr="008C011A">
        <w:t xml:space="preserve">Nederland kan aan zo’n internationale coalitie (een NAVO-, EU- of VN-missie of een </w:t>
      </w:r>
      <w:r w:rsidRPr="581EF451">
        <w:rPr>
          <w:i/>
          <w:iCs/>
        </w:rPr>
        <w:t>coalition of the willing</w:t>
      </w:r>
      <w:r w:rsidRPr="008C011A">
        <w:t>) een waardevolle bijdrage leveren, maar qua omvang is die relatief gezien doorgaans bescheid</w:t>
      </w:r>
      <w:r>
        <w:t>en</w:t>
      </w:r>
      <w:r w:rsidRPr="581EF451">
        <w:t>.</w:t>
      </w:r>
    </w:p>
    <w:p w:rsidRPr="005A0628" w:rsidR="00CF7286" w:rsidP="00CF7286" w:rsidRDefault="00CF7286">
      <w:pPr>
        <w:spacing w:line="276" w:lineRule="auto"/>
        <w:jc w:val="both"/>
      </w:pPr>
    </w:p>
    <w:p w:rsidR="00CF7286" w:rsidP="00CF7286" w:rsidRDefault="00CF7286">
      <w:pPr>
        <w:jc w:val="both"/>
      </w:pPr>
      <w:r w:rsidRPr="005A0628">
        <w:t>Deze brief geeft een overzicht van de Nederlandse bijdragen</w:t>
      </w:r>
      <w:r>
        <w:t xml:space="preserve"> in de periode mei 2025 tot en met april 2026, ingedeeld in regio’s</w:t>
      </w:r>
      <w:r w:rsidRPr="005A0628">
        <w:t xml:space="preserve">. </w:t>
      </w:r>
      <w:r w:rsidR="001C00DE">
        <w:t>In totaal zijn</w:t>
      </w:r>
      <w:r w:rsidRPr="005A0628">
        <w:t xml:space="preserve"> </w:t>
      </w:r>
      <w:r>
        <w:t>in deze rapportageperiode</w:t>
      </w:r>
      <w:r w:rsidRPr="00985FFC">
        <w:t xml:space="preserve"> 4</w:t>
      </w:r>
      <w:r>
        <w:t>.</w:t>
      </w:r>
      <w:r w:rsidRPr="00985FFC">
        <w:t>126 Nederlandse</w:t>
      </w:r>
      <w:r w:rsidRPr="005A0628">
        <w:t xml:space="preserve"> militairen, civiele experts en politiefunctionarissen ingezet in internationale missies</w:t>
      </w:r>
      <w:r w:rsidRPr="00E01510">
        <w:t xml:space="preserve"> en operaties.</w:t>
      </w:r>
      <w:r w:rsidRPr="00E01510">
        <w:rPr>
          <w:rStyle w:val="FootnoteReference"/>
          <w:rFonts w:ascii="Verdana" w:hAnsi="Verdana"/>
          <w:sz w:val="18"/>
          <w:szCs w:val="18"/>
        </w:rPr>
        <w:footnoteReference w:id="3"/>
      </w:r>
      <w:r>
        <w:t xml:space="preserve"> </w:t>
      </w:r>
    </w:p>
    <w:p w:rsidR="00CF7286" w:rsidP="00CF7286" w:rsidRDefault="00CF7286">
      <w:pPr>
        <w:spacing w:line="276" w:lineRule="auto"/>
        <w:jc w:val="both"/>
      </w:pPr>
    </w:p>
    <w:p w:rsidRPr="00655424" w:rsidR="00CF7286" w:rsidP="00CF7286" w:rsidRDefault="00CF7286">
      <w:pPr>
        <w:pStyle w:val="Heading2"/>
        <w:numPr>
          <w:ilvl w:val="1"/>
          <w:numId w:val="16"/>
        </w:numPr>
        <w:spacing w:line="276" w:lineRule="auto"/>
        <w:jc w:val="both"/>
      </w:pPr>
      <w:bookmarkStart w:name="_Toc193363084" w:id="47"/>
      <w:bookmarkStart w:name="_Toc193365847" w:id="48"/>
      <w:bookmarkStart w:name="_Toc193981057" w:id="49"/>
      <w:bookmarkStart w:name="_Toc193984054" w:id="50"/>
      <w:bookmarkStart w:name="_Toc227756565" w:id="51"/>
      <w:r>
        <w:t>Europa</w:t>
      </w:r>
      <w:bookmarkEnd w:id="47"/>
      <w:bookmarkEnd w:id="48"/>
      <w:bookmarkEnd w:id="49"/>
      <w:bookmarkEnd w:id="50"/>
      <w:bookmarkEnd w:id="51"/>
    </w:p>
    <w:p w:rsidR="00CF7286" w:rsidP="00CF7286" w:rsidRDefault="00CF7286">
      <w:pPr>
        <w:spacing w:line="276" w:lineRule="auto"/>
        <w:jc w:val="both"/>
        <w:rPr>
          <w:u w:val="single"/>
        </w:rPr>
      </w:pPr>
    </w:p>
    <w:p w:rsidR="00CF7286" w:rsidP="00CF7286" w:rsidRDefault="00CF7286">
      <w:pPr>
        <w:spacing w:line="276" w:lineRule="auto"/>
        <w:jc w:val="both"/>
        <w:rPr>
          <w:u w:val="single"/>
        </w:rPr>
      </w:pPr>
      <w:r w:rsidRPr="00802C2B">
        <w:rPr>
          <w:u w:val="single"/>
        </w:rPr>
        <w:t>Rationale en samenhang Nederlandse bijdrage</w:t>
      </w:r>
    </w:p>
    <w:p w:rsidRPr="00455E2F" w:rsidR="00CF7286" w:rsidP="00CF7286" w:rsidRDefault="00CF7286">
      <w:pPr>
        <w:spacing w:line="276" w:lineRule="auto"/>
        <w:jc w:val="both"/>
      </w:pPr>
      <w:r w:rsidRPr="00D5770C">
        <w:t xml:space="preserve">Gegeven de geografische nabijheid hebben Nederland en de EU </w:t>
      </w:r>
      <w:r>
        <w:t>er</w:t>
      </w:r>
      <w:r w:rsidRPr="00D5770C">
        <w:t xml:space="preserve"> direct belang </w:t>
      </w:r>
      <w:r>
        <w:t xml:space="preserve">bij </w:t>
      </w:r>
      <w:r w:rsidRPr="00D5770C">
        <w:t>om instabiliteit aan de grenzen van de EU te voorkomen</w:t>
      </w:r>
      <w:r w:rsidR="006D0E90">
        <w:t xml:space="preserve"> dan wel te beperken</w:t>
      </w:r>
      <w:r w:rsidRPr="00D5770C">
        <w:t xml:space="preserve">. De stabiliteit in de Westelijke Balkan staat nog altijd onder druk. Het belang van stabiliteit in deze regio is met de Russische oorlog in Oekraïne alleen maar toegenomen. </w:t>
      </w:r>
      <w:r>
        <w:t>S</w:t>
      </w:r>
      <w:r w:rsidRPr="00D5770C">
        <w:t>tabiliteit is tevens</w:t>
      </w:r>
      <w:r>
        <w:t xml:space="preserve"> </w:t>
      </w:r>
      <w:r w:rsidRPr="00D5770C">
        <w:t>noodzakelijk</w:t>
      </w:r>
      <w:r w:rsidR="006D0E90">
        <w:t xml:space="preserve"> effectief te kunnen</w:t>
      </w:r>
      <w:r>
        <w:t xml:space="preserve"> reageren op</w:t>
      </w:r>
      <w:r w:rsidRPr="00D5770C">
        <w:t xml:space="preserve"> georganiseerde criminaliteit en</w:t>
      </w:r>
      <w:r w:rsidR="006D0E90">
        <w:t xml:space="preserve"> een fenomeen als</w:t>
      </w:r>
      <w:r w:rsidRPr="00D5770C">
        <w:t xml:space="preserve"> asiel en migratie. </w:t>
      </w:r>
      <w:r>
        <w:t>Onderstaande paragrafen gaan in op</w:t>
      </w:r>
      <w:r w:rsidRPr="001D251E">
        <w:t xml:space="preserve"> de militaire bijdrage aan de NAVO-missie in Kosovo (KFOR)</w:t>
      </w:r>
      <w:r>
        <w:t>.</w:t>
      </w:r>
      <w:r w:rsidRPr="00D5770C">
        <w:t xml:space="preserve"> De Voortgangsrapportage EUFOR Althea die gelijktijdig met deze brief aan uw Kamer wordt aangeboden, gaat nader in op de bredere Nederlandse veiligheidsbelangen en inzet op de Westelijke Balkan</w:t>
      </w:r>
      <w:r>
        <w:t>, met name in Bosnië en Herzegovina.</w:t>
      </w:r>
    </w:p>
    <w:p w:rsidRPr="00802C2B" w:rsidR="00CF7286" w:rsidP="00CF7286" w:rsidRDefault="00CF7286">
      <w:pPr>
        <w:spacing w:line="276" w:lineRule="auto"/>
        <w:jc w:val="both"/>
      </w:pPr>
    </w:p>
    <w:p w:rsidRPr="00B91F71" w:rsidR="00CF7286" w:rsidP="00CF7286" w:rsidRDefault="00CF7286">
      <w:pPr>
        <w:pStyle w:val="Heading3"/>
        <w:numPr>
          <w:ilvl w:val="2"/>
          <w:numId w:val="16"/>
        </w:numPr>
        <w:jc w:val="both"/>
      </w:pPr>
      <w:bookmarkStart w:name="_Toc193363085" w:id="52"/>
      <w:bookmarkStart w:name="_Toc193365848" w:id="53"/>
      <w:bookmarkStart w:name="_Toc193981058" w:id="54"/>
      <w:bookmarkStart w:name="_Toc193984055" w:id="55"/>
      <w:bookmarkStart w:name="_Toc227756566" w:id="56"/>
      <w:r w:rsidRPr="00B91F71">
        <w:t>KFOR</w:t>
      </w:r>
      <w:bookmarkEnd w:id="52"/>
      <w:bookmarkEnd w:id="53"/>
      <w:bookmarkEnd w:id="54"/>
      <w:bookmarkEnd w:id="55"/>
      <w:bookmarkEnd w:id="56"/>
      <w:r w:rsidRPr="00B91F71">
        <w:t xml:space="preserve"> </w:t>
      </w:r>
    </w:p>
    <w:p w:rsidR="00CF7286" w:rsidP="00CF7286" w:rsidRDefault="00CF7286">
      <w:pPr>
        <w:spacing w:line="276" w:lineRule="auto"/>
        <w:jc w:val="both"/>
        <w:rPr>
          <w:u w:val="single"/>
        </w:rPr>
      </w:pPr>
    </w:p>
    <w:p w:rsidR="00CF7286" w:rsidP="00CF7286" w:rsidRDefault="00CF7286">
      <w:pPr>
        <w:spacing w:line="276" w:lineRule="auto"/>
        <w:jc w:val="both"/>
        <w:rPr>
          <w:u w:val="single"/>
        </w:rPr>
      </w:pPr>
      <w:r>
        <w:rPr>
          <w:u w:val="single"/>
        </w:rPr>
        <w:t>Over de missie</w:t>
      </w:r>
    </w:p>
    <w:p w:rsidR="00CF7286" w:rsidP="00CF7286" w:rsidRDefault="00CF7286">
      <w:pPr>
        <w:spacing w:line="276" w:lineRule="auto"/>
        <w:jc w:val="both"/>
      </w:pPr>
      <w:r w:rsidRPr="6563E0BD">
        <w:t>De NAVO-missie Kosovo Force (KFOR</w:t>
      </w:r>
      <w:r w:rsidRPr="00D37E98">
        <w:t xml:space="preserve">) </w:t>
      </w:r>
      <w:r>
        <w:t>is onder VNVR-resolutie 1244 (199) gemandateerd om te zorgen</w:t>
      </w:r>
      <w:r w:rsidRPr="00D37E98">
        <w:t xml:space="preserve"> voor een </w:t>
      </w:r>
      <w:r w:rsidRPr="001D251E">
        <w:rPr>
          <w:i/>
          <w:iCs/>
        </w:rPr>
        <w:t xml:space="preserve">Safe and Secure Environment </w:t>
      </w:r>
      <w:r w:rsidRPr="00633398">
        <w:t xml:space="preserve">(SASE). Daarnaast waarborgt KFOR de bewegingsvrijheid van </w:t>
      </w:r>
      <w:r w:rsidRPr="001F0EF2">
        <w:t xml:space="preserve">de EU </w:t>
      </w:r>
      <w:r w:rsidRPr="001F0EF2">
        <w:rPr>
          <w:i/>
          <w:iCs/>
        </w:rPr>
        <w:t>Rule of Law</w:t>
      </w:r>
      <w:r w:rsidRPr="001F0EF2">
        <w:t xml:space="preserve"> missie EULEX</w:t>
      </w:r>
      <w:r w:rsidRPr="00633398">
        <w:t xml:space="preserve"> en andere internationale or</w:t>
      </w:r>
      <w:r w:rsidRPr="00B72603">
        <w:t xml:space="preserve">ganisaties. KFOR </w:t>
      </w:r>
      <w:r>
        <w:t>heeft</w:t>
      </w:r>
      <w:r w:rsidRPr="00B72603">
        <w:t xml:space="preserve"> </w:t>
      </w:r>
      <w:r>
        <w:t>samen met</w:t>
      </w:r>
      <w:r w:rsidRPr="00B72603">
        <w:t xml:space="preserve"> de Kosovaarse politie en </w:t>
      </w:r>
      <w:r w:rsidRPr="001D251E">
        <w:t xml:space="preserve">EULEX </w:t>
      </w:r>
      <w:r>
        <w:t>een belangrijke verantwoordelijkheid voor het waarborgen van de veiligheid</w:t>
      </w:r>
      <w:r w:rsidRPr="001D251E">
        <w:t xml:space="preserve"> in Kosovo.</w:t>
      </w:r>
    </w:p>
    <w:p w:rsidR="00CF7286" w:rsidP="00CF7286" w:rsidRDefault="00CF7286">
      <w:pPr>
        <w:spacing w:line="276" w:lineRule="auto"/>
        <w:jc w:val="both"/>
        <w:rPr>
          <w:i/>
        </w:rPr>
      </w:pPr>
    </w:p>
    <w:p w:rsidRPr="0072564D" w:rsidR="00CF7286" w:rsidP="00CF7286" w:rsidRDefault="00CF7286">
      <w:pPr>
        <w:spacing w:line="276" w:lineRule="auto"/>
        <w:jc w:val="both"/>
        <w:rPr>
          <w:color w:val="000000"/>
        </w:rPr>
      </w:pPr>
      <w:r w:rsidRPr="0072564D">
        <w:rPr>
          <w:u w:val="single"/>
        </w:rPr>
        <w:t>Voor de missie relevante ontwikkelingen</w:t>
      </w:r>
    </w:p>
    <w:p w:rsidR="00CF7286" w:rsidP="00CF7286" w:rsidRDefault="00CF7286">
      <w:pPr>
        <w:spacing w:line="276" w:lineRule="auto"/>
        <w:jc w:val="both"/>
      </w:pPr>
      <w:r>
        <w:t xml:space="preserve">De rapportageperiode kenmerkte zich door spanningen in aanloop naar lokale verkiezingen in Kosovo in oktober 2025. Premier Kurti voerde een aantal maatregelen door dat tot spanningen en onvrede leidde onder de Servisch-Kosovaarse minderheid zoals de sluiting van Servisch-geleide parallelle instituties in Noord Kosovo en de bouw van twee bruggen op gevoelige locaties in Mitrovica. Dit had ook een ondermijnend effect op de geloofwaardigheid van KFOR’s rol, gezien de permanente stationering op een reeds bestaande brug in de stad. Desalniettemin vonden er rondom de lokale verkiezingen geen veiligheidsincidenten plaats, in tegenstelling tot die van 2023. De voortdurende politieke impasse in Kosovo om een nationale regeringscoalitie te vormen, en grootschalige protesten in buurland Servië, hebben mogelijk een de-escalerend effect gehad op de veiligheidssituatie in Noord-Kosovo. Tegelijkertijd hebben binnenlandspolitieke </w:t>
      </w:r>
      <w:r>
        <w:lastRenderedPageBreak/>
        <w:t xml:space="preserve">ontwikkelingen in beide landen tot weinig politieke wil geleid om de door de EU-geleide dialoog voor de normalisering van relaties te hervatten, wat essentieel is voor de Europese toekomst van beide landen. </w:t>
      </w:r>
    </w:p>
    <w:p w:rsidR="00CF7286" w:rsidP="00CF7286" w:rsidRDefault="00CF7286">
      <w:pPr>
        <w:spacing w:line="276" w:lineRule="auto"/>
        <w:jc w:val="both"/>
        <w:rPr>
          <w:szCs w:val="18"/>
          <w:lang w:eastAsia="en-US"/>
        </w:rPr>
      </w:pPr>
    </w:p>
    <w:p w:rsidRPr="00E63324" w:rsidR="00CF7286" w:rsidP="00CF7286" w:rsidRDefault="00CF7286">
      <w:pPr>
        <w:spacing w:line="276" w:lineRule="auto"/>
        <w:jc w:val="both"/>
        <w:rPr>
          <w:u w:val="single"/>
        </w:rPr>
      </w:pPr>
      <w:r w:rsidRPr="00E63324">
        <w:rPr>
          <w:u w:val="single"/>
        </w:rPr>
        <w:t>Militaire bijdrage</w:t>
      </w:r>
    </w:p>
    <w:p w:rsidRPr="004A0714" w:rsidR="00CF7286" w:rsidP="00CF7286" w:rsidRDefault="00CF7286">
      <w:pPr>
        <w:spacing w:line="276" w:lineRule="auto"/>
        <w:jc w:val="both"/>
      </w:pPr>
      <w:r w:rsidRPr="004A0714">
        <w:t>Nederland leverde van april 2025 tot en met april 2026 een</w:t>
      </w:r>
      <w:r>
        <w:t xml:space="preserve"> analist aan </w:t>
      </w:r>
      <w:r w:rsidRPr="004A0714">
        <w:t>KFOR.</w:t>
      </w:r>
      <w:r w:rsidRPr="0074739C">
        <w:t xml:space="preserve"> </w:t>
      </w:r>
      <w:r w:rsidRPr="004A0714">
        <w:t xml:space="preserve">De analist maakte onderdeel uit van een inlichtingeneenheid die gezamenlijk door de BENELUX aan KFOR ter beschikking was gesteld. Deze eenheid had als taak het vergroten van de </w:t>
      </w:r>
      <w:r w:rsidRPr="004A0714">
        <w:rPr>
          <w:i/>
          <w:iCs/>
        </w:rPr>
        <w:t>situational awareness</w:t>
      </w:r>
      <w:r w:rsidRPr="004A0714">
        <w:t xml:space="preserve"> en de </w:t>
      </w:r>
      <w:r>
        <w:t>informatiepositie</w:t>
      </w:r>
      <w:r w:rsidRPr="004A0714">
        <w:t xml:space="preserve"> van zowel het Joint Operations Centre als de eenheden op de grond, en droeg daarmee bij aan stabiliteit in Kosovo. De Commandant van KFOR heeft in bilaterale gesprekken met Nederland zijn waardering geuit voor het leveren van een dergelijke niche-capaciteit, waarmee KFOR gerichter en effectiever militairen heeft kunnen inzetten. De inzet </w:t>
      </w:r>
      <w:r>
        <w:t xml:space="preserve">versterkte de Nederlandse informatiepositie binnen de missie en </w:t>
      </w:r>
      <w:r w:rsidRPr="004A0714">
        <w:t>heeft de Nederlandse krijgsmacht tevens mogelijkheden geboden om operationele ervaring op te doen</w:t>
      </w:r>
      <w:r>
        <w:t>.</w:t>
      </w:r>
      <w:r w:rsidRPr="004A0714">
        <w:t xml:space="preserve"> De bijdrage is recent conform planning beëindigd. Een verlenging van de inzet was niet mogelijk, vanwege alternatieve inzet van de capaciteiten.</w:t>
      </w:r>
    </w:p>
    <w:p w:rsidRPr="00422292" w:rsidR="00CF7286" w:rsidP="00CF7286" w:rsidRDefault="00CF7286">
      <w:pPr>
        <w:spacing w:line="276" w:lineRule="auto"/>
        <w:jc w:val="both"/>
      </w:pPr>
    </w:p>
    <w:p w:rsidRPr="00655424" w:rsidR="00CF7286" w:rsidP="00CF7286" w:rsidRDefault="00CF7286">
      <w:pPr>
        <w:pStyle w:val="Heading2"/>
        <w:numPr>
          <w:ilvl w:val="1"/>
          <w:numId w:val="16"/>
        </w:numPr>
        <w:spacing w:line="276" w:lineRule="auto"/>
        <w:jc w:val="both"/>
      </w:pPr>
      <w:bookmarkStart w:name="_Toc399256403" w:id="57"/>
      <w:bookmarkStart w:name="_Toc399258219" w:id="58"/>
      <w:bookmarkStart w:name="_Toc399258915" w:id="59"/>
      <w:bookmarkStart w:name="_Toc399259141" w:id="60"/>
      <w:bookmarkStart w:name="_Toc399256404" w:id="61"/>
      <w:bookmarkStart w:name="_Toc399258220" w:id="62"/>
      <w:bookmarkStart w:name="_Toc399258916" w:id="63"/>
      <w:bookmarkStart w:name="_Toc399259142" w:id="64"/>
      <w:bookmarkStart w:name="_Toc164845355" w:id="65"/>
      <w:bookmarkStart w:name="_Toc193363086" w:id="66"/>
      <w:bookmarkStart w:name="_Toc193365849" w:id="67"/>
      <w:bookmarkStart w:name="_Toc193981059" w:id="68"/>
      <w:bookmarkStart w:name="_Toc193984056" w:id="69"/>
      <w:bookmarkStart w:name="_Toc227756567" w:id="70"/>
      <w:bookmarkEnd w:id="57"/>
      <w:bookmarkEnd w:id="58"/>
      <w:bookmarkEnd w:id="59"/>
      <w:bookmarkEnd w:id="60"/>
      <w:bookmarkEnd w:id="61"/>
      <w:bookmarkEnd w:id="62"/>
      <w:bookmarkEnd w:id="63"/>
      <w:bookmarkEnd w:id="64"/>
      <w:r>
        <w:t>Midden-Oosten</w:t>
      </w:r>
      <w:bookmarkEnd w:id="65"/>
      <w:bookmarkEnd w:id="66"/>
      <w:bookmarkEnd w:id="67"/>
      <w:bookmarkEnd w:id="68"/>
      <w:bookmarkEnd w:id="69"/>
      <w:bookmarkEnd w:id="70"/>
    </w:p>
    <w:p w:rsidR="00CF7286" w:rsidP="00CF7286" w:rsidRDefault="00CF7286">
      <w:pPr>
        <w:spacing w:line="276" w:lineRule="auto"/>
        <w:jc w:val="both"/>
        <w:rPr>
          <w:u w:val="single"/>
        </w:rPr>
      </w:pPr>
      <w:bookmarkStart w:name="_Toc508610638" w:id="71"/>
      <w:bookmarkStart w:name="_Toc508615902" w:id="72"/>
      <w:bookmarkStart w:name="_Toc508610639" w:id="73"/>
      <w:bookmarkStart w:name="_Toc508615903" w:id="74"/>
      <w:bookmarkStart w:name="_Toc472338862" w:id="75"/>
      <w:bookmarkStart w:name="_Toc472338909" w:id="76"/>
      <w:bookmarkStart w:name="_Toc472338956" w:id="77"/>
      <w:bookmarkStart w:name="_Toc472339003" w:id="78"/>
      <w:bookmarkStart w:name="_Toc472339052" w:id="79"/>
      <w:bookmarkStart w:name="_Toc472339128" w:id="80"/>
      <w:bookmarkStart w:name="_Toc472339279" w:id="81"/>
      <w:bookmarkStart w:name="_Toc472339324" w:id="82"/>
      <w:bookmarkStart w:name="_Toc472339370" w:id="83"/>
      <w:bookmarkStart w:name="_Toc472339414" w:id="84"/>
      <w:bookmarkStart w:name="_Toc472340171" w:id="85"/>
      <w:bookmarkStart w:name="_Toc472340216" w:id="86"/>
      <w:bookmarkStart w:name="_Toc472408226" w:id="87"/>
      <w:bookmarkStart w:name="_Toc472513094" w:id="88"/>
      <w:bookmarkStart w:name="_Toc472518330" w:id="89"/>
      <w:bookmarkStart w:name="_Toc472338863" w:id="90"/>
      <w:bookmarkStart w:name="_Toc472338910" w:id="91"/>
      <w:bookmarkStart w:name="_Toc472338957" w:id="92"/>
      <w:bookmarkStart w:name="_Toc472339004" w:id="93"/>
      <w:bookmarkStart w:name="_Toc472339053" w:id="94"/>
      <w:bookmarkStart w:name="_Toc472339129" w:id="95"/>
      <w:bookmarkStart w:name="_Toc472339280" w:id="96"/>
      <w:bookmarkStart w:name="_Toc472339325" w:id="97"/>
      <w:bookmarkStart w:name="_Toc472339371" w:id="98"/>
      <w:bookmarkStart w:name="_Toc472339415" w:id="99"/>
      <w:bookmarkStart w:name="_Toc472340172" w:id="100"/>
      <w:bookmarkStart w:name="_Toc472340217" w:id="101"/>
      <w:bookmarkStart w:name="_Toc472408227" w:id="102"/>
      <w:bookmarkStart w:name="_Toc472513095" w:id="103"/>
      <w:bookmarkStart w:name="_Toc472518331" w:id="104"/>
      <w:bookmarkStart w:name="_Toc472338864" w:id="105"/>
      <w:bookmarkStart w:name="_Toc472338911" w:id="106"/>
      <w:bookmarkStart w:name="_Toc472338958" w:id="107"/>
      <w:bookmarkStart w:name="_Toc472339005" w:id="108"/>
      <w:bookmarkStart w:name="_Toc472339054" w:id="109"/>
      <w:bookmarkStart w:name="_Toc472339130" w:id="110"/>
      <w:bookmarkStart w:name="_Toc472339281" w:id="111"/>
      <w:bookmarkStart w:name="_Toc472339326" w:id="112"/>
      <w:bookmarkStart w:name="_Toc472339372" w:id="113"/>
      <w:bookmarkStart w:name="_Toc472339416" w:id="114"/>
      <w:bookmarkStart w:name="_Toc472340173" w:id="115"/>
      <w:bookmarkStart w:name="_Toc472340218" w:id="116"/>
      <w:bookmarkStart w:name="_Toc472408228" w:id="117"/>
      <w:bookmarkStart w:name="_Toc472513096" w:id="118"/>
      <w:bookmarkStart w:name="_Toc472518332" w:id="119"/>
      <w:bookmarkStart w:name="_Toc472339283" w:id="120"/>
      <w:bookmarkStart w:name="_Toc472339328" w:id="121"/>
      <w:bookmarkStart w:name="_Toc472339374" w:id="122"/>
      <w:bookmarkStart w:name="_Toc472339418" w:id="123"/>
      <w:bookmarkStart w:name="_Toc472340175" w:id="124"/>
      <w:bookmarkStart w:name="_Toc472340220" w:id="125"/>
      <w:bookmarkStart w:name="_Toc472408230" w:id="126"/>
      <w:bookmarkStart w:name="_Toc472513098" w:id="127"/>
      <w:bookmarkStart w:name="_Toc472518334" w:id="128"/>
      <w:bookmarkStart w:name="_Toc480899035" w:id="129"/>
      <w:bookmarkStart w:name="_Toc503443768" w:id="130"/>
      <w:bookmarkStart w:name="_Toc511138773" w:id="131"/>
      <w:bookmarkStart w:name="_Toc535402215" w:id="132"/>
      <w:bookmarkStart w:name="_Toc4142685" w:id="133"/>
      <w:bookmarkStart w:name="_Toc37161706" w:id="134"/>
      <w:bookmarkStart w:name="_Toc38961417" w:id="135"/>
      <w:bookmarkStart w:name="_Toc69976528" w:id="136"/>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Pr="000867E9" w:rsidR="00CF7286" w:rsidP="00CF7286" w:rsidRDefault="00CF7286">
      <w:pPr>
        <w:spacing w:line="276" w:lineRule="auto"/>
        <w:jc w:val="both"/>
        <w:rPr>
          <w:u w:val="single"/>
        </w:rPr>
      </w:pPr>
      <w:r w:rsidRPr="000867E9">
        <w:rPr>
          <w:u w:val="single"/>
        </w:rPr>
        <w:t xml:space="preserve">Rationale en samenhang Nederlandse bijdragen </w:t>
      </w:r>
    </w:p>
    <w:p w:rsidR="00CF7286" w:rsidP="00CF7286" w:rsidRDefault="00CF7286">
      <w:pPr>
        <w:spacing w:line="276" w:lineRule="auto"/>
        <w:jc w:val="both"/>
        <w:rPr>
          <w:szCs w:val="18"/>
        </w:rPr>
      </w:pPr>
      <w:r w:rsidRPr="00980BCC">
        <w:t>Stabiliteit in het Midden-Oosten is een direct Nederlands belang.</w:t>
      </w:r>
      <w:r>
        <w:t xml:space="preserve"> </w:t>
      </w:r>
      <w:r w:rsidRPr="2BE78F5C">
        <w:t>De stabiliteit</w:t>
      </w:r>
      <w:r w:rsidRPr="00D37E98">
        <w:t>, rechtsorde en humanitaire situatie in de Levant staa</w:t>
      </w:r>
      <w:r w:rsidRPr="00633398">
        <w:t>n</w:t>
      </w:r>
      <w:r w:rsidRPr="00633398" w:rsidDel="00922C6A">
        <w:t xml:space="preserve"> </w:t>
      </w:r>
      <w:r w:rsidRPr="00B72603">
        <w:t>ernstig onder druk door zowel interne als externe dreigingen</w:t>
      </w:r>
      <w:r w:rsidRPr="001D251E">
        <w:t xml:space="preserve">, vooral gelet op de recente ontwikkelingen. (Hernieuwd) </w:t>
      </w:r>
      <w:r w:rsidRPr="008E66DB">
        <w:t>oplaaiend geweld, d</w:t>
      </w:r>
      <w:r w:rsidRPr="00802B6E">
        <w:t>e toestro</w:t>
      </w:r>
      <w:r w:rsidRPr="00D20680">
        <w:t xml:space="preserve">om en opvang van vluchtelingen </w:t>
      </w:r>
      <w:r w:rsidRPr="00CC129A">
        <w:t xml:space="preserve">en de aanwezigheid van terroristische groepen leggen druk op lokale </w:t>
      </w:r>
      <w:r w:rsidRPr="00284FC7">
        <w:t xml:space="preserve">veiligheidssectoren. </w:t>
      </w:r>
      <w:r w:rsidRPr="00DD5379">
        <w:t>Daarnaast oefenen (extra-) regionale actoren zoals de VS</w:t>
      </w:r>
      <w:r w:rsidRPr="00C77893">
        <w:t xml:space="preserve"> </w:t>
      </w:r>
      <w:r w:rsidRPr="00E73607">
        <w:t>en Iran, en China en Rusland in mindere mate, invloed uit op de regio.</w:t>
      </w:r>
      <w:r w:rsidRPr="61C89204">
        <w:t xml:space="preserve"> </w:t>
      </w:r>
    </w:p>
    <w:p w:rsidR="00CF7286" w:rsidP="00CF7286" w:rsidRDefault="00CF7286">
      <w:pPr>
        <w:spacing w:line="276" w:lineRule="auto"/>
        <w:jc w:val="both"/>
        <w:rPr>
          <w:szCs w:val="18"/>
        </w:rPr>
      </w:pPr>
    </w:p>
    <w:p w:rsidR="00CF7286" w:rsidP="00CF7286" w:rsidRDefault="00CF7286">
      <w:pPr>
        <w:spacing w:line="276" w:lineRule="auto"/>
        <w:jc w:val="both"/>
      </w:pPr>
      <w:r w:rsidRPr="2BE78F5C">
        <w:t>Paragra</w:t>
      </w:r>
      <w:r w:rsidRPr="00D37E98">
        <w:t>af 2.3.7-9 gaat nader in op de bredere Nederlandse veiligheidsbelangen en inzet in Irak.</w:t>
      </w:r>
      <w:r w:rsidRPr="61C89204">
        <w:t xml:space="preserve"> </w:t>
      </w:r>
      <w:r w:rsidRPr="003036AA">
        <w:t xml:space="preserve">De </w:t>
      </w:r>
      <w:r w:rsidRPr="004D16B1">
        <w:t>Nederlandse veiligheidsinzet blijft in deze context primair gericht op de-escalatie van spanningen in de regio en het bevorderen van stabiliteit en sluit nauw aan bij de diplomatieke, humanitaire en ontwikkelingsinspanningen</w:t>
      </w:r>
      <w:r w:rsidRPr="002B21D8">
        <w:t xml:space="preserve"> van Nederland. </w:t>
      </w:r>
      <w:r>
        <w:t xml:space="preserve">Nederland droeg deze rapportageperiode bij aan UNIFIL, UNTSO, OSC, NMI en OIR. </w:t>
      </w:r>
    </w:p>
    <w:p w:rsidR="00CF7286" w:rsidP="00CF7286" w:rsidRDefault="00CF7286">
      <w:pPr>
        <w:spacing w:line="276" w:lineRule="auto"/>
        <w:jc w:val="both"/>
        <w:rPr>
          <w:szCs w:val="18"/>
        </w:rPr>
      </w:pPr>
    </w:p>
    <w:p w:rsidRPr="00B91F71" w:rsidR="00CF7286" w:rsidP="00CF7286" w:rsidRDefault="00CF7286">
      <w:pPr>
        <w:pStyle w:val="Heading3"/>
        <w:numPr>
          <w:ilvl w:val="2"/>
          <w:numId w:val="16"/>
        </w:numPr>
        <w:jc w:val="both"/>
      </w:pPr>
      <w:bookmarkStart w:name="_Toc511138776" w:id="137"/>
      <w:bookmarkStart w:name="_Toc535402221" w:id="138"/>
      <w:bookmarkStart w:name="_Toc4142691" w:id="139"/>
      <w:bookmarkStart w:name="_Toc37161709" w:id="140"/>
      <w:bookmarkStart w:name="_Toc38961420" w:id="141"/>
      <w:bookmarkStart w:name="_Toc69976531" w:id="142"/>
      <w:bookmarkStart w:name="_Toc164845357" w:id="143"/>
      <w:bookmarkStart w:name="_Toc193981061" w:id="144"/>
      <w:bookmarkStart w:name="_Toc193984058" w:id="145"/>
      <w:bookmarkStart w:name="_Toc193363088" w:id="146"/>
      <w:bookmarkStart w:name="_Toc193365851" w:id="147"/>
      <w:bookmarkStart w:name="_Toc227756568" w:id="148"/>
      <w:bookmarkStart w:name="_Toc442703917" w:id="149"/>
      <w:bookmarkEnd w:id="132"/>
      <w:bookmarkEnd w:id="133"/>
      <w:bookmarkEnd w:id="134"/>
      <w:bookmarkEnd w:id="135"/>
      <w:bookmarkEnd w:id="136"/>
      <w:r w:rsidRPr="00B91F71">
        <w:t>UNIFIL (Libanon)</w:t>
      </w:r>
      <w:bookmarkEnd w:id="137"/>
      <w:bookmarkEnd w:id="138"/>
      <w:bookmarkEnd w:id="139"/>
      <w:bookmarkEnd w:id="140"/>
      <w:bookmarkEnd w:id="141"/>
      <w:bookmarkEnd w:id="142"/>
      <w:bookmarkEnd w:id="143"/>
      <w:bookmarkEnd w:id="144"/>
      <w:bookmarkEnd w:id="145"/>
      <w:bookmarkEnd w:id="146"/>
      <w:bookmarkEnd w:id="147"/>
      <w:bookmarkEnd w:id="148"/>
    </w:p>
    <w:p w:rsidRPr="00D3138C" w:rsidR="00CF7286" w:rsidP="00CF7286" w:rsidRDefault="00CF7286">
      <w:pPr>
        <w:spacing w:line="276" w:lineRule="auto"/>
        <w:jc w:val="both"/>
        <w:rPr>
          <w:color w:val="000000"/>
          <w:u w:val="single"/>
        </w:rPr>
      </w:pPr>
      <w:r w:rsidRPr="00D3138C">
        <w:rPr>
          <w:color w:val="000000"/>
          <w:u w:val="single"/>
        </w:rPr>
        <w:t xml:space="preserve">Over de missie </w:t>
      </w:r>
    </w:p>
    <w:p w:rsidRPr="00D3138C" w:rsidR="00CF7286" w:rsidP="00CF7286" w:rsidRDefault="00CF7286">
      <w:pPr>
        <w:spacing w:line="276" w:lineRule="auto"/>
        <w:jc w:val="both"/>
        <w:rPr>
          <w:color w:val="000000"/>
          <w:u w:val="single"/>
        </w:rPr>
      </w:pPr>
      <w:r w:rsidRPr="00946EB8">
        <w:t xml:space="preserve">De </w:t>
      </w:r>
      <w:r w:rsidRPr="0044320F">
        <w:rPr>
          <w:i/>
          <w:iCs/>
        </w:rPr>
        <w:t xml:space="preserve">United Nations Interim Force in Lebanon </w:t>
      </w:r>
      <w:r w:rsidRPr="00946EB8">
        <w:t xml:space="preserve">(UNIFIL) richt zich op </w:t>
      </w:r>
      <w:r>
        <w:t>het monitoren</w:t>
      </w:r>
      <w:r w:rsidRPr="00946EB8">
        <w:t xml:space="preserve"> van vijandelijkheden in het grensgebied tussen Israël en Libanon en het ondersteunen van de inzet van de </w:t>
      </w:r>
      <w:r w:rsidRPr="0044320F">
        <w:rPr>
          <w:i/>
          <w:iCs/>
        </w:rPr>
        <w:t>Lebanese Armed Forces</w:t>
      </w:r>
      <w:r w:rsidRPr="00946EB8">
        <w:t xml:space="preserve"> (LAF). </w:t>
      </w:r>
      <w:r w:rsidRPr="00655424">
        <w:rPr>
          <w:color w:val="000000"/>
        </w:rPr>
        <w:t>UNIFIL ondersteunt de LAF bij het herstellen van het gezag in Zuid-Libanon</w:t>
      </w:r>
      <w:r>
        <w:rPr>
          <w:color w:val="000000"/>
        </w:rPr>
        <w:t xml:space="preserve"> </w:t>
      </w:r>
      <w:r w:rsidRPr="005457A3">
        <w:rPr>
          <w:color w:val="000000"/>
        </w:rPr>
        <w:t>en het voorkomen van de aanwezigheid van ongeautoriseerd personeel en wapens in de zuidelijke grensregio</w:t>
      </w:r>
      <w:r w:rsidRPr="00655424">
        <w:rPr>
          <w:color w:val="000000"/>
        </w:rPr>
        <w:t>.</w:t>
      </w:r>
      <w:r>
        <w:rPr>
          <w:color w:val="000000"/>
        </w:rPr>
        <w:t xml:space="preserve"> De VN Veiligheidsraad heeft in augustus 2025 besloten het mandaat van UNIFIL voor een laatste keer te verlengen: tot 31 december 2026. Daarna zal UNIFIL zich binnen een jaar terugtrekken uit Libanon, in nauwe afstemming met de LAF.  </w:t>
      </w:r>
    </w:p>
    <w:p w:rsidR="00CF7286" w:rsidP="00CF7286" w:rsidRDefault="00CF7286">
      <w:pPr>
        <w:spacing w:line="276" w:lineRule="auto"/>
        <w:jc w:val="both"/>
        <w:rPr>
          <w:u w:val="single"/>
        </w:rPr>
      </w:pPr>
    </w:p>
    <w:p w:rsidRPr="00655424" w:rsidR="00CF7286" w:rsidP="00CF7286" w:rsidRDefault="00CF7286">
      <w:pPr>
        <w:spacing w:line="276" w:lineRule="auto"/>
        <w:jc w:val="both"/>
        <w:rPr>
          <w:color w:val="000000"/>
        </w:rPr>
      </w:pPr>
      <w:r w:rsidRPr="00655424">
        <w:rPr>
          <w:u w:val="single"/>
        </w:rPr>
        <w:t>Voor de missie relevante ontwikkelingen</w:t>
      </w:r>
    </w:p>
    <w:p w:rsidR="00CF7286" w:rsidP="00CF7286" w:rsidRDefault="00CF7286">
      <w:pPr>
        <w:spacing w:line="276" w:lineRule="auto"/>
        <w:jc w:val="both"/>
      </w:pPr>
      <w:r>
        <w:t>De rapportageperiode kenmerkte zich door een gespannen veiligheidssituatie, waardoor UNIFIL in wisselende mate</w:t>
      </w:r>
      <w:r w:rsidRPr="581EF451">
        <w:t xml:space="preserve"> </w:t>
      </w:r>
      <w:r>
        <w:t>werd</w:t>
      </w:r>
      <w:r w:rsidRPr="581EF451">
        <w:t xml:space="preserve"> </w:t>
      </w:r>
      <w:r>
        <w:t>belemmerd in het uitvoeren van haar rol van het observeren</w:t>
      </w:r>
      <w:r w:rsidRPr="581EF451">
        <w:t xml:space="preserve"> </w:t>
      </w:r>
      <w:r>
        <w:t>van schendingen en ondersteunen van de implementatie van VN Veiligheidsraad (VNVR)</w:t>
      </w:r>
      <w:r w:rsidRPr="581EF451">
        <w:t xml:space="preserve"> </w:t>
      </w:r>
      <w:r>
        <w:t>resolutie 1701. Het conflict tussen Israël en Hezbollah werd voor het grootste deel van de rapportageperiode gekenmerkt door een wankel bestand met veelvuldige schendingen door met name Israël, dat vijf permanente posities op Libanees grondgebied bezet</w:t>
      </w:r>
      <w:r w:rsidRPr="581EF451">
        <w:t>.</w:t>
      </w:r>
      <w:r>
        <w:t xml:space="preserve"> De LAF zijn de belangrijkste strategische partner van UNIFIL binnen </w:t>
      </w:r>
      <w:r>
        <w:lastRenderedPageBreak/>
        <w:t xml:space="preserve">Libanon en moeten een essentiële rol spelen in de stabilisatie van Zuid-Libanon. Tijdens het bestand richtte de LAF zich op het ontwapenen van Hezbollah in Zuid-Libanon.  In maart 2026 laaide het conflict opnieuw op: na aanvallen van Israël op Iran vuurde Hezbollah raketten af op Noord-Israël, waarop Israël reageerde met zware luchtaanvallen en een </w:t>
      </w:r>
      <w:r w:rsidR="006D0E90">
        <w:t xml:space="preserve">omvangrijk militair optreden </w:t>
      </w:r>
      <w:r>
        <w:t xml:space="preserve">op Libanees grondgebied. Meerdere </w:t>
      </w:r>
      <w:r w:rsidRPr="008C6BD9">
        <w:rPr>
          <w:i/>
        </w:rPr>
        <w:t>peacekeepers</w:t>
      </w:r>
      <w:r>
        <w:t xml:space="preserve"> raakten gewond </w:t>
      </w:r>
      <w:r w:rsidRPr="00BA6EB7">
        <w:t xml:space="preserve">en </w:t>
      </w:r>
      <w:r w:rsidRPr="00BA6EB7" w:rsidR="00BA6EB7">
        <w:t>zes</w:t>
      </w:r>
      <w:r w:rsidRPr="00BA6EB7">
        <w:t xml:space="preserve"> peacekeepers sneuvelden</w:t>
      </w:r>
      <w:r>
        <w:t xml:space="preserve"> door beschietingen en explosie</w:t>
      </w:r>
      <w:r w:rsidR="00BA6EB7">
        <w:t xml:space="preserve">s in en nabij UNIFIL-posities. </w:t>
      </w:r>
    </w:p>
    <w:p w:rsidR="00CF7286" w:rsidP="00CF7286" w:rsidRDefault="00CF7286">
      <w:pPr>
        <w:spacing w:line="276" w:lineRule="auto"/>
        <w:jc w:val="both"/>
      </w:pPr>
    </w:p>
    <w:p w:rsidRPr="00655424" w:rsidR="00CF7286" w:rsidP="00CF7286" w:rsidRDefault="00CF7286">
      <w:pPr>
        <w:spacing w:line="276" w:lineRule="auto"/>
        <w:jc w:val="both"/>
        <w:rPr>
          <w:u w:val="single"/>
        </w:rPr>
      </w:pPr>
      <w:r>
        <w:rPr>
          <w:u w:val="single"/>
        </w:rPr>
        <w:t>M</w:t>
      </w:r>
      <w:r w:rsidRPr="00655424">
        <w:rPr>
          <w:u w:val="single"/>
        </w:rPr>
        <w:t>ilitaire bijdrage</w:t>
      </w:r>
    </w:p>
    <w:p w:rsidR="00CF7286" w:rsidP="00CF7286" w:rsidRDefault="00FA59BB">
      <w:pPr>
        <w:jc w:val="both"/>
      </w:pPr>
      <w:r>
        <w:t>N</w:t>
      </w:r>
      <w:r w:rsidRPr="005D6102">
        <w:t>ederland leverde gedurende deze rapportageperiode permanent één militaire genderadviseur aan UNIFIL</w:t>
      </w:r>
      <w:r>
        <w:t xml:space="preserve">, waarbij in de periode november 2025 t/m maart 2026 geen genderadviseur aanwezig was. </w:t>
      </w:r>
      <w:r w:rsidRPr="003036AA" w:rsidR="00CF7286">
        <w:t>Gezien het belang van UNIFIL voor de implementatie van</w:t>
      </w:r>
      <w:r w:rsidR="00CF7286">
        <w:t xml:space="preserve"> VNVR-resolutie</w:t>
      </w:r>
      <w:r w:rsidRPr="003036AA" w:rsidR="00CF7286">
        <w:t xml:space="preserve"> 1701 </w:t>
      </w:r>
      <w:r w:rsidR="005B15BE">
        <w:t>heeft het kabinet UNIFIL doorlopend gesteund</w:t>
      </w:r>
      <w:r w:rsidRPr="007040F8" w:rsidR="00CF7286">
        <w:t>.</w:t>
      </w:r>
    </w:p>
    <w:p w:rsidR="00CF7286" w:rsidP="00CF7286" w:rsidRDefault="00CF7286">
      <w:pPr>
        <w:jc w:val="both"/>
      </w:pPr>
    </w:p>
    <w:p w:rsidR="00CF7286" w:rsidP="00CF7286" w:rsidRDefault="00CF7286">
      <w:pPr>
        <w:jc w:val="both"/>
      </w:pPr>
      <w:r w:rsidRPr="00480E1B">
        <w:t xml:space="preserve">De Nederlandse genderadviseur heeft een adviserende rol op het gebied van </w:t>
      </w:r>
      <w:r>
        <w:t>i</w:t>
      </w:r>
      <w:r w:rsidRPr="00480E1B">
        <w:t xml:space="preserve">) de inzet van vrouwen binnen de operaties en CIMIC-activiteiten in lijn met VNVR-resolutie 1325 en </w:t>
      </w:r>
      <w:r>
        <w:t>ii</w:t>
      </w:r>
      <w:r w:rsidRPr="00480E1B">
        <w:t xml:space="preserve">) de wijze van informatievergaring door het toepassen van een genderperspectief. Door dit tweede aspect draagt de Nederlandse bijdrage </w:t>
      </w:r>
      <w:r w:rsidRPr="007040F8">
        <w:t>bij aan het effectiever optreden vanuit een betere informatiepositie door UNIFIL.</w:t>
      </w:r>
      <w:r>
        <w:t xml:space="preserve"> Vanwege veiligheidsmaatregelen konden activiteiten buiten het hoofdkwartier gedurende de rapportageperiode in wisselende mate doorgang vinden, waardoor de genderadviseur niet altijd al diens taken uit kon voeren.</w:t>
      </w:r>
    </w:p>
    <w:p w:rsidRPr="00810088" w:rsidR="00CF7286" w:rsidP="00CF7286" w:rsidRDefault="00CF7286">
      <w:pPr>
        <w:jc w:val="both"/>
        <w:rPr>
          <w:i/>
        </w:rPr>
      </w:pPr>
    </w:p>
    <w:p w:rsidRPr="00B91F71" w:rsidR="00CF7286" w:rsidP="00CF7286" w:rsidRDefault="00CF7286">
      <w:pPr>
        <w:pStyle w:val="Heading3"/>
        <w:numPr>
          <w:ilvl w:val="2"/>
          <w:numId w:val="16"/>
        </w:numPr>
        <w:jc w:val="both"/>
        <w:rPr>
          <w:lang w:val="es-ES"/>
        </w:rPr>
      </w:pPr>
      <w:bookmarkStart w:name="_Toc227756569" w:id="150"/>
      <w:r w:rsidRPr="00B91F71">
        <w:rPr>
          <w:lang w:val="es-ES"/>
        </w:rPr>
        <w:t>UNTSO (Israël, Libanon, de Golan en Egypte)</w:t>
      </w:r>
      <w:bookmarkEnd w:id="150"/>
    </w:p>
    <w:p w:rsidR="00CF7286" w:rsidP="00CF7286" w:rsidRDefault="00CF7286">
      <w:pPr>
        <w:spacing w:line="276" w:lineRule="auto"/>
        <w:jc w:val="both"/>
        <w:rPr>
          <w:color w:val="000000"/>
          <w:u w:val="single"/>
        </w:rPr>
      </w:pPr>
    </w:p>
    <w:p w:rsidRPr="00D3138C" w:rsidR="00CF7286" w:rsidP="00CF7286" w:rsidRDefault="00CF7286">
      <w:pPr>
        <w:spacing w:line="276" w:lineRule="auto"/>
        <w:jc w:val="both"/>
        <w:rPr>
          <w:color w:val="000000"/>
          <w:u w:val="single"/>
        </w:rPr>
      </w:pPr>
      <w:r w:rsidRPr="00D3138C">
        <w:rPr>
          <w:color w:val="000000"/>
          <w:u w:val="single"/>
        </w:rPr>
        <w:t xml:space="preserve">Over de missie </w:t>
      </w:r>
    </w:p>
    <w:p w:rsidRPr="00760876" w:rsidR="00CF7286" w:rsidP="00CF7286" w:rsidRDefault="00CF7286">
      <w:pPr>
        <w:jc w:val="both"/>
        <w:rPr>
          <w:szCs w:val="18"/>
        </w:rPr>
      </w:pPr>
      <w:r w:rsidRPr="00946EB8">
        <w:t xml:space="preserve">De </w:t>
      </w:r>
      <w:r w:rsidRPr="0044320F">
        <w:rPr>
          <w:i/>
          <w:iCs/>
        </w:rPr>
        <w:t>United Nations Truce Supervision Organisation</w:t>
      </w:r>
      <w:r w:rsidRPr="00946EB8">
        <w:t xml:space="preserve"> (UNTSO) </w:t>
      </w:r>
      <w:r>
        <w:t>houdt</w:t>
      </w:r>
      <w:r w:rsidRPr="00946EB8">
        <w:t xml:space="preserve"> toezicht op de bestanden tussen Israël en de omringende landen. Daartoe werkt de missie nauw samen met UNIFIL en UNDOF. Het</w:t>
      </w:r>
      <w:r w:rsidRPr="00946EB8" w:rsidDel="006B11A1">
        <w:t xml:space="preserve"> </w:t>
      </w:r>
      <w:r w:rsidRPr="00946EB8">
        <w:t>doorlopende VN-mandaat</w:t>
      </w:r>
      <w:r>
        <w:t xml:space="preserve"> dat dateert uit 1948</w:t>
      </w:r>
      <w:r w:rsidRPr="00946EB8">
        <w:t xml:space="preserve"> stelt de missie in staat de UNTSO-waarnemers flexibel in te zetten</w:t>
      </w:r>
      <w:r>
        <w:t xml:space="preserve"> in de regio</w:t>
      </w:r>
      <w:r w:rsidRPr="581EF451">
        <w:t xml:space="preserve">. </w:t>
      </w:r>
    </w:p>
    <w:p w:rsidR="00CF7286" w:rsidP="00CF7286" w:rsidRDefault="00CF7286">
      <w:pPr>
        <w:spacing w:line="276" w:lineRule="auto"/>
        <w:jc w:val="both"/>
        <w:rPr>
          <w:u w:val="single"/>
        </w:rPr>
      </w:pPr>
    </w:p>
    <w:p w:rsidRPr="00655424" w:rsidR="00CF7286" w:rsidP="00CF7286" w:rsidRDefault="00CF7286">
      <w:pPr>
        <w:spacing w:line="276" w:lineRule="auto"/>
        <w:jc w:val="both"/>
        <w:rPr>
          <w:u w:val="single"/>
        </w:rPr>
      </w:pPr>
      <w:r w:rsidRPr="00655424">
        <w:rPr>
          <w:u w:val="single"/>
        </w:rPr>
        <w:t>Voor de missie relevante ontwikkelingen</w:t>
      </w:r>
    </w:p>
    <w:p w:rsidRPr="002B21D8" w:rsidR="00CF7286" w:rsidP="00CF7286" w:rsidRDefault="00CF7286">
      <w:pPr>
        <w:spacing w:line="276" w:lineRule="auto"/>
        <w:jc w:val="both"/>
      </w:pPr>
      <w:r w:rsidRPr="00596BA1">
        <w:t xml:space="preserve">De situatie </w:t>
      </w:r>
      <w:r>
        <w:t xml:space="preserve">van UNTSO </w:t>
      </w:r>
      <w:r w:rsidRPr="00596BA1">
        <w:t>l</w:t>
      </w:r>
      <w:r>
        <w:t>ie</w:t>
      </w:r>
      <w:r w:rsidRPr="00596BA1">
        <w:t>t zich</w:t>
      </w:r>
      <w:r>
        <w:t xml:space="preserve"> in de rapportageperiode </w:t>
      </w:r>
      <w:r w:rsidRPr="00596BA1">
        <w:t xml:space="preserve">kenmerken door een </w:t>
      </w:r>
      <w:r>
        <w:t>gespannen en fragiele</w:t>
      </w:r>
      <w:r w:rsidRPr="581EF451">
        <w:t xml:space="preserve"> </w:t>
      </w:r>
      <w:r w:rsidRPr="00596BA1">
        <w:t>veiligheidssituatie</w:t>
      </w:r>
      <w:r>
        <w:t xml:space="preserve">. In Libanon bezette Israël gedurende de rapportageperiode vijf permanente posities op Libanees grondgebied, ondanks een wankel bestand tussen Libanon en Israël. In de laatste maanden van de rapportageperiode laaide het conflict tussen Hezbollah en Israël opnieuw op. </w:t>
      </w:r>
      <w:r w:rsidR="006D0E90">
        <w:t>N</w:t>
      </w:r>
      <w:r w:rsidRPr="005041DD" w:rsidR="006D0E90">
        <w:t xml:space="preserve">a aanvallen van </w:t>
      </w:r>
      <w:r w:rsidR="006D0E90">
        <w:t xml:space="preserve">de VS en </w:t>
      </w:r>
      <w:r w:rsidRPr="005041DD" w:rsidR="006D0E90">
        <w:t>Israël op Iran vuurde Hezbollah raketten af op Noord-Israël, waarop Israël reageerde met zware luchtaanvallen en een omvangrijk militair optreden op Libanees grondgebied.</w:t>
      </w:r>
      <w:r w:rsidR="006D0E90">
        <w:t xml:space="preserve"> </w:t>
      </w:r>
      <w:r>
        <w:t xml:space="preserve">In Syrië bezetten de Israeli Defense Forces (IDF) delen van het soevereine Syrische grondgebied op de Golanhoogten, door middel van </w:t>
      </w:r>
      <w:r w:rsidRPr="00B85162">
        <w:rPr>
          <w:i/>
        </w:rPr>
        <w:t>forward operating bases</w:t>
      </w:r>
      <w:r>
        <w:t xml:space="preserve">. </w:t>
      </w:r>
      <w:r w:rsidRPr="00B85162">
        <w:t xml:space="preserve">Dit is een permanente schending van het 1974 </w:t>
      </w:r>
      <w:r w:rsidRPr="00B85162">
        <w:rPr>
          <w:i/>
        </w:rPr>
        <w:t>Agreement on Disengagement</w:t>
      </w:r>
      <w:r w:rsidRPr="00B85162">
        <w:t xml:space="preserve">-verdrag tussen </w:t>
      </w:r>
      <w:r>
        <w:t>Israël en Syrië</w:t>
      </w:r>
      <w:r w:rsidR="008F192A">
        <w:t xml:space="preserve">, zoals ook opgenomen in VNVR resolutie 497 (1981). </w:t>
      </w:r>
      <w:r>
        <w:t xml:space="preserve"> </w:t>
      </w:r>
    </w:p>
    <w:p w:rsidR="00CF7286" w:rsidP="00CF7286" w:rsidRDefault="00CF7286">
      <w:pPr>
        <w:spacing w:line="276" w:lineRule="auto"/>
        <w:jc w:val="both"/>
        <w:rPr>
          <w:u w:val="single"/>
        </w:rPr>
      </w:pPr>
    </w:p>
    <w:p w:rsidRPr="00655424" w:rsidR="00CF7286" w:rsidP="00CF7286" w:rsidRDefault="00CF7286">
      <w:pPr>
        <w:spacing w:line="276" w:lineRule="auto"/>
        <w:jc w:val="both"/>
        <w:rPr>
          <w:u w:val="single"/>
        </w:rPr>
      </w:pPr>
      <w:r>
        <w:rPr>
          <w:u w:val="single"/>
        </w:rPr>
        <w:t>M</w:t>
      </w:r>
      <w:r w:rsidRPr="00655424">
        <w:rPr>
          <w:u w:val="single"/>
        </w:rPr>
        <w:t>ilitaire bijdrage</w:t>
      </w:r>
    </w:p>
    <w:p w:rsidR="00CF7286" w:rsidP="00CF7286" w:rsidRDefault="00CF7286">
      <w:pPr>
        <w:jc w:val="both"/>
        <w:rPr>
          <w:szCs w:val="18"/>
        </w:rPr>
      </w:pPr>
      <w:r w:rsidRPr="6563E0BD">
        <w:t>Tijdens d</w:t>
      </w:r>
      <w:r w:rsidRPr="003036AA">
        <w:t xml:space="preserve">e rapportageperiode waren </w:t>
      </w:r>
      <w:r w:rsidR="001C00DE">
        <w:t xml:space="preserve">circa </w:t>
      </w:r>
      <w:r w:rsidRPr="003036AA">
        <w:t xml:space="preserve">elf Nederlandse militairen werkzaam als </w:t>
      </w:r>
      <w:r w:rsidRPr="581EF451">
        <w:rPr>
          <w:i/>
          <w:iCs/>
        </w:rPr>
        <w:t xml:space="preserve">United Nations Military Observer </w:t>
      </w:r>
      <w:r w:rsidRPr="003036AA">
        <w:t xml:space="preserve">of stafofficier binnen de verschillende </w:t>
      </w:r>
      <w:r w:rsidRPr="581EF451">
        <w:rPr>
          <w:i/>
          <w:iCs/>
        </w:rPr>
        <w:t>Observer</w:t>
      </w:r>
      <w:r w:rsidRPr="581EF451">
        <w:t xml:space="preserve"> </w:t>
      </w:r>
      <w:r w:rsidRPr="581EF451">
        <w:rPr>
          <w:i/>
          <w:iCs/>
        </w:rPr>
        <w:t xml:space="preserve">Groups </w:t>
      </w:r>
      <w:r w:rsidRPr="003036AA">
        <w:t xml:space="preserve">(Tiberias, Damascus, Libanon), het hoofdkwartier in Jeruzalem en het </w:t>
      </w:r>
      <w:r w:rsidRPr="0044320F">
        <w:rPr>
          <w:i/>
          <w:iCs/>
        </w:rPr>
        <w:t>Liaison Office</w:t>
      </w:r>
      <w:r w:rsidRPr="003036AA">
        <w:t xml:space="preserve"> in Cairo. De bewegingsruimte van UNTSO en daarmee ook de Nederlandse militairen in de </w:t>
      </w:r>
      <w:r w:rsidRPr="581EF451">
        <w:rPr>
          <w:i/>
          <w:iCs/>
        </w:rPr>
        <w:t>Observer Groups</w:t>
      </w:r>
      <w:r w:rsidRPr="581EF451">
        <w:t xml:space="preserve"> </w:t>
      </w:r>
      <w:r w:rsidRPr="00C22B03">
        <w:t xml:space="preserve">werd in de rapportageperiode regelmatig beperkt door veiligheidsoverwegingen en door acties van de IDF. </w:t>
      </w:r>
      <w:r>
        <w:t>Tijdens de rapportageperiode</w:t>
      </w:r>
      <w:r w:rsidRPr="00C22B03">
        <w:t xml:space="preserve"> werden waar mogelijk operationele patrouilles conform planning uitgevoerd en observatieposten volgens routine bemenst. Afhankelijk van de veiligheidssituatie waren de Nederlandse waarnemers in </w:t>
      </w:r>
      <w:r>
        <w:t xml:space="preserve">wisselende mate </w:t>
      </w:r>
      <w:r w:rsidRPr="00C22B03">
        <w:t>staat hun werkzaamheden uit te voeren</w:t>
      </w:r>
      <w:r w:rsidRPr="581EF451">
        <w:t>.</w:t>
      </w:r>
      <w:r>
        <w:t xml:space="preserve"> Het conflict </w:t>
      </w:r>
      <w:r>
        <w:lastRenderedPageBreak/>
        <w:t xml:space="preserve">tussen Israël, VS en Iran had grote impact op de veiligheidsomstandigheden rondom de missie. Op de Golanhoogvlakte brachten de waarnemers veel tijd door in bunkers, maar bleven zij hun statische waarnemerstaken uitvoeren vanuit de observatieposten op de Golan. De bereden patrouilles zijn na 11 maart 2025 weer opgestart met extra veiligheidsmaatregelen. </w:t>
      </w:r>
      <w:r w:rsidRPr="581EF451">
        <w:t xml:space="preserve"> </w:t>
      </w:r>
      <w:r>
        <w:t xml:space="preserve">In Libanon zijn patrouilles, tot nader orde, gestaakt en er vond (tijdelijke) verhuizing van het personeel van Tyre naar het hoofdkwartier UNIFIL in Naqoura plaats. </w:t>
      </w:r>
    </w:p>
    <w:p w:rsidRPr="00655424" w:rsidR="00CF7286" w:rsidP="00CF7286" w:rsidRDefault="00CF7286">
      <w:pPr>
        <w:jc w:val="both"/>
      </w:pPr>
    </w:p>
    <w:p w:rsidRPr="003036AA" w:rsidR="00CF7286" w:rsidP="00CF7286" w:rsidRDefault="00CF7286">
      <w:pPr>
        <w:pStyle w:val="Heading3"/>
        <w:numPr>
          <w:ilvl w:val="2"/>
          <w:numId w:val="16"/>
        </w:numPr>
        <w:jc w:val="both"/>
      </w:pPr>
      <w:bookmarkStart w:name="_Toc227756570" w:id="151"/>
      <w:r>
        <w:t xml:space="preserve">OSC </w:t>
      </w:r>
      <w:r w:rsidRPr="581EF451">
        <w:t>(</w:t>
      </w:r>
      <w:r w:rsidRPr="003036AA">
        <w:t>Israël en de Palestijnse gebieden</w:t>
      </w:r>
      <w:r w:rsidRPr="581EF451">
        <w:t>)</w:t>
      </w:r>
      <w:bookmarkEnd w:id="151"/>
    </w:p>
    <w:p w:rsidRPr="00367AAA" w:rsidR="00CF7286" w:rsidP="00CF7286" w:rsidRDefault="00CF7286">
      <w:pPr>
        <w:jc w:val="both"/>
        <w:rPr>
          <w:u w:val="single"/>
        </w:rPr>
      </w:pPr>
    </w:p>
    <w:p w:rsidRPr="00C22B03" w:rsidR="00CF7286" w:rsidP="00CF7286" w:rsidRDefault="00CF7286">
      <w:pPr>
        <w:jc w:val="both"/>
        <w:rPr>
          <w:u w:val="single"/>
        </w:rPr>
      </w:pPr>
      <w:r w:rsidRPr="00580DC3">
        <w:rPr>
          <w:u w:val="single"/>
        </w:rPr>
        <w:t xml:space="preserve">Over </w:t>
      </w:r>
      <w:r w:rsidRPr="00C22B03">
        <w:rPr>
          <w:u w:val="single"/>
        </w:rPr>
        <w:t xml:space="preserve">de missie </w:t>
      </w:r>
    </w:p>
    <w:p w:rsidRPr="00C22B03" w:rsidR="00CF7286" w:rsidP="00CF7286" w:rsidRDefault="00CF7286">
      <w:pPr>
        <w:jc w:val="both"/>
      </w:pPr>
      <w:r w:rsidRPr="6563E0BD">
        <w:t xml:space="preserve">De </w:t>
      </w:r>
      <w:r w:rsidRPr="0044320F">
        <w:rPr>
          <w:i/>
          <w:iCs/>
        </w:rPr>
        <w:t>Office of the Security Coordinat</w:t>
      </w:r>
      <w:r w:rsidRPr="00A408D9">
        <w:rPr>
          <w:i/>
          <w:iCs/>
        </w:rPr>
        <w:t>or</w:t>
      </w:r>
      <w:r w:rsidRPr="00A408D9" w:rsidDel="007239B9">
        <w:rPr>
          <w:i/>
          <w:iCs/>
        </w:rPr>
        <w:t xml:space="preserve"> </w:t>
      </w:r>
      <w:r w:rsidRPr="581EF451">
        <w:t>(</w:t>
      </w:r>
      <w:r w:rsidRPr="00D37E98">
        <w:t xml:space="preserve">OSC) is een door de VS gecoördineerd samenwerkingsverband met deelname van </w:t>
      </w:r>
      <w:r w:rsidRPr="00633398">
        <w:t xml:space="preserve">Bulgarije, Canada, </w:t>
      </w:r>
      <w:r>
        <w:t xml:space="preserve">Denemarken, Duitsland, Frankrijk, </w:t>
      </w:r>
      <w:r w:rsidRPr="00B72603">
        <w:t xml:space="preserve">Griekenland, Italië, </w:t>
      </w:r>
      <w:r w:rsidRPr="0044320F">
        <w:t>Nederland, Polen, Turkije en het Verenigd</w:t>
      </w:r>
      <w:r w:rsidRPr="00A408D9">
        <w:t xml:space="preserve"> Koninkrijk. De missie </w:t>
      </w:r>
      <w:r>
        <w:t>is gevestigd in</w:t>
      </w:r>
      <w:r w:rsidR="00BA6EB7">
        <w:t xml:space="preserve"> </w:t>
      </w:r>
      <w:r>
        <w:t xml:space="preserve">Jeruzalem en Ramallah en </w:t>
      </w:r>
      <w:r w:rsidRPr="00A408D9">
        <w:t>richt zich op het professionaliseren van de Palestijnse veiligheidssector, met als doel het bevorderen van een tweestatenoplossing en het bijdragen aan de levensvatbaarheid van een toekomstige Palestijnse staat. Een sterke Palestijnse veiligheidssector komt ook de veiligheid van Israël ten goede. Daarnaast vervult</w:t>
      </w:r>
      <w:r w:rsidRPr="00A408D9" w:rsidDel="00391612">
        <w:t xml:space="preserve"> </w:t>
      </w:r>
      <w:r w:rsidRPr="00A408D9">
        <w:t>OSC een coördinerende taak tussen de Palestijnse en Israëlische veiligheidsdiensten.</w:t>
      </w:r>
      <w:r w:rsidRPr="581EF451">
        <w:t xml:space="preserve"> </w:t>
      </w:r>
    </w:p>
    <w:p w:rsidRPr="00C22B03" w:rsidR="00CF7286" w:rsidP="00CF7286" w:rsidRDefault="00CF7286">
      <w:pPr>
        <w:jc w:val="both"/>
        <w:rPr>
          <w:u w:val="single"/>
        </w:rPr>
      </w:pPr>
    </w:p>
    <w:p w:rsidRPr="00C22B03" w:rsidR="00CF7286" w:rsidP="00CF7286" w:rsidRDefault="00CF7286">
      <w:pPr>
        <w:spacing w:line="276" w:lineRule="auto"/>
        <w:jc w:val="both"/>
        <w:rPr>
          <w:u w:val="single"/>
        </w:rPr>
      </w:pPr>
      <w:r w:rsidRPr="00C22B03">
        <w:rPr>
          <w:u w:val="single"/>
        </w:rPr>
        <w:t>Voor de missie relevante ontwikkelingen</w:t>
      </w:r>
    </w:p>
    <w:p w:rsidR="00CF7286" w:rsidP="00CF7286" w:rsidRDefault="00CF7286">
      <w:pPr>
        <w:jc w:val="both"/>
        <w:rPr>
          <w:szCs w:val="18"/>
        </w:rPr>
      </w:pPr>
      <w:r w:rsidRPr="00C22B03">
        <w:t>De rapportageperiode werd</w:t>
      </w:r>
      <w:r w:rsidRPr="581EF451" w:rsidDel="005515E0">
        <w:t xml:space="preserve"> </w:t>
      </w:r>
      <w:r w:rsidRPr="00C22B03">
        <w:t>gekenmerkt door</w:t>
      </w:r>
      <w:r w:rsidRPr="6563E0BD">
        <w:t xml:space="preserve"> </w:t>
      </w:r>
      <w:r>
        <w:t xml:space="preserve">een weerbarstige veiligheidscontext: </w:t>
      </w:r>
      <w:r w:rsidRPr="6563E0BD">
        <w:t>grote spanningen op de Westelijke Jordaanoever</w:t>
      </w:r>
      <w:r w:rsidRPr="581EF451">
        <w:t xml:space="preserve">, </w:t>
      </w:r>
      <w:r w:rsidR="00137ED2">
        <w:t>zeker</w:t>
      </w:r>
      <w:r w:rsidRPr="00D37E98" w:rsidR="00137ED2">
        <w:t xml:space="preserve"> </w:t>
      </w:r>
      <w:r w:rsidRPr="00D37E98">
        <w:t xml:space="preserve">in het licht van uitbreiding van Israëlische nederzettingen, </w:t>
      </w:r>
      <w:r w:rsidRPr="00633398">
        <w:t>toenemend kolonistengeweld</w:t>
      </w:r>
      <w:r w:rsidRPr="581EF451" w:rsidDel="007A404F">
        <w:t xml:space="preserve"> </w:t>
      </w:r>
      <w:r w:rsidRPr="00B72603">
        <w:t>en Israëlische militaire operaties</w:t>
      </w:r>
      <w:r w:rsidRPr="0044320F">
        <w:t>. De Palestijnse veiligheidssector</w:t>
      </w:r>
      <w:r w:rsidRPr="00A408D9" w:rsidDel="007A404F">
        <w:t xml:space="preserve"> </w:t>
      </w:r>
      <w:r w:rsidRPr="00A408D9">
        <w:t xml:space="preserve">staat voor grote uitdagingen, waarbij ze haar legitimiteit als veiligheidsactor moet bewijzen, terwijl </w:t>
      </w:r>
      <w:r w:rsidR="00137ED2">
        <w:t>Israëlische</w:t>
      </w:r>
      <w:r w:rsidRPr="00A408D9" w:rsidR="00137ED2">
        <w:t xml:space="preserve"> </w:t>
      </w:r>
      <w:r w:rsidRPr="00A408D9">
        <w:t xml:space="preserve">maatregelen daar </w:t>
      </w:r>
      <w:r>
        <w:t>weinig</w:t>
      </w:r>
      <w:r w:rsidRPr="00A408D9">
        <w:t xml:space="preserve"> ruimte voor </w:t>
      </w:r>
      <w:r w:rsidR="00137ED2">
        <w:t>laten</w:t>
      </w:r>
      <w:r w:rsidRPr="00A408D9">
        <w:t xml:space="preserve">. </w:t>
      </w:r>
      <w:r w:rsidRPr="00C22B03">
        <w:t>De voortgang in de versterking van de Palestijnse veiligheidssector wordt bemoeilijkt door zowel interne als externe uitdagingen. Intern</w:t>
      </w:r>
      <w:r>
        <w:t xml:space="preserve"> is sprake van</w:t>
      </w:r>
      <w:r w:rsidRPr="00C22B03">
        <w:t xml:space="preserve"> gebrekkig bestuur</w:t>
      </w:r>
      <w:r w:rsidR="00137ED2">
        <w:t xml:space="preserve"> en toezicht</w:t>
      </w:r>
      <w:r w:rsidRPr="00C22B03">
        <w:t xml:space="preserve">, een tekort aan capaciteit en professionaliteit. </w:t>
      </w:r>
      <w:r>
        <w:t>De</w:t>
      </w:r>
      <w:r w:rsidRPr="00C22B03">
        <w:t xml:space="preserve"> </w:t>
      </w:r>
      <w:r w:rsidR="00137ED2">
        <w:t xml:space="preserve">steeds verder </w:t>
      </w:r>
      <w:r w:rsidRPr="00C22B03">
        <w:t xml:space="preserve">gefragmenteerde Westelijke Jordaanoever en </w:t>
      </w:r>
      <w:r w:rsidR="00137ED2">
        <w:t>(bewegings)</w:t>
      </w:r>
      <w:r w:rsidRPr="00C22B03">
        <w:t>restricties opgelegd door Israël</w:t>
      </w:r>
      <w:r>
        <w:t xml:space="preserve"> gelden als </w:t>
      </w:r>
      <w:r w:rsidR="00137ED2">
        <w:t xml:space="preserve">de belangrijkste </w:t>
      </w:r>
      <w:r>
        <w:t>externe uitdagingen</w:t>
      </w:r>
      <w:r w:rsidRPr="00C22B03">
        <w:t>.</w:t>
      </w:r>
      <w:r w:rsidRPr="581EF451">
        <w:t xml:space="preserve"> </w:t>
      </w:r>
      <w:r w:rsidRPr="006B6EA6">
        <w:t>Als gevolg van de</w:t>
      </w:r>
      <w:r w:rsidR="006D0E90">
        <w:t xml:space="preserve"> aanvallen van</w:t>
      </w:r>
      <w:r w:rsidRPr="006B6EA6">
        <w:t xml:space="preserve"> Israël</w:t>
      </w:r>
      <w:r w:rsidR="006D0E90">
        <w:t xml:space="preserve"> en de Verenigde Staten op</w:t>
      </w:r>
      <w:r w:rsidRPr="006B6EA6">
        <w:t xml:space="preserve"> Iran heeft OSC zijn werkzaamheden tijdelijk neergelegd. Sinds het staakt-het-vuren </w:t>
      </w:r>
      <w:r w:rsidR="00137ED2">
        <w:t>worden</w:t>
      </w:r>
      <w:r w:rsidRPr="006B6EA6" w:rsidR="00137ED2">
        <w:t xml:space="preserve"> </w:t>
      </w:r>
      <w:r w:rsidRPr="006B6EA6">
        <w:t>de activiteiten</w:t>
      </w:r>
      <w:r w:rsidR="00137ED2">
        <w:t xml:space="preserve"> geleidelijk aan</w:t>
      </w:r>
      <w:r w:rsidRPr="006B6EA6">
        <w:t xml:space="preserve"> hervat.</w:t>
      </w:r>
    </w:p>
    <w:p w:rsidRPr="00F20857" w:rsidR="00CF7286" w:rsidP="00CF7286" w:rsidRDefault="00CF7286">
      <w:pPr>
        <w:jc w:val="both"/>
        <w:rPr>
          <w:szCs w:val="18"/>
        </w:rPr>
      </w:pPr>
    </w:p>
    <w:p w:rsidRPr="00F20857" w:rsidR="00CF7286" w:rsidP="00CF7286" w:rsidRDefault="00CF7286">
      <w:pPr>
        <w:spacing w:line="276" w:lineRule="auto"/>
        <w:jc w:val="both"/>
        <w:rPr>
          <w:u w:val="single"/>
        </w:rPr>
      </w:pPr>
      <w:r w:rsidRPr="00F20857">
        <w:rPr>
          <w:u w:val="single"/>
        </w:rPr>
        <w:t>Militaire en civiele bijdrage</w:t>
      </w:r>
    </w:p>
    <w:p w:rsidRPr="00351760" w:rsidR="00CF7286" w:rsidP="00CF7286" w:rsidRDefault="00CF7286">
      <w:pPr>
        <w:jc w:val="both"/>
        <w:rPr>
          <w:szCs w:val="18"/>
        </w:rPr>
      </w:pPr>
      <w:r>
        <w:t>D</w:t>
      </w:r>
      <w:r w:rsidRPr="6563E0BD">
        <w:t>e Nederlandse bijdrage aan</w:t>
      </w:r>
      <w:r w:rsidRPr="581EF451">
        <w:t xml:space="preserve"> </w:t>
      </w:r>
      <w:r w:rsidRPr="6563E0BD">
        <w:t xml:space="preserve">OSC </w:t>
      </w:r>
      <w:r w:rsidRPr="00D37E98">
        <w:t xml:space="preserve">bestaat </w:t>
      </w:r>
      <w:r>
        <w:t xml:space="preserve">doorgaans </w:t>
      </w:r>
      <w:r w:rsidRPr="00D37E98">
        <w:t xml:space="preserve">uit </w:t>
      </w:r>
      <w:r w:rsidR="001C00DE">
        <w:t xml:space="preserve">circa </w:t>
      </w:r>
      <w:r w:rsidRPr="00D37E98">
        <w:t>zeven personen</w:t>
      </w:r>
      <w:r w:rsidRPr="581EF451">
        <w:t>:</w:t>
      </w:r>
      <w:r w:rsidRPr="00D37E98">
        <w:t xml:space="preserve"> vier militairen, twee civiel experts en één politiefunctionaris, die verschillende strategische (advies)functies vervullen binnen de missie. </w:t>
      </w:r>
    </w:p>
    <w:p w:rsidR="00CF7286" w:rsidP="00CF7286" w:rsidRDefault="00CF7286">
      <w:pPr>
        <w:jc w:val="both"/>
        <w:rPr>
          <w:szCs w:val="18"/>
        </w:rPr>
      </w:pPr>
    </w:p>
    <w:p w:rsidRPr="007847BC" w:rsidR="00CF7286" w:rsidP="00CF7286" w:rsidRDefault="00CF7286">
      <w:pPr>
        <w:jc w:val="both"/>
      </w:pPr>
      <w:r w:rsidRPr="6563E0BD">
        <w:t xml:space="preserve">De diverse functies die Nederland vervult op hoofdthema’s als </w:t>
      </w:r>
      <w:r w:rsidRPr="0044320F">
        <w:rPr>
          <w:i/>
          <w:iCs/>
        </w:rPr>
        <w:t xml:space="preserve">Rule of Law, Human Rights, </w:t>
      </w:r>
      <w:r w:rsidRPr="00633398">
        <w:t xml:space="preserve">en </w:t>
      </w:r>
      <w:r w:rsidRPr="0044320F">
        <w:rPr>
          <w:i/>
          <w:iCs/>
        </w:rPr>
        <w:t xml:space="preserve">community policing </w:t>
      </w:r>
      <w:r w:rsidRPr="00633398">
        <w:t xml:space="preserve">als onderdeel van </w:t>
      </w:r>
      <w:r w:rsidRPr="0044320F">
        <w:rPr>
          <w:i/>
          <w:iCs/>
        </w:rPr>
        <w:t>law enforcement,</w:t>
      </w:r>
      <w:r w:rsidRPr="00B72603">
        <w:t xml:space="preserve"> bevinden zich voornamelijk binnen het </w:t>
      </w:r>
      <w:r w:rsidRPr="0044320F">
        <w:rPr>
          <w:i/>
          <w:iCs/>
        </w:rPr>
        <w:t>Law Enforcement Directorate</w:t>
      </w:r>
      <w:r w:rsidRPr="0044320F">
        <w:t xml:space="preserve"> en </w:t>
      </w:r>
      <w:r w:rsidRPr="0044320F">
        <w:rPr>
          <w:i/>
          <w:iCs/>
        </w:rPr>
        <w:t>Human Rights Directorate</w:t>
      </w:r>
      <w:r>
        <w:rPr>
          <w:i/>
          <w:iCs/>
        </w:rPr>
        <w:t xml:space="preserve">. </w:t>
      </w:r>
      <w:r>
        <w:rPr>
          <w:iCs/>
        </w:rPr>
        <w:t>Het Nederlandse contingent ontplooit verschillende trainingen en activiteiten in samenwerking met contingenten van andere deelnemende landen. A</w:t>
      </w:r>
      <w:r w:rsidR="006D0E90">
        <w:rPr>
          <w:iCs/>
        </w:rPr>
        <w:t>lle inzet heeft als einddoel</w:t>
      </w:r>
      <w:r>
        <w:t xml:space="preserve"> het vertrouwen tussen de Palestijnse veiligheidssector en de Palestijnse bevolking te versterken. </w:t>
      </w:r>
      <w:r w:rsidRPr="0044320F">
        <w:t xml:space="preserve">Deze </w:t>
      </w:r>
      <w:r>
        <w:t>activiteiten</w:t>
      </w:r>
      <w:r w:rsidRPr="0044320F">
        <w:t xml:space="preserve"> dragen bij aan de toenemend civiele koers van de missie en de samenwerking met de Europese politiemissie </w:t>
      </w:r>
      <w:r w:rsidRPr="00A408D9">
        <w:t xml:space="preserve">EU </w:t>
      </w:r>
      <w:r w:rsidRPr="00A408D9">
        <w:rPr>
          <w:i/>
          <w:iCs/>
        </w:rPr>
        <w:t>Coordinating Office for Palestinian Police Support</w:t>
      </w:r>
      <w:r w:rsidRPr="00A408D9">
        <w:t xml:space="preserve"> (EUPOL </w:t>
      </w:r>
      <w:r w:rsidRPr="003466B7">
        <w:t>COPPS).</w:t>
      </w:r>
      <w:r w:rsidRPr="00A408D9">
        <w:t xml:space="preserve"> Desalniettemin blijkt de missie wegens haar sterk militaire karakter nog steeds beperkt ontvankelijk voor de input op meer civiel-gerichte thema’s. Dit is zichtbaar door de beperkte aansluiting van het door Nederland geleide </w:t>
      </w:r>
      <w:r w:rsidRPr="00A408D9">
        <w:rPr>
          <w:i/>
          <w:iCs/>
        </w:rPr>
        <w:t xml:space="preserve">Human Rights </w:t>
      </w:r>
      <w:r>
        <w:rPr>
          <w:i/>
          <w:iCs/>
        </w:rPr>
        <w:t>and Rule of Law</w:t>
      </w:r>
      <w:r w:rsidRPr="00A408D9">
        <w:rPr>
          <w:i/>
          <w:iCs/>
        </w:rPr>
        <w:t xml:space="preserve"> Directorate </w:t>
      </w:r>
      <w:r w:rsidRPr="00A408D9">
        <w:t>bij de rest van de missie; een voor Nederland doorlopend aandachtspunt.</w:t>
      </w:r>
      <w:r>
        <w:t xml:space="preserve"> Door het uitvoeren van eigenstandige projecten, wel onder de vlag van OSC, tracht Nederland autonomer te opereren binnen de coalitie. Zo is i</w:t>
      </w:r>
      <w:r w:rsidRPr="007847BC">
        <w:t>n januari</w:t>
      </w:r>
      <w:r>
        <w:t xml:space="preserve"> jl.</w:t>
      </w:r>
      <w:r w:rsidDel="005A1A59">
        <w:t xml:space="preserve"> </w:t>
      </w:r>
      <w:r>
        <w:t xml:space="preserve">gestart </w:t>
      </w:r>
      <w:r w:rsidRPr="007847BC">
        <w:lastRenderedPageBreak/>
        <w:t xml:space="preserve">met het ondersteunen van de implementatie van het </w:t>
      </w:r>
      <w:r w:rsidRPr="007847BC">
        <w:rPr>
          <w:i/>
          <w:iCs/>
        </w:rPr>
        <w:t>Pilot Project Community Emergency Preparedness</w:t>
      </w:r>
      <w:r w:rsidRPr="007847BC">
        <w:t>. Dit project, gefinancierd door het Stabiliteitsfonds, is gericht op het ondersteunen van Palestijnse gemeenschappen in Area C om de impact van kolonistengeweld te verkleinen en de rechtsgang te ondersteunen door het effectief bewaren van bewijsmateriaal. De Palestijnse politie speelt een centrale rol in dit project.</w:t>
      </w:r>
    </w:p>
    <w:p w:rsidR="00CF7286" w:rsidP="00CF7286" w:rsidRDefault="00CF7286">
      <w:pPr>
        <w:jc w:val="both"/>
      </w:pPr>
    </w:p>
    <w:p w:rsidR="00CF7286" w:rsidP="00CF7286" w:rsidRDefault="00CF7286">
      <w:pPr>
        <w:jc w:val="both"/>
      </w:pPr>
      <w:r>
        <w:t xml:space="preserve">De veiligheidssituatie op de Westelijke Jordaanoever zelf, wisselende toegang tot locaties door Israëlische </w:t>
      </w:r>
      <w:r w:rsidRPr="004A43F3">
        <w:rPr>
          <w:i/>
        </w:rPr>
        <w:t>checkpoints</w:t>
      </w:r>
      <w:r>
        <w:t xml:space="preserve"> en wegblokkades op de routes van en naar de Westelijke Jordaanoever, en dreiging van luchtaanvallen</w:t>
      </w:r>
      <w:r w:rsidR="006D0E90">
        <w:t xml:space="preserve"> na de aanvallen van de VS en Israël op</w:t>
      </w:r>
      <w:r>
        <w:t xml:space="preserve"> Iran beperkten op verschillende momenten de activiteiten van de missie. </w:t>
      </w:r>
    </w:p>
    <w:p w:rsidR="00CF7286" w:rsidP="00CF7286" w:rsidRDefault="00CF7286">
      <w:pPr>
        <w:jc w:val="both"/>
      </w:pPr>
    </w:p>
    <w:p w:rsidR="00CF7286" w:rsidP="00CF7286" w:rsidRDefault="00CF7286">
      <w:pPr>
        <w:jc w:val="both"/>
      </w:pPr>
      <w:r>
        <w:t xml:space="preserve">OSC heeft geen mandaat in Gaza en is niet direct betrokken bij het staakt-het-vuren of het Trump Vredesplan. Desalniettemin blijft de missie betrokken bij de ontwikkelingen, met actieve Nederlandse inbreng. Zo heeft een van de Nederlandse civiele experts gedurende de laatste maanden van de rapportageperiode een dubbelrol vervuld, door ook als civiele liaison op te treden bij het Amerikaanse </w:t>
      </w:r>
      <w:r w:rsidRPr="00F230E0">
        <w:rPr>
          <w:i/>
        </w:rPr>
        <w:t>Civil Military Coordination Center</w:t>
      </w:r>
      <w:r>
        <w:t xml:space="preserve"> (CMCC), dat zich vanuit Israël ten behoeve van Gaza richtte op planvorming en coördinatie van humanitaire hulp, wederopbouw en veiligheid.</w:t>
      </w:r>
      <w:bookmarkStart w:name="_Toc511643706" w:id="152"/>
      <w:bookmarkStart w:name="_Toc511815661" w:id="153"/>
      <w:bookmarkStart w:name="_Toc511896799" w:id="154"/>
      <w:bookmarkStart w:name="_Toc511897800" w:id="155"/>
      <w:bookmarkStart w:name="_Toc511897849" w:id="156"/>
      <w:bookmarkStart w:name="_Toc511897898" w:id="157"/>
      <w:bookmarkStart w:name="_Toc511897960" w:id="158"/>
      <w:bookmarkStart w:name="_Toc511898155" w:id="159"/>
      <w:bookmarkStart w:name="_Toc513549735" w:id="160"/>
      <w:bookmarkStart w:name="_Toc513549836" w:id="161"/>
      <w:bookmarkStart w:name="_Toc513549894" w:id="162"/>
      <w:bookmarkStart w:name="_Toc513549952" w:id="163"/>
      <w:bookmarkStart w:name="_Toc513550532" w:id="164"/>
      <w:bookmarkStart w:name="_Toc513552307" w:id="165"/>
      <w:bookmarkStart w:name="_Toc513557544" w:id="166"/>
      <w:bookmarkStart w:name="_Toc514143012" w:id="167"/>
      <w:bookmarkStart w:name="_Toc511643707" w:id="168"/>
      <w:bookmarkStart w:name="_Toc511815662" w:id="169"/>
      <w:bookmarkStart w:name="_Toc511896800" w:id="170"/>
      <w:bookmarkStart w:name="_Toc511897801" w:id="171"/>
      <w:bookmarkStart w:name="_Toc511897850" w:id="172"/>
      <w:bookmarkStart w:name="_Toc511897899" w:id="173"/>
      <w:bookmarkStart w:name="_Toc511897961" w:id="174"/>
      <w:bookmarkStart w:name="_Toc511898156" w:id="175"/>
      <w:bookmarkStart w:name="_Toc513549736" w:id="176"/>
      <w:bookmarkStart w:name="_Toc513549837" w:id="177"/>
      <w:bookmarkStart w:name="_Toc513549895" w:id="178"/>
      <w:bookmarkStart w:name="_Toc513549953" w:id="179"/>
      <w:bookmarkStart w:name="_Toc513550533" w:id="180"/>
      <w:bookmarkStart w:name="_Toc513552308" w:id="181"/>
      <w:bookmarkStart w:name="_Toc513557545" w:id="182"/>
      <w:bookmarkStart w:name="_Toc514143013" w:id="183"/>
      <w:bookmarkStart w:name="_UNTSO_(Israël,_Libanon" w:id="184"/>
      <w:bookmarkStart w:name="_Toc449085308" w:id="185"/>
      <w:bookmarkStart w:name="_Toc449092996" w:id="186"/>
      <w:bookmarkStart w:name="_Toc510611735" w:id="187"/>
      <w:bookmarkStart w:name="_Toc510612213" w:id="188"/>
      <w:bookmarkStart w:name="_Toc510612284" w:id="189"/>
      <w:bookmarkStart w:name="_Toc510613685" w:id="190"/>
      <w:bookmarkStart w:name="_Toc510613729" w:id="191"/>
      <w:bookmarkStart w:name="_Toc510613773" w:id="192"/>
      <w:bookmarkStart w:name="_Toc510614641" w:id="193"/>
      <w:bookmarkStart w:name="_Toc510687460" w:id="194"/>
      <w:bookmarkStart w:name="_Toc511048995" w:id="195"/>
      <w:bookmarkStart w:name="_Toc511050720" w:id="196"/>
      <w:bookmarkStart w:name="_Toc511138724" w:id="197"/>
      <w:bookmarkStart w:name="_Toc511138782" w:id="198"/>
      <w:bookmarkStart w:name="_Toc511139591" w:id="199"/>
      <w:bookmarkStart w:name="_Toc511643712" w:id="200"/>
      <w:bookmarkStart w:name="_Toc511815667" w:id="201"/>
      <w:bookmarkStart w:name="_Toc511896805" w:id="202"/>
      <w:bookmarkStart w:name="_Toc511897806" w:id="203"/>
      <w:bookmarkStart w:name="_Toc511897855" w:id="204"/>
      <w:bookmarkStart w:name="_Toc511897904" w:id="205"/>
      <w:bookmarkStart w:name="_Toc511897966" w:id="206"/>
      <w:bookmarkStart w:name="_Toc511898161" w:id="207"/>
      <w:bookmarkStart w:name="_Toc513549741" w:id="208"/>
      <w:bookmarkStart w:name="_Toc513549842" w:id="209"/>
      <w:bookmarkStart w:name="_Toc513549900" w:id="210"/>
      <w:bookmarkStart w:name="_Toc513549958" w:id="211"/>
      <w:bookmarkStart w:name="_Toc513550538" w:id="212"/>
      <w:bookmarkStart w:name="_Toc513552313" w:id="213"/>
      <w:bookmarkStart w:name="_Toc513557550" w:id="214"/>
      <w:bookmarkStart w:name="_Toc514143018" w:id="215"/>
      <w:bookmarkStart w:name="_Toc399256421" w:id="216"/>
      <w:bookmarkStart w:name="_Toc399258232" w:id="217"/>
      <w:bookmarkStart w:name="_Toc399258928" w:id="218"/>
      <w:bookmarkStart w:name="_Toc399259154" w:id="219"/>
      <w:bookmarkStart w:name="_Toc473124586" w:id="220"/>
      <w:bookmarkStart w:name="_Toc473628164" w:id="221"/>
      <w:bookmarkStart w:name="_Toc473124587" w:id="222"/>
      <w:bookmarkStart w:name="_Toc473628165" w:id="223"/>
      <w:bookmarkStart w:name="_Toc508615919" w:id="224"/>
      <w:bookmarkStart w:name="_Toc508615920" w:id="225"/>
      <w:bookmarkEnd w:id="149"/>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Pr="004958E1" w:rsidR="00CF7286" w:rsidP="00CF7286" w:rsidRDefault="00CF7286"/>
    <w:p w:rsidRPr="00F230E0" w:rsidR="00CF7286" w:rsidP="00CF7286" w:rsidRDefault="00CF7286">
      <w:pPr>
        <w:pStyle w:val="Heading3"/>
        <w:numPr>
          <w:ilvl w:val="2"/>
          <w:numId w:val="16"/>
        </w:numPr>
        <w:jc w:val="both"/>
        <w:rPr>
          <w:lang w:val="es-ES"/>
        </w:rPr>
      </w:pPr>
      <w:bookmarkStart w:name="_Toc227756571" w:id="226"/>
      <w:r w:rsidRPr="00F230E0">
        <w:rPr>
          <w:lang w:val="es-ES"/>
        </w:rPr>
        <w:t>NMI (Irak)</w:t>
      </w:r>
      <w:bookmarkEnd w:id="226"/>
    </w:p>
    <w:p w:rsidR="00CF7286" w:rsidP="00CF7286" w:rsidRDefault="00CF7286">
      <w:pPr>
        <w:rPr>
          <w:i/>
          <w:iCs/>
        </w:rPr>
      </w:pPr>
      <w:bookmarkStart w:name="_Hlk225845093" w:id="227"/>
    </w:p>
    <w:p w:rsidR="00CF7286" w:rsidP="00CF7286" w:rsidRDefault="00CF7286">
      <w:pPr>
        <w:jc w:val="both"/>
        <w:rPr>
          <w:u w:val="single"/>
        </w:rPr>
      </w:pPr>
      <w:r>
        <w:rPr>
          <w:u w:val="single"/>
        </w:rPr>
        <w:t xml:space="preserve">Over de missie </w:t>
      </w:r>
    </w:p>
    <w:p w:rsidR="00CF7286" w:rsidP="00CF7286" w:rsidRDefault="00CF7286">
      <w:pPr>
        <w:jc w:val="both"/>
        <w:rPr>
          <w:u w:val="single"/>
        </w:rPr>
      </w:pPr>
      <w:r>
        <w:t>De NAVO</w:t>
      </w:r>
      <w:r w:rsidR="009210DA">
        <w:t>-</w:t>
      </w:r>
      <w:r>
        <w:t xml:space="preserve">missie in Irak (NMI) is een </w:t>
      </w:r>
      <w:r>
        <w:rPr>
          <w:i/>
          <w:iCs/>
        </w:rPr>
        <w:t>non-combat</w:t>
      </w:r>
      <w:r>
        <w:t>-missie gericht op advisering op institutioneel niveau, opgericht in juli 2018. De missie adviseert de Iraakse veiligheidsinstellingen, waaronder het ministerie van Defensie en het ministerie van Binnenlandse Zaken met zowel militaire als civiele adviseurs. De doelstelling van NMI is tweeledig: (1) bevorderen dat Irak door versterking van de Iraakse veiligheidssector weerstand kan bieden aan (een terugkeer van) ISIS en andere (terroristische) bedreigingen van de stabiliteit en (2) Irak bijstaan in het succesvol aansturen van de veiligheidssector en deze toekomstbestendig inrichten met behulp van NAVO-criteria als uitgangspunt.</w:t>
      </w:r>
    </w:p>
    <w:p w:rsidR="00CF7286" w:rsidP="00CF7286" w:rsidRDefault="00CF7286">
      <w:pPr>
        <w:jc w:val="both"/>
        <w:rPr>
          <w:u w:val="single"/>
        </w:rPr>
      </w:pPr>
    </w:p>
    <w:p w:rsidR="00CF7286" w:rsidP="00CF7286" w:rsidRDefault="00CF7286">
      <w:pPr>
        <w:jc w:val="both"/>
        <w:rPr>
          <w:u w:val="single"/>
        </w:rPr>
      </w:pPr>
      <w:r>
        <w:rPr>
          <w:u w:val="single"/>
        </w:rPr>
        <w:t>Voor de missie relevante ontwikkelingen</w:t>
      </w:r>
    </w:p>
    <w:p w:rsidR="00CF7286" w:rsidP="00CF7286" w:rsidRDefault="00CF7286">
      <w:pPr>
        <w:jc w:val="both"/>
      </w:pPr>
      <w:r>
        <w:t>NMI heeft in de loop van de rapportageperiode de verzelfstandiging van de missie doorgezet en per 1 oktober 2025 de volledige verantwoordelijkheid voor het management van de locatie van de missie (UNION III) overgenomen van OIR. Dit was nodig met oog op het vertrek van de VS geleide missie OIR. Een aantal logistieke en beveiligingstaken die nu nog door de VS worden uitgevoerd moet nog overgenomen worden door andere NAVO-lidstaten of een gecontracteerde partij, omdat het Amerikaanse OIR</w:t>
      </w:r>
      <w:r w:rsidR="009210DA">
        <w:t>-</w:t>
      </w:r>
      <w:r>
        <w:t>personeel is verplaatst van het federale gedeelte van Irak naar de Koerdistan Regio Irak (KRI).</w:t>
      </w:r>
    </w:p>
    <w:p w:rsidR="00CF7286" w:rsidP="00CF7286" w:rsidRDefault="00CF7286">
      <w:pPr>
        <w:jc w:val="both"/>
      </w:pPr>
    </w:p>
    <w:p w:rsidR="00CF7286" w:rsidP="00CF7286" w:rsidRDefault="00CF7286">
      <w:pPr>
        <w:jc w:val="both"/>
      </w:pPr>
      <w:r>
        <w:t xml:space="preserve">De lange termijn doelstellingen van de NAVO-missie in Irak zijn in 2026 herijkt in het kader van een interne herstructurering van de missie. Doel hiervan is de adviserende inzet gerichter, samenhangender en resultaatgerichter vorm te geven. In dat kader zijn 29 bestaande lange termijn doelstellingen, in afstemming met Iraakse partners, ondergebracht in vijf prioritaire clusters: capaciteitsgerichte defensieplanning, crisisbeheersing, beheersing van het luchtruim, digitalisering en opleiding en training. Daarnaast is een nieuwe coördinatiestructuur ingericht, die namens de commandant van de missie toeziet op de sturing, samenhang en voortgang binnen deze prioritaire gebieden. Deze aanpak moet bijdragen aan concretere en beter meetbare resultaten en aan een geleidelijke afbouw van de adviserende activiteiten van de missie. </w:t>
      </w:r>
    </w:p>
    <w:p w:rsidR="00CF7286" w:rsidP="00CF7286" w:rsidRDefault="00CF7286">
      <w:pPr>
        <w:jc w:val="both"/>
      </w:pPr>
    </w:p>
    <w:p w:rsidRPr="0072564D" w:rsidR="00CF7286" w:rsidP="00CF7286" w:rsidRDefault="00CF7286">
      <w:pPr>
        <w:jc w:val="both"/>
      </w:pPr>
      <w:r w:rsidRPr="0072564D">
        <w:t>Naar aanleiding van het conflict in het Midden-Oosten en de</w:t>
      </w:r>
      <w:r w:rsidRPr="003B13E2">
        <w:t xml:space="preserve"> </w:t>
      </w:r>
      <w:r>
        <w:t>daarop volgende</w:t>
      </w:r>
      <w:r w:rsidRPr="0072564D">
        <w:t xml:space="preserve"> zorgelijke situatie in Irak</w:t>
      </w:r>
      <w:r>
        <w:t>,</w:t>
      </w:r>
      <w:r w:rsidRPr="0072564D">
        <w:t xml:space="preserve"> </w:t>
      </w:r>
      <w:r>
        <w:t xml:space="preserve">heeft </w:t>
      </w:r>
      <w:r w:rsidRPr="0072564D">
        <w:t xml:space="preserve">NMI </w:t>
      </w:r>
      <w:r>
        <w:t>zich in</w:t>
      </w:r>
      <w:r w:rsidRPr="0072564D">
        <w:t xml:space="preserve"> maart </w:t>
      </w:r>
      <w:r>
        <w:t xml:space="preserve">2026 teruggetrokken </w:t>
      </w:r>
      <w:r w:rsidRPr="0072564D">
        <w:t>uit Irak</w:t>
      </w:r>
      <w:r>
        <w:t xml:space="preserve">. De missie wordt </w:t>
      </w:r>
      <w:r>
        <w:lastRenderedPageBreak/>
        <w:t xml:space="preserve">met een beperkte omvang zoveel mogelijk voortgezet </w:t>
      </w:r>
      <w:r w:rsidRPr="0072564D">
        <w:t>vanuit Napels. Op dit moment vinden in Brussel en Napels gesprekken plaats over de toekomst van NMI</w:t>
      </w:r>
      <w:r>
        <w:t xml:space="preserve">, waarbij het hervormen van de missie centraal staat. </w:t>
      </w:r>
      <w:r w:rsidR="006D0E90">
        <w:t xml:space="preserve">De </w:t>
      </w:r>
      <w:r w:rsidRPr="00530B1B" w:rsidR="006D0E90">
        <w:rPr>
          <w:iCs/>
        </w:rPr>
        <w:t>Iraakse autoriteiten hebben de wens uitgesproken tot een strategisch partnerschap met de NAVO te komen.</w:t>
      </w:r>
      <w:r w:rsidR="006D0E90">
        <w:rPr>
          <w:iCs/>
        </w:rPr>
        <w:t xml:space="preserve"> </w:t>
      </w:r>
      <w:r>
        <w:t xml:space="preserve">Het kabinet is van mening dat de NAVO </w:t>
      </w:r>
      <w:r w:rsidR="006D0E90">
        <w:t xml:space="preserve">daarnaar </w:t>
      </w:r>
      <w:r>
        <w:t xml:space="preserve">moet toewerken naar een strategisch partnerschap met Irak met oog voor </w:t>
      </w:r>
      <w:r w:rsidRPr="00E83846">
        <w:t>het bestendigen van duurzame stabiliteit gezien de potentiële impact op extremisme</w:t>
      </w:r>
      <w:r>
        <w:t xml:space="preserve">, </w:t>
      </w:r>
      <w:r w:rsidRPr="00E83846">
        <w:t>terrorisme</w:t>
      </w:r>
      <w:r>
        <w:t xml:space="preserve"> en </w:t>
      </w:r>
      <w:r w:rsidRPr="00E83846">
        <w:t>irreguliere migratie.</w:t>
      </w:r>
      <w:r>
        <w:t xml:space="preserve"> </w:t>
      </w:r>
    </w:p>
    <w:p w:rsidR="00CF7286" w:rsidP="00CF7286" w:rsidRDefault="00CF7286">
      <w:pPr>
        <w:jc w:val="both"/>
        <w:rPr>
          <w:u w:val="single"/>
        </w:rPr>
      </w:pPr>
    </w:p>
    <w:p w:rsidRPr="0072564D" w:rsidR="00CF7286" w:rsidP="00CF7286" w:rsidRDefault="00CF7286">
      <w:pPr>
        <w:jc w:val="both"/>
        <w:rPr>
          <w:u w:val="single"/>
        </w:rPr>
      </w:pPr>
      <w:r w:rsidRPr="0072564D">
        <w:rPr>
          <w:u w:val="single"/>
        </w:rPr>
        <w:t>Militaire bijdrage</w:t>
      </w:r>
    </w:p>
    <w:p w:rsidRPr="0072564D" w:rsidR="00CF7286" w:rsidP="00CF7286" w:rsidRDefault="00CF7286">
      <w:pPr>
        <w:jc w:val="both"/>
      </w:pPr>
      <w:r w:rsidRPr="0072564D">
        <w:t xml:space="preserve">De Nederlandse bijdrage aan NMI </w:t>
      </w:r>
      <w:r>
        <w:t>bestond in de rapportageperiode</w:t>
      </w:r>
      <w:r w:rsidRPr="0072564D">
        <w:t xml:space="preserve"> uit </w:t>
      </w:r>
      <w:r>
        <w:t>maximaal</w:t>
      </w:r>
      <w:r w:rsidR="001C00DE">
        <w:t xml:space="preserve"> circa</w:t>
      </w:r>
      <w:r w:rsidRPr="0072564D">
        <w:t xml:space="preserve"> </w:t>
      </w:r>
      <w:r>
        <w:t>tien</w:t>
      </w:r>
      <w:r w:rsidRPr="0072564D">
        <w:t xml:space="preserve"> militai</w:t>
      </w:r>
      <w:r w:rsidR="001C00DE">
        <w:t>r adviseur</w:t>
      </w:r>
      <w:r w:rsidRPr="0072564D" w:rsidR="001C00DE">
        <w:t>s</w:t>
      </w:r>
      <w:r w:rsidRPr="003B13E2">
        <w:t xml:space="preserve"> </w:t>
      </w:r>
      <w:r>
        <w:t>maximaal</w:t>
      </w:r>
      <w:r w:rsidRPr="0072564D">
        <w:t xml:space="preserve"> </w:t>
      </w:r>
      <w:r>
        <w:t xml:space="preserve">tien </w:t>
      </w:r>
      <w:r w:rsidRPr="0072564D">
        <w:t xml:space="preserve">civiele </w:t>
      </w:r>
      <w:r>
        <w:t>experts</w:t>
      </w:r>
      <w:r w:rsidRPr="0072564D">
        <w:t xml:space="preserve">. Daarnaast leverde Nederland tot en met mei 2025 het </w:t>
      </w:r>
      <w:r w:rsidRPr="003B13E2">
        <w:rPr>
          <w:i/>
          <w:iCs/>
        </w:rPr>
        <w:t>Force Command (</w:t>
      </w:r>
      <w:r w:rsidRPr="0072564D">
        <w:t xml:space="preserve">FC) en tot en met juni 2025 de </w:t>
      </w:r>
      <w:r w:rsidRPr="003B13E2">
        <w:rPr>
          <w:i/>
          <w:iCs/>
        </w:rPr>
        <w:t>Force Protection</w:t>
      </w:r>
      <w:r w:rsidRPr="0072564D">
        <w:t xml:space="preserve"> (FP).</w:t>
      </w:r>
    </w:p>
    <w:p w:rsidRPr="0072564D" w:rsidR="00CF7286" w:rsidP="00CF7286" w:rsidRDefault="00CF7286">
      <w:pPr>
        <w:jc w:val="both"/>
        <w:rPr>
          <w:i/>
        </w:rPr>
      </w:pPr>
    </w:p>
    <w:p w:rsidRPr="007A6587" w:rsidR="00CF7286" w:rsidP="00CF7286" w:rsidRDefault="00CF7286">
      <w:pPr>
        <w:jc w:val="both"/>
        <w:rPr>
          <w:i/>
        </w:rPr>
      </w:pPr>
      <w:r w:rsidRPr="007A6587">
        <w:rPr>
          <w:i/>
        </w:rPr>
        <w:t>Force Command</w:t>
      </w:r>
      <w:r w:rsidRPr="007A6587">
        <w:rPr>
          <w:i/>
          <w:iCs/>
        </w:rPr>
        <w:t xml:space="preserve"> en Senior C</w:t>
      </w:r>
      <w:r w:rsidRPr="0072564D">
        <w:rPr>
          <w:i/>
          <w:iCs/>
        </w:rPr>
        <w:t>ivillian</w:t>
      </w:r>
    </w:p>
    <w:p w:rsidR="00CF7286" w:rsidP="00CF7286" w:rsidRDefault="00CF7286">
      <w:pPr>
        <w:jc w:val="both"/>
      </w:pPr>
      <w:r>
        <w:t>Op 22 mei 2025 droeg Nederland het FC van NMI over aan Frankrijk. Nederland kijkt positief terug op de periode waarin he</w:t>
      </w:r>
      <w:r w:rsidR="00BA6EB7">
        <w:t>t FC vervulde</w:t>
      </w:r>
      <w:r>
        <w:t>. De belangrijkste prioriteit was de missie voor te bereiden op het verzelfstandigen van de NMI ten opzichte van OIR in Irak; deze taak heeft de Commandant NMI grotendeels kunnen volbrengen. Deze belangrijke taak is voortgezet door de Fran</w:t>
      </w:r>
      <w:r w:rsidR="00BA6EB7">
        <w:t>se opvolger van de Nederlandse commandant van NMI.</w:t>
      </w:r>
      <w:r>
        <w:t xml:space="preserve"> Inhoudelijk heeft de Nederlandse generaal zich samen met de missieleden ingespannen om de eerder genoemde lange termijn doelstellingen opnieuw vorm te geven. Daarbij werden de doelstellingen meetbaarder gemaakt door deze </w:t>
      </w:r>
      <w:r>
        <w:rPr>
          <w:i/>
        </w:rPr>
        <w:t xml:space="preserve">conditions based </w:t>
      </w:r>
      <w:r>
        <w:t xml:space="preserve">in plaats van </w:t>
      </w:r>
      <w:r>
        <w:rPr>
          <w:i/>
        </w:rPr>
        <w:t>time based</w:t>
      </w:r>
      <w:r>
        <w:t xml:space="preserve"> vorm te geven. Daarnaast was een belangrijke prioriteit het opstarten en verder ontwikkelen van een politiek partnerschap tussen de NAVO en Irak. Ook op dit terrein heeft de missie stappen gezet.</w:t>
      </w:r>
    </w:p>
    <w:p w:rsidR="00CF7286" w:rsidP="00CF7286" w:rsidRDefault="00CF7286">
      <w:pPr>
        <w:jc w:val="both"/>
      </w:pPr>
    </w:p>
    <w:p w:rsidRPr="00696C80" w:rsidR="00CF7286" w:rsidP="00CF7286" w:rsidRDefault="00CF7286">
      <w:pPr>
        <w:jc w:val="both"/>
      </w:pPr>
      <w:r w:rsidRPr="00696C80">
        <w:t xml:space="preserve">Na </w:t>
      </w:r>
      <w:r>
        <w:t xml:space="preserve">de overdracht van het FC heeft Nederland ervoor gekozen om de functie van </w:t>
      </w:r>
      <w:r w:rsidRPr="00080B28">
        <w:rPr>
          <w:i/>
          <w:iCs/>
        </w:rPr>
        <w:t>Senior Civilian</w:t>
      </w:r>
      <w:r>
        <w:t xml:space="preserve"> te blijven leveren</w:t>
      </w:r>
      <w:r w:rsidR="00BA6EB7">
        <w:t xml:space="preserve">. </w:t>
      </w:r>
      <w:r>
        <w:t>Hiermee</w:t>
      </w:r>
      <w:r w:rsidRPr="00696C80">
        <w:t xml:space="preserve"> blijft Nederland op hoog politiek-diplomatiek</w:t>
      </w:r>
      <w:r>
        <w:t xml:space="preserve"> </w:t>
      </w:r>
      <w:r w:rsidRPr="00696C80">
        <w:t>niveau</w:t>
      </w:r>
      <w:r>
        <w:t xml:space="preserve"> betr</w:t>
      </w:r>
      <w:r w:rsidRPr="00696C80">
        <w:t>okken bij de verdere uitvoering en strategische aansturing van de missie.</w:t>
      </w:r>
      <w:r>
        <w:t xml:space="preserve"> </w:t>
      </w:r>
    </w:p>
    <w:p w:rsidR="00CF7286" w:rsidP="00CF7286" w:rsidRDefault="00CF7286">
      <w:pPr>
        <w:jc w:val="both"/>
      </w:pPr>
    </w:p>
    <w:p w:rsidR="00CF7286" w:rsidP="00CF7286" w:rsidRDefault="00CF7286">
      <w:pPr>
        <w:jc w:val="both"/>
        <w:rPr>
          <w:i/>
          <w:iCs/>
        </w:rPr>
      </w:pPr>
      <w:r>
        <w:rPr>
          <w:i/>
          <w:iCs/>
        </w:rPr>
        <w:t>Adviseurs</w:t>
      </w:r>
    </w:p>
    <w:p w:rsidR="00CF7286" w:rsidP="00CF7286" w:rsidRDefault="00CF7286">
      <w:pPr>
        <w:jc w:val="both"/>
      </w:pPr>
      <w:r>
        <w:t xml:space="preserve">Nederlandse adviseurs hebben bijgedragen aan de ontwikkeling van verschillende nationale strategieën op het gebied van veiligheid en aan de implementatie daarvan bij de verschillende stakeholders zoals de Ministeries van Defensie en Binnenlandse Zaken en de </w:t>
      </w:r>
      <w:r w:rsidRPr="00E83846">
        <w:rPr>
          <w:i/>
          <w:iCs/>
        </w:rPr>
        <w:t>Office of the National Security Advisor</w:t>
      </w:r>
      <w:r>
        <w:t xml:space="preserve"> (ONSA). Het advieswerk betreft voornamelijk de thema's hervorming van de veiligheidssector (SSR), </w:t>
      </w:r>
      <w:r w:rsidRPr="00E83846">
        <w:rPr>
          <w:i/>
          <w:iCs/>
        </w:rPr>
        <w:t>governance</w:t>
      </w:r>
      <w:r>
        <w:t>, bescherming van burgers, civiel-militaire samenwerking, veiligheid en klimaat, en "</w:t>
      </w:r>
      <w:r w:rsidRPr="00E83846">
        <w:rPr>
          <w:i/>
          <w:iCs/>
        </w:rPr>
        <w:t>Building Integrity</w:t>
      </w:r>
      <w:r>
        <w:t xml:space="preserve">". Voor laatstgenoemde strategie ondersteunen Nederlandse adviseurs het hoger comité verantwoordelijk voor de uitvoering. Daarnaast hebben adviseurs meerdere trainingen en workshops gehouden op deze thema's op strategisch niveau binnen de verschillende instituties, alsmede bijgedragen aan de ontwikkeling en implementatie van projecten in het kader van het </w:t>
      </w:r>
      <w:r w:rsidRPr="00E83846">
        <w:rPr>
          <w:i/>
          <w:iCs/>
        </w:rPr>
        <w:t>Defence Capacity Building</w:t>
      </w:r>
      <w:r>
        <w:t xml:space="preserve"> programma van de NAVO. Nederlandse adviseurs hebben in de rapportageperiode een bepalende rol gespeeld in het creëren van momentum voor SSR in Irak, in nauwe samenwerking met de andere internationale organisaties werkzaam op dit terrein. </w:t>
      </w:r>
      <w:r w:rsidRPr="003B13E2">
        <w:t>Daarmee heeft NMI, mede dankzij de Nederlandse bijdrage, een betekenisvolle en concrete bijdrage kunnen leveren aan de versterking van de Iraakse veiligheidssector. Tegelijkertijd betreft het werkzaamheden in een complexe en weerbarstige context, hetgeen realisme vergt ten aanzien van de tot op heden gerealiseerde stappen en de verdere voortgang</w:t>
      </w:r>
      <w:r>
        <w:t>.</w:t>
      </w:r>
    </w:p>
    <w:p w:rsidRPr="0072564D" w:rsidR="00CF7286" w:rsidP="00CF7286" w:rsidRDefault="00CF7286">
      <w:pPr>
        <w:jc w:val="both"/>
      </w:pPr>
    </w:p>
    <w:p w:rsidR="00CF7286" w:rsidP="00CF7286" w:rsidRDefault="00CF7286">
      <w:pPr>
        <w:jc w:val="both"/>
        <w:rPr>
          <w:i/>
          <w:iCs/>
        </w:rPr>
      </w:pPr>
      <w:r>
        <w:rPr>
          <w:i/>
          <w:iCs/>
        </w:rPr>
        <w:t>Force Protection</w:t>
      </w:r>
    </w:p>
    <w:bookmarkEnd w:id="227"/>
    <w:p w:rsidR="00CF7286" w:rsidP="00CF7286" w:rsidRDefault="00CF7286">
      <w:pPr>
        <w:jc w:val="both"/>
      </w:pPr>
      <w:r>
        <w:t xml:space="preserve">Vanaf januari 2024 tot en met eind juni 2025 droeg Nederland met een </w:t>
      </w:r>
      <w:r>
        <w:rPr>
          <w:i/>
          <w:iCs/>
        </w:rPr>
        <w:t xml:space="preserve">force protection </w:t>
      </w:r>
      <w:r>
        <w:t>compagnie bij aan de veiligheid van de adviseurs van de NAVO</w:t>
      </w:r>
      <w:r w:rsidR="009210DA">
        <w:t>-</w:t>
      </w:r>
      <w:r>
        <w:t xml:space="preserve">missie. De eenheid voerde de taken uit vanaf Camp UNION III in Bagdad door adviseurs van de missie met </w:t>
      </w:r>
      <w:r>
        <w:lastRenderedPageBreak/>
        <w:t xml:space="preserve">gepantserde voertuigen te verplaatsen door het operatiegebied van NMI. De eenheid heeft de taak succesvol afgerond en overgedragen aan Roemenië. </w:t>
      </w:r>
    </w:p>
    <w:p w:rsidR="00CF7286" w:rsidP="00CF7286" w:rsidRDefault="00CF7286">
      <w:pPr>
        <w:jc w:val="both"/>
      </w:pPr>
    </w:p>
    <w:p w:rsidRPr="00F230E0" w:rsidR="00CF7286" w:rsidP="00CF7286" w:rsidRDefault="00CF7286">
      <w:pPr>
        <w:jc w:val="both"/>
        <w:rPr>
          <w:i/>
        </w:rPr>
      </w:pPr>
      <w:r>
        <w:rPr>
          <w:i/>
          <w:iCs/>
        </w:rPr>
        <w:t>IOB evaluatie</w:t>
      </w:r>
    </w:p>
    <w:p w:rsidRPr="00123A7B" w:rsidR="00CF7286" w:rsidP="00CF7286" w:rsidRDefault="00CF7286">
      <w:pPr>
        <w:pStyle w:val="Standaardcursief"/>
        <w:rPr>
          <w:i w:val="0"/>
          <w:iCs/>
        </w:rPr>
      </w:pPr>
      <w:r>
        <w:rPr>
          <w:i w:val="0"/>
          <w:iCs/>
        </w:rPr>
        <w:t>M</w:t>
      </w:r>
      <w:r w:rsidR="00683DE2">
        <w:rPr>
          <w:i w:val="0"/>
          <w:iCs/>
        </w:rPr>
        <w:t>et de</w:t>
      </w:r>
      <w:r w:rsidRPr="00123A7B">
        <w:rPr>
          <w:i w:val="0"/>
          <w:iCs/>
        </w:rPr>
        <w:t xml:space="preserve"> beëindiging van de grootschalige N</w:t>
      </w:r>
      <w:r>
        <w:rPr>
          <w:i w:val="0"/>
          <w:iCs/>
        </w:rPr>
        <w:t>ederlandse</w:t>
      </w:r>
      <w:r w:rsidRPr="00123A7B">
        <w:rPr>
          <w:i w:val="0"/>
          <w:iCs/>
        </w:rPr>
        <w:t xml:space="preserve"> militaire inzet in Irak in juni </w:t>
      </w:r>
      <w:r>
        <w:rPr>
          <w:i w:val="0"/>
          <w:iCs/>
        </w:rPr>
        <w:t>2025</w:t>
      </w:r>
      <w:r w:rsidRPr="00123A7B">
        <w:rPr>
          <w:i w:val="0"/>
          <w:iCs/>
        </w:rPr>
        <w:t xml:space="preserve"> en </w:t>
      </w:r>
      <w:r>
        <w:rPr>
          <w:i w:val="0"/>
          <w:iCs/>
        </w:rPr>
        <w:t>aan</w:t>
      </w:r>
      <w:r w:rsidRPr="00123A7B">
        <w:rPr>
          <w:i w:val="0"/>
          <w:iCs/>
        </w:rPr>
        <w:t>gezien er op korte termijn geen hernieuwde grootschalige N</w:t>
      </w:r>
      <w:r>
        <w:rPr>
          <w:i w:val="0"/>
          <w:iCs/>
        </w:rPr>
        <w:t>ederlandse</w:t>
      </w:r>
      <w:r w:rsidRPr="00123A7B">
        <w:rPr>
          <w:i w:val="0"/>
          <w:iCs/>
        </w:rPr>
        <w:t xml:space="preserve"> militaire presentie in Irak</w:t>
      </w:r>
      <w:r>
        <w:rPr>
          <w:i w:val="0"/>
          <w:iCs/>
        </w:rPr>
        <w:t xml:space="preserve"> voorzien</w:t>
      </w:r>
      <w:r w:rsidRPr="00123A7B">
        <w:rPr>
          <w:i w:val="0"/>
          <w:iCs/>
        </w:rPr>
        <w:t xml:space="preserve"> is</w:t>
      </w:r>
      <w:r>
        <w:rPr>
          <w:i w:val="0"/>
          <w:iCs/>
        </w:rPr>
        <w:t xml:space="preserve">, heeft het kabinet, conform het Artikel 100 Toetsingskader, de Directie Internationaal Onderzoek en Beleidsevaluaties (IOB) de opdracht gegeven de Nederlandse bijdragen aan missies in Irak (2014-2025) te evalueren. </w:t>
      </w:r>
    </w:p>
    <w:p w:rsidRPr="00434565" w:rsidR="00CF7286" w:rsidP="00CF7286" w:rsidRDefault="00CF7286">
      <w:r w:rsidRPr="00F230E0" w:rsidDel="0099186E">
        <w:rPr>
          <w:i/>
        </w:rPr>
        <w:t xml:space="preserve"> </w:t>
      </w:r>
    </w:p>
    <w:p w:rsidRPr="00723218" w:rsidR="00CF7286" w:rsidP="00CF7286" w:rsidRDefault="00CF7286">
      <w:pPr>
        <w:pStyle w:val="Heading3"/>
        <w:numPr>
          <w:ilvl w:val="2"/>
          <w:numId w:val="16"/>
        </w:numPr>
        <w:jc w:val="both"/>
        <w:rPr>
          <w:rFonts w:ascii="Calibri" w:hAnsi="Calibri" w:eastAsia="Calibri" w:cs="Calibri"/>
          <w:b/>
          <w:i w:val="0"/>
          <w:sz w:val="22"/>
          <w:szCs w:val="22"/>
          <w:lang w:eastAsia="nl-NL"/>
        </w:rPr>
      </w:pPr>
      <w:bookmarkStart w:name="_Toc227756572" w:id="228"/>
      <w:r w:rsidRPr="00F41649">
        <w:rPr>
          <w:lang w:val="es-ES"/>
        </w:rPr>
        <w:t>OIR</w:t>
      </w:r>
      <w:bookmarkEnd w:id="228"/>
    </w:p>
    <w:p w:rsidR="00CF7286" w:rsidP="00CF7286" w:rsidRDefault="00CF7286">
      <w:pPr>
        <w:pStyle w:val="Caption"/>
        <w:jc w:val="both"/>
      </w:pPr>
      <w:r w:rsidRPr="00705203">
        <w:rPr>
          <w:b w:val="0"/>
          <w:sz w:val="18"/>
          <w:szCs w:val="18"/>
          <w:u w:val="single"/>
        </w:rPr>
        <w:t xml:space="preserve">Over de missie </w:t>
      </w:r>
    </w:p>
    <w:p w:rsidRPr="00705203" w:rsidR="00CF7286" w:rsidP="00CF7286" w:rsidRDefault="00CF7286">
      <w:pPr>
        <w:spacing w:line="276" w:lineRule="auto"/>
        <w:jc w:val="both"/>
        <w:rPr>
          <w:color w:val="000000"/>
          <w:u w:val="single"/>
        </w:rPr>
      </w:pPr>
      <w:r w:rsidRPr="005B7B59">
        <w:t>Operation Inherent Resolve</w:t>
      </w:r>
      <w:r w:rsidRPr="00705203">
        <w:t xml:space="preserve"> </w:t>
      </w:r>
      <w:r>
        <w:t>(</w:t>
      </w:r>
      <w:r w:rsidRPr="006410A5">
        <w:t xml:space="preserve">OIR) is een VS geleide operatie </w:t>
      </w:r>
      <w:r>
        <w:t>ge</w:t>
      </w:r>
      <w:r w:rsidRPr="006410A5">
        <w:t xml:space="preserve"> richt op het </w:t>
      </w:r>
      <w:r>
        <w:t>bestrijden en</w:t>
      </w:r>
      <w:r w:rsidRPr="006410A5">
        <w:t xml:space="preserve"> </w:t>
      </w:r>
      <w:r w:rsidRPr="00064693">
        <w:rPr>
          <w:szCs w:val="18"/>
        </w:rPr>
        <w:t>duurzaam</w:t>
      </w:r>
      <w:r w:rsidRPr="006410A5">
        <w:t xml:space="preserve"> verslaan van ISIS. Ondanks dat ISIS territoriaal verslagen is, vormt de groepering met name in Syrië nog een dreiging.</w:t>
      </w:r>
      <w:r w:rsidRPr="006410A5">
        <w:rPr>
          <w:i/>
        </w:rPr>
        <w:t xml:space="preserve"> </w:t>
      </w:r>
      <w:r w:rsidRPr="006410A5">
        <w:t xml:space="preserve">OIR opereert onder de anti-ISIS coalitie, een coalitie die bestaat uit ruim </w:t>
      </w:r>
      <w:r>
        <w:t>tachtig</w:t>
      </w:r>
      <w:r w:rsidRPr="006410A5">
        <w:t xml:space="preserve"> landen. OIR levert advies, assisteert en ondersteunt partnerlanden, totdat deze zelfstandig in staat zijn ISIS te verslaan. </w:t>
      </w:r>
    </w:p>
    <w:p w:rsidRPr="00810088" w:rsidR="00CF7286" w:rsidP="00CF7286" w:rsidRDefault="00CF7286">
      <w:pPr>
        <w:spacing w:line="276" w:lineRule="auto"/>
        <w:jc w:val="both"/>
        <w:rPr>
          <w:u w:val="single"/>
        </w:rPr>
      </w:pPr>
    </w:p>
    <w:p w:rsidR="00CF7286" w:rsidP="00CF7286" w:rsidRDefault="00CF7286">
      <w:pPr>
        <w:spacing w:line="276" w:lineRule="auto"/>
        <w:jc w:val="both"/>
        <w:rPr>
          <w:u w:val="single"/>
        </w:rPr>
      </w:pPr>
      <w:r w:rsidRPr="00810088">
        <w:rPr>
          <w:u w:val="single"/>
        </w:rPr>
        <w:t>Voor de missie relevante ontwikkelingen</w:t>
      </w:r>
    </w:p>
    <w:p w:rsidR="00CF7286" w:rsidP="00CF7286" w:rsidRDefault="00CF7286">
      <w:pPr>
        <w:spacing w:line="276" w:lineRule="auto"/>
        <w:jc w:val="both"/>
      </w:pPr>
      <w:r>
        <w:t>In d</w:t>
      </w:r>
      <w:r w:rsidRPr="00705203">
        <w:t xml:space="preserve">e afgelopen rapportageperiode stond OIR in het teken van de </w:t>
      </w:r>
      <w:r>
        <w:t>een</w:t>
      </w:r>
      <w:r w:rsidRPr="00705203">
        <w:t xml:space="preserve"> transitie </w:t>
      </w:r>
      <w:r>
        <w:t>(</w:t>
      </w:r>
      <w:r w:rsidRPr="00705203">
        <w:t>OIR 2.0</w:t>
      </w:r>
      <w:r>
        <w:t>)</w:t>
      </w:r>
      <w:r w:rsidRPr="00652FD5">
        <w:t xml:space="preserve"> </w:t>
      </w:r>
      <w:r>
        <w:t>van de missie met het oog op de committering van de VS en Irak om deze te beëindigen (OIR stopte in Irak per oktober 2025) en de focus van de aanpak te verleggen naar Syrië.</w:t>
      </w:r>
      <w:r w:rsidRPr="00705203">
        <w:t xml:space="preserve"> </w:t>
      </w:r>
    </w:p>
    <w:p w:rsidR="00CF7286" w:rsidP="00CF7286" w:rsidRDefault="00CF7286">
      <w:pPr>
        <w:spacing w:line="276" w:lineRule="auto"/>
        <w:jc w:val="both"/>
      </w:pPr>
    </w:p>
    <w:p w:rsidR="00CF7286" w:rsidP="00CF7286" w:rsidRDefault="00CF7286">
      <w:pPr>
        <w:spacing w:line="276" w:lineRule="auto"/>
        <w:jc w:val="both"/>
      </w:pPr>
      <w:r w:rsidRPr="00705203">
        <w:t xml:space="preserve">De primaire reden hiervoor is het succes dat de anti-ISIS coalitie heeft behaald in en met Irak. De Iraakse strijdkrachten zijn inmiddels in staat </w:t>
      </w:r>
      <w:r>
        <w:t>zelfstandig</w:t>
      </w:r>
      <w:r w:rsidRPr="00705203">
        <w:t xml:space="preserve"> operaties uit te voeren en de dreiging vanuit ISIS te beheersen. </w:t>
      </w:r>
      <w:r>
        <w:t xml:space="preserve">Tegelijkertijd is ISIS nog in grotere mate actief in Syrië (onder andere met een dodelijke aanslag op drie Amerikaanse soldaten eind 2025), terwijl de CT-capaciteit van de Syrische overgangsregering – die in november 2025 toetrad tot de anti-ISIS coalitie - nog beperkt is. </w:t>
      </w:r>
    </w:p>
    <w:p w:rsidR="00CF7286" w:rsidP="00CF7286" w:rsidRDefault="00CF7286">
      <w:pPr>
        <w:spacing w:line="276" w:lineRule="auto"/>
        <w:jc w:val="both"/>
        <w:rPr>
          <w:i/>
        </w:rPr>
      </w:pPr>
    </w:p>
    <w:p w:rsidR="00CF7286" w:rsidP="00CF7286" w:rsidRDefault="00CF7286">
      <w:pPr>
        <w:spacing w:line="276" w:lineRule="auto"/>
        <w:jc w:val="both"/>
      </w:pPr>
      <w:r>
        <w:t xml:space="preserve">In de rapportageperiode was er impact op de operatie door verschillende ontwikkelingen in de regio. Na moeizame onderhandelingen tussen de Syrische overgangsregering en de (Koerdisch gedomineerde) </w:t>
      </w:r>
      <w:r w:rsidRPr="00705203">
        <w:rPr>
          <w:i/>
        </w:rPr>
        <w:t>Syrian Democratic Forces</w:t>
      </w:r>
      <w:r>
        <w:t xml:space="preserve"> (SDF) over de integratie van Noordoost-Syrië en de SDF in de Syrische staatsstructuren, ontstonden in januari jl. gevechten.</w:t>
      </w:r>
      <w:r w:rsidRPr="00652FD5">
        <w:t xml:space="preserve"> </w:t>
      </w:r>
      <w:r>
        <w:t xml:space="preserve">Sinds 30 januari jl. geldt een staakt-het-vuren en verloopt de integratie geleidelijk. De VS, die de SDF jarenlang politiek en militair steunde, heeft significante druk op de SDF uitgeoefend deze integratie te accepteren en heeft in dit proces diens primaire steun toegezegd aan de Syrische overgangsregering. Op het gebied van CT heeft de VS er voor gekozen niet langer met de SDF samen te werken, maar met </w:t>
      </w:r>
      <w:r w:rsidR="006D0E90">
        <w:t xml:space="preserve">de Syrische overgangsregering. </w:t>
      </w:r>
      <w:r>
        <w:t>Daarmee stopte de lange en sterke relatie tussen de VS en de SDF.</w:t>
      </w:r>
    </w:p>
    <w:p w:rsidR="00CF7286" w:rsidP="00CF7286" w:rsidRDefault="00CF7286">
      <w:pPr>
        <w:spacing w:line="276" w:lineRule="auto"/>
        <w:jc w:val="both"/>
      </w:pPr>
    </w:p>
    <w:p w:rsidR="00CF7286" w:rsidP="00CF7286" w:rsidRDefault="00CF7286">
      <w:pPr>
        <w:spacing w:line="276" w:lineRule="auto"/>
        <w:jc w:val="both"/>
      </w:pPr>
      <w:r>
        <w:t>Tijdens de gevechten tussen het Syrische leger en de SDF is de bewaking van meerdere gevangenissen met (voormalig) ISIS-strijders in Noordoost Syrië, die onder controle stonden van de SDF, onder druk komen</w:t>
      </w:r>
      <w:r w:rsidRPr="006410A5">
        <w:t xml:space="preserve"> </w:t>
      </w:r>
      <w:r>
        <w:t xml:space="preserve">te staan. De VS heeft om deze reden een grootschalige verplaatsingsoperatie opgezet waarin circa 5.700 ISIS-strijders zijn verplaatst naar gevangenissen in Irak. Kort na deze ontwikkeling </w:t>
      </w:r>
      <w:r w:rsidR="00F63603">
        <w:t>volgende</w:t>
      </w:r>
      <w:r>
        <w:t xml:space="preserve"> de eerder genoemde </w:t>
      </w:r>
      <w:r w:rsidR="00F63603">
        <w:t>aanval van de VS en Israël op</w:t>
      </w:r>
      <w:r>
        <w:t xml:space="preserve"> Iran. De VS besloot daarop een operationele pauze in te lassen binnen OIR en heeft uit veiligheidsoverwegingen alle troepen vroegtijdig verplaatst zowel binnen als buiten de regio. Tot op heden liggen alle activiteiten van OIR in de regio stil.  </w:t>
      </w:r>
    </w:p>
    <w:p w:rsidR="00CF7286" w:rsidP="00CF7286" w:rsidRDefault="00CF7286">
      <w:pPr>
        <w:spacing w:line="276" w:lineRule="auto"/>
        <w:jc w:val="both"/>
        <w:rPr>
          <w:color w:val="000000"/>
          <w:u w:val="single"/>
        </w:rPr>
      </w:pPr>
    </w:p>
    <w:p w:rsidRPr="00AF1BD6" w:rsidR="00CF7286" w:rsidP="00CF7286" w:rsidRDefault="00CF7286">
      <w:pPr>
        <w:spacing w:line="276" w:lineRule="auto"/>
        <w:jc w:val="both"/>
        <w:rPr>
          <w:color w:val="000000"/>
          <w:u w:val="single"/>
        </w:rPr>
      </w:pPr>
      <w:r w:rsidRPr="006410A5">
        <w:lastRenderedPageBreak/>
        <w:t xml:space="preserve">Vanaf de zomer van 2026 zal OIR, conform de eerder genoemde overeenkomst tussen Irak en de VS, volledig stoppen met activiteiten in Irak. Wel blijft Irak mogelijk een militair partner op logistiek gebied om de operaties van OIR in Syrië te kunnen ondersteunen. </w:t>
      </w:r>
      <w:r>
        <w:rPr>
          <w:color w:val="000000"/>
        </w:rPr>
        <w:t>Daarnaast blijft Irak een volwaardig partner binnen de anti-ISIS coalitie.</w:t>
      </w:r>
    </w:p>
    <w:p w:rsidRPr="00810088" w:rsidR="00CF7286" w:rsidP="00CF7286" w:rsidRDefault="00CF7286">
      <w:pPr>
        <w:spacing w:line="276" w:lineRule="auto"/>
        <w:jc w:val="both"/>
        <w:rPr>
          <w:u w:val="single"/>
        </w:rPr>
      </w:pPr>
    </w:p>
    <w:p w:rsidRPr="00810088" w:rsidR="00CF7286" w:rsidP="00CF7286" w:rsidRDefault="00CF7286">
      <w:pPr>
        <w:spacing w:line="276" w:lineRule="auto"/>
        <w:jc w:val="both"/>
        <w:rPr>
          <w:u w:val="single"/>
        </w:rPr>
      </w:pPr>
      <w:r w:rsidRPr="00810088">
        <w:rPr>
          <w:u w:val="single"/>
        </w:rPr>
        <w:t>Militaire bijdrage</w:t>
      </w:r>
    </w:p>
    <w:p w:rsidRPr="00CF4F17" w:rsidR="00CF7286" w:rsidP="00CF7286" w:rsidRDefault="00CF7286">
      <w:pPr>
        <w:jc w:val="both"/>
      </w:pPr>
      <w:r>
        <w:t xml:space="preserve">Nederland droeg in de afgelopen rapportage periode met verschillende adviseurs en stafofficieren bij aan de operatie. Nederland droeg opnieuw bij aan de advisering binnen het </w:t>
      </w:r>
      <w:r>
        <w:rPr>
          <w:i/>
        </w:rPr>
        <w:t xml:space="preserve">Joint Command Advisory Team North </w:t>
      </w:r>
      <w:r w:rsidRPr="00705203">
        <w:t>(JOCAT-N)</w:t>
      </w:r>
      <w:r>
        <w:t xml:space="preserve">, een team dat zich richt op strategische advisering binnen het hervormingsprogramma van het </w:t>
      </w:r>
      <w:r>
        <w:rPr>
          <w:i/>
        </w:rPr>
        <w:t xml:space="preserve">Ministry of Peshmerga </w:t>
      </w:r>
      <w:r>
        <w:t xml:space="preserve">in het noorden van Irak. Daarnaast werkte er stafofficieren op het hoofdkwartier van OIR in Bagdad en later in Erbil, bij het </w:t>
      </w:r>
      <w:r>
        <w:rPr>
          <w:i/>
        </w:rPr>
        <w:t xml:space="preserve">Combined Air Operations Centre </w:t>
      </w:r>
      <w:r>
        <w:t xml:space="preserve">(CAOC) in Qatar en het </w:t>
      </w:r>
      <w:r>
        <w:rPr>
          <w:i/>
        </w:rPr>
        <w:t>Central Command</w:t>
      </w:r>
      <w:r>
        <w:t xml:space="preserve"> in Tampa VS.</w:t>
      </w:r>
      <w:r w:rsidRPr="00CF4F17">
        <w:t xml:space="preserve"> </w:t>
      </w:r>
      <w:r w:rsidRPr="00F3676D">
        <w:t xml:space="preserve">Naar aanleiding van het conflict in het Midden-Oosten en de daarop volgende </w:t>
      </w:r>
      <w:r>
        <w:t xml:space="preserve">zorgelijke situatie in Irak, hebben de nog aanwezige functionarissen van OIR zich </w:t>
      </w:r>
      <w:r w:rsidRPr="00F3676D">
        <w:t xml:space="preserve">in maart </w:t>
      </w:r>
      <w:r>
        <w:t>terugge</w:t>
      </w:r>
      <w:r w:rsidRPr="00F3676D">
        <w:t>trokken uit Irak</w:t>
      </w:r>
      <w:r>
        <w:t>.</w:t>
      </w:r>
    </w:p>
    <w:p w:rsidR="00CF7286" w:rsidP="00CF7286" w:rsidRDefault="00CF7286">
      <w:pPr>
        <w:jc w:val="both"/>
        <w:rPr>
          <w:iCs/>
        </w:rPr>
      </w:pPr>
    </w:p>
    <w:p w:rsidRPr="00D671E5" w:rsidR="00CF7286" w:rsidP="00CF7286" w:rsidRDefault="00CF7286">
      <w:pPr>
        <w:jc w:val="both"/>
        <w:rPr>
          <w:iCs/>
        </w:rPr>
      </w:pPr>
    </w:p>
    <w:p w:rsidRPr="00D96E4C" w:rsidR="00CF7286" w:rsidP="00CF7286" w:rsidRDefault="00CF7286">
      <w:pPr>
        <w:pStyle w:val="Heading3"/>
        <w:numPr>
          <w:ilvl w:val="2"/>
          <w:numId w:val="16"/>
        </w:numPr>
        <w:jc w:val="both"/>
        <w:rPr>
          <w:i w:val="0"/>
          <w:iCs/>
        </w:rPr>
      </w:pPr>
      <w:bookmarkStart w:name="_Toc227756573" w:id="229"/>
      <w:r w:rsidRPr="00D671E5">
        <w:t>Midden</w:t>
      </w:r>
      <w:r w:rsidRPr="00D671E5">
        <w:rPr>
          <w:i w:val="0"/>
          <w:iCs/>
        </w:rPr>
        <w:t>-</w:t>
      </w:r>
      <w:r w:rsidRPr="00D671E5">
        <w:t>Oosten</w:t>
      </w:r>
      <w:r w:rsidRPr="00D671E5">
        <w:rPr>
          <w:i w:val="0"/>
          <w:iCs/>
        </w:rPr>
        <w:t xml:space="preserve"> </w:t>
      </w:r>
      <w:r w:rsidRPr="00D671E5">
        <w:t>maritiem</w:t>
      </w:r>
      <w:bookmarkEnd w:id="229"/>
    </w:p>
    <w:p w:rsidRPr="00D3138C" w:rsidR="00CF7286" w:rsidP="00CF7286" w:rsidRDefault="00CF7286">
      <w:pPr>
        <w:jc w:val="both"/>
        <w:rPr>
          <w:u w:val="single"/>
        </w:rPr>
      </w:pPr>
      <w:r w:rsidRPr="00D3138C">
        <w:rPr>
          <w:u w:val="single"/>
        </w:rPr>
        <w:t>Rationale</w:t>
      </w:r>
      <w:r>
        <w:rPr>
          <w:u w:val="single"/>
        </w:rPr>
        <w:t xml:space="preserve"> en samenhang</w:t>
      </w:r>
      <w:r w:rsidRPr="00D3138C">
        <w:rPr>
          <w:u w:val="single"/>
        </w:rPr>
        <w:t xml:space="preserve"> Nederlandse bijdrage </w:t>
      </w:r>
    </w:p>
    <w:p w:rsidR="00CF7286" w:rsidP="00CF7286" w:rsidRDefault="00CF7286">
      <w:pPr>
        <w:spacing w:line="276" w:lineRule="auto"/>
        <w:jc w:val="both"/>
      </w:pPr>
      <w:r w:rsidRPr="00D3138C">
        <w:t xml:space="preserve">De veiligheidssituatie rondom het Arabisch Schiereiland - de Rode Zee, Golf van Aden en de Perzische Golf - is </w:t>
      </w:r>
      <w:r>
        <w:t>zeer</w:t>
      </w:r>
      <w:r w:rsidRPr="581EF451">
        <w:t xml:space="preserve"> </w:t>
      </w:r>
      <w:r>
        <w:t>zorgelijk</w:t>
      </w:r>
      <w:r w:rsidRPr="581EF451">
        <w:t xml:space="preserve">. </w:t>
      </w:r>
      <w:r>
        <w:t>In reactie op</w:t>
      </w:r>
      <w:r w:rsidRPr="581EF451">
        <w:t xml:space="preserve"> </w:t>
      </w:r>
      <w:r>
        <w:t>de Amerikaans-Israëlische</w:t>
      </w:r>
      <w:r w:rsidRPr="581EF451">
        <w:t xml:space="preserve"> </w:t>
      </w:r>
      <w:r>
        <w:t>aanvallen tegen Iran vanaf 28 februari 2026</w:t>
      </w:r>
      <w:r w:rsidRPr="581EF451">
        <w:t>,</w:t>
      </w:r>
      <w:r>
        <w:t xml:space="preserve"> is een groot deel van de regio doelwit geworden van Iraanse tegenaanvallen. Na het begin van dit conflict heeft het kabinet de Tweede Kamer op 9 maart geïnformeerd over de inzet van half maart tot in beginsel begin mei van een Nederlands Luchtverdedigings- en Commandofregat (LCF) in het oosten van Middellandse Zee</w:t>
      </w:r>
      <w:r w:rsidRPr="581EF451">
        <w:t>.</w:t>
      </w:r>
      <w:r>
        <w:rPr>
          <w:rStyle w:val="FootnoteReference"/>
        </w:rPr>
        <w:footnoteReference w:id="4"/>
      </w:r>
      <w:r w:rsidRPr="00C66160">
        <w:t xml:space="preserve"> </w:t>
      </w:r>
      <w:r>
        <w:t>Ook in de periode voor 28 februari jl. droeg Nederland reeds op bescheiden niveau bij aan de bevordering van de internationale rechtsorde in de regio, waaronder specifiek met betrekking tot het beginsel van vrije doorvaart. M</w:t>
      </w:r>
      <w:r w:rsidRPr="00BF05B2">
        <w:t xml:space="preserve">et deze </w:t>
      </w:r>
      <w:r>
        <w:t>inzetten heeft het kabinet</w:t>
      </w:r>
      <w:r w:rsidRPr="00BF05B2">
        <w:t xml:space="preserve"> een bijdrage</w:t>
      </w:r>
      <w:r>
        <w:t xml:space="preserve"> willen</w:t>
      </w:r>
      <w:r w:rsidRPr="00BF05B2">
        <w:t xml:space="preserve"> </w:t>
      </w:r>
      <w:r w:rsidRPr="00622517">
        <w:t xml:space="preserve">leveren aan </w:t>
      </w:r>
      <w:r>
        <w:t>samenwerkingsverbanden</w:t>
      </w:r>
      <w:r w:rsidRPr="00622517">
        <w:t xml:space="preserve"> die belangrijk zijn voor de veiligheid </w:t>
      </w:r>
      <w:r>
        <w:t xml:space="preserve">en belangen </w:t>
      </w:r>
      <w:r w:rsidRPr="00622517">
        <w:t xml:space="preserve">van Nederland. </w:t>
      </w:r>
    </w:p>
    <w:p w:rsidR="00CF7286" w:rsidP="00CF7286" w:rsidRDefault="00CF7286">
      <w:pPr>
        <w:jc w:val="both"/>
      </w:pPr>
    </w:p>
    <w:p w:rsidR="00CF7286" w:rsidP="00CF7286" w:rsidRDefault="00CF7286">
      <w:pPr>
        <w:pStyle w:val="ListParagraph"/>
        <w:numPr>
          <w:ilvl w:val="2"/>
          <w:numId w:val="16"/>
        </w:numPr>
        <w:jc w:val="both"/>
      </w:pPr>
      <w:r w:rsidRPr="7B5F9CB0">
        <w:rPr>
          <w:i/>
          <w:iCs/>
        </w:rPr>
        <w:t>Inzet LCF-fregat</w:t>
      </w:r>
      <w:r>
        <w:rPr>
          <w:i/>
          <w:iCs/>
        </w:rPr>
        <w:t xml:space="preserve"> Middellandse Zee </w:t>
      </w:r>
    </w:p>
    <w:p w:rsidRPr="00DA0BAD" w:rsidR="00CF7286" w:rsidP="00CF7286" w:rsidRDefault="00CF7286">
      <w:pPr>
        <w:jc w:val="both"/>
        <w:rPr>
          <w:u w:val="single"/>
        </w:rPr>
      </w:pPr>
      <w:r w:rsidRPr="00DA0BAD">
        <w:rPr>
          <w:u w:val="single"/>
        </w:rPr>
        <w:t>Over de missie</w:t>
      </w:r>
    </w:p>
    <w:p w:rsidR="00CF7286" w:rsidP="00CF7286" w:rsidRDefault="00CF7286">
      <w:pPr>
        <w:jc w:val="both"/>
      </w:pPr>
      <w:r>
        <w:t>De situatie in het Midden-Oosten is onverminderd zorgelijk sinds de Amerikaanse en Israëlische aanvallen op Iran en de daarop volgende Iraanse aanvallen op doelen in het Midden-Oosten</w:t>
      </w:r>
      <w:r w:rsidRPr="00E12F77">
        <w:t xml:space="preserve"> (Kamerstuk 23432-631)</w:t>
      </w:r>
      <w:r>
        <w:t>.</w:t>
      </w:r>
      <w:r w:rsidRPr="00E12F77">
        <w:t xml:space="preserve"> </w:t>
      </w:r>
      <w:r>
        <w:t>Aanvallen van Iran en</w:t>
      </w:r>
      <w:r w:rsidRPr="00DA0BAD">
        <w:t xml:space="preserve"> aan Iran gelieerde gewapende groeperingen</w:t>
      </w:r>
      <w:r w:rsidR="00F63603">
        <w:t xml:space="preserve"> op Israël </w:t>
      </w:r>
      <w:r w:rsidRPr="00DA0BAD">
        <w:t xml:space="preserve">hebben </w:t>
      </w:r>
      <w:r w:rsidR="00F63603">
        <w:t>zich daar</w:t>
      </w:r>
      <w:r w:rsidRPr="00DA0BAD">
        <w:t>naast</w:t>
      </w:r>
      <w:r w:rsidR="00F63603">
        <w:t xml:space="preserve"> op</w:t>
      </w:r>
      <w:r w:rsidRPr="00DA0BAD">
        <w:t xml:space="preserve"> </w:t>
      </w:r>
      <w:r w:rsidR="00F63603">
        <w:t>Golflstaten</w:t>
      </w:r>
      <w:r w:rsidRPr="00DA0BAD">
        <w:t>, Irak, Jordanië</w:t>
      </w:r>
      <w:r>
        <w:t>, Libanon</w:t>
      </w:r>
      <w:r w:rsidR="00F63603">
        <w:t xml:space="preserve">, </w:t>
      </w:r>
      <w:r w:rsidRPr="00DA0BAD">
        <w:t>Azerbeidzjan</w:t>
      </w:r>
      <w:r w:rsidR="00F63603">
        <w:t>, Turkije en Cyprus</w:t>
      </w:r>
      <w:r w:rsidRPr="00DA0BAD">
        <w:t xml:space="preserve">. Dit </w:t>
      </w:r>
      <w:r>
        <w:t>heeft</w:t>
      </w:r>
      <w:r w:rsidRPr="00DA0BAD">
        <w:t xml:space="preserve"> grote implicaties voor regionale stabiliteit</w:t>
      </w:r>
      <w:r>
        <w:t xml:space="preserve"> en grote impact o</w:t>
      </w:r>
      <w:r w:rsidRPr="00DA0BAD">
        <w:t xml:space="preserve">p de veiligheid van burgers, waaronder </w:t>
      </w:r>
      <w:r>
        <w:t>Europeanen en Nederlanders in de regio.</w:t>
      </w:r>
      <w:r w:rsidRPr="00DA0BAD">
        <w:t xml:space="preserve"> </w:t>
      </w:r>
    </w:p>
    <w:p w:rsidR="00CF7286" w:rsidP="00CF7286" w:rsidRDefault="00CF7286">
      <w:pPr>
        <w:spacing w:line="240" w:lineRule="auto"/>
        <w:jc w:val="both"/>
        <w:rPr>
          <w:szCs w:val="27"/>
        </w:rPr>
      </w:pPr>
    </w:p>
    <w:p w:rsidR="00CF7286" w:rsidP="001C00DE" w:rsidRDefault="00CF7286">
      <w:pPr>
        <w:spacing w:line="276" w:lineRule="auto"/>
        <w:jc w:val="both"/>
      </w:pPr>
      <w:r w:rsidRPr="00D37E98">
        <w:t xml:space="preserve">Begin maart heeft Frankrijk, naar aanleiding van een verzoek van Cyprus, het vliegdekschip de </w:t>
      </w:r>
      <w:r w:rsidRPr="7B5F9CB0">
        <w:rPr>
          <w:i/>
          <w:iCs/>
        </w:rPr>
        <w:t xml:space="preserve">Charles de Gaulle </w:t>
      </w:r>
      <w:r w:rsidRPr="00633398">
        <w:t xml:space="preserve">opdracht gegeven zich naar de Middellandse Zee te begeven om de situatie in de regio te monitoren en partners en bondgenoten bij te staan, waaronder Cyprus. De </w:t>
      </w:r>
      <w:r w:rsidRPr="7B5F9CB0">
        <w:rPr>
          <w:i/>
          <w:iCs/>
        </w:rPr>
        <w:t xml:space="preserve">Charles de Gaulle </w:t>
      </w:r>
      <w:r w:rsidRPr="00B72603">
        <w:t xml:space="preserve">maakt deel uit van een </w:t>
      </w:r>
      <w:r w:rsidRPr="001D251E">
        <w:rPr>
          <w:i/>
          <w:iCs/>
        </w:rPr>
        <w:t xml:space="preserve">Carrier Strike Group </w:t>
      </w:r>
      <w:r w:rsidRPr="001D251E">
        <w:t>(CSG) waar ook Nederland met een LCF deel van uitmaak</w:t>
      </w:r>
      <w:r w:rsidRPr="008E66DB">
        <w:t>t. Dit fregat en</w:t>
      </w:r>
      <w:r>
        <w:t xml:space="preserve"> haar bemanning zijn </w:t>
      </w:r>
      <w:r w:rsidR="00DB1974">
        <w:t>tot begin mei</w:t>
      </w:r>
      <w:r w:rsidRPr="61C89204">
        <w:t xml:space="preserve"> </w:t>
      </w:r>
      <w:r>
        <w:t>ingezet</w:t>
      </w:r>
      <w:r w:rsidRPr="00182CFB">
        <w:t xml:space="preserve"> voor deze </w:t>
      </w:r>
      <w:r>
        <w:t xml:space="preserve">strikt </w:t>
      </w:r>
      <w:r w:rsidRPr="00182CFB">
        <w:t xml:space="preserve">defensieve operatie in het oosten van de Middellandse Zee ter verdediging van de CSG, Cyprus en </w:t>
      </w:r>
      <w:r>
        <w:t>NAVO-verdrags</w:t>
      </w:r>
      <w:r w:rsidRPr="00182CFB">
        <w:t>gebied. Hiermee toon</w:t>
      </w:r>
      <w:r>
        <w:t>de</w:t>
      </w:r>
      <w:r w:rsidRPr="00182CFB">
        <w:t xml:space="preserve"> Nederland </w:t>
      </w:r>
      <w:r>
        <w:t xml:space="preserve">onder meer </w:t>
      </w:r>
      <w:r w:rsidRPr="00182CFB">
        <w:t xml:space="preserve">bondgenootschappelijke solidariteit en </w:t>
      </w:r>
      <w:r>
        <w:t>droeg</w:t>
      </w:r>
      <w:r w:rsidRPr="00182CFB">
        <w:t xml:space="preserve"> </w:t>
      </w:r>
      <w:r>
        <w:t>ons land</w:t>
      </w:r>
      <w:r w:rsidRPr="00182CFB">
        <w:t xml:space="preserve"> bij aan Europese samenwerking in het kader van de bescherming van de internationale rechtsorde.</w:t>
      </w:r>
      <w:r>
        <w:t xml:space="preserve"> </w:t>
      </w:r>
    </w:p>
    <w:p w:rsidR="00CF7286" w:rsidP="00CF7286" w:rsidRDefault="00CF7286">
      <w:pPr>
        <w:jc w:val="both"/>
      </w:pPr>
    </w:p>
    <w:p w:rsidRPr="00DA0BAD" w:rsidR="00CF7286" w:rsidP="00CF7286" w:rsidRDefault="00CF7286">
      <w:pPr>
        <w:jc w:val="both"/>
        <w:rPr>
          <w:u w:val="single"/>
        </w:rPr>
      </w:pPr>
      <w:r w:rsidRPr="00DA0BAD">
        <w:rPr>
          <w:u w:val="single"/>
        </w:rPr>
        <w:t>Voor de missie relevante ontwikkelingen</w:t>
      </w:r>
    </w:p>
    <w:p w:rsidR="00CF7286" w:rsidP="00CF7286" w:rsidRDefault="00CF7286">
      <w:pPr>
        <w:jc w:val="both"/>
      </w:pPr>
      <w:r w:rsidRPr="00182CFB">
        <w:t>Omdat</w:t>
      </w:r>
      <w:r>
        <w:t xml:space="preserve"> de inzet binnen de CSG</w:t>
      </w:r>
      <w:r w:rsidRPr="00182CFB">
        <w:t xml:space="preserve"> een nationale bijdrage </w:t>
      </w:r>
      <w:r>
        <w:t xml:space="preserve">betrof </w:t>
      </w:r>
      <w:r w:rsidRPr="00182CFB">
        <w:t xml:space="preserve">op verzoek van Frankrijk, </w:t>
      </w:r>
      <w:r>
        <w:t>waren</w:t>
      </w:r>
      <w:r w:rsidRPr="00182CFB">
        <w:t xml:space="preserve"> de betrokken landen individueel verantwoordelijk voor het bepalen van het politiek mandaat van hun militaire eenheden. </w:t>
      </w:r>
    </w:p>
    <w:p w:rsidR="00CF7286" w:rsidP="00CF7286" w:rsidRDefault="00CF7286">
      <w:pPr>
        <w:jc w:val="both"/>
      </w:pPr>
    </w:p>
    <w:p w:rsidRPr="00DA0BAD" w:rsidR="00CF7286" w:rsidP="00CF7286" w:rsidRDefault="00CF7286">
      <w:pPr>
        <w:jc w:val="both"/>
        <w:rPr>
          <w:u w:val="single"/>
        </w:rPr>
      </w:pPr>
      <w:r w:rsidRPr="00DA0BAD">
        <w:rPr>
          <w:u w:val="single"/>
        </w:rPr>
        <w:t xml:space="preserve">Militaire bijdrage </w:t>
      </w:r>
    </w:p>
    <w:p w:rsidRPr="00041B78" w:rsidR="00CF7286" w:rsidP="00CF7286" w:rsidRDefault="00CF7286">
      <w:pPr>
        <w:jc w:val="both"/>
        <w:rPr>
          <w:szCs w:val="18"/>
        </w:rPr>
      </w:pPr>
      <w:r>
        <w:t xml:space="preserve">In de oostelijke Middellandse Zee heeft het Nederlandse fregat bijgedragen aan het effectief opereren van de CSG door te voorzien in een accuraat beeld ten aanzien van luchtdreigingen. </w:t>
      </w:r>
    </w:p>
    <w:p w:rsidRPr="00041B78" w:rsidR="00CF7286" w:rsidP="00CF7286" w:rsidRDefault="00CF7286">
      <w:pPr>
        <w:jc w:val="both"/>
        <w:rPr>
          <w:szCs w:val="18"/>
        </w:rPr>
      </w:pPr>
    </w:p>
    <w:p w:rsidRPr="00D96E4C" w:rsidR="00CF7286" w:rsidP="00CF7286" w:rsidRDefault="00CF7286">
      <w:pPr>
        <w:pStyle w:val="Heading3"/>
        <w:numPr>
          <w:ilvl w:val="2"/>
          <w:numId w:val="16"/>
        </w:numPr>
        <w:jc w:val="both"/>
      </w:pPr>
      <w:bookmarkStart w:name="_Toc164845363" w:id="230"/>
      <w:bookmarkStart w:name="_Toc227756574" w:id="231"/>
      <w:bookmarkStart w:name="_Toc193363093" w:id="232"/>
      <w:bookmarkStart w:name="_Toc193365856" w:id="233"/>
      <w:bookmarkStart w:name="_Toc193981066" w:id="234"/>
      <w:bookmarkStart w:name="_Toc193984063" w:id="235"/>
      <w:r>
        <w:t>EUNAVFOR ASPIDES</w:t>
      </w:r>
      <w:bookmarkEnd w:id="230"/>
      <w:bookmarkEnd w:id="231"/>
      <w:r w:rsidRPr="00F20857">
        <w:t xml:space="preserve"> </w:t>
      </w:r>
      <w:bookmarkEnd w:id="232"/>
      <w:bookmarkEnd w:id="233"/>
      <w:bookmarkEnd w:id="234"/>
      <w:bookmarkEnd w:id="235"/>
    </w:p>
    <w:p w:rsidRPr="00C66160" w:rsidR="00CF7286" w:rsidP="00CF7286" w:rsidRDefault="00CF7286">
      <w:pPr>
        <w:jc w:val="both"/>
      </w:pPr>
      <w:r w:rsidRPr="00AA74A7">
        <w:rPr>
          <w:u w:val="single"/>
        </w:rPr>
        <w:t>Over de missie</w:t>
      </w:r>
    </w:p>
    <w:p w:rsidR="00CF7286" w:rsidP="00CF7286" w:rsidRDefault="00CF7286">
      <w:pPr>
        <w:jc w:val="both"/>
      </w:pPr>
      <w:r w:rsidRPr="00E3210A">
        <w:rPr>
          <w:lang w:val="fr-FR"/>
        </w:rPr>
        <w:t xml:space="preserve">De EU lanceerde op 19 februari 2024 de maritieme operatie </w:t>
      </w:r>
      <w:r w:rsidRPr="00F230E0">
        <w:rPr>
          <w:i/>
          <w:lang w:val="fr-FR"/>
        </w:rPr>
        <w:t>EU</w:t>
      </w:r>
      <w:r w:rsidRPr="00434565">
        <w:rPr>
          <w:lang w:val="fr-FR"/>
        </w:rPr>
        <w:t xml:space="preserve"> </w:t>
      </w:r>
      <w:r w:rsidRPr="00F230E0">
        <w:rPr>
          <w:i/>
          <w:lang w:val="fr-FR"/>
        </w:rPr>
        <w:t>Naval Force</w:t>
      </w:r>
      <w:r w:rsidRPr="00723218">
        <w:rPr>
          <w:lang w:val="fr-FR"/>
        </w:rPr>
        <w:t xml:space="preserve"> (EUNAVFOR) ASPIDES. </w:t>
      </w:r>
      <w:r w:rsidRPr="0064350D">
        <w:t xml:space="preserve">De operatiedoelstelling van Aspides is het handhaven van </w:t>
      </w:r>
      <w:r>
        <w:t xml:space="preserve">de vrije </w:t>
      </w:r>
      <w:r w:rsidRPr="0064350D">
        <w:t>doorvaart en bijdragen aan maritieme veiligheid. Aspides kan optreden in de gehele Rode Zee, de Golf van Aden en de Perzische Golf. Aspides heeft een defensief mandaat</w:t>
      </w:r>
      <w:r>
        <w:t>, dat in februari 2025 is uitgebreid met het vergaren van informatie over wapensmokkel</w:t>
      </w:r>
      <w:r w:rsidRPr="581EF451">
        <w:t>.</w:t>
      </w:r>
      <w:r w:rsidRPr="0064350D">
        <w:t xml:space="preserve"> </w:t>
      </w:r>
    </w:p>
    <w:p w:rsidR="00CF7286" w:rsidP="00CF7286" w:rsidRDefault="00CF7286">
      <w:pPr>
        <w:jc w:val="both"/>
      </w:pPr>
    </w:p>
    <w:p w:rsidR="00CF7286" w:rsidP="00CF7286" w:rsidRDefault="00CF7286">
      <w:pPr>
        <w:jc w:val="both"/>
        <w:rPr>
          <w:u w:val="single"/>
        </w:rPr>
      </w:pPr>
      <w:r>
        <w:rPr>
          <w:u w:val="single"/>
        </w:rPr>
        <w:t>Voor de missie relevante ontwikkelingen</w:t>
      </w:r>
    </w:p>
    <w:p w:rsidR="00CF7286" w:rsidP="00CF7286" w:rsidRDefault="00CF7286">
      <w:pPr>
        <w:jc w:val="both"/>
      </w:pPr>
      <w:r w:rsidRPr="0064350D">
        <w:t xml:space="preserve">Op </w:t>
      </w:r>
      <w:r>
        <w:t xml:space="preserve">23 </w:t>
      </w:r>
      <w:r w:rsidRPr="0064350D">
        <w:t xml:space="preserve">februari </w:t>
      </w:r>
      <w:r>
        <w:t xml:space="preserve">2026 </w:t>
      </w:r>
      <w:r w:rsidRPr="0064350D">
        <w:t>is het mandaat van Aspides</w:t>
      </w:r>
      <w:r w:rsidRPr="581EF451">
        <w:t xml:space="preserve"> </w:t>
      </w:r>
      <w:r w:rsidRPr="0064350D">
        <w:t>met een jaar verlengd to</w:t>
      </w:r>
      <w:r>
        <w:t xml:space="preserve">t 28 februari 2027, </w:t>
      </w:r>
      <w:r w:rsidRPr="0064350D">
        <w:t>en uitgebreid met het vergaren van informatie over</w:t>
      </w:r>
      <w:r>
        <w:t xml:space="preserve"> de Russische schaduwvloot</w:t>
      </w:r>
      <w:r w:rsidRPr="581EF451">
        <w:t xml:space="preserve">. </w:t>
      </w:r>
      <w:r>
        <w:t>Gedurende de rapportageperiode heeft Aspides</w:t>
      </w:r>
      <w:r w:rsidRPr="581EF451">
        <w:t xml:space="preserve"> </w:t>
      </w:r>
      <w:r>
        <w:t>honderden</w:t>
      </w:r>
      <w:r w:rsidRPr="581EF451">
        <w:t xml:space="preserve"> </w:t>
      </w:r>
      <w:r>
        <w:t>schepen begeleid door de Rode Zee</w:t>
      </w:r>
      <w:r w:rsidRPr="003036AA">
        <w:t>. Daarmee levert de missie een betekenisvolle bijdrage aan het beginsel van de vrije doorvaart. Tegelijkertijd is realisme gepast dat het met de bescheiden omvang van de missie niet haalbaar is de vrije doorvaart in de Rode Zee te herstellen.</w:t>
      </w:r>
      <w:r w:rsidRPr="581EF451">
        <w:t xml:space="preserve"> </w:t>
      </w:r>
      <w:r>
        <w:t xml:space="preserve">Dit wordt mede ingegeven door het feit dat de onderliggende oorzaak van de onveiligheid niet is weggenomen, waaronder </w:t>
      </w:r>
      <w:r w:rsidRPr="001C5429">
        <w:t>de militaire capaciteit en intenties van de Houthi’s</w:t>
      </w:r>
      <w:r>
        <w:t xml:space="preserve">. </w:t>
      </w:r>
      <w:r w:rsidRPr="001C5429">
        <w:t xml:space="preserve">Om deze reden </w:t>
      </w:r>
      <w:r>
        <w:t>zet</w:t>
      </w:r>
      <w:r w:rsidRPr="001C5429">
        <w:t xml:space="preserve"> Nederland naast de militaire inspanningen ook in op een diplomatiek spoor</w:t>
      </w:r>
      <w:r>
        <w:t>. Voorgaande wordt nader toegelicht in een recente evaluatie van d</w:t>
      </w:r>
      <w:r w:rsidRPr="00925836">
        <w:t>e Nederlandse inzet in de Rode Zee in de periode tussen november 2023 en augustus 2024</w:t>
      </w:r>
      <w:r>
        <w:t>, uitgevoerd door</w:t>
      </w:r>
      <w:r w:rsidRPr="00925836">
        <w:t xml:space="preserve"> de directie Internationaal Onderzoek en Beleidsevaluatie</w:t>
      </w:r>
      <w:r>
        <w:t>, en in de kabinetsreactie daarop.</w:t>
      </w:r>
      <w:r w:rsidRPr="00925836">
        <w:t xml:space="preserve"> </w:t>
      </w:r>
      <w:r>
        <w:t>Beide stukken</w:t>
      </w:r>
      <w:r w:rsidRPr="00925836">
        <w:t xml:space="preserve"> </w:t>
      </w:r>
      <w:r>
        <w:t>zijn</w:t>
      </w:r>
      <w:r w:rsidRPr="00925836">
        <w:t xml:space="preserve"> uw Kamer separaat toegekomen </w:t>
      </w:r>
      <w:r>
        <w:t>(</w:t>
      </w:r>
      <w:r w:rsidRPr="00925836">
        <w:t>Kamerstuk</w:t>
      </w:r>
      <w:r>
        <w:t xml:space="preserve">ken </w:t>
      </w:r>
      <w:r w:rsidRPr="00925836">
        <w:t>29521-505</w:t>
      </w:r>
      <w:r>
        <w:t xml:space="preserve"> van 3 maart 2026 en </w:t>
      </w:r>
      <w:r w:rsidRPr="00925836">
        <w:t>29521-512</w:t>
      </w:r>
      <w:r>
        <w:t xml:space="preserve"> van</w:t>
      </w:r>
      <w:r w:rsidRPr="00925836">
        <w:t xml:space="preserve"> </w:t>
      </w:r>
      <w:r>
        <w:t>27 maart 2026</w:t>
      </w:r>
      <w:r w:rsidRPr="00925836">
        <w:t>).</w:t>
      </w:r>
    </w:p>
    <w:p w:rsidR="00CF7286" w:rsidP="00CF7286" w:rsidRDefault="00CF7286">
      <w:pPr>
        <w:jc w:val="both"/>
      </w:pPr>
    </w:p>
    <w:p w:rsidRPr="00F55008" w:rsidR="00CF7286" w:rsidP="00CF7286" w:rsidRDefault="00CF7286">
      <w:pPr>
        <w:jc w:val="both"/>
        <w:rPr>
          <w:szCs w:val="18"/>
        </w:rPr>
      </w:pPr>
      <w:r>
        <w:t>Verdere versterking van de</w:t>
      </w:r>
      <w:r w:rsidRPr="581EF451">
        <w:t xml:space="preserve"> </w:t>
      </w:r>
      <w:r>
        <w:t>samenwerking van Aspides met EUNAVFOR Atalanta</w:t>
      </w:r>
      <w:r w:rsidRPr="581EF451">
        <w:t xml:space="preserve"> </w:t>
      </w:r>
      <w:r>
        <w:t>had gedurende de rapportageperiode voor Nederland prioriteit, om daarmee de effectiviteit</w:t>
      </w:r>
      <w:r w:rsidRPr="001C5429">
        <w:t xml:space="preserve"> van de maritieme </w:t>
      </w:r>
      <w:r>
        <w:t>EU-</w:t>
      </w:r>
      <w:r w:rsidRPr="001C5429">
        <w:t>inzet in het Rode Zeegebied te verhogen en de positie van de EU</w:t>
      </w:r>
      <w:r>
        <w:t xml:space="preserve"> in de regio te versterken</w:t>
      </w:r>
      <w:r w:rsidRPr="581EF451">
        <w:t xml:space="preserve">. </w:t>
      </w:r>
      <w:r>
        <w:t>Atalanta heeft al langlopende afspraken inzake logistieke steunpunten, waaronder met Djibouti. In februari 2026 sloot Aspides een zelfstandige MoU af met Djibouti.</w:t>
      </w:r>
      <w:r w:rsidRPr="002048F2">
        <w:t xml:space="preserve"> </w:t>
      </w:r>
      <w:r>
        <w:t>NL is voorstander van het centraal door de EU afsluiten van dergelijke overeenkomsten. S</w:t>
      </w:r>
      <w:r w:rsidRPr="6563E0BD">
        <w:t xml:space="preserve">amenwerking vindt ook plaats in het </w:t>
      </w:r>
      <w:r w:rsidRPr="001D251E">
        <w:rPr>
          <w:i/>
          <w:iCs/>
        </w:rPr>
        <w:t>Maritime Security Center Indian Ocean</w:t>
      </w:r>
      <w:r w:rsidRPr="00D37E98">
        <w:t xml:space="preserve"> (MSCIO), voorheen </w:t>
      </w:r>
      <w:r w:rsidRPr="001D251E">
        <w:rPr>
          <w:i/>
          <w:iCs/>
        </w:rPr>
        <w:t>Maritime Security Center Horn of Africa</w:t>
      </w:r>
      <w:r w:rsidRPr="00633398">
        <w:t xml:space="preserve"> (MSCHOA). Dit betekent dat de koopvaardij zich online voor bescherming bij beide missies kan aanmelden. De EU </w:t>
      </w:r>
      <w:r>
        <w:t>be</w:t>
      </w:r>
      <w:r w:rsidRPr="00633398">
        <w:t xml:space="preserve">spreekt later dit jaar </w:t>
      </w:r>
      <w:r>
        <w:t>naar verwachting</w:t>
      </w:r>
      <w:r w:rsidRPr="00633398">
        <w:t xml:space="preserve"> de mogelijkhe</w:t>
      </w:r>
      <w:r>
        <w:t>den</w:t>
      </w:r>
      <w:r w:rsidRPr="00633398">
        <w:t xml:space="preserve"> om </w:t>
      </w:r>
      <w:r>
        <w:t xml:space="preserve">synergie tussen </w:t>
      </w:r>
      <w:r w:rsidRPr="00633398">
        <w:t xml:space="preserve">beide missies </w:t>
      </w:r>
      <w:r>
        <w:t>te versterken</w:t>
      </w:r>
      <w:r w:rsidRPr="581EF451">
        <w:t>.</w:t>
      </w:r>
    </w:p>
    <w:p w:rsidR="00CF7286" w:rsidP="00CF7286" w:rsidRDefault="00CF7286">
      <w:pPr>
        <w:jc w:val="both"/>
        <w:rPr>
          <w:u w:val="single"/>
        </w:rPr>
      </w:pPr>
    </w:p>
    <w:p w:rsidR="00CF7286" w:rsidP="00CF7286" w:rsidRDefault="00CF7286">
      <w:pPr>
        <w:jc w:val="both"/>
        <w:rPr>
          <w:u w:val="single"/>
        </w:rPr>
      </w:pPr>
      <w:r>
        <w:rPr>
          <w:u w:val="single"/>
        </w:rPr>
        <w:t>Militaire en civiele bijdrage</w:t>
      </w:r>
    </w:p>
    <w:p w:rsidRPr="00C22B03" w:rsidR="00CF7286" w:rsidP="00CF7286" w:rsidRDefault="00CF7286">
      <w:pPr>
        <w:jc w:val="both"/>
      </w:pPr>
      <w:r>
        <w:t>Nederland droeg in de rapportageperiode bij aan Aspides</w:t>
      </w:r>
      <w:r w:rsidRPr="581EF451">
        <w:t xml:space="preserve"> </w:t>
      </w:r>
      <w:r>
        <w:t xml:space="preserve">in de vorm van </w:t>
      </w:r>
      <w:r w:rsidR="001C00DE">
        <w:t xml:space="preserve">circa </w:t>
      </w:r>
      <w:r>
        <w:t xml:space="preserve">twee stafofficieren en een POLAD op het </w:t>
      </w:r>
      <w:r w:rsidRPr="001D251E">
        <w:rPr>
          <w:i/>
          <w:iCs/>
        </w:rPr>
        <w:t>Operational Headquarters</w:t>
      </w:r>
      <w:r>
        <w:t xml:space="preserve"> (OHQ)</w:t>
      </w:r>
      <w:r w:rsidRPr="581EF451">
        <w:t xml:space="preserve">. </w:t>
      </w:r>
      <w:r w:rsidRPr="00C22B03">
        <w:t xml:space="preserve">Als logboekschrijver </w:t>
      </w:r>
      <w:r>
        <w:t xml:space="preserve">en als </w:t>
      </w:r>
      <w:r w:rsidRPr="00C22B03">
        <w:t>contactpunt richting de koopvaardij droegen de</w:t>
      </w:r>
      <w:r>
        <w:t xml:space="preserve"> stafofficieren</w:t>
      </w:r>
      <w:r w:rsidRPr="00C22B03">
        <w:t xml:space="preserve"> bij aan het operationeel functioneren van het OHQ. </w:t>
      </w:r>
      <w:r w:rsidRPr="005E4CAD">
        <w:t>De POLAD</w:t>
      </w:r>
      <w:r w:rsidRPr="005E4CAD" w:rsidDel="00221B1A">
        <w:t xml:space="preserve"> droeg </w:t>
      </w:r>
      <w:r w:rsidRPr="005E4CAD">
        <w:t>bij aan de integrale politiek-strategische advisering</w:t>
      </w:r>
      <w:r w:rsidRPr="005E4CAD" w:rsidDel="00221B1A">
        <w:t xml:space="preserve"> van de </w:t>
      </w:r>
      <w:r w:rsidRPr="005E4CAD">
        <w:t>operationeel Commandant van Aspides, en deelde waardevolle inzichten inzake successen en uitdagingen binnen de operatie.</w:t>
      </w:r>
      <w:r w:rsidR="001C00DE">
        <w:t xml:space="preserve"> </w:t>
      </w:r>
      <w:r w:rsidRPr="006B6EA6">
        <w:t xml:space="preserve">Tijdens </w:t>
      </w:r>
      <w:r w:rsidRPr="006B6EA6">
        <w:lastRenderedPageBreak/>
        <w:t xml:space="preserve">doorvaart door het Rode Zeegebied op weg naar de Indo-Pacific heeft Zr.Ms. De Ruyter </w:t>
      </w:r>
      <w:r w:rsidRPr="006B6EA6">
        <w:rPr>
          <w:i/>
          <w:iCs/>
        </w:rPr>
        <w:t>associated support</w:t>
      </w:r>
      <w:r w:rsidRPr="006B6EA6">
        <w:t xml:space="preserve"> geleverd aan Aspides. Dit betekent dat het schip waarnemingen heeft gedeeld met de operatie, maar niet onder de bevelsstructuur viel.</w:t>
      </w:r>
    </w:p>
    <w:p w:rsidRPr="00810088" w:rsidR="00CF7286" w:rsidP="00CF7286" w:rsidRDefault="00CF7286">
      <w:pPr>
        <w:jc w:val="both"/>
      </w:pPr>
    </w:p>
    <w:p w:rsidRPr="005E6950" w:rsidR="00CF7286" w:rsidP="00CF7286" w:rsidRDefault="00CF7286">
      <w:pPr>
        <w:jc w:val="both"/>
        <w:rPr>
          <w:rFonts w:eastAsia="Verdana"/>
        </w:rPr>
      </w:pPr>
    </w:p>
    <w:p w:rsidR="00CF7286" w:rsidP="00CF7286" w:rsidRDefault="00CF7286">
      <w:pPr>
        <w:pStyle w:val="Heading2"/>
        <w:numPr>
          <w:ilvl w:val="1"/>
          <w:numId w:val="16"/>
        </w:numPr>
        <w:spacing w:line="276" w:lineRule="auto"/>
        <w:jc w:val="both"/>
      </w:pPr>
      <w:bookmarkStart w:name="_Toc164845364" w:id="236"/>
      <w:bookmarkStart w:name="_Toc193363094" w:id="237"/>
      <w:bookmarkStart w:name="_Toc193365857" w:id="238"/>
      <w:bookmarkStart w:name="_Toc193981069" w:id="239"/>
      <w:bookmarkStart w:name="_Toc193984066" w:id="240"/>
      <w:bookmarkStart w:name="_Toc227756575" w:id="241"/>
      <w:r>
        <w:t>Afrik</w:t>
      </w:r>
      <w:bookmarkEnd w:id="236"/>
      <w:bookmarkEnd w:id="237"/>
      <w:bookmarkEnd w:id="238"/>
      <w:bookmarkEnd w:id="239"/>
      <w:bookmarkEnd w:id="240"/>
      <w:r>
        <w:t>a</w:t>
      </w:r>
      <w:bookmarkEnd w:id="241"/>
    </w:p>
    <w:p w:rsidR="00CF7286" w:rsidP="00CF7286" w:rsidRDefault="00CF7286">
      <w:pPr>
        <w:pStyle w:val="Heading3"/>
        <w:numPr>
          <w:ilvl w:val="2"/>
          <w:numId w:val="16"/>
        </w:numPr>
        <w:spacing w:line="276" w:lineRule="auto"/>
        <w:jc w:val="both"/>
      </w:pPr>
      <w:bookmarkStart w:name="_Toc164845365" w:id="242"/>
      <w:bookmarkStart w:name="_Toc193981070" w:id="243"/>
      <w:bookmarkStart w:name="_Toc193984067" w:id="244"/>
      <w:bookmarkStart w:name="_Toc226471578" w:id="245"/>
      <w:bookmarkStart w:name="_Toc227756576" w:id="246"/>
      <w:bookmarkStart w:name="_Toc193363095" w:id="247"/>
      <w:bookmarkStart w:name="_Toc193365858" w:id="248"/>
      <w:r w:rsidRPr="0015523C">
        <w:t>Sahel en West-Afrikaanse kuststaten</w:t>
      </w:r>
      <w:bookmarkEnd w:id="242"/>
      <w:bookmarkEnd w:id="243"/>
      <w:bookmarkEnd w:id="244"/>
      <w:bookmarkEnd w:id="245"/>
      <w:bookmarkEnd w:id="246"/>
      <w:r w:rsidRPr="581EF451">
        <w:t xml:space="preserve"> </w:t>
      </w:r>
      <w:bookmarkEnd w:id="247"/>
      <w:bookmarkEnd w:id="248"/>
    </w:p>
    <w:p w:rsidR="00CF7286" w:rsidP="00CF7286" w:rsidRDefault="00CF7286">
      <w:pPr>
        <w:spacing w:line="276" w:lineRule="auto"/>
        <w:jc w:val="both"/>
      </w:pPr>
      <w:r w:rsidRPr="00D37E98">
        <w:rPr>
          <w:rFonts w:eastAsia="Verdana" w:cs="Verdana"/>
          <w:u w:val="single"/>
        </w:rPr>
        <w:t xml:space="preserve">Rationale en samenhang Nederlandse bijdrage </w:t>
      </w:r>
    </w:p>
    <w:p w:rsidR="00CF7286" w:rsidP="00CF7286" w:rsidRDefault="00CF7286">
      <w:pPr>
        <w:spacing w:line="276" w:lineRule="auto"/>
        <w:jc w:val="both"/>
      </w:pPr>
      <w:r>
        <w:t xml:space="preserve">Het kabinet kiest voor een beperkte aanwezigheid in de Sahel en West-Afrika vanwege het Nederlandse belang in het tegengaan van irreguliere migratie, het versterken van grensbeheer, het bestrijden van grensoverschrijdende criminaliteit en terrorisme in deze regio en het beschermen van economie en handel. </w:t>
      </w:r>
      <w:r w:rsidRPr="008C330F">
        <w:t xml:space="preserve">Met bescheiden bijdragen geeft het kabinet invulling aan </w:t>
      </w:r>
      <w:r>
        <w:t xml:space="preserve">kleinschalige </w:t>
      </w:r>
      <w:r w:rsidRPr="008C330F">
        <w:t xml:space="preserve">samenwerking met </w:t>
      </w:r>
      <w:r>
        <w:t>een beperkt aantal</w:t>
      </w:r>
      <w:r w:rsidRPr="008C330F">
        <w:t xml:space="preserve"> landen, met name in de West-Afrikaanse kuststaten, om daarmee de Nederlandse belangen te behartigen. </w:t>
      </w:r>
      <w:r w:rsidRPr="00105F25">
        <w:t xml:space="preserve">Ook draagt deze bijdrage bij aan de geoefendheid van de krijgsmacht. </w:t>
      </w:r>
      <w:r w:rsidRPr="008C330F">
        <w:t xml:space="preserve"> </w:t>
      </w:r>
    </w:p>
    <w:p w:rsidR="00CF7286" w:rsidP="00CF7286" w:rsidRDefault="00CF7286">
      <w:pPr>
        <w:spacing w:line="276" w:lineRule="auto"/>
        <w:jc w:val="both"/>
      </w:pPr>
    </w:p>
    <w:p w:rsidRPr="00444864" w:rsidR="00CF7286" w:rsidP="00CF7286" w:rsidRDefault="00CF7286">
      <w:pPr>
        <w:pStyle w:val="Heading3"/>
        <w:numPr>
          <w:ilvl w:val="2"/>
          <w:numId w:val="16"/>
        </w:numPr>
        <w:spacing w:line="276" w:lineRule="auto"/>
        <w:jc w:val="both"/>
      </w:pPr>
      <w:bookmarkStart w:name="_Toc193363096" w:id="249"/>
      <w:bookmarkStart w:name="_Toc193365859" w:id="250"/>
      <w:bookmarkStart w:name="_Toc193981071" w:id="251"/>
      <w:bookmarkStart w:name="_Toc193984068" w:id="252"/>
      <w:bookmarkStart w:name="_Toc227756577" w:id="253"/>
      <w:r w:rsidRPr="00C30DC0">
        <w:t>GPOI</w:t>
      </w:r>
      <w:bookmarkEnd w:id="249"/>
      <w:bookmarkEnd w:id="250"/>
      <w:bookmarkEnd w:id="251"/>
      <w:bookmarkEnd w:id="252"/>
      <w:bookmarkEnd w:id="253"/>
    </w:p>
    <w:p w:rsidR="00CF7286" w:rsidP="00CF7286" w:rsidRDefault="00CF7286">
      <w:pPr>
        <w:spacing w:line="276" w:lineRule="auto"/>
        <w:jc w:val="both"/>
      </w:pPr>
      <w:r w:rsidRPr="00D37E98">
        <w:rPr>
          <w:rFonts w:eastAsia="Verdana" w:cs="Verdana"/>
          <w:u w:val="single"/>
        </w:rPr>
        <w:t>Over de missie</w:t>
      </w:r>
    </w:p>
    <w:p w:rsidR="00CF7286" w:rsidP="00CF7286" w:rsidRDefault="00CF7286">
      <w:pPr>
        <w:spacing w:line="276" w:lineRule="auto"/>
        <w:jc w:val="both"/>
      </w:pPr>
      <w:r w:rsidRPr="00D37E98">
        <w:rPr>
          <w:rFonts w:eastAsia="Verdana" w:cs="Verdana"/>
        </w:rPr>
        <w:t xml:space="preserve">Het </w:t>
      </w:r>
      <w:r w:rsidRPr="001D251E">
        <w:rPr>
          <w:rFonts w:eastAsia="Verdana" w:cs="Verdana"/>
          <w:i/>
          <w:iCs/>
        </w:rPr>
        <w:t>Global Peace Operations Initiative</w:t>
      </w:r>
      <w:r w:rsidRPr="00D37E98">
        <w:rPr>
          <w:rFonts w:eastAsia="Verdana" w:cs="Verdana"/>
        </w:rPr>
        <w:t xml:space="preserve"> (GPOI) is een wereldwijd capaciteitsopbouwprogramma van de VS</w:t>
      </w:r>
      <w:r w:rsidRPr="00633398">
        <w:rPr>
          <w:rFonts w:eastAsia="Verdana" w:cs="Verdana"/>
        </w:rPr>
        <w:t xml:space="preserve">, </w:t>
      </w:r>
      <w:r w:rsidRPr="006410A5">
        <w:rPr>
          <w:rFonts w:eastAsia="Verdana" w:cs="Verdana"/>
        </w:rPr>
        <w:t xml:space="preserve">dat door middel van trainingen de effectiviteit en militaire capaciteiten verbetert van Afrikaanse partnerlanden ter voorbereiding op inzet in VN-missies en AU-vredesmissies. </w:t>
      </w:r>
      <w:r w:rsidRPr="00D37E98">
        <w:rPr>
          <w:rFonts w:eastAsia="Verdana" w:cs="Verdana"/>
        </w:rPr>
        <w:t>Op deze manier vergroot het programma de operationele en trainingscapaciteiten van landen die bereid zijn bij te dragen aan vredesmissies.</w:t>
      </w:r>
      <w:r w:rsidRPr="00B51A1E">
        <w:t xml:space="preserve"> </w:t>
      </w:r>
      <w:r>
        <w:t>GPOI biedt vanwege de modulaire opzet de mogelijkheid om flexibel in te spelen op regionale ontwikkelingen en om te trainen in diverse landen. Daarnaast kan context</w:t>
      </w:r>
      <w:r w:rsidRPr="1F1E1783">
        <w:t xml:space="preserve"> </w:t>
      </w:r>
      <w:r>
        <w:t>specifiek gewerkt worden, bijvoorbeeld door in de trainingscurricula aandacht te hebben voor civiel-militaire interactie en internationaal humanitair oorlogsrecht</w:t>
      </w:r>
    </w:p>
    <w:p w:rsidR="00CF7286" w:rsidP="00CF7286" w:rsidRDefault="00CF7286">
      <w:pPr>
        <w:spacing w:line="276" w:lineRule="auto"/>
        <w:jc w:val="both"/>
        <w:rPr>
          <w:rFonts w:eastAsia="Verdana" w:cs="Verdana"/>
          <w:szCs w:val="18"/>
          <w:u w:val="single"/>
        </w:rPr>
      </w:pPr>
    </w:p>
    <w:p w:rsidR="00CF7286" w:rsidP="00CF7286" w:rsidRDefault="00CF7286">
      <w:pPr>
        <w:spacing w:line="276" w:lineRule="auto"/>
        <w:jc w:val="both"/>
      </w:pPr>
      <w:r w:rsidRPr="00D37E98">
        <w:rPr>
          <w:rFonts w:eastAsia="Verdana" w:cs="Verdana"/>
          <w:u w:val="single"/>
        </w:rPr>
        <w:t>Voor de missie relevante ontwikkelingen</w:t>
      </w:r>
    </w:p>
    <w:p w:rsidRPr="0072564D" w:rsidR="00CF7286" w:rsidP="00CF7286" w:rsidRDefault="00F63603">
      <w:pPr>
        <w:spacing w:line="276" w:lineRule="auto"/>
        <w:jc w:val="both"/>
        <w:rPr>
          <w:highlight w:val="yellow"/>
        </w:rPr>
      </w:pPr>
      <w:r>
        <w:t>Het</w:t>
      </w:r>
      <w:r w:rsidRPr="0072564D" w:rsidR="00CF7286">
        <w:t xml:space="preserve"> Amerikaanse </w:t>
      </w:r>
      <w:r w:rsidR="00CF7286">
        <w:t>m</w:t>
      </w:r>
      <w:r w:rsidRPr="0072564D" w:rsidR="00CF7286">
        <w:t xml:space="preserve">inisterie van Buitenlandse Zaken </w:t>
      </w:r>
      <w:r>
        <w:t xml:space="preserve">toetste </w:t>
      </w:r>
      <w:r w:rsidRPr="0072564D" w:rsidR="00CF7286">
        <w:t xml:space="preserve">alle programma’s voor buitenlandse hulp </w:t>
      </w:r>
      <w:r>
        <w:t>aan de nieuwe politieke beleidslijnen. Als gevolg hiervan</w:t>
      </w:r>
      <w:r w:rsidRPr="0072564D" w:rsidR="00CF7286">
        <w:t xml:space="preserve"> werden verschillende programma’s, waaronder GPOI beëindigd en ondergebracht bij de </w:t>
      </w:r>
      <w:r w:rsidRPr="0072564D" w:rsidR="00CF7286">
        <w:rPr>
          <w:i/>
        </w:rPr>
        <w:t xml:space="preserve">Office of Security </w:t>
      </w:r>
      <w:r w:rsidRPr="0072564D" w:rsidR="00CF7286">
        <w:t>Assistance binnen het Bureau of Political-Military Affairs.</w:t>
      </w:r>
      <w:r w:rsidR="00CF7286">
        <w:t xml:space="preserve"> Het programma zal onder het nieuwe kantoor in ieder geval de komende twee jaar blijven voortbestaan. Deze reorganisatie leidde tot uitdagingen waardoor de Nederlandse inzet in 2026 moeizaam op gang kwam. </w:t>
      </w:r>
      <w:r w:rsidRPr="1F1E1783" w:rsidR="00CF7286">
        <w:t xml:space="preserve"> </w:t>
      </w:r>
      <w:r w:rsidRPr="007E1EB7" w:rsidR="00CF7286">
        <w:t>Gezien de huidige verschuivingen</w:t>
      </w:r>
      <w:r w:rsidR="00CF7286">
        <w:t xml:space="preserve"> wat betreft de inzet van de VS, </w:t>
      </w:r>
      <w:r w:rsidRPr="007E1EB7" w:rsidR="00CF7286">
        <w:t xml:space="preserve">is de toekomst van </w:t>
      </w:r>
      <w:r w:rsidR="00CF7286">
        <w:t>dit programma</w:t>
      </w:r>
      <w:r w:rsidRPr="007E1EB7" w:rsidR="00CF7286">
        <w:t xml:space="preserve"> in Afrika </w:t>
      </w:r>
      <w:r w:rsidR="00CF7286">
        <w:t>onzeker</w:t>
      </w:r>
      <w:r w:rsidRPr="1F1E1783" w:rsidR="00CF7286">
        <w:t xml:space="preserve">. </w:t>
      </w:r>
    </w:p>
    <w:p w:rsidR="00CF7286" w:rsidP="00CF7286" w:rsidRDefault="00CF7286">
      <w:pPr>
        <w:spacing w:line="276" w:lineRule="auto"/>
        <w:jc w:val="both"/>
      </w:pPr>
    </w:p>
    <w:p w:rsidRPr="0011384A" w:rsidR="00CF7286" w:rsidP="00CF7286" w:rsidRDefault="00CF7286">
      <w:pPr>
        <w:spacing w:line="276" w:lineRule="auto"/>
        <w:jc w:val="both"/>
        <w:rPr>
          <w:u w:val="single"/>
        </w:rPr>
      </w:pPr>
      <w:r w:rsidRPr="0011384A">
        <w:rPr>
          <w:u w:val="single"/>
        </w:rPr>
        <w:t>Militaire bijdrage</w:t>
      </w:r>
    </w:p>
    <w:p w:rsidR="00CF7286" w:rsidP="00CF7286" w:rsidRDefault="00CF7286">
      <w:pPr>
        <w:spacing w:line="276" w:lineRule="auto"/>
        <w:jc w:val="both"/>
      </w:pPr>
      <w:r w:rsidRPr="00D37E98">
        <w:rPr>
          <w:rFonts w:eastAsia="Verdana" w:cs="Verdana"/>
        </w:rPr>
        <w:t xml:space="preserve">Nederland draagt sinds 2007 bij aan GPOI, en is vaste partner van de VS in dit programma. In 2025 hebben </w:t>
      </w:r>
      <w:r w:rsidR="001C00DE">
        <w:rPr>
          <w:rFonts w:eastAsia="Verdana" w:cs="Verdana"/>
        </w:rPr>
        <w:t xml:space="preserve">circa </w:t>
      </w:r>
      <w:r w:rsidRPr="00D37E98">
        <w:rPr>
          <w:rFonts w:eastAsia="Verdana" w:cs="Verdana"/>
        </w:rPr>
        <w:t xml:space="preserve">acht Nederlandse militairen </w:t>
      </w:r>
      <w:r w:rsidRPr="00633398">
        <w:rPr>
          <w:rFonts w:eastAsia="Verdana" w:cs="Verdana"/>
        </w:rPr>
        <w:t>door middel van trainingen</w:t>
      </w:r>
      <w:r w:rsidRPr="00D37E98">
        <w:rPr>
          <w:rFonts w:eastAsia="Verdana" w:cs="Verdana"/>
        </w:rPr>
        <w:t xml:space="preserve"> een bijdrage geleverd aan GPOI in Tsjaad ten behoeve van capaciteitsopbouw van troepen uit </w:t>
      </w:r>
      <w:r w:rsidRPr="00633398">
        <w:rPr>
          <w:rFonts w:eastAsia="Verdana" w:cs="Verdana"/>
        </w:rPr>
        <w:t>Tsjaad voor vredesoperaties (</w:t>
      </w:r>
      <w:r>
        <w:rPr>
          <w:rFonts w:eastAsia="Verdana" w:cs="Verdana"/>
        </w:rPr>
        <w:t>VN</w:t>
      </w:r>
      <w:r w:rsidRPr="00633398">
        <w:rPr>
          <w:rFonts w:eastAsia="Verdana" w:cs="Verdana"/>
        </w:rPr>
        <w:t>/AU). In </w:t>
      </w:r>
      <w:r w:rsidRPr="00B72603">
        <w:rPr>
          <w:rFonts w:eastAsia="Verdana" w:cs="Verdana"/>
        </w:rPr>
        <w:t xml:space="preserve">2026 heeft eenzelfde soort inzet van acht Nederlandse militairen plaatsgevonden ten behoeve </w:t>
      </w:r>
      <w:r w:rsidRPr="001D251E">
        <w:rPr>
          <w:rFonts w:eastAsia="Verdana" w:cs="Verdana"/>
        </w:rPr>
        <w:t xml:space="preserve">van </w:t>
      </w:r>
      <w:r w:rsidRPr="00D37E98">
        <w:rPr>
          <w:rFonts w:eastAsia="Verdana" w:cs="Verdana"/>
        </w:rPr>
        <w:t xml:space="preserve">een </w:t>
      </w:r>
      <w:r w:rsidRPr="002A33EE">
        <w:rPr>
          <w:rFonts w:eastAsia="Verdana" w:cs="Verdana"/>
          <w:i/>
        </w:rPr>
        <w:t xml:space="preserve">pre-deployment </w:t>
      </w:r>
      <w:r w:rsidRPr="00D37E98">
        <w:rPr>
          <w:rFonts w:eastAsia="Verdana" w:cs="Verdana"/>
        </w:rPr>
        <w:t xml:space="preserve">bataljonstraining </w:t>
      </w:r>
      <w:r>
        <w:t xml:space="preserve">van Tsjadische militairen t.b.v. hun inzet namens de VN in Haïti.  </w:t>
      </w:r>
      <w:bookmarkStart w:name="_Toc164845373" w:id="254"/>
      <w:bookmarkStart w:name="_Toc193981073" w:id="255"/>
      <w:bookmarkStart w:name="_Toc193984070" w:id="256"/>
      <w:bookmarkStart w:name="_Toc193363097" w:id="257"/>
      <w:bookmarkStart w:name="_Toc193365860" w:id="258"/>
    </w:p>
    <w:p w:rsidR="00CF7286" w:rsidP="00CF7286" w:rsidRDefault="00CF7286">
      <w:pPr>
        <w:spacing w:line="276" w:lineRule="auto"/>
        <w:jc w:val="both"/>
      </w:pPr>
    </w:p>
    <w:p w:rsidR="00CF7286" w:rsidP="00CF7286" w:rsidRDefault="00CF7286">
      <w:pPr>
        <w:pStyle w:val="Heading3"/>
        <w:numPr>
          <w:ilvl w:val="2"/>
          <w:numId w:val="16"/>
        </w:numPr>
        <w:jc w:val="both"/>
      </w:pPr>
      <w:bookmarkStart w:name="_Toc227756578" w:id="259"/>
      <w:bookmarkStart w:name="_Toc194920354" w:id="260"/>
      <w:bookmarkEnd w:id="254"/>
      <w:bookmarkEnd w:id="255"/>
      <w:bookmarkEnd w:id="256"/>
      <w:bookmarkEnd w:id="257"/>
      <w:bookmarkEnd w:id="258"/>
      <w:r>
        <w:t>EU SDI GOG</w:t>
      </w:r>
      <w:bookmarkEnd w:id="259"/>
      <w:r>
        <w:t xml:space="preserve"> </w:t>
      </w:r>
    </w:p>
    <w:p w:rsidR="00CF7286" w:rsidP="00CF7286" w:rsidRDefault="00CF7286">
      <w:pPr>
        <w:spacing w:line="276" w:lineRule="auto"/>
        <w:jc w:val="both"/>
      </w:pPr>
    </w:p>
    <w:p w:rsidR="00CF7286" w:rsidP="00CF7286" w:rsidRDefault="00CF7286">
      <w:pPr>
        <w:spacing w:line="276" w:lineRule="auto"/>
        <w:jc w:val="both"/>
        <w:rPr>
          <w:u w:val="single"/>
        </w:rPr>
      </w:pPr>
      <w:r>
        <w:rPr>
          <w:u w:val="single"/>
        </w:rPr>
        <w:t>Over de missie</w:t>
      </w:r>
    </w:p>
    <w:p w:rsidR="00CF7286" w:rsidP="00CF7286" w:rsidRDefault="00CF7286">
      <w:pPr>
        <w:spacing w:line="276" w:lineRule="auto"/>
        <w:jc w:val="both"/>
      </w:pPr>
      <w:r w:rsidRPr="002477E7">
        <w:t xml:space="preserve">Het </w:t>
      </w:r>
      <w:r w:rsidRPr="008C330F">
        <w:t>EU veiligheids- en defensie-initiatief</w:t>
      </w:r>
      <w:r w:rsidRPr="581EF451">
        <w:t xml:space="preserve"> </w:t>
      </w:r>
      <w:r w:rsidRPr="002477E7">
        <w:rPr>
          <w:i/>
        </w:rPr>
        <w:t>EU</w:t>
      </w:r>
      <w:r w:rsidRPr="581EF451">
        <w:t xml:space="preserve"> </w:t>
      </w:r>
      <w:r w:rsidRPr="002477E7">
        <w:rPr>
          <w:i/>
        </w:rPr>
        <w:t>Security and Defence lnitiativ</w:t>
      </w:r>
      <w:r w:rsidRPr="001D251E">
        <w:rPr>
          <w:i/>
          <w:iCs/>
        </w:rPr>
        <w:t>e</w:t>
      </w:r>
      <w:r w:rsidRPr="002477E7">
        <w:rPr>
          <w:i/>
        </w:rPr>
        <w:t xml:space="preserve"> in the Gulf of Guinea</w:t>
      </w:r>
      <w:r w:rsidRPr="581EF451">
        <w:t xml:space="preserve"> (</w:t>
      </w:r>
      <w:r>
        <w:t xml:space="preserve">EU SDI </w:t>
      </w:r>
      <w:r w:rsidRPr="00CD0BE7">
        <w:t>GoG</w:t>
      </w:r>
      <w:r>
        <w:t xml:space="preserve">) </w:t>
      </w:r>
      <w:r w:rsidRPr="008C330F">
        <w:t xml:space="preserve">is </w:t>
      </w:r>
      <w:r>
        <w:t>in december 2023</w:t>
      </w:r>
      <w:r w:rsidRPr="008C330F">
        <w:t xml:space="preserve"> opgericht voor de ondersteuning van de veiligheids- en defensie-capaciteiten van Benin, Ghana, Ivoorkust en Togo</w:t>
      </w:r>
      <w:r w:rsidRPr="00FA1371">
        <w:t xml:space="preserve"> om </w:t>
      </w:r>
      <w:r w:rsidRPr="00FA1371">
        <w:lastRenderedPageBreak/>
        <w:t>terroristische dreigingen in hun noordelijke regio’s tegen te gaan</w:t>
      </w:r>
      <w:r w:rsidRPr="008C330F">
        <w:t>.</w:t>
      </w:r>
      <w:r>
        <w:t xml:space="preserve"> Het initiatief bestaat uit een civiele en militaire pilaar die complementair aan elkaar werken om op basis van een geïntegreerde benadering zo goed mogelijk te voldoen aan de behoeften en noden van partnerlanden.  De landen worden ondersteund met capaciteitsopbouw door middel van inzet van militaire en civiele adviseurs</w:t>
      </w:r>
      <w:r w:rsidRPr="00EE7C6A">
        <w:t xml:space="preserve">, </w:t>
      </w:r>
      <w:r>
        <w:t xml:space="preserve">en </w:t>
      </w:r>
      <w:r w:rsidRPr="00EE7C6A">
        <w:t>politiefunctionarissen</w:t>
      </w:r>
      <w:r>
        <w:t xml:space="preserve"> in mobiele- en crisis responseteams. Een belangrijk element van het initiatief is dat het vraaggestuurd, modulair en kortstondig is. </w:t>
      </w:r>
      <w:r w:rsidRPr="581EF451">
        <w:t xml:space="preserve"> </w:t>
      </w:r>
    </w:p>
    <w:p w:rsidRPr="00CD0BE7" w:rsidR="00CF7286" w:rsidP="00CF7286" w:rsidRDefault="00CF7286">
      <w:pPr>
        <w:spacing w:line="276" w:lineRule="auto"/>
        <w:jc w:val="both"/>
      </w:pPr>
    </w:p>
    <w:p w:rsidRPr="00AC6231" w:rsidR="00CF7286" w:rsidP="00CF7286" w:rsidRDefault="00CF7286">
      <w:pPr>
        <w:spacing w:line="276" w:lineRule="auto"/>
        <w:jc w:val="both"/>
        <w:rPr>
          <w:u w:val="single"/>
        </w:rPr>
      </w:pPr>
      <w:r w:rsidRPr="002477E7">
        <w:rPr>
          <w:u w:val="single"/>
        </w:rPr>
        <w:t>Voor de missie relevante ontwikkelingen</w:t>
      </w:r>
    </w:p>
    <w:p w:rsidRPr="00D663B2" w:rsidR="00CF7286" w:rsidP="00CF7286" w:rsidRDefault="00CF7286">
      <w:pPr>
        <w:spacing w:line="276" w:lineRule="auto"/>
        <w:jc w:val="both"/>
        <w:rPr>
          <w:u w:val="single"/>
        </w:rPr>
      </w:pPr>
      <w:r>
        <w:t xml:space="preserve">EU SDI GoG is actief in Benin, Ivoorkust en Ghana. Vanwege de politieke situatie in Togo is het nog niet gelukt </w:t>
      </w:r>
      <w:r w:rsidRPr="00AC6231">
        <w:t>om gedurende de rapportageperiode trainingsactiviteiten in Togo te ontplooien</w:t>
      </w:r>
      <w:r>
        <w:t>. In totaal hebben de EU</w:t>
      </w:r>
      <w:r w:rsidR="009210DA">
        <w:t>-</w:t>
      </w:r>
      <w:r>
        <w:t xml:space="preserve">lidstaten </w:t>
      </w:r>
      <w:r w:rsidRPr="007E3691">
        <w:t>in 2025</w:t>
      </w:r>
      <w:r>
        <w:t xml:space="preserve"> 21 trainingen verzorgd</w:t>
      </w:r>
      <w:r w:rsidRPr="007E3691">
        <w:t xml:space="preserve">. 15 in </w:t>
      </w:r>
      <w:r>
        <w:t>Benin</w:t>
      </w:r>
      <w:r w:rsidRPr="007E3691">
        <w:t xml:space="preserve">, 4 in </w:t>
      </w:r>
      <w:r>
        <w:t>Ghana</w:t>
      </w:r>
      <w:r w:rsidRPr="007E3691">
        <w:t xml:space="preserve"> en 2 in </w:t>
      </w:r>
      <w:r>
        <w:t xml:space="preserve">Ivoorkust. Het aantal trainingsverzoeken van de landen GoG is afgelopen significant gegroeid. Het initiatief wordt binnen de EU als een succes gezien, al blijven de samenwerking tussen de militaire en civiele pijlers en de samenhang met andere EU-instrumenten (waaronder EPF) aandachtspunten. Het model wordt ook als voorbeeld gebruikt voor het nieuwe (nog op te richten) initiatief EU SDI Sahel. </w:t>
      </w:r>
      <w:r w:rsidRPr="0072564D">
        <w:t xml:space="preserve">De civiele pilaar heeft tot heden meer dan </w:t>
      </w:r>
      <w:r>
        <w:t>tweeduizend</w:t>
      </w:r>
      <w:r w:rsidRPr="0072564D">
        <w:t xml:space="preserve"> politie en gendarmerie functionarissen in Benin, Ghana en Ivoorkust getraind op basis van de behoeften van deze landen. Het initiatief wordt met deze vraag-gestuurde kleinschalige bijdragen positief gewaardeerd door de lokale autoriteiten in deze landen en gezien als betrouwbare partner.  </w:t>
      </w:r>
      <w:r>
        <w:t>Als gevolg hiervan hebben de EU-lidstaten het mandaat met twee jaar verlengd tot 31 december 2027</w:t>
      </w:r>
      <w:r w:rsidRPr="479515AE">
        <w:t>.</w:t>
      </w:r>
      <w:r>
        <w:t xml:space="preserve"> </w:t>
      </w:r>
    </w:p>
    <w:p w:rsidR="00CF7286" w:rsidP="00CF7286" w:rsidRDefault="00CF7286">
      <w:pPr>
        <w:spacing w:line="276" w:lineRule="auto"/>
        <w:jc w:val="both"/>
      </w:pPr>
    </w:p>
    <w:p w:rsidRPr="00D663B2" w:rsidR="00CF7286" w:rsidP="00CF7286" w:rsidRDefault="00CF7286">
      <w:pPr>
        <w:spacing w:line="276" w:lineRule="auto"/>
        <w:jc w:val="both"/>
        <w:rPr>
          <w:u w:val="single"/>
        </w:rPr>
      </w:pPr>
      <w:r w:rsidRPr="00D663B2">
        <w:rPr>
          <w:u w:val="single"/>
        </w:rPr>
        <w:t>Militaire</w:t>
      </w:r>
      <w:r>
        <w:rPr>
          <w:u w:val="single"/>
        </w:rPr>
        <w:t xml:space="preserve"> en civiele</w:t>
      </w:r>
      <w:r w:rsidRPr="00D663B2">
        <w:rPr>
          <w:u w:val="single"/>
        </w:rPr>
        <w:t xml:space="preserve"> bijdrage</w:t>
      </w:r>
    </w:p>
    <w:p w:rsidRPr="00BD7A03" w:rsidR="00CF7286" w:rsidP="00CF7286" w:rsidRDefault="00CF7286">
      <w:pPr>
        <w:spacing w:line="276" w:lineRule="auto"/>
        <w:jc w:val="both"/>
        <w:rPr>
          <w:rFonts w:eastAsia="Verdana" w:cs="Verdana"/>
        </w:rPr>
      </w:pPr>
      <w:r w:rsidRPr="00D663B2">
        <w:rPr>
          <w:rFonts w:eastAsia="Verdana" w:cs="Verdana"/>
        </w:rPr>
        <w:t xml:space="preserve">In 2025 </w:t>
      </w:r>
      <w:r>
        <w:rPr>
          <w:rFonts w:eastAsia="Verdana" w:cs="Verdana"/>
        </w:rPr>
        <w:t>heeft Nederland drie trainingen gefaciliteerd</w:t>
      </w:r>
      <w:r w:rsidRPr="00D663B2">
        <w:rPr>
          <w:rFonts w:eastAsia="Verdana" w:cs="Verdana"/>
        </w:rPr>
        <w:t xml:space="preserve">, te weten </w:t>
      </w:r>
      <w:r>
        <w:rPr>
          <w:rFonts w:eastAsia="Verdana" w:cs="Verdana"/>
        </w:rPr>
        <w:t>een</w:t>
      </w:r>
      <w:r w:rsidRPr="00D663B2" w:rsidDel="00BD7A03">
        <w:rPr>
          <w:rFonts w:eastAsia="Verdana" w:cs="Verdana"/>
        </w:rPr>
        <w:t xml:space="preserve"> </w:t>
      </w:r>
      <w:r>
        <w:rPr>
          <w:rFonts w:eastAsia="Verdana" w:cs="Verdana"/>
        </w:rPr>
        <w:t>Strategische Communicatie (</w:t>
      </w:r>
      <w:r w:rsidRPr="00BD7A03">
        <w:rPr>
          <w:rFonts w:eastAsia="Verdana" w:cs="Verdana"/>
        </w:rPr>
        <w:t>STRATCOM</w:t>
      </w:r>
      <w:r>
        <w:rPr>
          <w:rFonts w:eastAsia="Verdana" w:cs="Verdana"/>
        </w:rPr>
        <w:t>)</w:t>
      </w:r>
      <w:r w:rsidRPr="00BD7A03">
        <w:rPr>
          <w:rFonts w:eastAsia="Verdana" w:cs="Verdana"/>
        </w:rPr>
        <w:t>-cursus in Ghana</w:t>
      </w:r>
      <w:r>
        <w:rPr>
          <w:rFonts w:eastAsia="Verdana" w:cs="Verdana"/>
        </w:rPr>
        <w:t>, een</w:t>
      </w:r>
      <w:r w:rsidRPr="00BD7A03" w:rsidDel="00BD7A03">
        <w:rPr>
          <w:rFonts w:eastAsia="Verdana" w:cs="Verdana"/>
        </w:rPr>
        <w:t xml:space="preserve"> </w:t>
      </w:r>
      <w:r w:rsidRPr="00BD7A03">
        <w:rPr>
          <w:rFonts w:eastAsia="Verdana" w:cs="Verdana"/>
        </w:rPr>
        <w:t>STRATCOM-masterclass in Ivoorkust</w:t>
      </w:r>
      <w:r>
        <w:rPr>
          <w:rFonts w:eastAsia="Verdana" w:cs="Verdana"/>
        </w:rPr>
        <w:t>, en een g</w:t>
      </w:r>
      <w:r w:rsidRPr="00D663B2">
        <w:rPr>
          <w:rFonts w:eastAsia="Verdana" w:cs="Verdana"/>
        </w:rPr>
        <w:t>ender-cursus in G</w:t>
      </w:r>
      <w:r>
        <w:rPr>
          <w:rFonts w:eastAsia="Verdana" w:cs="Verdana"/>
        </w:rPr>
        <w:t>hana</w:t>
      </w:r>
      <w:r>
        <w:t xml:space="preserve">. Daarnaast heeft </w:t>
      </w:r>
      <w:r w:rsidRPr="008C330F">
        <w:t>Nederland</w:t>
      </w:r>
      <w:r w:rsidRPr="0F4FE000">
        <w:t xml:space="preserve"> </w:t>
      </w:r>
      <w:r>
        <w:t xml:space="preserve">van </w:t>
      </w:r>
      <w:r w:rsidRPr="008C330F">
        <w:t>februari</w:t>
      </w:r>
      <w:r>
        <w:t xml:space="preserve"> tot oktober</w:t>
      </w:r>
      <w:r w:rsidRPr="008C330F">
        <w:t xml:space="preserve"> 2025 een militair adviseur op de EU-vertegenwoordiging in Ivoorkust geplaatst </w:t>
      </w:r>
      <w:r>
        <w:t>ten behoeve van EU Security and Defense Initiative in Support of West African Countries of the Gulf of Guinea</w:t>
      </w:r>
      <w:r w:rsidRPr="008C330F">
        <w:t xml:space="preserve"> </w:t>
      </w:r>
      <w:r>
        <w:t>(</w:t>
      </w:r>
      <w:r w:rsidRPr="008C330F">
        <w:t>EU SDI GoG</w:t>
      </w:r>
      <w:r>
        <w:t>)</w:t>
      </w:r>
      <w:r w:rsidRPr="0F4FE000">
        <w:t xml:space="preserve">. </w:t>
      </w:r>
      <w:r>
        <w:t>Deze functie zal per juni 2026 opnieuw door een Nederlandse militair worden vervuld</w:t>
      </w:r>
      <w:r w:rsidRPr="0F4FE000">
        <w:t xml:space="preserve">.  </w:t>
      </w:r>
      <w:r w:rsidRPr="008C330F">
        <w:t xml:space="preserve">Gedurende de rapportageperiode droeg </w:t>
      </w:r>
      <w:r>
        <w:t xml:space="preserve">Nederland daarnaast </w:t>
      </w:r>
      <w:r w:rsidRPr="008C330F">
        <w:t>een militaire stafofficier bij a</w:t>
      </w:r>
      <w:r>
        <w:t>ls hoofd van de Planning and Coordination Cell van de EUSDI GoG. Van medio september 2025 tot medio april 2026 heeft d</w:t>
      </w:r>
      <w:r w:rsidRPr="00471FCB">
        <w:t xml:space="preserve">e politie met een </w:t>
      </w:r>
      <w:r>
        <w:t>a</w:t>
      </w:r>
      <w:r w:rsidRPr="00471FCB">
        <w:t>dviseur/</w:t>
      </w:r>
      <w:r>
        <w:t>t</w:t>
      </w:r>
      <w:r w:rsidRPr="00471FCB">
        <w:t xml:space="preserve">rainer op cyber security </w:t>
      </w:r>
      <w:r>
        <w:t xml:space="preserve">in Ghana </w:t>
      </w:r>
      <w:r w:rsidRPr="00471FCB">
        <w:t>bijgedragen aan EU-SDI GoG</w:t>
      </w:r>
      <w:r>
        <w:t>.</w:t>
      </w:r>
      <w:r w:rsidRPr="00471FCB">
        <w:t xml:space="preserve"> </w:t>
      </w:r>
      <w:r>
        <w:t>De trainingen waren op verzoek van Ghana en werden positief ontvangen.</w:t>
      </w:r>
    </w:p>
    <w:p w:rsidR="00CF7286" w:rsidP="00CF7286" w:rsidRDefault="00CF7286">
      <w:pPr>
        <w:pStyle w:val="Heading3"/>
        <w:ind w:left="0" w:firstLine="0"/>
        <w:jc w:val="both"/>
      </w:pPr>
    </w:p>
    <w:p w:rsidRPr="00D96E4C" w:rsidR="00CF7286" w:rsidP="00CF7286" w:rsidRDefault="00CF7286">
      <w:pPr>
        <w:pStyle w:val="Heading3"/>
        <w:numPr>
          <w:ilvl w:val="2"/>
          <w:numId w:val="16"/>
        </w:numPr>
        <w:jc w:val="both"/>
      </w:pPr>
      <w:bookmarkStart w:name="_Toc227756579" w:id="261"/>
      <w:r w:rsidRPr="005355E6">
        <w:t xml:space="preserve">EUNAVFOR </w:t>
      </w:r>
      <w:r>
        <w:t xml:space="preserve">ATALANTA </w:t>
      </w:r>
      <w:bookmarkEnd w:id="260"/>
      <w:r>
        <w:t>(Somalië)</w:t>
      </w:r>
      <w:bookmarkEnd w:id="261"/>
    </w:p>
    <w:p w:rsidR="00CF7286" w:rsidP="00CF7286" w:rsidRDefault="00CF7286">
      <w:pPr>
        <w:spacing w:line="276" w:lineRule="auto"/>
        <w:jc w:val="both"/>
        <w:rPr>
          <w:u w:val="single"/>
        </w:rPr>
      </w:pPr>
      <w:r>
        <w:rPr>
          <w:u w:val="single"/>
        </w:rPr>
        <w:t>Over de missie</w:t>
      </w:r>
    </w:p>
    <w:p w:rsidRPr="004C7F9E" w:rsidR="00CF7286" w:rsidP="00CF7286" w:rsidRDefault="00CF7286">
      <w:pPr>
        <w:spacing w:line="276" w:lineRule="auto"/>
        <w:jc w:val="both"/>
      </w:pPr>
      <w:r w:rsidRPr="004C7F9E">
        <w:t xml:space="preserve">De primaire taak van Atalanta betreft piraterijbestrijding en bescherming van kwetsbare scheepvaart, waaronder noodhulptransporten van het </w:t>
      </w:r>
      <w:r w:rsidRPr="004C7F9E">
        <w:rPr>
          <w:i/>
          <w:iCs/>
        </w:rPr>
        <w:t>World Food Programme</w:t>
      </w:r>
      <w:r w:rsidRPr="004C7F9E">
        <w:t xml:space="preserve"> (WFP) en bevoorradingsschepen voor de Afrikaanse Unie transitiemissie in Somalië (ATMIS). Daarnaast bevat het mandaat secundaire taken op het gebied van de bestrijding van drugs- en wapensmokkel en het monitoren van de schaduwvloot. </w:t>
      </w:r>
    </w:p>
    <w:p w:rsidR="00CF7286" w:rsidP="00CF7286" w:rsidRDefault="00CF7286">
      <w:pPr>
        <w:spacing w:line="276" w:lineRule="auto"/>
        <w:jc w:val="both"/>
      </w:pPr>
    </w:p>
    <w:p w:rsidRPr="0050486B" w:rsidR="00CF7286" w:rsidP="00CF7286" w:rsidRDefault="00CF7286">
      <w:pPr>
        <w:spacing w:line="276" w:lineRule="auto"/>
        <w:jc w:val="both"/>
        <w:rPr>
          <w:u w:val="single"/>
        </w:rPr>
      </w:pPr>
      <w:r w:rsidRPr="0050486B">
        <w:rPr>
          <w:u w:val="single"/>
        </w:rPr>
        <w:t>Voor de missie relevante ontwikkelingen</w:t>
      </w:r>
    </w:p>
    <w:p w:rsidRPr="004C7F9E" w:rsidR="00CF7286" w:rsidP="00CF7286" w:rsidRDefault="00CF7286">
      <w:pPr>
        <w:spacing w:line="276" w:lineRule="auto"/>
        <w:jc w:val="both"/>
      </w:pPr>
      <w:r w:rsidRPr="004C7F9E">
        <w:t xml:space="preserve">Na november 2023 is het aantal piraterij-incidenten in de wateren rond Somalië weer toegenomen. Positief is dat Atalanta kan varen in de territoriale wateren van Somalië. Het Militair Comité van de EU stimuleert Atalanta en Aspides nauw met elkaar samen te werken. </w:t>
      </w:r>
      <w:r>
        <w:t>Via</w:t>
      </w:r>
      <w:r w:rsidRPr="004C7F9E">
        <w:t xml:space="preserve"> een gezamenlijke website kan de koopvaardij</w:t>
      </w:r>
      <w:r>
        <w:t xml:space="preserve"> zich</w:t>
      </w:r>
      <w:r w:rsidRPr="004C7F9E">
        <w:t xml:space="preserve"> via één portaal </w:t>
      </w:r>
      <w:r>
        <w:t xml:space="preserve">voor beide missies </w:t>
      </w:r>
      <w:r w:rsidRPr="004C7F9E">
        <w:t xml:space="preserve">aanmelden ter ondersteuning. Ook coördineren de missies de activiteiten rond de Russische schaduwvloot en logistieke vraagstukken. Echter, de beperkte voortgang op </w:t>
      </w:r>
      <w:r w:rsidRPr="004C7F9E">
        <w:lastRenderedPageBreak/>
        <w:t xml:space="preserve">samenvoeging tussen Aspides en Atalanta, maakt het noodzakelijk om </w:t>
      </w:r>
      <w:r w:rsidRPr="00AF5021">
        <w:t xml:space="preserve">in te zetten op versterkte EU-coördinatie. Nederland heeft gepleit voor verdere verdieping van de synergiën tussen de maritieme EU-operaties Aspides en Atalanta, zoals toewerken naar eenduidige aansturing van de maritieme EU-missies vanuit de </w:t>
      </w:r>
      <w:r w:rsidRPr="00AF5021">
        <w:rPr>
          <w:i/>
          <w:iCs/>
        </w:rPr>
        <w:t>Military Planning and Conduct Capability</w:t>
      </w:r>
      <w:r w:rsidRPr="00AF5021">
        <w:t xml:space="preserve"> (MPCC), teneinde de effectiviteit van de maritieme EU-inzet in het Rode Zeegebied te verhogen en de positie van de EU in de regio te versterken.</w:t>
      </w:r>
    </w:p>
    <w:p w:rsidR="00CF7286" w:rsidP="00CF7286" w:rsidRDefault="00CF7286">
      <w:pPr>
        <w:spacing w:line="276" w:lineRule="auto"/>
        <w:jc w:val="both"/>
        <w:rPr>
          <w:u w:val="single"/>
        </w:rPr>
      </w:pPr>
    </w:p>
    <w:p w:rsidR="00CF7286" w:rsidP="00CF7286" w:rsidRDefault="00CF7286">
      <w:pPr>
        <w:spacing w:line="276" w:lineRule="auto"/>
        <w:jc w:val="both"/>
        <w:rPr>
          <w:u w:val="single"/>
        </w:rPr>
      </w:pPr>
      <w:r>
        <w:rPr>
          <w:u w:val="single"/>
        </w:rPr>
        <w:t xml:space="preserve">Militaire bijdrage </w:t>
      </w:r>
    </w:p>
    <w:p w:rsidRPr="004C7F9E" w:rsidR="00CF7286" w:rsidP="00CF7286" w:rsidRDefault="00CF7286">
      <w:pPr>
        <w:spacing w:line="276" w:lineRule="auto"/>
        <w:jc w:val="both"/>
      </w:pPr>
      <w:r w:rsidRPr="004C7F9E">
        <w:t xml:space="preserve">De Nederlandse bijdrage aan Atalanta bestond in de rapportageperiode uit </w:t>
      </w:r>
      <w:r w:rsidR="001C00DE">
        <w:t xml:space="preserve">circa </w:t>
      </w:r>
      <w:r w:rsidRPr="004C7F9E">
        <w:t xml:space="preserve">twee stafofficieren op het </w:t>
      </w:r>
      <w:r w:rsidRPr="004C7F9E">
        <w:rPr>
          <w:i/>
          <w:iCs/>
        </w:rPr>
        <w:t>Operational Headquarters</w:t>
      </w:r>
      <w:r w:rsidRPr="004C7F9E">
        <w:t xml:space="preserve"> (OHQ) in Rota, Spanje. Binnen het OHQ hielden de stafofficieren zich bezig met plannings- en uitvoeringsgerelateerde aspecten van de operatie. </w:t>
      </w:r>
    </w:p>
    <w:p w:rsidRPr="004D6160" w:rsidR="00CF7286" w:rsidP="00CF7286" w:rsidRDefault="00CF7286">
      <w:pPr>
        <w:spacing w:line="276" w:lineRule="auto"/>
        <w:jc w:val="both"/>
        <w:rPr>
          <w:i/>
          <w:szCs w:val="18"/>
        </w:rPr>
      </w:pPr>
    </w:p>
    <w:p w:rsidRPr="00D37E98" w:rsidR="00CF7286" w:rsidP="00CF7286" w:rsidRDefault="00CF7286">
      <w:pPr>
        <w:pStyle w:val="Heading2"/>
        <w:numPr>
          <w:ilvl w:val="1"/>
          <w:numId w:val="16"/>
        </w:numPr>
        <w:jc w:val="both"/>
        <w:rPr>
          <w:lang w:val="en-US"/>
        </w:rPr>
      </w:pPr>
      <w:bookmarkStart w:name="_Toc227756580" w:id="262"/>
      <w:bookmarkStart w:name="_Toc164845374" w:id="263"/>
      <w:bookmarkStart w:name="_Toc193981074" w:id="264"/>
      <w:bookmarkStart w:name="_Toc193984071" w:id="265"/>
      <w:bookmarkStart w:name="_Toc193363099" w:id="266"/>
      <w:bookmarkStart w:name="_Toc193365861" w:id="267"/>
      <w:r w:rsidRPr="00D37E98">
        <w:rPr>
          <w:lang w:val="en-US"/>
        </w:rPr>
        <w:t>Overige inzet</w:t>
      </w:r>
      <w:bookmarkEnd w:id="262"/>
      <w:r w:rsidRPr="00D37E98">
        <w:rPr>
          <w:lang w:val="en-US"/>
        </w:rPr>
        <w:t xml:space="preserve"> </w:t>
      </w:r>
    </w:p>
    <w:p w:rsidR="00CF7286" w:rsidP="00CF7286" w:rsidRDefault="00CF7286">
      <w:pPr>
        <w:jc w:val="both"/>
        <w:rPr>
          <w:lang w:val="en-US"/>
        </w:rPr>
      </w:pPr>
    </w:p>
    <w:p w:rsidRPr="005E70CD" w:rsidR="00CF7286" w:rsidP="001C00DE" w:rsidRDefault="00CF7286">
      <w:pPr>
        <w:spacing w:line="276" w:lineRule="auto"/>
        <w:jc w:val="both"/>
        <w:rPr>
          <w:szCs w:val="18"/>
        </w:rPr>
      </w:pPr>
      <w:r w:rsidRPr="006410A5">
        <w:t xml:space="preserve">Naast langdurige bijdragen aan bestaande missies en operaties, werden Nederlandse militairen ook ingezet voor het verzorgen van kortdurende trainingen en bijdragen aan capaciteitsopbouw ter versterking van de internationale rechtsorde. </w:t>
      </w:r>
      <w:r>
        <w:t>Daarnaast vond tevens inzet binnen het Koninkrijk plaats.</w:t>
      </w:r>
      <w:r w:rsidRPr="006410A5">
        <w:t xml:space="preserve"> Het betreft de volgende inzetten:  </w:t>
      </w:r>
    </w:p>
    <w:p w:rsidRPr="005E70CD" w:rsidR="00CF7286" w:rsidP="001C00DE" w:rsidRDefault="00CF7286">
      <w:pPr>
        <w:pStyle w:val="ListParagraph"/>
        <w:numPr>
          <w:ilvl w:val="0"/>
          <w:numId w:val="23"/>
        </w:numPr>
        <w:spacing w:line="276" w:lineRule="auto"/>
        <w:jc w:val="both"/>
        <w:rPr>
          <w:rFonts w:ascii="Verdana" w:hAnsi="Verdana"/>
          <w:sz w:val="18"/>
          <w:szCs w:val="18"/>
        </w:rPr>
      </w:pPr>
      <w:r w:rsidRPr="005E70CD">
        <w:rPr>
          <w:rFonts w:ascii="Verdana" w:hAnsi="Verdana"/>
          <w:b/>
          <w:bCs/>
          <w:sz w:val="18"/>
          <w:szCs w:val="18"/>
        </w:rPr>
        <w:t>OP SETWISE</w:t>
      </w:r>
      <w:r w:rsidRPr="005E70CD">
        <w:rPr>
          <w:rFonts w:ascii="Verdana" w:hAnsi="Verdana"/>
          <w:sz w:val="18"/>
          <w:szCs w:val="18"/>
        </w:rPr>
        <w:t xml:space="preserve">: Nederlandse bijdrage aan Operation SETWISE van </w:t>
      </w:r>
      <w:r w:rsidR="001C00DE">
        <w:rPr>
          <w:rFonts w:ascii="Verdana" w:hAnsi="Verdana"/>
          <w:sz w:val="18"/>
          <w:szCs w:val="18"/>
        </w:rPr>
        <w:t xml:space="preserve">circa </w:t>
      </w:r>
      <w:r w:rsidRPr="005E70CD">
        <w:rPr>
          <w:rFonts w:ascii="Verdana" w:hAnsi="Verdana"/>
          <w:sz w:val="18"/>
          <w:szCs w:val="18"/>
        </w:rPr>
        <w:t>drie militairen ter capaciteitsopbouw van Keniaanse mariniers.</w:t>
      </w:r>
    </w:p>
    <w:p w:rsidRPr="005E70CD" w:rsidR="00CF7286" w:rsidP="001C00DE" w:rsidRDefault="00CF7286">
      <w:pPr>
        <w:pStyle w:val="ListParagraph"/>
        <w:numPr>
          <w:ilvl w:val="0"/>
          <w:numId w:val="23"/>
        </w:numPr>
        <w:spacing w:line="276" w:lineRule="auto"/>
        <w:jc w:val="both"/>
        <w:rPr>
          <w:rFonts w:ascii="Verdana" w:hAnsi="Verdana"/>
          <w:sz w:val="18"/>
          <w:szCs w:val="18"/>
        </w:rPr>
      </w:pPr>
      <w:r w:rsidRPr="005E70CD">
        <w:rPr>
          <w:rFonts w:ascii="Verdana" w:hAnsi="Verdana"/>
          <w:b/>
          <w:bCs/>
          <w:sz w:val="18"/>
          <w:szCs w:val="18"/>
        </w:rPr>
        <w:t>MPKI</w:t>
      </w:r>
      <w:r w:rsidR="001C00DE">
        <w:rPr>
          <w:rFonts w:ascii="Verdana" w:hAnsi="Verdana"/>
          <w:sz w:val="18"/>
          <w:szCs w:val="18"/>
        </w:rPr>
        <w:t>: Nederlandse bijdrage van circa twee</w:t>
      </w:r>
      <w:r w:rsidRPr="005E70CD">
        <w:rPr>
          <w:rFonts w:ascii="Verdana" w:hAnsi="Verdana"/>
          <w:sz w:val="18"/>
          <w:szCs w:val="18"/>
        </w:rPr>
        <w:t xml:space="preserve"> militairen aan het </w:t>
      </w:r>
      <w:r w:rsidRPr="005E70CD">
        <w:rPr>
          <w:rFonts w:ascii="Verdana" w:hAnsi="Verdana"/>
          <w:i/>
          <w:iCs/>
          <w:sz w:val="18"/>
          <w:szCs w:val="18"/>
        </w:rPr>
        <w:t>International Peace Support Training Centre</w:t>
      </w:r>
      <w:r w:rsidRPr="005E70CD">
        <w:rPr>
          <w:rFonts w:ascii="Verdana" w:hAnsi="Verdana"/>
          <w:sz w:val="18"/>
          <w:szCs w:val="18"/>
        </w:rPr>
        <w:t xml:space="preserve"> (IPSTC) in Nairobi, Kenia, voor een United Nations Military Peacekeeping Intelligence (UN MPKI) course. </w:t>
      </w:r>
    </w:p>
    <w:p w:rsidR="00CF7286" w:rsidP="001C00DE" w:rsidRDefault="00CF7286">
      <w:pPr>
        <w:pStyle w:val="ListParagraph"/>
        <w:numPr>
          <w:ilvl w:val="0"/>
          <w:numId w:val="23"/>
        </w:numPr>
        <w:spacing w:line="276" w:lineRule="auto"/>
        <w:jc w:val="both"/>
        <w:rPr>
          <w:rFonts w:ascii="Verdana" w:hAnsi="Verdana"/>
          <w:sz w:val="18"/>
          <w:szCs w:val="18"/>
        </w:rPr>
      </w:pPr>
      <w:r w:rsidRPr="005E70CD">
        <w:rPr>
          <w:rFonts w:ascii="Verdana" w:hAnsi="Verdana"/>
          <w:b/>
          <w:bCs/>
          <w:sz w:val="18"/>
          <w:szCs w:val="18"/>
        </w:rPr>
        <w:t>OPKI:</w:t>
      </w:r>
      <w:r w:rsidR="001C00DE">
        <w:rPr>
          <w:rFonts w:ascii="Verdana" w:hAnsi="Verdana"/>
          <w:sz w:val="18"/>
          <w:szCs w:val="18"/>
        </w:rPr>
        <w:t xml:space="preserve"> Nederland heeft met circa twee </w:t>
      </w:r>
      <w:r w:rsidRPr="005E70CD">
        <w:rPr>
          <w:rFonts w:ascii="Verdana" w:hAnsi="Verdana"/>
          <w:sz w:val="18"/>
          <w:szCs w:val="18"/>
        </w:rPr>
        <w:t xml:space="preserve">militairen bijdragen aan </w:t>
      </w:r>
      <w:r w:rsidRPr="005E70CD">
        <w:rPr>
          <w:rFonts w:ascii="Verdana" w:hAnsi="Verdana"/>
          <w:i/>
          <w:iCs/>
          <w:sz w:val="18"/>
          <w:szCs w:val="18"/>
        </w:rPr>
        <w:t>Open Source Peacekeeping Intelligence</w:t>
      </w:r>
      <w:r w:rsidRPr="005E70CD">
        <w:rPr>
          <w:rFonts w:ascii="Verdana" w:hAnsi="Verdana"/>
          <w:sz w:val="18"/>
          <w:szCs w:val="18"/>
        </w:rPr>
        <w:t xml:space="preserve"> (OPKI) training van de VN in Oeganda die bijdra</w:t>
      </w:r>
      <w:r>
        <w:rPr>
          <w:rFonts w:ascii="Verdana" w:hAnsi="Verdana"/>
          <w:sz w:val="18"/>
          <w:szCs w:val="18"/>
        </w:rPr>
        <w:t>agt</w:t>
      </w:r>
      <w:r w:rsidRPr="005E70CD">
        <w:rPr>
          <w:rFonts w:ascii="Verdana" w:hAnsi="Verdana"/>
          <w:sz w:val="18"/>
          <w:szCs w:val="18"/>
        </w:rPr>
        <w:t xml:space="preserve"> aan military peacekeeping intelligence capaciteiten van VN-vredesmissies. </w:t>
      </w:r>
    </w:p>
    <w:p w:rsidRPr="005E70CD" w:rsidR="00CF7286" w:rsidP="001C00DE" w:rsidRDefault="00CF7286">
      <w:pPr>
        <w:pStyle w:val="ListParagraph"/>
        <w:numPr>
          <w:ilvl w:val="0"/>
          <w:numId w:val="23"/>
        </w:numPr>
        <w:spacing w:line="276" w:lineRule="auto"/>
        <w:jc w:val="both"/>
        <w:rPr>
          <w:rFonts w:ascii="Verdana" w:hAnsi="Verdana"/>
          <w:sz w:val="18"/>
          <w:szCs w:val="18"/>
        </w:rPr>
      </w:pPr>
      <w:r>
        <w:rPr>
          <w:rFonts w:ascii="Verdana" w:hAnsi="Verdana"/>
          <w:b/>
          <w:bCs/>
          <w:sz w:val="18"/>
          <w:szCs w:val="18"/>
        </w:rPr>
        <w:t>ECID:</w:t>
      </w:r>
      <w:r>
        <w:rPr>
          <w:rFonts w:ascii="Verdana" w:hAnsi="Verdana"/>
          <w:sz w:val="18"/>
          <w:szCs w:val="18"/>
        </w:rPr>
        <w:t xml:space="preserve"> d</w:t>
      </w:r>
      <w:r w:rsidRPr="005E70CD">
        <w:rPr>
          <w:rFonts w:ascii="Verdana" w:hAnsi="Verdana"/>
          <w:sz w:val="18"/>
          <w:szCs w:val="18"/>
        </w:rPr>
        <w:t xml:space="preserve">ocumenttrainingen van het Expertisecentrum Identiteitsfraude en Documenten van de Koninklijke Marechaussee, verzorgd aan de Libanese Strijdkrachten in oktober 2025, te Beiroet, op het gebied van </w:t>
      </w:r>
      <w:r w:rsidRPr="005E70CD">
        <w:rPr>
          <w:rFonts w:ascii="Verdana" w:hAnsi="Verdana"/>
          <w:i/>
          <w:sz w:val="18"/>
          <w:szCs w:val="18"/>
        </w:rPr>
        <w:t>border management</w:t>
      </w:r>
      <w:r w:rsidRPr="005E70CD">
        <w:rPr>
          <w:rFonts w:ascii="Verdana" w:hAnsi="Verdana"/>
          <w:sz w:val="18"/>
          <w:szCs w:val="18"/>
        </w:rPr>
        <w:t xml:space="preserve">. Doel van de trainingen was bijdragen aan de verdere professionalisering van de Libanese Strijdkrachten in de uitoefening van hun grenstoezichtactiviteiten. </w:t>
      </w:r>
    </w:p>
    <w:p w:rsidRPr="0051213E" w:rsidR="00CF7286" w:rsidP="00CF7286" w:rsidRDefault="00CF7286">
      <w:pPr>
        <w:jc w:val="both"/>
      </w:pPr>
    </w:p>
    <w:p w:rsidRPr="00D37E98" w:rsidR="00CF7286" w:rsidP="00CF7286" w:rsidRDefault="00CF7286">
      <w:pPr>
        <w:pStyle w:val="Heading2"/>
        <w:numPr>
          <w:ilvl w:val="1"/>
          <w:numId w:val="16"/>
        </w:numPr>
        <w:jc w:val="both"/>
        <w:rPr>
          <w:lang w:val="en-US"/>
        </w:rPr>
      </w:pPr>
      <w:bookmarkStart w:name="_Toc227756581" w:id="268"/>
      <w:r w:rsidRPr="00456B2C">
        <w:rPr>
          <w:lang w:val="en-US"/>
        </w:rPr>
        <w:t>Early Forward Presence</w:t>
      </w:r>
      <w:r>
        <w:rPr>
          <w:lang w:val="en-US"/>
        </w:rPr>
        <w:t xml:space="preserve"> Nederlandse SOF</w:t>
      </w:r>
      <w:bookmarkEnd w:id="263"/>
      <w:bookmarkEnd w:id="264"/>
      <w:bookmarkEnd w:id="265"/>
      <w:bookmarkEnd w:id="266"/>
      <w:bookmarkEnd w:id="267"/>
      <w:bookmarkEnd w:id="268"/>
    </w:p>
    <w:p w:rsidRPr="0037069F" w:rsidR="00CF7286" w:rsidP="00CF7286" w:rsidRDefault="00CF7286">
      <w:pPr>
        <w:spacing w:line="276" w:lineRule="auto"/>
        <w:jc w:val="both"/>
        <w:rPr>
          <w:rFonts w:eastAsiaTheme="minorHAnsi"/>
          <w:lang w:val="en-US"/>
        </w:rPr>
      </w:pPr>
    </w:p>
    <w:p w:rsidR="00CF7286" w:rsidP="00CF7286" w:rsidRDefault="00CF7286">
      <w:pPr>
        <w:spacing w:line="276" w:lineRule="auto"/>
        <w:jc w:val="both"/>
      </w:pPr>
      <w:r w:rsidRPr="008C330F">
        <w:t>Nederland zet</w:t>
      </w:r>
      <w:r w:rsidRPr="581EF451">
        <w:t>,</w:t>
      </w:r>
      <w:r w:rsidRPr="008C330F">
        <w:t xml:space="preserve"> in het kader van het </w:t>
      </w:r>
      <w:r w:rsidRPr="581EF451">
        <w:rPr>
          <w:i/>
          <w:iCs/>
        </w:rPr>
        <w:t>Early Forward Presence</w:t>
      </w:r>
      <w:r>
        <w:t xml:space="preserve"> (e</w:t>
      </w:r>
      <w:r w:rsidRPr="008C330F">
        <w:t xml:space="preserve">FP)-raamwerk van de Nederlandse </w:t>
      </w:r>
      <w:r w:rsidRPr="581EF451">
        <w:rPr>
          <w:i/>
          <w:iCs/>
        </w:rPr>
        <w:t>Special Operations Forces</w:t>
      </w:r>
      <w:r w:rsidRPr="008C330F">
        <w:t xml:space="preserve"> (SOF)</w:t>
      </w:r>
      <w:r w:rsidRPr="581EF451">
        <w:t>,</w:t>
      </w:r>
      <w:r w:rsidRPr="008C330F">
        <w:t xml:space="preserve"> </w:t>
      </w:r>
      <w:r>
        <w:t xml:space="preserve">vroegtijdig en langdurig relatief </w:t>
      </w:r>
      <w:r w:rsidRPr="008C330F">
        <w:t>kleinschalig</w:t>
      </w:r>
      <w:r w:rsidRPr="581EF451">
        <w:t xml:space="preserve"> </w:t>
      </w:r>
      <w:r w:rsidRPr="581EF451">
        <w:rPr>
          <w:i/>
          <w:iCs/>
        </w:rPr>
        <w:t>Special Operations Liaison Elements</w:t>
      </w:r>
      <w:r w:rsidRPr="581EF451">
        <w:t xml:space="preserve"> (</w:t>
      </w:r>
      <w:r w:rsidRPr="008C330F">
        <w:t>SOLE’s</w:t>
      </w:r>
      <w:r w:rsidRPr="581EF451">
        <w:t xml:space="preserve">) </w:t>
      </w:r>
      <w:r w:rsidRPr="008C330F">
        <w:t>in</w:t>
      </w:r>
      <w:r>
        <w:t>. De EFP-inzet is</w:t>
      </w:r>
      <w:r w:rsidRPr="008C330F">
        <w:t xml:space="preserve"> onderdeel van de brede geïntegreerde Nederlandse inzet in voor Nederland prioritaire regio</w:t>
      </w:r>
      <w:r>
        <w:t>’</w:t>
      </w:r>
      <w:r w:rsidRPr="008C330F">
        <w:t>s</w:t>
      </w:r>
      <w:r w:rsidRPr="581EF451">
        <w:t xml:space="preserve"> </w:t>
      </w:r>
      <w:r>
        <w:t>met ontplooiingen in de</w:t>
      </w:r>
      <w:r w:rsidRPr="581EF451">
        <w:t xml:space="preserve"> </w:t>
      </w:r>
      <w:r w:rsidRPr="008C330F">
        <w:t>Mashreq (standplaats Libanon), Baltische regio (standplaats Litouwen) en West-Afrika (standplaats Ivoorkust</w:t>
      </w:r>
      <w:r w:rsidRPr="581EF451">
        <w:t>)</w:t>
      </w:r>
      <w:r>
        <w:t xml:space="preserve">. Sinds 2025 is ook een SOLE ontplooid in de Cariben en Latijns-Amerika (standplaats Colombia/Curaçao). </w:t>
      </w:r>
      <w:r w:rsidRPr="581EF451">
        <w:t xml:space="preserve"> </w:t>
      </w:r>
    </w:p>
    <w:p w:rsidR="00CF7286" w:rsidP="00CF7286" w:rsidRDefault="00CF7286">
      <w:pPr>
        <w:spacing w:line="276" w:lineRule="auto"/>
        <w:jc w:val="both"/>
      </w:pPr>
    </w:p>
    <w:p w:rsidRPr="008C330F" w:rsidR="00CF7286" w:rsidP="00CF7286" w:rsidRDefault="00CF7286">
      <w:pPr>
        <w:spacing w:line="276" w:lineRule="auto"/>
        <w:jc w:val="both"/>
      </w:pPr>
      <w:r>
        <w:t xml:space="preserve">Het eFP-raamwerk met inzet van de SOLE’s biedt Nederland een capaciteit die bijdraagt </w:t>
      </w:r>
      <w:r w:rsidRPr="008C330F">
        <w:t xml:space="preserve">aan het vermogen om vroegtijdig dreigingen te onderkennen en </w:t>
      </w:r>
      <w:r>
        <w:t xml:space="preserve">hier effectief </w:t>
      </w:r>
      <w:r w:rsidRPr="008C330F">
        <w:t>op te anticiperen</w:t>
      </w:r>
      <w:r>
        <w:t>. Zo maken de SOLE’s gebruik</w:t>
      </w:r>
      <w:r w:rsidRPr="581EF451">
        <w:t xml:space="preserve"> </w:t>
      </w:r>
      <w:r w:rsidRPr="008C330F">
        <w:t>van het internationale en lokale SOF-netwerk om de Nederlandse informatiepositie te versterken</w:t>
      </w:r>
      <w:r>
        <w:t xml:space="preserve"> vanaf de grond. </w:t>
      </w:r>
      <w:r w:rsidRPr="008C330F">
        <w:t>Naast beeldopbouw richten de SOLE’s zich ook op het verkennen van eventuele handelingsopties voor de versterking van lokale veiligheidsstructuren, bijvoorbeeld</w:t>
      </w:r>
      <w:r w:rsidRPr="581EF451">
        <w:t xml:space="preserve"> </w:t>
      </w:r>
      <w:r w:rsidRPr="008C330F">
        <w:t>gericht op de bestrijding van</w:t>
      </w:r>
      <w:r>
        <w:t xml:space="preserve"> terrorisme, maar ook tegen</w:t>
      </w:r>
      <w:r w:rsidRPr="008C330F">
        <w:t xml:space="preserve"> grensoverschrijdende criminaliteit</w:t>
      </w:r>
      <w:r w:rsidRPr="581EF451">
        <w:t xml:space="preserve">. </w:t>
      </w:r>
      <w:r>
        <w:t xml:space="preserve">De SOLE’s dragen zodoende bij aan het vermogen om te kunnen anticiperen. De inzet van het SOLE is </w:t>
      </w:r>
      <w:r>
        <w:lastRenderedPageBreak/>
        <w:t xml:space="preserve">daarmee complementair aan bredere militaire en civiele inzet in het kader van het buitenlandbeleid. </w:t>
      </w:r>
    </w:p>
    <w:p w:rsidRPr="008C330F" w:rsidR="00CF7286" w:rsidP="00CF7286" w:rsidRDefault="00CF7286">
      <w:pPr>
        <w:spacing w:line="276" w:lineRule="auto"/>
        <w:jc w:val="both"/>
      </w:pPr>
    </w:p>
    <w:p w:rsidR="00CF7286" w:rsidP="00CF7286" w:rsidRDefault="00CF7286">
      <w:pPr>
        <w:spacing w:line="276" w:lineRule="auto"/>
        <w:jc w:val="both"/>
      </w:pPr>
      <w:r>
        <w:t>Deze a</w:t>
      </w:r>
      <w:r w:rsidRPr="008C330F">
        <w:t xml:space="preserve">ctiviteiten zijn gebaseerd op de behoeften van lokale veiligheidsactoren en dragen op een bescheiden maar tastbare manier bij aan het versterken van </w:t>
      </w:r>
      <w:r>
        <w:t xml:space="preserve">lokale en regionale </w:t>
      </w:r>
      <w:r w:rsidRPr="008C330F">
        <w:t>veiligheidsactoren.</w:t>
      </w:r>
      <w:r w:rsidRPr="581EF451">
        <w:t xml:space="preserve"> </w:t>
      </w:r>
      <w:r w:rsidRPr="008C330F">
        <w:t xml:space="preserve">Zo zijn in Libanon trainingsactiviteiten ontplooid ten behoeve van de </w:t>
      </w:r>
      <w:r w:rsidRPr="581EF451">
        <w:rPr>
          <w:i/>
          <w:iCs/>
        </w:rPr>
        <w:t>Lebanese Armed Forces.</w:t>
      </w:r>
      <w:r w:rsidRPr="581EF451">
        <w:rPr>
          <w:rStyle w:val="FootnoteReference"/>
          <w:rFonts w:ascii="Verdana" w:hAnsi="Verdana"/>
          <w:i/>
          <w:iCs/>
          <w:sz w:val="18"/>
          <w:szCs w:val="18"/>
        </w:rPr>
        <w:footnoteReference w:id="5"/>
      </w:r>
      <w:r>
        <w:t xml:space="preserve"> De</w:t>
      </w:r>
      <w:r w:rsidRPr="008C330F">
        <w:t xml:space="preserve"> werkzaamheden van het SOLE in West-Afrika</w:t>
      </w:r>
      <w:r>
        <w:t xml:space="preserve"> hebben </w:t>
      </w:r>
      <w:r w:rsidRPr="008C330F">
        <w:t xml:space="preserve">geleid tot een meerjarig partnerschap van Nederlandse SOF met de Ivoriaanse </w:t>
      </w:r>
      <w:r w:rsidRPr="581EF451">
        <w:rPr>
          <w:i/>
          <w:iCs/>
        </w:rPr>
        <w:t>special forces</w:t>
      </w:r>
      <w:r>
        <w:rPr>
          <w:iCs/>
        </w:rPr>
        <w:t>. Ook zijn behoeftes van andere landen in kaart gebracht met als resultaat dat een SOF-partnerschap met</w:t>
      </w:r>
      <w:r>
        <w:t xml:space="preserve"> Senegal wordt opgestart ter versterking van de maritieme interventie capaciteit van de </w:t>
      </w:r>
      <w:r w:rsidRPr="0078683B">
        <w:rPr>
          <w:i/>
        </w:rPr>
        <w:t>Forces Speciales Mer</w:t>
      </w:r>
      <w:r w:rsidRPr="581EF451">
        <w:t xml:space="preserve">. </w:t>
      </w:r>
      <w:r>
        <w:t>Ook is het geografisch werkgebied vergroot tot meerdere landen in West-Afrika en de Sahel waardoor effectiever kan worden ingespeeld op regionale en grensoverschrijdende dynamieken. Het</w:t>
      </w:r>
      <w:r w:rsidRPr="008C330F">
        <w:t xml:space="preserve"> SOLE</w:t>
      </w:r>
      <w:r w:rsidRPr="581EF451">
        <w:t xml:space="preserve"> </w:t>
      </w:r>
      <w:r w:rsidRPr="008C330F">
        <w:t>in de Baltische regio heeft</w:t>
      </w:r>
      <w:r w:rsidRPr="581EF451">
        <w:t xml:space="preserve"> </w:t>
      </w:r>
      <w:r w:rsidRPr="008C330F">
        <w:t>mogelijkheden voor samenwerking met de lokale strijdkrachten onderzocht, waaruit verschillende gezamenlijke trainingen zijn voortgekomen. Deze trainingen dragen onder andere bij aan de interoperabiliteit van Nederlandse SOF met SOF-partners in deze regio</w:t>
      </w:r>
      <w:r>
        <w:t>, bijvoorbeeld als het gaat om de Nederlandse NATO Force Model (NFM)-taakstelling</w:t>
      </w:r>
      <w:r w:rsidRPr="008C330F">
        <w:t>.</w:t>
      </w:r>
      <w:r w:rsidRPr="581EF451">
        <w:t xml:space="preserve"> </w:t>
      </w:r>
      <w:r>
        <w:t xml:space="preserve">Tenslotte is een SOLE in Colombia ontplooid; dit heeft zich gepositioneerd in een relevant netwerk waar het aankomende jaar op kan worden voortgebouwd. </w:t>
      </w:r>
    </w:p>
    <w:p w:rsidR="00CF7286" w:rsidP="00CF7286" w:rsidRDefault="00CF7286">
      <w:pPr>
        <w:spacing w:line="276" w:lineRule="auto"/>
        <w:jc w:val="both"/>
      </w:pPr>
    </w:p>
    <w:p w:rsidR="00CF7286" w:rsidP="00CF7286" w:rsidRDefault="00CF7286">
      <w:pPr>
        <w:pStyle w:val="Heading2"/>
        <w:numPr>
          <w:ilvl w:val="1"/>
          <w:numId w:val="16"/>
        </w:numPr>
        <w:jc w:val="both"/>
      </w:pPr>
      <w:bookmarkStart w:name="_Toc4142718" w:id="269"/>
      <w:bookmarkStart w:name="_Toc37161730" w:id="270"/>
      <w:bookmarkStart w:name="_Toc38961441" w:id="271"/>
      <w:bookmarkStart w:name="_Toc69976554" w:id="272"/>
      <w:bookmarkStart w:name="_Toc164845375" w:id="273"/>
      <w:bookmarkStart w:name="_Toc227756582" w:id="274"/>
      <w:bookmarkStart w:name="_Toc193981075" w:id="275"/>
      <w:bookmarkStart w:name="_Toc193984072" w:id="276"/>
      <w:bookmarkStart w:name="_Toc193363100" w:id="277"/>
      <w:bookmarkStart w:name="_Toc193365862" w:id="278"/>
      <w:r w:rsidRPr="369CD2BB">
        <w:t>Vessel</w:t>
      </w:r>
      <w:r w:rsidRPr="581EF451">
        <w:t xml:space="preserve"> </w:t>
      </w:r>
      <w:r w:rsidRPr="369CD2BB">
        <w:t>Protection</w:t>
      </w:r>
      <w:r w:rsidRPr="581EF451">
        <w:t xml:space="preserve"> </w:t>
      </w:r>
      <w:r w:rsidRPr="369CD2BB">
        <w:t>Detachments</w:t>
      </w:r>
      <w:r w:rsidRPr="00422292">
        <w:t xml:space="preserve"> (Oostkust Afrika)</w:t>
      </w:r>
      <w:bookmarkEnd w:id="269"/>
      <w:bookmarkEnd w:id="270"/>
      <w:bookmarkEnd w:id="271"/>
      <w:bookmarkEnd w:id="272"/>
      <w:bookmarkEnd w:id="273"/>
      <w:bookmarkEnd w:id="274"/>
      <w:r w:rsidRPr="581EF451">
        <w:t xml:space="preserve"> </w:t>
      </w:r>
      <w:bookmarkEnd w:id="275"/>
      <w:bookmarkEnd w:id="276"/>
      <w:bookmarkEnd w:id="277"/>
      <w:bookmarkEnd w:id="278"/>
    </w:p>
    <w:p w:rsidRPr="000F1A16" w:rsidR="00CF7286" w:rsidP="00CF7286" w:rsidRDefault="00CF7286">
      <w:pPr>
        <w:jc w:val="both"/>
      </w:pPr>
    </w:p>
    <w:p w:rsidRPr="00D3138C" w:rsidR="00CF7286" w:rsidP="00CF7286" w:rsidRDefault="00CF7286">
      <w:pPr>
        <w:spacing w:line="276" w:lineRule="auto"/>
        <w:jc w:val="both"/>
        <w:rPr>
          <w:u w:val="single"/>
          <w:lang w:eastAsia="nl-NL"/>
        </w:rPr>
      </w:pPr>
      <w:r w:rsidRPr="00D3138C">
        <w:rPr>
          <w:u w:val="single"/>
          <w:lang w:eastAsia="nl-NL"/>
        </w:rPr>
        <w:t xml:space="preserve">Over de missie </w:t>
      </w:r>
    </w:p>
    <w:p w:rsidRPr="00D37E98" w:rsidR="00CF7286" w:rsidP="00CF7286" w:rsidRDefault="00CF7286">
      <w:pPr>
        <w:spacing w:line="276" w:lineRule="auto"/>
        <w:jc w:val="both"/>
        <w:rPr>
          <w:lang w:eastAsia="nl-NL"/>
        </w:rPr>
      </w:pPr>
      <w:r w:rsidRPr="00D37E98">
        <w:rPr>
          <w:lang w:eastAsia="nl-NL"/>
        </w:rPr>
        <w:t xml:space="preserve">Sinds maart 2011 worden </w:t>
      </w:r>
      <w:r w:rsidRPr="001D251E">
        <w:rPr>
          <w:i/>
          <w:iCs/>
          <w:lang w:eastAsia="nl-NL"/>
        </w:rPr>
        <w:t>Vessel Protection Detachments</w:t>
      </w:r>
      <w:r w:rsidRPr="00D37E98">
        <w:rPr>
          <w:lang w:eastAsia="nl-NL"/>
        </w:rPr>
        <w:t xml:space="preserve"> (VPD’s) ingezet ter bescherming van Koninkrijk-gevlagde koopvaardijschepen tegen (dreiging van) piraten. Deze schepen zijn belangrijk voor de Nederlandse economie en welvaart. Een VPD bestaat standaard uit elf militairen inclusi</w:t>
      </w:r>
      <w:r w:rsidRPr="00633398">
        <w:rPr>
          <w:lang w:eastAsia="nl-NL"/>
        </w:rPr>
        <w:t xml:space="preserve">ef een Algemeen Militair Verpleegkundige. De inzet vindt voornamelijk plaats rond de Hoorn van Afrika. </w:t>
      </w:r>
    </w:p>
    <w:p w:rsidRPr="00422292" w:rsidR="00CF7286" w:rsidP="00CF7286" w:rsidRDefault="00CF7286">
      <w:pPr>
        <w:spacing w:line="276" w:lineRule="auto"/>
        <w:jc w:val="both"/>
        <w:rPr>
          <w:szCs w:val="18"/>
          <w:lang w:eastAsia="nl-NL"/>
        </w:rPr>
      </w:pPr>
    </w:p>
    <w:p w:rsidRPr="00954EFE" w:rsidR="00CF7286" w:rsidP="00CF7286" w:rsidRDefault="00CF7286">
      <w:pPr>
        <w:spacing w:line="276" w:lineRule="auto"/>
        <w:jc w:val="both"/>
        <w:rPr>
          <w:u w:val="single"/>
          <w:lang w:eastAsia="nl-NL"/>
        </w:rPr>
      </w:pPr>
      <w:r w:rsidRPr="009C1D78">
        <w:rPr>
          <w:u w:val="single"/>
          <w:lang w:eastAsia="nl-NL"/>
        </w:rPr>
        <w:t xml:space="preserve">Voor de missie relevante ontwikkelingen </w:t>
      </w:r>
    </w:p>
    <w:p w:rsidR="00CF7286" w:rsidP="00CF7286" w:rsidRDefault="00CF7286">
      <w:pPr>
        <w:spacing w:line="276" w:lineRule="auto"/>
        <w:jc w:val="both"/>
        <w:rPr>
          <w:lang w:eastAsia="nl-NL"/>
        </w:rPr>
      </w:pPr>
      <w:r>
        <w:t xml:space="preserve">Vanwege veiligheidsredenen kunnen er geen VPDs worden ingezet in het Rode Zeegebied. </w:t>
      </w:r>
      <w:r>
        <w:rPr>
          <w:lang w:eastAsia="nl-NL"/>
        </w:rPr>
        <w:t>De infrastructuur rond de VPDs (onderhoud VPD</w:t>
      </w:r>
      <w:r w:rsidR="009210DA">
        <w:rPr>
          <w:lang w:eastAsia="nl-NL"/>
        </w:rPr>
        <w:t>-</w:t>
      </w:r>
      <w:r>
        <w:rPr>
          <w:lang w:eastAsia="nl-NL"/>
        </w:rPr>
        <w:t>pakketten en dergelijke) in deze regio wordt wel in stand gehouden omdat de levering van de VPDs via de Wet ter Bescherming een wettelijke taak is.</w:t>
      </w:r>
    </w:p>
    <w:p w:rsidR="00CF7286" w:rsidP="00CF7286" w:rsidRDefault="00CF7286">
      <w:pPr>
        <w:spacing w:line="276" w:lineRule="auto"/>
        <w:jc w:val="both"/>
        <w:rPr>
          <w:lang w:eastAsia="nl-NL"/>
        </w:rPr>
      </w:pPr>
    </w:p>
    <w:p w:rsidRPr="00E713C0" w:rsidR="00CF7286" w:rsidP="00CF7286" w:rsidRDefault="00CF7286">
      <w:pPr>
        <w:spacing w:line="276" w:lineRule="auto"/>
        <w:jc w:val="both"/>
        <w:rPr>
          <w:u w:val="single"/>
          <w:lang w:eastAsia="nl-NL"/>
        </w:rPr>
      </w:pPr>
      <w:r w:rsidRPr="00E713C0">
        <w:rPr>
          <w:u w:val="single"/>
          <w:lang w:eastAsia="nl-NL"/>
        </w:rPr>
        <w:t>Militaire bijdrage</w:t>
      </w:r>
    </w:p>
    <w:p w:rsidRPr="00D37E98" w:rsidR="00CF7286" w:rsidP="00CF7286" w:rsidRDefault="00CF7286">
      <w:pPr>
        <w:spacing w:line="276" w:lineRule="auto"/>
        <w:jc w:val="both"/>
        <w:rPr>
          <w:lang w:eastAsia="nl-NL"/>
        </w:rPr>
      </w:pPr>
      <w:r>
        <w:rPr>
          <w:lang w:eastAsia="nl-NL"/>
        </w:rPr>
        <w:t xml:space="preserve">In de rapportageperiode </w:t>
      </w:r>
      <w:r>
        <w:t>zijn geen VPD’s ingezet. Dit hangt samen met de dreiging die sinds december 2023 van de Hou</w:t>
      </w:r>
      <w:r w:rsidRPr="008C330F">
        <w:t>thi</w:t>
      </w:r>
      <w:r>
        <w:t>’</w:t>
      </w:r>
      <w:r w:rsidRPr="008C330F">
        <w:t>s uitgaat</w:t>
      </w:r>
      <w:r>
        <w:t xml:space="preserve">. </w:t>
      </w:r>
      <w:r w:rsidRPr="008C330F">
        <w:t>VPD’s</w:t>
      </w:r>
      <w:r>
        <w:t xml:space="preserve"> zijn niet in staat om bescherming te bieden tegen raketten of drones.</w:t>
      </w:r>
      <w:r w:rsidRPr="581EF451">
        <w:t xml:space="preserve"> </w:t>
      </w:r>
    </w:p>
    <w:p w:rsidR="00CF7286" w:rsidP="00CF7286" w:rsidRDefault="00CF7286">
      <w:pPr>
        <w:spacing w:line="276" w:lineRule="auto"/>
        <w:jc w:val="both"/>
      </w:pPr>
    </w:p>
    <w:p w:rsidR="00CF7286" w:rsidP="00CF7286" w:rsidRDefault="00CF7286">
      <w:pPr>
        <w:pStyle w:val="Heading2"/>
        <w:numPr>
          <w:ilvl w:val="1"/>
          <w:numId w:val="16"/>
        </w:numPr>
        <w:spacing w:line="276" w:lineRule="auto"/>
        <w:jc w:val="both"/>
      </w:pPr>
      <w:bookmarkStart w:name="_Toc442947627" w:id="279"/>
      <w:bookmarkStart w:name="_Toc443557916" w:id="280"/>
      <w:bookmarkStart w:name="_Toc443559924" w:id="281"/>
      <w:bookmarkStart w:name="_Toc442947629" w:id="282"/>
      <w:bookmarkStart w:name="_Toc443557918" w:id="283"/>
      <w:bookmarkStart w:name="_Toc443559926" w:id="284"/>
      <w:bookmarkStart w:name="_Toc442947630" w:id="285"/>
      <w:bookmarkStart w:name="_Toc443557919" w:id="286"/>
      <w:bookmarkStart w:name="_Toc443559927" w:id="287"/>
      <w:bookmarkStart w:name="_Toc511139606" w:id="288"/>
      <w:bookmarkStart w:name="_Toc7102216" w:id="289"/>
      <w:bookmarkStart w:name="_Toc7164709" w:id="290"/>
      <w:bookmarkStart w:name="_Toc7102217" w:id="291"/>
      <w:bookmarkStart w:name="_Toc7164710" w:id="292"/>
      <w:bookmarkStart w:name="_Toc7102218" w:id="293"/>
      <w:bookmarkStart w:name="_Toc7164711" w:id="294"/>
      <w:bookmarkStart w:name="_Toc7102219" w:id="295"/>
      <w:bookmarkStart w:name="_Toc7164712" w:id="296"/>
      <w:bookmarkStart w:name="_Toc7102220" w:id="297"/>
      <w:bookmarkStart w:name="_Toc7164713" w:id="298"/>
      <w:bookmarkStart w:name="_Toc7102221" w:id="299"/>
      <w:bookmarkStart w:name="_Toc7164714" w:id="300"/>
      <w:bookmarkStart w:name="_Toc7102223" w:id="301"/>
      <w:bookmarkStart w:name="_Toc7164716" w:id="302"/>
      <w:bookmarkStart w:name="_Toc7102224" w:id="303"/>
      <w:bookmarkStart w:name="_Toc7164717" w:id="304"/>
      <w:bookmarkStart w:name="_Toc508633819" w:id="305"/>
      <w:bookmarkStart w:name="_Toc7102225" w:id="306"/>
      <w:bookmarkStart w:name="_Toc7164718" w:id="307"/>
      <w:bookmarkStart w:name="_Toc7102226" w:id="308"/>
      <w:bookmarkStart w:name="_Toc7164719" w:id="309"/>
      <w:bookmarkStart w:name="_Toc511898179" w:id="310"/>
      <w:bookmarkStart w:name="_Toc513549759" w:id="311"/>
      <w:bookmarkStart w:name="_Toc513549867" w:id="312"/>
      <w:bookmarkStart w:name="_Toc513549925" w:id="313"/>
      <w:bookmarkStart w:name="_Toc513549976" w:id="314"/>
      <w:bookmarkStart w:name="_Toc513550556" w:id="315"/>
      <w:bookmarkStart w:name="_Toc513552331" w:id="316"/>
      <w:bookmarkStart w:name="_Toc513557568" w:id="317"/>
      <w:bookmarkStart w:name="_Toc514143036" w:id="318"/>
      <w:bookmarkStart w:name="_Toc442703938" w:id="319"/>
      <w:bookmarkStart w:name="_Toc480899056" w:id="320"/>
      <w:bookmarkStart w:name="_Toc503443788" w:id="321"/>
      <w:bookmarkStart w:name="_Toc511138798" w:id="322"/>
      <w:bookmarkStart w:name="_Toc535402241" w:id="323"/>
      <w:bookmarkStart w:name="_Toc37161728" w:id="324"/>
      <w:bookmarkStart w:name="_Toc38961439" w:id="325"/>
      <w:bookmarkStart w:name="_Toc69976552" w:id="326"/>
      <w:bookmarkStart w:name="_Toc164845376" w:id="327"/>
      <w:bookmarkStart w:name="_Toc227756583" w:id="328"/>
      <w:bookmarkStart w:name="_Toc4142714" w:id="329"/>
      <w:bookmarkStart w:name="_Toc193363101" w:id="330"/>
      <w:bookmarkStart w:name="_Toc193365863" w:id="331"/>
      <w:bookmarkStart w:name="_Toc193981076" w:id="332"/>
      <w:bookmarkStart w:name="_Toc193984073" w:id="333"/>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655424">
        <w:t>Internationale hoofdkwartieren</w:t>
      </w:r>
      <w:bookmarkEnd w:id="319"/>
      <w:bookmarkEnd w:id="320"/>
      <w:bookmarkEnd w:id="321"/>
      <w:bookmarkEnd w:id="322"/>
      <w:bookmarkEnd w:id="323"/>
      <w:bookmarkEnd w:id="324"/>
      <w:bookmarkEnd w:id="325"/>
      <w:bookmarkEnd w:id="326"/>
      <w:bookmarkEnd w:id="327"/>
      <w:bookmarkEnd w:id="328"/>
      <w:r w:rsidRPr="00655424">
        <w:t xml:space="preserve"> </w:t>
      </w:r>
      <w:bookmarkEnd w:id="329"/>
      <w:bookmarkEnd w:id="330"/>
      <w:bookmarkEnd w:id="331"/>
      <w:bookmarkEnd w:id="332"/>
      <w:bookmarkEnd w:id="333"/>
    </w:p>
    <w:p w:rsidR="00CF7286" w:rsidP="00CF7286" w:rsidRDefault="00CF7286">
      <w:pPr>
        <w:jc w:val="both"/>
      </w:pPr>
    </w:p>
    <w:p w:rsidRPr="00655424" w:rsidR="00CF7286" w:rsidP="00CF7286" w:rsidRDefault="00CF7286">
      <w:pPr>
        <w:spacing w:line="276" w:lineRule="auto"/>
        <w:jc w:val="both"/>
      </w:pPr>
      <w:r>
        <w:t>Internationale</w:t>
      </w:r>
      <w:r w:rsidRPr="00655424">
        <w:t xml:space="preserve"> hoofdkwartieren waar Nederlandse militairen in de rapportageperiode geplaatst waren </w:t>
      </w:r>
      <w:r>
        <w:t xml:space="preserve">zijn: </w:t>
      </w:r>
      <w:r w:rsidRPr="581EF451">
        <w:rPr>
          <w:i/>
          <w:iCs/>
        </w:rPr>
        <w:t>United States Central Command</w:t>
      </w:r>
      <w:r w:rsidRPr="00655424">
        <w:t xml:space="preserve"> (USCENTCOM) </w:t>
      </w:r>
      <w:r>
        <w:t>in</w:t>
      </w:r>
      <w:r w:rsidRPr="00655424">
        <w:t xml:space="preserve"> Tampa</w:t>
      </w:r>
      <w:r w:rsidRPr="581EF451">
        <w:t xml:space="preserve">, </w:t>
      </w:r>
      <w:r w:rsidRPr="001D251E">
        <w:rPr>
          <w:i/>
          <w:iCs/>
        </w:rPr>
        <w:t>Combined Maritime Forces</w:t>
      </w:r>
      <w:r>
        <w:t xml:space="preserve"> (C</w:t>
      </w:r>
      <w:r w:rsidRPr="00655424">
        <w:t>MF</w:t>
      </w:r>
      <w:r w:rsidRPr="581EF451">
        <w:t>)</w:t>
      </w:r>
      <w:r w:rsidRPr="00655424">
        <w:t xml:space="preserve"> in Bahrein</w:t>
      </w:r>
      <w:r>
        <w:t xml:space="preserve">, </w:t>
      </w:r>
      <w:r w:rsidRPr="001D251E">
        <w:rPr>
          <w:i/>
          <w:iCs/>
        </w:rPr>
        <w:t>United Nations Command</w:t>
      </w:r>
      <w:r>
        <w:t xml:space="preserve"> (UNC) in Zuid-Korea en de </w:t>
      </w:r>
      <w:r>
        <w:rPr>
          <w:i/>
        </w:rPr>
        <w:t xml:space="preserve">Enforcement Coordination Cell </w:t>
      </w:r>
      <w:r>
        <w:t xml:space="preserve">(ECC) van </w:t>
      </w:r>
      <w:r>
        <w:rPr>
          <w:i/>
        </w:rPr>
        <w:t xml:space="preserve">Pacific Security Maritime Exchange </w:t>
      </w:r>
      <w:r>
        <w:t>(PSMX)l</w:t>
      </w:r>
      <w:r w:rsidRPr="00655424">
        <w:t>. Vanu</w:t>
      </w:r>
      <w:r>
        <w:t>it USCENTCOM wordt onder andere de anti-ISIS-</w:t>
      </w:r>
      <w:r w:rsidRPr="00655424">
        <w:t>coalitie en de brede veiligheidsinzet in Irak ondersteund</w:t>
      </w:r>
      <w:r>
        <w:t>. V</w:t>
      </w:r>
      <w:r w:rsidRPr="00655424">
        <w:t xml:space="preserve">anuit CMF </w:t>
      </w:r>
      <w:r>
        <w:t>wordt onder meer ingezet op</w:t>
      </w:r>
      <w:r w:rsidRPr="00655424">
        <w:t xml:space="preserve"> piraterijbestrijding</w:t>
      </w:r>
      <w:r w:rsidRPr="581EF451">
        <w:t>.</w:t>
      </w:r>
      <w:r w:rsidRPr="0032298D">
        <w:rPr>
          <w:rStyle w:val="FootnoteReference"/>
          <w:rFonts w:ascii="Verdana" w:hAnsi="Verdana"/>
          <w:sz w:val="18"/>
          <w:szCs w:val="18"/>
        </w:rPr>
        <w:footnoteReference w:id="6"/>
      </w:r>
      <w:r w:rsidRPr="581EF451">
        <w:t xml:space="preserve"> </w:t>
      </w:r>
      <w:r>
        <w:t xml:space="preserve">Door </w:t>
      </w:r>
      <w:r>
        <w:lastRenderedPageBreak/>
        <w:t>het veilig-</w:t>
      </w:r>
      <w:r w:rsidRPr="00655424">
        <w:t xml:space="preserve"> en vrijhouden van de scheepvaartroutes in deze regio </w:t>
      </w:r>
      <w:r>
        <w:t xml:space="preserve">dient dit </w:t>
      </w:r>
      <w:r w:rsidRPr="00655424">
        <w:t>een economisch belang.</w:t>
      </w:r>
      <w:r>
        <w:t xml:space="preserve"> </w:t>
      </w:r>
      <w:r w:rsidRPr="003F6141">
        <w:t xml:space="preserve">Het UNC ziet toe op de naleving en integriteit van de </w:t>
      </w:r>
      <w:r w:rsidRPr="001D251E">
        <w:rPr>
          <w:i/>
          <w:iCs/>
        </w:rPr>
        <w:t>Armistice Agreement</w:t>
      </w:r>
      <w:r w:rsidRPr="001D251E">
        <w:rPr>
          <w:rStyle w:val="FootnoteReference"/>
          <w:rFonts w:ascii="Verdana" w:hAnsi="Verdana"/>
          <w:i/>
          <w:iCs/>
          <w:sz w:val="18"/>
          <w:szCs w:val="18"/>
        </w:rPr>
        <w:footnoteReference w:id="7"/>
      </w:r>
      <w:r>
        <w:t xml:space="preserve">, </w:t>
      </w:r>
      <w:r w:rsidRPr="003F6141">
        <w:t>wat de vrede en veiligheid op het Koreaanse schiereiland bevordert. Eveneens is het UNC verantwoordelijk voor het faciliteren van diplomatie met Noord-Korea en het integreren van multinationale troepenmachten ten tijde van een crisis op het Koreaanse schiereiland. UNC draagt hiermee bij aan vrede en stabiliteit in de bredere Indo-Pacific regio.</w:t>
      </w:r>
      <w:r>
        <w:t xml:space="preserve"> Het PSMX-ECC ziet toe </w:t>
      </w:r>
      <w:r w:rsidR="008741A9">
        <w:t>op handhaving</w:t>
      </w:r>
      <w:r>
        <w:t xml:space="preserve"> van de maritieme</w:t>
      </w:r>
      <w:r>
        <w:br/>
        <w:t>sancties tegen Noord-Korea zoals gedefinieerd in de resoluties van de VN-Veiligheidsraad.</w:t>
      </w:r>
    </w:p>
    <w:p w:rsidRPr="00954EFE" w:rsidR="00CF7286" w:rsidP="00CF7286" w:rsidRDefault="00CF7286">
      <w:pPr>
        <w:spacing w:line="276" w:lineRule="auto"/>
        <w:jc w:val="both"/>
        <w:rPr>
          <w:u w:val="single"/>
        </w:rPr>
      </w:pPr>
    </w:p>
    <w:p w:rsidRPr="00954EFE" w:rsidR="00CF7286" w:rsidP="00CF7286" w:rsidRDefault="00CF7286">
      <w:pPr>
        <w:spacing w:line="276" w:lineRule="auto"/>
        <w:jc w:val="both"/>
        <w:rPr>
          <w:u w:val="single"/>
        </w:rPr>
      </w:pPr>
      <w:r w:rsidRPr="00954EFE">
        <w:rPr>
          <w:u w:val="single"/>
        </w:rPr>
        <w:t>Militaire bijdrage</w:t>
      </w:r>
    </w:p>
    <w:p w:rsidR="00CF7286" w:rsidP="00CF7286" w:rsidRDefault="00CF7286">
      <w:pPr>
        <w:spacing w:line="276" w:lineRule="auto"/>
        <w:jc w:val="both"/>
      </w:pPr>
      <w:r w:rsidRPr="00655424">
        <w:t xml:space="preserve">Nederland </w:t>
      </w:r>
      <w:r>
        <w:t xml:space="preserve">heeft </w:t>
      </w:r>
      <w:r w:rsidRPr="00655424">
        <w:t xml:space="preserve">permanent </w:t>
      </w:r>
      <w:r w:rsidR="001C00DE">
        <w:t xml:space="preserve">circa </w:t>
      </w:r>
      <w:r>
        <w:t>vier</w:t>
      </w:r>
      <w:r w:rsidRPr="00655424">
        <w:t xml:space="preserve"> staffunctionarissen</w:t>
      </w:r>
      <w:r>
        <w:t xml:space="preserve"> geplaatst bij USCENTCOM</w:t>
      </w:r>
      <w:r w:rsidRPr="00655424">
        <w:t xml:space="preserve">. Daarnaast levert Nederland per rotatie </w:t>
      </w:r>
      <w:r>
        <w:t xml:space="preserve">twee stafofficieren, waaronder de </w:t>
      </w:r>
      <w:r w:rsidRPr="581EF451">
        <w:rPr>
          <w:i/>
          <w:iCs/>
        </w:rPr>
        <w:t>Assistent Chief of Staff</w:t>
      </w:r>
      <w:r>
        <w:t xml:space="preserve">, </w:t>
      </w:r>
      <w:r w:rsidRPr="00655424">
        <w:t xml:space="preserve">en </w:t>
      </w:r>
      <w:r>
        <w:t>twee</w:t>
      </w:r>
      <w:r w:rsidRPr="00655424">
        <w:t xml:space="preserve"> stafonderofficier</w:t>
      </w:r>
      <w:r>
        <w:t>en</w:t>
      </w:r>
      <w:r w:rsidRPr="00655424">
        <w:t xml:space="preserve"> aan CMF.</w:t>
      </w:r>
      <w:r w:rsidRPr="581EF451">
        <w:t xml:space="preserve"> </w:t>
      </w:r>
      <w:r>
        <w:t xml:space="preserve">Tot eind december 2026 levert Nederland drie staffunctionarissen aan HQ UNC. </w:t>
      </w:r>
      <w:r w:rsidRPr="008416B1">
        <w:t xml:space="preserve">Op incidentele basis leverde Nederland ook ondersteuning aan oefeningen en (staf)trainingen op het HQ UNC wat bijdroeg aan een betere output. </w:t>
      </w:r>
      <w:r>
        <w:t xml:space="preserve">Sinds juli 2025 draagt Nederland met een stafofficier bij aan het ECC. </w:t>
      </w:r>
      <w:r w:rsidRPr="00655424">
        <w:t xml:space="preserve">Door het permanent </w:t>
      </w:r>
      <w:r>
        <w:t>plaatsen</w:t>
      </w:r>
      <w:r w:rsidRPr="581EF451">
        <w:t xml:space="preserve"> </w:t>
      </w:r>
      <w:r>
        <w:t xml:space="preserve">van </w:t>
      </w:r>
      <w:r w:rsidRPr="00655424">
        <w:t xml:space="preserve">staffunctionarissen op </w:t>
      </w:r>
      <w:r>
        <w:t>deze</w:t>
      </w:r>
      <w:r w:rsidRPr="00655424">
        <w:t xml:space="preserve"> hoofdkwartieren heeft Nederland een goede informatiepositie verworven, </w:t>
      </w:r>
      <w:r>
        <w:t xml:space="preserve">ten aanzien van de veiligheidssituatie in deze regio’s. Bovendien draagt de plaatsing van de liaison bij PSMX-ECC bij aan de aansluiting bij de missie, in aanloop naar de aanwezigheid van een fregat in de Indo-Pacific en de bijdrage die het fregat zal leveren aan het ECC middels </w:t>
      </w:r>
      <w:r>
        <w:rPr>
          <w:i/>
        </w:rPr>
        <w:t>associated support</w:t>
      </w:r>
      <w:r>
        <w:t>.</w:t>
      </w:r>
      <w:bookmarkStart w:name="_Toc535245204" w:id="334"/>
      <w:bookmarkStart w:name="_Toc535245207" w:id="335"/>
      <w:bookmarkStart w:name="_Toc535245209" w:id="336"/>
      <w:bookmarkStart w:name="_Toc535245211" w:id="337"/>
      <w:bookmarkStart w:name="_Toc535245212" w:id="338"/>
      <w:bookmarkStart w:name="_Toc535245237" w:id="339"/>
      <w:bookmarkStart w:name="_Toc535245240" w:id="340"/>
      <w:bookmarkStart w:name="_Toc535245242" w:id="341"/>
      <w:bookmarkStart w:name="_Toc535245246" w:id="342"/>
      <w:bookmarkStart w:name="_Toc535245248" w:id="343"/>
      <w:bookmarkStart w:name="_Toc535245250" w:id="344"/>
      <w:bookmarkStart w:name="_Toc535245251" w:id="345"/>
      <w:bookmarkStart w:name="_Toc535245252" w:id="346"/>
      <w:bookmarkStart w:name="_Toc535245253" w:id="347"/>
      <w:bookmarkStart w:name="_Toc535402245" w:id="348"/>
      <w:bookmarkStart w:name="_Toc535402246" w:id="349"/>
      <w:bookmarkStart w:name="_Toc535402247" w:id="350"/>
      <w:bookmarkStart w:name="_Toc535402248" w:id="351"/>
      <w:bookmarkStart w:name="_Toc535402249" w:id="352"/>
      <w:bookmarkStart w:name="_Toc535402250" w:id="353"/>
      <w:bookmarkStart w:name="_Toc535402251" w:id="354"/>
      <w:bookmarkStart w:name="_Toc535402252" w:id="355"/>
      <w:bookmarkStart w:name="_Toc535402254" w:id="356"/>
      <w:bookmarkStart w:name="_Toc535402256" w:id="357"/>
      <w:bookmarkStart w:name="_Toc535402257" w:id="358"/>
      <w:bookmarkStart w:name="_Toc535402259" w:id="359"/>
      <w:bookmarkStart w:name="_Toc535402260" w:id="360"/>
      <w:bookmarkStart w:name="_Toc535402262" w:id="361"/>
      <w:bookmarkStart w:name="_Toc535402263" w:id="362"/>
      <w:bookmarkStart w:name="_Toc535402265" w:id="363"/>
      <w:bookmarkStart w:name="_Toc535402267" w:id="364"/>
      <w:bookmarkStart w:name="_Toc535402268" w:id="365"/>
      <w:bookmarkStart w:name="_Toc535402270" w:id="366"/>
      <w:bookmarkStart w:name="_Toc535402271" w:id="367"/>
      <w:bookmarkStart w:name="_Toc535402273" w:id="368"/>
      <w:bookmarkStart w:name="_Toc535402274" w:id="369"/>
      <w:bookmarkStart w:name="_Toc535402276" w:id="370"/>
      <w:bookmarkStart w:name="_Toc535402277" w:id="371"/>
      <w:bookmarkStart w:name="_Toc535402279" w:id="372"/>
      <w:bookmarkStart w:name="_Toc535402280" w:id="373"/>
      <w:bookmarkStart w:name="_Toc535402282" w:id="374"/>
      <w:bookmarkStart w:name="_Toc535402283" w:id="375"/>
      <w:bookmarkStart w:name="_Toc535402285" w:id="376"/>
      <w:bookmarkStart w:name="_Toc535402286" w:id="377"/>
      <w:bookmarkStart w:name="_Toc535402288" w:id="378"/>
      <w:bookmarkStart w:name="_Toc535402289" w:id="379"/>
      <w:bookmarkStart w:name="_Toc535402290" w:id="380"/>
      <w:bookmarkStart w:name="_Toc535402291" w:id="381"/>
      <w:bookmarkStart w:name="_Toc535402292" w:id="382"/>
      <w:bookmarkStart w:name="_Toc535402293" w:id="383"/>
      <w:bookmarkStart w:name="_Toc535402294" w:id="384"/>
      <w:bookmarkStart w:name="_Toc535402295" w:id="385"/>
      <w:bookmarkStart w:name="_Toc535402296" w:id="386"/>
      <w:bookmarkStart w:name="_Toc535402297" w:id="387"/>
      <w:bookmarkStart w:name="_Toc535402298" w:id="388"/>
      <w:bookmarkStart w:name="_Toc535402299" w:id="389"/>
      <w:bookmarkStart w:name="_Toc535402300" w:id="390"/>
      <w:bookmarkStart w:name="_Toc535402301" w:id="391"/>
      <w:bookmarkStart w:name="_Toc535402302" w:id="392"/>
      <w:bookmarkStart w:name="_Toc535402303" w:id="393"/>
      <w:bookmarkStart w:name="_Toc535402304" w:id="394"/>
      <w:bookmarkStart w:name="_Toc535402305" w:id="395"/>
      <w:bookmarkStart w:name="_Toc535402306" w:id="396"/>
      <w:bookmarkStart w:name="_Toc535402307" w:id="397"/>
      <w:bookmarkStart w:name="_Toc535245256" w:id="398"/>
      <w:bookmarkStart w:name="_Toc535402308" w:id="399"/>
      <w:bookmarkStart w:name="_Toc472513125" w:id="400"/>
      <w:bookmarkStart w:name="_Toc472518361" w:id="401"/>
      <w:bookmarkStart w:name="_Toc472513126" w:id="402"/>
      <w:bookmarkStart w:name="_Toc472518362" w:id="40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rsidR="00CF7286" w:rsidP="00CF7286" w:rsidRDefault="00CF7286">
      <w:pPr>
        <w:spacing w:line="276" w:lineRule="auto"/>
        <w:jc w:val="both"/>
      </w:pPr>
    </w:p>
    <w:p w:rsidR="00CF7286" w:rsidP="00CF7286" w:rsidRDefault="00CF7286">
      <w:pPr>
        <w:spacing w:line="276" w:lineRule="auto"/>
        <w:jc w:val="both"/>
      </w:pPr>
    </w:p>
    <w:p w:rsidRPr="00315794" w:rsidR="00CF7286" w:rsidP="00CF7286" w:rsidRDefault="00CF7286">
      <w:pPr>
        <w:pStyle w:val="Heading1"/>
        <w:numPr>
          <w:ilvl w:val="0"/>
          <w:numId w:val="16"/>
        </w:numPr>
        <w:jc w:val="both"/>
      </w:pPr>
      <w:bookmarkStart w:name="_Toc5180068" w:id="404"/>
      <w:bookmarkStart w:name="_Toc5180900" w:id="405"/>
      <w:bookmarkStart w:name="_Toc535245258" w:id="406"/>
      <w:bookmarkStart w:name="_Toc535245261" w:id="407"/>
      <w:bookmarkStart w:name="_Toc535245264" w:id="408"/>
      <w:bookmarkStart w:name="_Toc535245266" w:id="409"/>
      <w:bookmarkStart w:name="_Toc5180069" w:id="410"/>
      <w:bookmarkStart w:name="_Toc5180901" w:id="411"/>
      <w:bookmarkStart w:name="_Toc473015166" w:id="412"/>
      <w:bookmarkStart w:name="_Toc473015168" w:id="413"/>
      <w:bookmarkStart w:name="_Toc473015169" w:id="414"/>
      <w:bookmarkStart w:name="_Toc473015172" w:id="415"/>
      <w:bookmarkStart w:name="_Toc473015173" w:id="416"/>
      <w:bookmarkStart w:name="_Toc442703945" w:id="417"/>
      <w:bookmarkStart w:name="_Toc480899061" w:id="418"/>
      <w:bookmarkStart w:name="_Toc503443793" w:id="419"/>
      <w:bookmarkStart w:name="_Toc511138803" w:id="420"/>
      <w:bookmarkStart w:name="_Toc535402310" w:id="421"/>
      <w:bookmarkStart w:name="_Toc4142719" w:id="422"/>
      <w:bookmarkStart w:name="_Toc37161731" w:id="423"/>
      <w:bookmarkStart w:name="_Toc38961442" w:id="424"/>
      <w:bookmarkStart w:name="_Toc69976555" w:id="425"/>
      <w:bookmarkStart w:name="_Toc164845377" w:id="426"/>
      <w:bookmarkStart w:name="_Toc193363102" w:id="427"/>
      <w:bookmarkStart w:name="_Toc193365864" w:id="428"/>
      <w:bookmarkStart w:name="_Toc193981077" w:id="429"/>
      <w:bookmarkStart w:name="_Toc193984074" w:id="430"/>
      <w:bookmarkStart w:name="_Toc227756584" w:id="431"/>
      <w:bookmarkEnd w:id="404"/>
      <w:bookmarkEnd w:id="405"/>
      <w:bookmarkEnd w:id="406"/>
      <w:bookmarkEnd w:id="407"/>
      <w:bookmarkEnd w:id="408"/>
      <w:bookmarkEnd w:id="409"/>
      <w:bookmarkEnd w:id="410"/>
      <w:bookmarkEnd w:id="411"/>
      <w:bookmarkEnd w:id="412"/>
      <w:bookmarkEnd w:id="413"/>
      <w:bookmarkEnd w:id="414"/>
      <w:bookmarkEnd w:id="415"/>
      <w:bookmarkEnd w:id="416"/>
      <w:r w:rsidRPr="00315794">
        <w:t>Slotbeschouwing</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CF7286" w:rsidP="00CF7286" w:rsidRDefault="00CF7286">
      <w:pPr>
        <w:spacing w:line="276" w:lineRule="auto"/>
        <w:jc w:val="both"/>
      </w:pPr>
      <w:r w:rsidRPr="007334E0">
        <w:t>Met deze voortgangsrapportage informeert het kabinet uw Kamer over de Nederlandse inzet in overige missies en operaties van mei 202</w:t>
      </w:r>
      <w:r>
        <w:t>5</w:t>
      </w:r>
      <w:r w:rsidRPr="007334E0">
        <w:t xml:space="preserve"> tot en met april 202</w:t>
      </w:r>
      <w:r>
        <w:t>6</w:t>
      </w:r>
      <w:r w:rsidRPr="007334E0">
        <w:t>.</w:t>
      </w:r>
      <w:r w:rsidRPr="00136BA6">
        <w:t xml:space="preserve"> Inzetmogelijkheden blijven schaars</w:t>
      </w:r>
      <w:r>
        <w:t xml:space="preserve">. Zo beschikt Nederland over een zogenaamd </w:t>
      </w:r>
      <w:r w:rsidRPr="00E036D9">
        <w:rPr>
          <w:i/>
          <w:iCs/>
        </w:rPr>
        <w:t>single set of forces</w:t>
      </w:r>
      <w:r>
        <w:t xml:space="preserve"> die kan worden ingezet voor de drie hoofdtaken van de krijgsmacht. De huidige geopolitieke context zorgt ervoor dat de prioriteit wordt gelegd bij de bescherming van het eigen bondgenootschappelijke grondgebied in het kader van hoofdtaak 1.</w:t>
      </w:r>
      <w:r w:rsidRPr="000910B3">
        <w:t xml:space="preserve"> </w:t>
      </w:r>
      <w:r>
        <w:t xml:space="preserve">De besluitvorming over verlenging van bestaande verplichtingen en eventuele nieuwe bijdragen in het kader van hoofdtaak 2 vraagt derhalve telkens om een zorgvuldige afweging. </w:t>
      </w:r>
    </w:p>
    <w:p w:rsidR="00CF7286" w:rsidP="00CF7286" w:rsidRDefault="00CF7286">
      <w:pPr>
        <w:spacing w:line="276" w:lineRule="auto"/>
        <w:jc w:val="both"/>
      </w:pPr>
    </w:p>
    <w:p w:rsidR="00CF7286" w:rsidP="00CF7286" w:rsidRDefault="00CF7286">
      <w:pPr>
        <w:spacing w:line="276" w:lineRule="auto"/>
        <w:jc w:val="both"/>
      </w:pPr>
      <w:r>
        <w:t>D</w:t>
      </w:r>
      <w:r w:rsidRPr="00136BA6">
        <w:t xml:space="preserve">eze rapportage laat zien </w:t>
      </w:r>
      <w:r>
        <w:t xml:space="preserve">hoe </w:t>
      </w:r>
      <w:r w:rsidRPr="00136BA6">
        <w:t>met een in omvang bescheiden personele inzet, in samenhang met overige buitenlandpolitieke instrumenten</w:t>
      </w:r>
      <w:r>
        <w:t xml:space="preserve"> (o.a. ontwikkelingssamenwerking)</w:t>
      </w:r>
      <w:r w:rsidRPr="00136BA6">
        <w:t xml:space="preserve">, </w:t>
      </w:r>
      <w:r>
        <w:t xml:space="preserve">Nederland </w:t>
      </w:r>
      <w:r w:rsidRPr="00136BA6">
        <w:t>een relevante en tastbare bijdrage</w:t>
      </w:r>
      <w:r>
        <w:t xml:space="preserve"> kan</w:t>
      </w:r>
      <w:r w:rsidRPr="00136BA6">
        <w:t xml:space="preserve"> leveren aan de bevordering van de internationale rechtsorde en stabiliteit in de regio’s rond Europa</w:t>
      </w:r>
      <w:r>
        <w:t xml:space="preserve"> en het beschermen van concrete Nederlandse belangen</w:t>
      </w:r>
      <w:r w:rsidRPr="00136BA6">
        <w:t xml:space="preserve">. </w:t>
      </w:r>
      <w:r w:rsidRPr="007E4660">
        <w:rPr>
          <w:lang w:eastAsia="nl-NL"/>
        </w:rPr>
        <w:t xml:space="preserve">De hoofdtaken </w:t>
      </w:r>
      <w:r>
        <w:rPr>
          <w:lang w:eastAsia="nl-NL"/>
        </w:rPr>
        <w:t xml:space="preserve">van de krijgsmacht </w:t>
      </w:r>
      <w:r w:rsidRPr="007E4660">
        <w:rPr>
          <w:lang w:eastAsia="nl-NL"/>
        </w:rPr>
        <w:t xml:space="preserve">zijn </w:t>
      </w:r>
      <w:r>
        <w:rPr>
          <w:lang w:eastAsia="nl-NL"/>
        </w:rPr>
        <w:t xml:space="preserve">immers </w:t>
      </w:r>
      <w:r w:rsidRPr="007E4660">
        <w:rPr>
          <w:lang w:eastAsia="nl-NL"/>
        </w:rPr>
        <w:t>nauw met elkaar verweven: een stabiele internationale omgeving draagt bij aan de veiligheid van het eigen en bondgenootschappelijk grondgebied.</w:t>
      </w:r>
      <w:r>
        <w:rPr>
          <w:lang w:eastAsia="nl-NL"/>
        </w:rPr>
        <w:t xml:space="preserve"> </w:t>
      </w:r>
      <w:r w:rsidRPr="003F6141">
        <w:rPr>
          <w:lang w:eastAsia="nl-NL"/>
        </w:rPr>
        <w:t xml:space="preserve">Ook is het zaak voortdurend oog te houden voor zowel het aanpakken van veiligheidsdreigingen op de korte termijn als het wegnemen van grondoorzaken van instabiliteit op de middellange termijn. </w:t>
      </w:r>
      <w:r w:rsidRPr="008C330F">
        <w:rPr>
          <w:lang w:eastAsia="nl-NL"/>
        </w:rPr>
        <w:t xml:space="preserve">Het kabinet is daarom voornemens om </w:t>
      </w:r>
      <w:r w:rsidRPr="007E4660">
        <w:rPr>
          <w:lang w:eastAsia="nl-NL"/>
        </w:rPr>
        <w:t>een waardevolle</w:t>
      </w:r>
      <w:r>
        <w:rPr>
          <w:lang w:eastAsia="nl-NL"/>
        </w:rPr>
        <w:t>, gerichte</w:t>
      </w:r>
      <w:r w:rsidRPr="007E4660">
        <w:rPr>
          <w:lang w:eastAsia="nl-NL"/>
        </w:rPr>
        <w:t xml:space="preserve"> en evenredige bijdrage te </w:t>
      </w:r>
      <w:r>
        <w:rPr>
          <w:lang w:eastAsia="nl-NL"/>
        </w:rPr>
        <w:t xml:space="preserve">blijven </w:t>
      </w:r>
      <w:r w:rsidRPr="007E4660">
        <w:rPr>
          <w:lang w:eastAsia="nl-NL"/>
        </w:rPr>
        <w:t>leveren aan vredes- en sta</w:t>
      </w:r>
      <w:r>
        <w:rPr>
          <w:lang w:eastAsia="nl-NL"/>
        </w:rPr>
        <w:t xml:space="preserve">biliteitsoperaties in EU-, NAVO, </w:t>
      </w:r>
      <w:r w:rsidRPr="007E4660">
        <w:rPr>
          <w:lang w:eastAsia="nl-NL"/>
        </w:rPr>
        <w:t>VN</w:t>
      </w:r>
      <w:r>
        <w:rPr>
          <w:lang w:eastAsia="nl-NL"/>
        </w:rPr>
        <w:t>- en coalitie</w:t>
      </w:r>
      <w:r w:rsidRPr="007E4660">
        <w:rPr>
          <w:lang w:eastAsia="nl-NL"/>
        </w:rPr>
        <w:t>verband</w:t>
      </w:r>
      <w:r w:rsidRPr="008C330F">
        <w:rPr>
          <w:lang w:eastAsia="nl-NL"/>
        </w:rPr>
        <w:t xml:space="preserve">. </w:t>
      </w:r>
    </w:p>
    <w:p w:rsidR="00CF7286" w:rsidP="00CF7286" w:rsidRDefault="00CF7286">
      <w:pPr>
        <w:spacing w:line="276" w:lineRule="auto"/>
        <w:jc w:val="both"/>
        <w:rPr>
          <w:lang w:eastAsia="nl-NL"/>
        </w:rPr>
      </w:pPr>
    </w:p>
    <w:p w:rsidR="00CF7286" w:rsidP="00CF7286" w:rsidRDefault="00CF7286">
      <w:pPr>
        <w:spacing w:line="276" w:lineRule="auto"/>
        <w:jc w:val="both"/>
        <w:rPr>
          <w:lang w:eastAsia="nl-NL"/>
        </w:rPr>
      </w:pPr>
      <w:r w:rsidRPr="002E08E4">
        <w:rPr>
          <w:lang w:eastAsia="nl-NL"/>
        </w:rPr>
        <w:lastRenderedPageBreak/>
        <w:t xml:space="preserve">Monitoring, evaluatie en leren van de inzet blijft een belangrijk aandachtspunt bij lopende en nieuwe missies. </w:t>
      </w:r>
      <w:r>
        <w:rPr>
          <w:lang w:eastAsia="nl-NL"/>
        </w:rPr>
        <w:t>Dit gebeurt doorlopend: gedurende en na afloop van missiebijdragen, op zowel operationeel-tactisch als politiek-strategisch niveau. Nederland doet dit met behulp van ervaringen van militairen, civiel experts en politiefunctionarissen, met informatie van bondgenoten en partners en via internationale verbanden waarbinnen Nederland bijdraagt. De kennis die uit deze processen voortvloeit wordt gebruikt om processen rondom uitzending te optimaliseren,</w:t>
      </w:r>
      <w:r w:rsidDel="0036380E">
        <w:rPr>
          <w:lang w:eastAsia="nl-NL"/>
        </w:rPr>
        <w:t xml:space="preserve"> </w:t>
      </w:r>
      <w:r>
        <w:rPr>
          <w:lang w:eastAsia="nl-NL"/>
        </w:rPr>
        <w:t xml:space="preserve">de voorbereiding op lopende en toekomstige inzet aan te scherpen en om tijdig bij te kunnen sturen op aandachtspunten. Ook deze </w:t>
      </w:r>
      <w:r w:rsidRPr="002E08E4">
        <w:rPr>
          <w:lang w:eastAsia="nl-NL"/>
        </w:rPr>
        <w:t xml:space="preserve">voortgangsrapportage draagt </w:t>
      </w:r>
      <w:r>
        <w:rPr>
          <w:lang w:eastAsia="nl-NL"/>
        </w:rPr>
        <w:t xml:space="preserve">bij aan het lerend vermogen van onze organisaties dat cruciaal is om tot adequate veiligheidsinzet te kunnen blijven komen in een snel veranderende wereld. </w:t>
      </w:r>
    </w:p>
    <w:p w:rsidR="00CF7286" w:rsidP="00CF7286" w:rsidRDefault="00CF7286">
      <w:pPr>
        <w:spacing w:line="276" w:lineRule="auto"/>
        <w:jc w:val="both"/>
        <w:rPr>
          <w:lang w:eastAsia="nl-NL"/>
        </w:rPr>
      </w:pPr>
    </w:p>
    <w:p w:rsidR="00CF7286" w:rsidP="00CF7286" w:rsidRDefault="00CF7286">
      <w:pPr>
        <w:spacing w:line="276" w:lineRule="auto"/>
        <w:jc w:val="both"/>
        <w:rPr>
          <w:lang w:eastAsia="nl-NL"/>
        </w:rPr>
      </w:pPr>
      <w:bookmarkStart w:name="_Toc164845378" w:id="432"/>
      <w:bookmarkStart w:name="_Toc193363103" w:id="433"/>
      <w:bookmarkStart w:name="_Toc193365865" w:id="434"/>
      <w:bookmarkStart w:name="_Toc69976556" w:id="435"/>
      <w:r>
        <w:rPr>
          <w:lang w:eastAsia="nl-NL"/>
        </w:rPr>
        <w:t>R</w:t>
      </w:r>
      <w:r w:rsidRPr="000910B3">
        <w:rPr>
          <w:lang w:eastAsia="nl-NL"/>
        </w:rPr>
        <w:t>ealistische verwachtingen en transparantie</w:t>
      </w:r>
      <w:r>
        <w:rPr>
          <w:lang w:eastAsia="nl-NL"/>
        </w:rPr>
        <w:t xml:space="preserve"> over dilemma’s, risico’s en voortgang zijn daarom van belang voor de effectieve inzet van Nederlandse militairen, politiefunctionarissen en civiele experts</w:t>
      </w:r>
      <w:r w:rsidRPr="000910B3">
        <w:rPr>
          <w:lang w:eastAsia="nl-NL"/>
        </w:rPr>
        <w:t>. Uit</w:t>
      </w:r>
      <w:r>
        <w:rPr>
          <w:lang w:eastAsia="nl-NL"/>
        </w:rPr>
        <w:t xml:space="preserve"> eerdere</w:t>
      </w:r>
      <w:r w:rsidRPr="000910B3">
        <w:rPr>
          <w:lang w:eastAsia="nl-NL"/>
        </w:rPr>
        <w:t xml:space="preserve"> inzet en </w:t>
      </w:r>
      <w:r>
        <w:rPr>
          <w:lang w:eastAsia="nl-NL"/>
        </w:rPr>
        <w:t xml:space="preserve">verschillende onafhankelijke </w:t>
      </w:r>
      <w:r w:rsidRPr="000910B3">
        <w:rPr>
          <w:lang w:eastAsia="nl-NL"/>
        </w:rPr>
        <w:t xml:space="preserve">evaluaties zijn diverse </w:t>
      </w:r>
      <w:r>
        <w:rPr>
          <w:lang w:eastAsia="nl-NL"/>
        </w:rPr>
        <w:t>lessen</w:t>
      </w:r>
      <w:r w:rsidRPr="000910B3">
        <w:rPr>
          <w:lang w:eastAsia="nl-NL"/>
        </w:rPr>
        <w:t xml:space="preserve"> voortgekomen</w:t>
      </w:r>
      <w:r>
        <w:rPr>
          <w:lang w:eastAsia="nl-NL"/>
        </w:rPr>
        <w:t>.</w:t>
      </w:r>
      <w:r w:rsidRPr="0032298D">
        <w:rPr>
          <w:rStyle w:val="FootnoteReference"/>
          <w:rFonts w:ascii="Verdana" w:hAnsi="Verdana" w:eastAsia="DejaVu Sans" w:cs="Lohit Hindi"/>
          <w:color w:val="000000"/>
          <w:sz w:val="18"/>
          <w:szCs w:val="18"/>
        </w:rPr>
        <w:footnoteReference w:id="8"/>
      </w:r>
      <w:r w:rsidRPr="00D37E98">
        <w:rPr>
          <w:lang w:eastAsia="nl-NL"/>
        </w:rPr>
        <w:t xml:space="preserve"> </w:t>
      </w:r>
      <w:r>
        <w:rPr>
          <w:lang w:eastAsia="nl-NL"/>
        </w:rPr>
        <w:t>H</w:t>
      </w:r>
      <w:r w:rsidRPr="000910B3">
        <w:rPr>
          <w:lang w:eastAsia="nl-NL"/>
        </w:rPr>
        <w:t xml:space="preserve">et </w:t>
      </w:r>
      <w:r>
        <w:rPr>
          <w:lang w:eastAsia="nl-NL"/>
        </w:rPr>
        <w:t xml:space="preserve">kabinet is voornemens </w:t>
      </w:r>
      <w:r w:rsidRPr="000910B3">
        <w:rPr>
          <w:lang w:eastAsia="nl-NL"/>
        </w:rPr>
        <w:t xml:space="preserve">de implementatie daarvan voort te zetten. </w:t>
      </w:r>
      <w:r>
        <w:rPr>
          <w:lang w:eastAsia="nl-NL"/>
        </w:rPr>
        <w:t xml:space="preserve">De kern van die lessen: i) </w:t>
      </w:r>
      <w:r w:rsidRPr="000910B3">
        <w:rPr>
          <w:lang w:eastAsia="nl-NL"/>
        </w:rPr>
        <w:t xml:space="preserve">doelstellingen voor missiebijdragen realistisch houden en </w:t>
      </w:r>
      <w:r>
        <w:rPr>
          <w:lang w:eastAsia="nl-NL"/>
        </w:rPr>
        <w:t xml:space="preserve">ii) </w:t>
      </w:r>
      <w:r w:rsidRPr="000910B3">
        <w:rPr>
          <w:lang w:eastAsia="nl-NL"/>
        </w:rPr>
        <w:t xml:space="preserve">kritisch kijken </w:t>
      </w:r>
      <w:r>
        <w:rPr>
          <w:lang w:eastAsia="nl-NL"/>
        </w:rPr>
        <w:t xml:space="preserve">naar </w:t>
      </w:r>
      <w:r w:rsidRPr="000910B3">
        <w:rPr>
          <w:lang w:eastAsia="nl-NL"/>
        </w:rPr>
        <w:t xml:space="preserve">het gesorteerde effect van bijdragen. </w:t>
      </w:r>
      <w:r>
        <w:rPr>
          <w:lang w:eastAsia="nl-NL"/>
        </w:rPr>
        <w:t>Hierbij houdt het kabinet r</w:t>
      </w:r>
      <w:r w:rsidRPr="000910B3">
        <w:rPr>
          <w:lang w:eastAsia="nl-NL"/>
        </w:rPr>
        <w:t>ealisme en effectiviteit voor ogen</w:t>
      </w:r>
      <w:r>
        <w:rPr>
          <w:lang w:eastAsia="nl-NL"/>
        </w:rPr>
        <w:t xml:space="preserve"> en spant het zich, waar mogelijk, </w:t>
      </w:r>
      <w:r w:rsidRPr="000910B3">
        <w:rPr>
          <w:lang w:eastAsia="nl-NL"/>
        </w:rPr>
        <w:t xml:space="preserve">in NAVO, EU en VN </w:t>
      </w:r>
      <w:r>
        <w:rPr>
          <w:lang w:eastAsia="nl-NL"/>
        </w:rPr>
        <w:t xml:space="preserve">verband en </w:t>
      </w:r>
      <w:r w:rsidRPr="000910B3">
        <w:rPr>
          <w:lang w:eastAsia="nl-NL"/>
        </w:rPr>
        <w:t xml:space="preserve">met gelijkgezinde landen </w:t>
      </w:r>
      <w:r>
        <w:rPr>
          <w:lang w:eastAsia="nl-NL"/>
        </w:rPr>
        <w:t>in</w:t>
      </w:r>
      <w:r w:rsidRPr="000910B3">
        <w:rPr>
          <w:lang w:eastAsia="nl-NL"/>
        </w:rPr>
        <w:t xml:space="preserve"> om de effectiviteit van missies te monitoren</w:t>
      </w:r>
      <w:r>
        <w:rPr>
          <w:lang w:eastAsia="nl-NL"/>
        </w:rPr>
        <w:t xml:space="preserve">, </w:t>
      </w:r>
      <w:r w:rsidRPr="006D4EA2">
        <w:rPr>
          <w:lang w:eastAsia="nl-NL"/>
        </w:rPr>
        <w:t>tussentijds te beoordelen en waar nodig tijdig kan worden bijgestuurd op mandaat, inzet of middelen, en zo de impact van missies</w:t>
      </w:r>
      <w:r w:rsidRPr="000910B3">
        <w:rPr>
          <w:lang w:eastAsia="nl-NL"/>
        </w:rPr>
        <w:t xml:space="preserve"> te vergroten. </w:t>
      </w:r>
    </w:p>
    <w:p w:rsidR="00CF7286" w:rsidP="00CF7286" w:rsidRDefault="00CF7286">
      <w:pPr>
        <w:spacing w:after="200" w:line="276" w:lineRule="auto"/>
        <w:jc w:val="both"/>
        <w:rPr>
          <w:b/>
        </w:rPr>
      </w:pPr>
    </w:p>
    <w:p w:rsidR="00CF7286" w:rsidP="001C00DE" w:rsidRDefault="00CF7286">
      <w:pPr>
        <w:spacing w:line="276" w:lineRule="auto"/>
        <w:jc w:val="both"/>
        <w:rPr>
          <w:rFonts w:ascii="Aptos" w:hAnsi="Aptos"/>
          <w:sz w:val="24"/>
          <w:lang w:eastAsia="nl-NL"/>
        </w:rPr>
      </w:pPr>
      <w:r w:rsidRPr="001D251E">
        <w:rPr>
          <w:b/>
          <w:bCs/>
        </w:rPr>
        <w:t xml:space="preserve">Financiën </w:t>
      </w:r>
      <w:r>
        <w:rPr>
          <w:b/>
        </w:rPr>
        <w:br/>
      </w:r>
      <w:r w:rsidRPr="0070031A">
        <w:t xml:space="preserve">De totale uitgaven van de verschillende in deze brief beschreven missies in 2025 bedroegen circa € 42,2 miljoen. Dit betreft de additionele uitgaven voor de totale militaire bijdrage die worden gefinancierd vanuit artikel 1 – Inzet, specifiek vanuit het Budget Internationale Veiligheid (BIV). </w:t>
      </w:r>
      <w:r w:rsidRPr="008426F8">
        <w:rPr>
          <w:lang w:eastAsia="nl-NL"/>
        </w:rPr>
        <w:t>Additionele kosten voor de Nederlandse bijdrage aan de verschillende missies, in de vorm van civiele experts, werden tevens gefinancierd vanuit het BIV.</w:t>
      </w:r>
      <w:r>
        <w:rPr>
          <w:lang w:eastAsia="nl-NL"/>
        </w:rPr>
        <w:t xml:space="preserve"> </w:t>
      </w:r>
      <w:r w:rsidRPr="0070031A">
        <w:t xml:space="preserve">Militaire activiteiten die niet in aanmerking kwamen voor financiering vanuit het BIV werden vanuit andere begrotingsartikelen op de Defensiebegroting gefinancierd. Het ministerie van Justitie en Veiligheid ontvangt jaarlijks van het ministerie van Buitenlandse Zaken een bijdrage ten behoeve van de uitzending van politiepersoneel in missies. Dit budget is afkomstig uit de gelden van de Homogene Groep Internationale Samenwerking (HGIS). </w:t>
      </w:r>
    </w:p>
    <w:p w:rsidRPr="00981ECD" w:rsidR="00CF7286" w:rsidP="00CF7286" w:rsidRDefault="00CF7286">
      <w:pPr>
        <w:jc w:val="both"/>
        <w:rPr>
          <w:lang w:eastAsia="nl-NL"/>
        </w:rPr>
      </w:pPr>
    </w:p>
    <w:p w:rsidRPr="00981ECD" w:rsidR="00CF7286" w:rsidP="00CF7286" w:rsidRDefault="00CF7286">
      <w:pPr>
        <w:spacing w:after="200" w:line="276" w:lineRule="auto"/>
        <w:rPr>
          <w:b/>
          <w:bCs/>
        </w:rPr>
      </w:pPr>
    </w:p>
    <w:p w:rsidR="00CF7286" w:rsidP="00CF7286" w:rsidRDefault="00CF7286">
      <w:pPr>
        <w:spacing w:after="200" w:line="276" w:lineRule="auto"/>
        <w:rPr>
          <w:rFonts w:eastAsia="Calibri"/>
        </w:rPr>
      </w:pPr>
      <w:r>
        <w:br w:type="page"/>
      </w:r>
    </w:p>
    <w:p w:rsidRPr="00E047D8" w:rsidR="00CF7286" w:rsidP="00CF7286" w:rsidRDefault="00CF7286">
      <w:pPr>
        <w:pStyle w:val="Heading1"/>
        <w:ind w:left="0" w:firstLine="0"/>
      </w:pPr>
      <w:bookmarkStart w:name="_Toc193981078" w:id="436"/>
      <w:bookmarkStart w:name="_Toc193984075" w:id="437"/>
      <w:bookmarkStart w:name="_Toc227756585" w:id="438"/>
      <w:r>
        <w:lastRenderedPageBreak/>
        <w:t>Bijlage 1 R</w:t>
      </w:r>
      <w:r w:rsidRPr="00E047D8">
        <w:t>echtsbasis, mandaten en nationale kaders</w:t>
      </w:r>
      <w:bookmarkEnd w:id="432"/>
      <w:bookmarkEnd w:id="433"/>
      <w:bookmarkEnd w:id="434"/>
      <w:bookmarkEnd w:id="436"/>
      <w:bookmarkEnd w:id="437"/>
      <w:bookmarkEnd w:id="438"/>
    </w:p>
    <w:tbl>
      <w:tblPr>
        <w:tblW w:w="10083" w:type="dxa"/>
        <w:tblInd w:w="-1593" w:type="dxa"/>
        <w:tblLayout w:type="fixed"/>
        <w:tblCellMar>
          <w:left w:w="70" w:type="dxa"/>
          <w:right w:w="70" w:type="dxa"/>
        </w:tblCellMar>
        <w:tblLook w:val="04A0" w:firstRow="1" w:lastRow="0" w:firstColumn="1" w:lastColumn="0" w:noHBand="0" w:noVBand="1"/>
      </w:tblPr>
      <w:tblGrid>
        <w:gridCol w:w="1134"/>
        <w:gridCol w:w="2297"/>
        <w:gridCol w:w="2806"/>
        <w:gridCol w:w="1872"/>
        <w:gridCol w:w="1974"/>
      </w:tblGrid>
      <w:tr w:rsidRPr="00940E0F" w:rsidR="00CF7286" w:rsidTr="00874AFF">
        <w:trPr>
          <w:trHeight w:val="864"/>
          <w:tblHead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C7EC4" w:rsidR="00CF7286" w:rsidP="00874AFF" w:rsidRDefault="00CF7286">
            <w:pPr>
              <w:ind w:left="-1904" w:firstLine="1975"/>
              <w:rPr>
                <w:rFonts w:cs="Calibri"/>
                <w:b/>
                <w:bCs/>
                <w:color w:val="000000"/>
                <w:lang w:eastAsia="nl-NL"/>
              </w:rPr>
            </w:pPr>
            <w:r w:rsidRPr="009C1D78">
              <w:rPr>
                <w:rFonts w:cs="Calibri"/>
                <w:b/>
                <w:bCs/>
                <w:color w:val="000000"/>
                <w:lang w:eastAsia="nl-NL"/>
              </w:rPr>
              <w:t>Locatie</w:t>
            </w:r>
          </w:p>
        </w:tc>
        <w:tc>
          <w:tcPr>
            <w:tcW w:w="2297" w:type="dxa"/>
            <w:tcBorders>
              <w:top w:val="single" w:color="auto" w:sz="4" w:space="0"/>
              <w:left w:val="nil"/>
              <w:bottom w:val="single" w:color="auto" w:sz="4" w:space="0"/>
              <w:right w:val="single" w:color="auto" w:sz="4" w:space="0"/>
            </w:tcBorders>
            <w:shd w:val="clear" w:color="auto" w:fill="auto"/>
            <w:vAlign w:val="center"/>
            <w:hideMark/>
          </w:tcPr>
          <w:p w:rsidRPr="00D3138C" w:rsidR="00CF7286" w:rsidP="00874AFF" w:rsidRDefault="00CF7286">
            <w:pPr>
              <w:rPr>
                <w:rFonts w:cs="Calibri"/>
                <w:b/>
                <w:bCs/>
                <w:color w:val="000000"/>
                <w:lang w:eastAsia="nl-NL"/>
              </w:rPr>
            </w:pPr>
            <w:r w:rsidRPr="00D3138C">
              <w:rPr>
                <w:rFonts w:cs="Calibri"/>
                <w:b/>
                <w:bCs/>
                <w:color w:val="000000"/>
                <w:lang w:eastAsia="nl-NL"/>
              </w:rPr>
              <w:t>Inzet</w:t>
            </w:r>
          </w:p>
        </w:tc>
        <w:tc>
          <w:tcPr>
            <w:tcW w:w="2806" w:type="dxa"/>
            <w:tcBorders>
              <w:top w:val="single" w:color="auto" w:sz="4" w:space="0"/>
              <w:left w:val="nil"/>
              <w:bottom w:val="single" w:color="auto" w:sz="4" w:space="0"/>
              <w:right w:val="single" w:color="auto" w:sz="4" w:space="0"/>
            </w:tcBorders>
            <w:shd w:val="clear" w:color="auto" w:fill="auto"/>
            <w:vAlign w:val="center"/>
            <w:hideMark/>
          </w:tcPr>
          <w:p w:rsidRPr="00D3138C" w:rsidR="00CF7286" w:rsidP="00874AFF" w:rsidRDefault="00CF7286">
            <w:pPr>
              <w:rPr>
                <w:rFonts w:cs="Calibri"/>
                <w:b/>
                <w:bCs/>
                <w:color w:val="000000"/>
                <w:lang w:eastAsia="nl-NL"/>
              </w:rPr>
            </w:pPr>
            <w:r w:rsidRPr="00D3138C">
              <w:rPr>
                <w:rFonts w:cs="Calibri"/>
                <w:b/>
                <w:bCs/>
                <w:color w:val="000000"/>
                <w:lang w:eastAsia="nl-NL"/>
              </w:rPr>
              <w:t>Rechtsbasis</w:t>
            </w:r>
          </w:p>
        </w:tc>
        <w:tc>
          <w:tcPr>
            <w:tcW w:w="1872" w:type="dxa"/>
            <w:tcBorders>
              <w:top w:val="single" w:color="auto" w:sz="4" w:space="0"/>
              <w:left w:val="nil"/>
              <w:bottom w:val="single" w:color="auto" w:sz="4" w:space="0"/>
              <w:right w:val="single" w:color="auto" w:sz="4" w:space="0"/>
            </w:tcBorders>
            <w:shd w:val="clear" w:color="auto" w:fill="auto"/>
            <w:noWrap/>
            <w:vAlign w:val="center"/>
            <w:hideMark/>
          </w:tcPr>
          <w:p w:rsidRPr="00D3138C" w:rsidR="00CF7286" w:rsidP="00874AFF" w:rsidRDefault="00CF7286">
            <w:pPr>
              <w:rPr>
                <w:rFonts w:cs="Calibri"/>
                <w:b/>
                <w:bCs/>
                <w:color w:val="000000" w:themeColor="text1"/>
                <w:lang w:eastAsia="nl-NL"/>
              </w:rPr>
            </w:pPr>
            <w:r w:rsidRPr="00D3138C">
              <w:rPr>
                <w:rFonts w:cs="Calibri"/>
                <w:b/>
                <w:bCs/>
                <w:color w:val="000000"/>
                <w:lang w:eastAsia="nl-NL"/>
              </w:rPr>
              <w:t>Duur internationaal mandaat</w:t>
            </w:r>
            <w:r w:rsidRPr="00AE349C">
              <w:rPr>
                <w:rStyle w:val="FootnoteReference"/>
                <w:rFonts w:ascii="Verdana" w:hAnsi="Verdana"/>
                <w:b/>
                <w:bCs/>
                <w:color w:val="000000"/>
                <w:sz w:val="18"/>
                <w:szCs w:val="18"/>
              </w:rPr>
              <w:footnoteReference w:id="9"/>
            </w:r>
          </w:p>
        </w:tc>
        <w:tc>
          <w:tcPr>
            <w:tcW w:w="1974" w:type="dxa"/>
            <w:tcBorders>
              <w:top w:val="single" w:color="auto" w:sz="4" w:space="0"/>
              <w:left w:val="nil"/>
              <w:bottom w:val="single" w:color="auto" w:sz="4" w:space="0"/>
              <w:right w:val="single" w:color="auto" w:sz="4" w:space="0"/>
            </w:tcBorders>
            <w:shd w:val="clear" w:color="auto" w:fill="auto"/>
            <w:vAlign w:val="center"/>
            <w:hideMark/>
          </w:tcPr>
          <w:p w:rsidRPr="00D3138C" w:rsidR="00CF7286" w:rsidP="00874AFF" w:rsidRDefault="00CF7286">
            <w:pPr>
              <w:rPr>
                <w:rFonts w:cs="Calibri"/>
                <w:b/>
                <w:bCs/>
                <w:color w:val="000000" w:themeColor="text1"/>
                <w:lang w:eastAsia="nl-NL"/>
              </w:rPr>
            </w:pPr>
            <w:r w:rsidRPr="00D3138C">
              <w:rPr>
                <w:rFonts w:cs="Calibri"/>
                <w:b/>
                <w:bCs/>
                <w:color w:val="000000"/>
                <w:lang w:eastAsia="nl-NL"/>
              </w:rPr>
              <w:t>Duur nationaal kader</w:t>
            </w:r>
            <w:r w:rsidRPr="00AE349C">
              <w:rPr>
                <w:rStyle w:val="FootnoteReference"/>
                <w:rFonts w:ascii="Verdana" w:hAnsi="Verdana"/>
                <w:b/>
                <w:bCs/>
                <w:color w:val="000000"/>
                <w:sz w:val="18"/>
                <w:szCs w:val="18"/>
              </w:rPr>
              <w:footnoteReference w:id="10"/>
            </w:r>
            <w:r>
              <w:rPr>
                <w:rFonts w:cs="Calibri"/>
                <w:b/>
                <w:bCs/>
                <w:color w:val="000000"/>
                <w:lang w:eastAsia="nl-NL"/>
              </w:rPr>
              <w:t xml:space="preserve"> </w:t>
            </w:r>
          </w:p>
        </w:tc>
      </w:tr>
      <w:tr w:rsidRPr="00940E0F" w:rsidR="00CF7286" w:rsidTr="00874AFF">
        <w:trPr>
          <w:trHeight w:val="288"/>
        </w:trPr>
        <w:tc>
          <w:tcPr>
            <w:tcW w:w="1134" w:type="dxa"/>
            <w:vMerge w:val="restart"/>
            <w:tcBorders>
              <w:top w:val="nil"/>
              <w:left w:val="single" w:color="auto" w:sz="4" w:space="0"/>
              <w:right w:val="single" w:color="auto" w:sz="4" w:space="0"/>
            </w:tcBorders>
            <w:textDirection w:val="btLr"/>
            <w:vAlign w:val="center"/>
            <w:hideMark/>
          </w:tcPr>
          <w:p w:rsidRPr="004C7EC4" w:rsidR="00CF7286" w:rsidP="00874AFF" w:rsidRDefault="00CF7286">
            <w:pPr>
              <w:ind w:left="-1904" w:right="113" w:firstLine="1975"/>
              <w:jc w:val="center"/>
              <w:rPr>
                <w:rFonts w:cs="Calibri"/>
                <w:b/>
                <w:bCs/>
                <w:color w:val="000000"/>
                <w:lang w:eastAsia="nl-NL"/>
              </w:rPr>
            </w:pPr>
            <w:r w:rsidRPr="009C1D78">
              <w:rPr>
                <w:rFonts w:cs="Calibri"/>
                <w:b/>
                <w:bCs/>
                <w:color w:val="000000"/>
                <w:lang w:eastAsia="nl-NL"/>
              </w:rPr>
              <w:t>Midden-Oosten</w:t>
            </w:r>
          </w:p>
        </w:tc>
        <w:tc>
          <w:tcPr>
            <w:tcW w:w="2297" w:type="dxa"/>
            <w:tcBorders>
              <w:top w:val="nil"/>
              <w:left w:val="nil"/>
              <w:bottom w:val="single" w:color="auto" w:sz="4" w:space="0"/>
              <w:right w:val="single" w:color="auto" w:sz="4" w:space="0"/>
            </w:tcBorders>
            <w:shd w:val="clear" w:color="auto" w:fill="auto"/>
            <w:vAlign w:val="center"/>
            <w:hideMark/>
          </w:tcPr>
          <w:p w:rsidRPr="00A55F0F" w:rsidR="00CF7286" w:rsidP="00874AFF" w:rsidRDefault="00CF7286">
            <w:pPr>
              <w:rPr>
                <w:color w:val="000000"/>
              </w:rPr>
            </w:pPr>
            <w:r w:rsidRPr="00A55F0F">
              <w:rPr>
                <w:color w:val="000000"/>
              </w:rPr>
              <w:t>UNTSO (Libanon en Golan)</w:t>
            </w:r>
          </w:p>
        </w:tc>
        <w:tc>
          <w:tcPr>
            <w:tcW w:w="2806" w:type="dxa"/>
            <w:tcBorders>
              <w:top w:val="nil"/>
              <w:left w:val="nil"/>
              <w:bottom w:val="single" w:color="auto" w:sz="4" w:space="0"/>
              <w:right w:val="single" w:color="auto" w:sz="4" w:space="0"/>
            </w:tcBorders>
            <w:shd w:val="clear" w:color="auto" w:fill="auto"/>
            <w:vAlign w:val="center"/>
            <w:hideMark/>
          </w:tcPr>
          <w:p w:rsidRPr="00A55F0F" w:rsidR="00CF7286" w:rsidP="00874AFF" w:rsidRDefault="00CF7286">
            <w:r w:rsidRPr="00A55F0F">
              <w:t>VNVR-resolutie 50</w:t>
            </w:r>
          </w:p>
        </w:tc>
        <w:tc>
          <w:tcPr>
            <w:tcW w:w="1872" w:type="dxa"/>
            <w:tcBorders>
              <w:top w:val="nil"/>
              <w:left w:val="nil"/>
              <w:bottom w:val="single" w:color="auto" w:sz="4" w:space="0"/>
              <w:right w:val="single" w:color="auto" w:sz="4" w:space="0"/>
            </w:tcBorders>
            <w:shd w:val="clear" w:color="auto" w:fill="auto"/>
            <w:noWrap/>
            <w:vAlign w:val="center"/>
            <w:hideMark/>
          </w:tcPr>
          <w:p w:rsidRPr="00A55F0F" w:rsidR="00CF7286" w:rsidP="00874AFF" w:rsidRDefault="00CF7286">
            <w:r w:rsidRPr="00A55F0F">
              <w:t>Onbepaald</w:t>
            </w:r>
          </w:p>
        </w:tc>
        <w:tc>
          <w:tcPr>
            <w:tcW w:w="1974" w:type="dxa"/>
            <w:tcBorders>
              <w:top w:val="nil"/>
              <w:left w:val="nil"/>
              <w:bottom w:val="single" w:color="auto" w:sz="4" w:space="0"/>
              <w:right w:val="single" w:color="auto" w:sz="4" w:space="0"/>
            </w:tcBorders>
            <w:shd w:val="clear" w:color="auto" w:fill="auto"/>
            <w:vAlign w:val="center"/>
            <w:hideMark/>
          </w:tcPr>
          <w:p w:rsidRPr="00A55F0F" w:rsidR="00CF7286" w:rsidP="00874AFF" w:rsidRDefault="00CF7286">
            <w:r>
              <w:t>30 juni 2028</w:t>
            </w:r>
          </w:p>
        </w:tc>
      </w:tr>
      <w:tr w:rsidRPr="00940E0F" w:rsidR="00CF7286" w:rsidTr="00874AFF">
        <w:trPr>
          <w:trHeight w:val="288"/>
        </w:trPr>
        <w:tc>
          <w:tcPr>
            <w:tcW w:w="1134" w:type="dxa"/>
            <w:vMerge/>
            <w:tcBorders>
              <w:left w:val="single" w:color="auto" w:sz="4" w:space="0"/>
              <w:right w:val="single" w:color="auto" w:sz="4" w:space="0"/>
            </w:tcBorders>
            <w:textDirection w:val="btLr"/>
            <w:vAlign w:val="center"/>
          </w:tcPr>
          <w:p w:rsidRPr="00940E0F" w:rsidR="00CF7286" w:rsidP="00874AFF" w:rsidRDefault="00CF7286">
            <w:pPr>
              <w:ind w:left="-1904" w:right="113" w:firstLine="1975"/>
              <w:rPr>
                <w:rFonts w:cs="Calibri"/>
                <w:b/>
                <w:bCs/>
                <w:color w:val="000000"/>
                <w:szCs w:val="18"/>
                <w:lang w:eastAsia="nl-NL"/>
              </w:rPr>
            </w:pPr>
          </w:p>
        </w:tc>
        <w:tc>
          <w:tcPr>
            <w:tcW w:w="2297" w:type="dxa"/>
            <w:tcBorders>
              <w:top w:val="nil"/>
              <w:left w:val="nil"/>
              <w:bottom w:val="single" w:color="auto" w:sz="4" w:space="0"/>
              <w:right w:val="single" w:color="auto" w:sz="4" w:space="0"/>
            </w:tcBorders>
            <w:shd w:val="clear" w:color="auto" w:fill="auto"/>
            <w:vAlign w:val="center"/>
          </w:tcPr>
          <w:p w:rsidRPr="00A55F0F" w:rsidR="00CF7286" w:rsidP="00874AFF" w:rsidRDefault="00CF7286">
            <w:pPr>
              <w:rPr>
                <w:color w:val="000000"/>
              </w:rPr>
            </w:pPr>
            <w:r w:rsidRPr="00A55F0F">
              <w:rPr>
                <w:color w:val="000000"/>
              </w:rPr>
              <w:t>UNIFIL</w:t>
            </w:r>
          </w:p>
        </w:tc>
        <w:tc>
          <w:tcPr>
            <w:tcW w:w="2806" w:type="dxa"/>
            <w:tcBorders>
              <w:top w:val="nil"/>
              <w:left w:val="nil"/>
              <w:bottom w:val="single" w:color="auto" w:sz="4" w:space="0"/>
              <w:right w:val="single" w:color="auto" w:sz="4" w:space="0"/>
            </w:tcBorders>
            <w:shd w:val="clear" w:color="auto" w:fill="auto"/>
            <w:vAlign w:val="center"/>
          </w:tcPr>
          <w:p w:rsidRPr="00A55F0F" w:rsidR="00CF7286" w:rsidP="00874AFF" w:rsidRDefault="00CF7286">
            <w:r w:rsidRPr="00A55F0F">
              <w:t>VNVR-resolutie 2695</w:t>
            </w:r>
          </w:p>
        </w:tc>
        <w:tc>
          <w:tcPr>
            <w:tcW w:w="1872" w:type="dxa"/>
            <w:tcBorders>
              <w:top w:val="nil"/>
              <w:left w:val="nil"/>
              <w:bottom w:val="single" w:color="auto" w:sz="4" w:space="0"/>
              <w:right w:val="single" w:color="auto" w:sz="4" w:space="0"/>
            </w:tcBorders>
            <w:shd w:val="clear" w:color="auto" w:fill="auto"/>
            <w:noWrap/>
            <w:vAlign w:val="center"/>
          </w:tcPr>
          <w:p w:rsidRPr="00A55F0F" w:rsidR="00CF7286" w:rsidP="00874AFF" w:rsidRDefault="00CF7286">
            <w:r w:rsidRPr="00A55F0F">
              <w:t>31 augustus 2024</w:t>
            </w:r>
          </w:p>
        </w:tc>
        <w:tc>
          <w:tcPr>
            <w:tcW w:w="1974" w:type="dxa"/>
            <w:tcBorders>
              <w:top w:val="nil"/>
              <w:left w:val="nil"/>
              <w:bottom w:val="single" w:color="auto" w:sz="4" w:space="0"/>
              <w:right w:val="single" w:color="auto" w:sz="4" w:space="0"/>
            </w:tcBorders>
            <w:shd w:val="clear" w:color="auto" w:fill="auto"/>
            <w:vAlign w:val="center"/>
          </w:tcPr>
          <w:p w:rsidRPr="00A55F0F" w:rsidR="00CF7286" w:rsidP="00874AFF" w:rsidRDefault="00CF7286">
            <w:r>
              <w:t>30 juni 2028</w:t>
            </w:r>
          </w:p>
        </w:tc>
      </w:tr>
      <w:tr w:rsidRPr="00940E0F" w:rsidR="00CF7286" w:rsidTr="00874AFF">
        <w:trPr>
          <w:trHeight w:val="377"/>
        </w:trPr>
        <w:tc>
          <w:tcPr>
            <w:tcW w:w="1134" w:type="dxa"/>
            <w:vMerge/>
            <w:tcBorders>
              <w:left w:val="single" w:color="auto" w:sz="4" w:space="0"/>
              <w:right w:val="single" w:color="auto" w:sz="4" w:space="0"/>
            </w:tcBorders>
            <w:textDirection w:val="btLr"/>
            <w:vAlign w:val="center"/>
          </w:tcPr>
          <w:p w:rsidRPr="00940E0F" w:rsidR="00CF7286" w:rsidP="00874AFF" w:rsidRDefault="00CF7286">
            <w:pPr>
              <w:ind w:left="-1904" w:right="113" w:firstLine="1975"/>
              <w:rPr>
                <w:rFonts w:cs="Calibri"/>
                <w:b/>
                <w:bCs/>
                <w:color w:val="000000"/>
                <w:szCs w:val="18"/>
                <w:lang w:eastAsia="nl-NL"/>
              </w:rPr>
            </w:pPr>
          </w:p>
        </w:tc>
        <w:tc>
          <w:tcPr>
            <w:tcW w:w="2297" w:type="dxa"/>
            <w:tcBorders>
              <w:top w:val="nil"/>
              <w:left w:val="nil"/>
              <w:bottom w:val="single" w:color="auto" w:sz="4" w:space="0"/>
              <w:right w:val="single" w:color="auto" w:sz="4" w:space="0"/>
            </w:tcBorders>
            <w:shd w:val="clear" w:color="auto" w:fill="auto"/>
            <w:vAlign w:val="center"/>
          </w:tcPr>
          <w:p w:rsidRPr="00A55F0F" w:rsidR="00CF7286" w:rsidP="00874AFF" w:rsidRDefault="00CF7286">
            <w:pPr>
              <w:rPr>
                <w:color w:val="000000"/>
              </w:rPr>
            </w:pPr>
            <w:r>
              <w:rPr>
                <w:color w:val="000000"/>
              </w:rPr>
              <w:t xml:space="preserve">OCS </w:t>
            </w:r>
            <w:r w:rsidRPr="00A55F0F">
              <w:rPr>
                <w:color w:val="000000"/>
              </w:rPr>
              <w:t>(Jeruzalem en Ramallah)</w:t>
            </w:r>
          </w:p>
        </w:tc>
        <w:tc>
          <w:tcPr>
            <w:tcW w:w="2806" w:type="dxa"/>
            <w:tcBorders>
              <w:top w:val="nil"/>
              <w:left w:val="nil"/>
              <w:bottom w:val="single" w:color="auto" w:sz="4" w:space="0"/>
              <w:right w:val="single" w:color="auto" w:sz="4" w:space="0"/>
            </w:tcBorders>
            <w:shd w:val="clear" w:color="auto" w:fill="auto"/>
            <w:vAlign w:val="center"/>
          </w:tcPr>
          <w:p w:rsidRPr="00A55F0F" w:rsidR="00CF7286" w:rsidP="00874AFF" w:rsidRDefault="00CF7286">
            <w:r w:rsidRPr="00A55F0F">
              <w:rPr>
                <w:color w:val="000000"/>
              </w:rPr>
              <w:t>Overeenkomst tussen VS, Israël, de Palestijnse Autoriteit</w:t>
            </w:r>
          </w:p>
        </w:tc>
        <w:tc>
          <w:tcPr>
            <w:tcW w:w="1872" w:type="dxa"/>
            <w:tcBorders>
              <w:top w:val="nil"/>
              <w:left w:val="nil"/>
              <w:bottom w:val="single" w:color="auto" w:sz="4" w:space="0"/>
              <w:right w:val="single" w:color="auto" w:sz="4" w:space="0"/>
            </w:tcBorders>
            <w:shd w:val="clear" w:color="auto" w:fill="auto"/>
            <w:noWrap/>
            <w:vAlign w:val="center"/>
          </w:tcPr>
          <w:p w:rsidRPr="00A55F0F" w:rsidR="00CF7286" w:rsidP="00874AFF" w:rsidRDefault="00CF7286">
            <w:r w:rsidRPr="00A55F0F">
              <w:t>Onbepaald</w:t>
            </w:r>
          </w:p>
        </w:tc>
        <w:tc>
          <w:tcPr>
            <w:tcW w:w="1974" w:type="dxa"/>
            <w:tcBorders>
              <w:top w:val="nil"/>
              <w:left w:val="nil"/>
              <w:bottom w:val="single" w:color="auto" w:sz="4" w:space="0"/>
              <w:right w:val="single" w:color="auto" w:sz="4" w:space="0"/>
            </w:tcBorders>
            <w:shd w:val="clear" w:color="auto" w:fill="auto"/>
            <w:vAlign w:val="center"/>
          </w:tcPr>
          <w:p w:rsidRPr="00A55F0F" w:rsidR="00CF7286" w:rsidP="00874AFF" w:rsidRDefault="00CF7286">
            <w:r>
              <w:t>30 juni 2028</w:t>
            </w:r>
          </w:p>
        </w:tc>
      </w:tr>
      <w:tr w:rsidRPr="00940E0F" w:rsidR="00CF7286" w:rsidTr="00874AFF">
        <w:trPr>
          <w:trHeight w:val="684"/>
        </w:trPr>
        <w:tc>
          <w:tcPr>
            <w:tcW w:w="1134" w:type="dxa"/>
            <w:vMerge/>
            <w:tcBorders>
              <w:left w:val="single" w:color="auto" w:sz="4" w:space="0"/>
              <w:right w:val="single" w:color="auto" w:sz="4" w:space="0"/>
            </w:tcBorders>
            <w:textDirection w:val="btLr"/>
            <w:vAlign w:val="center"/>
            <w:hideMark/>
          </w:tcPr>
          <w:p w:rsidRPr="00940E0F" w:rsidR="00CF7286" w:rsidP="00874AFF" w:rsidRDefault="00CF7286">
            <w:pPr>
              <w:ind w:left="-1904" w:right="113" w:firstLine="1975"/>
              <w:rPr>
                <w:rFonts w:cs="Calibri"/>
                <w:b/>
                <w:bCs/>
                <w:color w:val="000000"/>
                <w:szCs w:val="18"/>
                <w:lang w:eastAsia="nl-NL"/>
              </w:rPr>
            </w:pPr>
          </w:p>
        </w:tc>
        <w:tc>
          <w:tcPr>
            <w:tcW w:w="2297" w:type="dxa"/>
            <w:tcBorders>
              <w:top w:val="nil"/>
              <w:left w:val="nil"/>
              <w:bottom w:val="single" w:color="auto" w:sz="4" w:space="0"/>
              <w:right w:val="single" w:color="auto" w:sz="4" w:space="0"/>
            </w:tcBorders>
            <w:shd w:val="clear" w:color="auto" w:fill="auto"/>
            <w:vAlign w:val="center"/>
          </w:tcPr>
          <w:p w:rsidRPr="00940E0F" w:rsidR="00CF7286" w:rsidP="00874AFF" w:rsidRDefault="00CF7286">
            <w:pPr>
              <w:rPr>
                <w:color w:val="000000"/>
              </w:rPr>
            </w:pPr>
          </w:p>
          <w:p w:rsidRPr="00940E0F" w:rsidR="00CF7286" w:rsidP="00874AFF" w:rsidRDefault="00CF7286">
            <w:pPr>
              <w:rPr>
                <w:color w:val="000000"/>
              </w:rPr>
            </w:pPr>
            <w:r w:rsidRPr="00940E0F">
              <w:rPr>
                <w:color w:val="000000"/>
              </w:rPr>
              <w:t>EMAS</w:t>
            </w:r>
            <w:r>
              <w:rPr>
                <w:color w:val="000000"/>
              </w:rPr>
              <w:t>o</w:t>
            </w:r>
            <w:r w:rsidRPr="00940E0F">
              <w:rPr>
                <w:color w:val="000000"/>
              </w:rPr>
              <w:t>H-AGENOR</w:t>
            </w:r>
          </w:p>
        </w:tc>
        <w:tc>
          <w:tcPr>
            <w:tcW w:w="2806" w:type="dxa"/>
            <w:tcBorders>
              <w:top w:val="nil"/>
              <w:left w:val="nil"/>
              <w:bottom w:val="single" w:color="auto" w:sz="4" w:space="0"/>
              <w:right w:val="single" w:color="auto" w:sz="4" w:space="0"/>
            </w:tcBorders>
            <w:shd w:val="clear" w:color="auto" w:fill="auto"/>
            <w:vAlign w:val="center"/>
          </w:tcPr>
          <w:p w:rsidRPr="00940E0F" w:rsidR="00CF7286" w:rsidP="00874AFF" w:rsidRDefault="00CF7286">
            <w:pPr>
              <w:rPr>
                <w:color w:val="000000"/>
              </w:rPr>
            </w:pPr>
            <w:r w:rsidRPr="00940E0F">
              <w:rPr>
                <w:color w:val="000000"/>
              </w:rPr>
              <w:t xml:space="preserve">Overeenkomst </w:t>
            </w:r>
            <w:r>
              <w:rPr>
                <w:color w:val="000000"/>
              </w:rPr>
              <w:t xml:space="preserve">met </w:t>
            </w:r>
            <w:r w:rsidRPr="00940E0F">
              <w:rPr>
                <w:color w:val="000000"/>
              </w:rPr>
              <w:t>Verenigde Arabische Emiraten</w:t>
            </w:r>
          </w:p>
        </w:tc>
        <w:tc>
          <w:tcPr>
            <w:tcW w:w="1872" w:type="dxa"/>
            <w:tcBorders>
              <w:top w:val="nil"/>
              <w:left w:val="nil"/>
              <w:bottom w:val="single" w:color="auto" w:sz="4" w:space="0"/>
              <w:right w:val="single" w:color="auto" w:sz="4" w:space="0"/>
            </w:tcBorders>
            <w:shd w:val="clear" w:color="auto" w:fill="auto"/>
            <w:noWrap/>
            <w:vAlign w:val="center"/>
          </w:tcPr>
          <w:p w:rsidRPr="00940E0F" w:rsidR="00CF7286" w:rsidP="00874AFF" w:rsidRDefault="00CF7286">
            <w:r w:rsidRPr="00940E0F">
              <w:rPr>
                <w:color w:val="000000" w:themeColor="text1"/>
              </w:rPr>
              <w:t>31 december 202</w:t>
            </w:r>
            <w:r>
              <w:rPr>
                <w:color w:val="000000" w:themeColor="text1"/>
              </w:rPr>
              <w:t>4</w:t>
            </w:r>
          </w:p>
        </w:tc>
        <w:tc>
          <w:tcPr>
            <w:tcW w:w="1974" w:type="dxa"/>
            <w:tcBorders>
              <w:top w:val="nil"/>
              <w:left w:val="nil"/>
              <w:bottom w:val="single" w:color="auto" w:sz="4" w:space="0"/>
              <w:right w:val="single" w:color="auto" w:sz="4" w:space="0"/>
            </w:tcBorders>
            <w:shd w:val="clear" w:color="auto" w:fill="auto"/>
            <w:vAlign w:val="center"/>
          </w:tcPr>
          <w:p w:rsidRPr="00940E0F" w:rsidR="00CF7286" w:rsidP="00874AFF" w:rsidRDefault="00CF7286">
            <w:pPr>
              <w:rPr>
                <w:szCs w:val="18"/>
              </w:rPr>
            </w:pPr>
            <w:r w:rsidRPr="009C1D78">
              <w:t xml:space="preserve">31 </w:t>
            </w:r>
            <w:r>
              <w:t>december</w:t>
            </w:r>
            <w:r w:rsidRPr="009C1D78">
              <w:t xml:space="preserve"> 2024</w:t>
            </w:r>
          </w:p>
        </w:tc>
      </w:tr>
      <w:tr w:rsidRPr="00940E0F" w:rsidR="00CF7286" w:rsidTr="00874AFF">
        <w:trPr>
          <w:trHeight w:val="555"/>
        </w:trPr>
        <w:tc>
          <w:tcPr>
            <w:tcW w:w="1134" w:type="dxa"/>
            <w:tcBorders>
              <w:left w:val="single" w:color="auto" w:sz="4" w:space="0"/>
              <w:right w:val="single" w:color="auto" w:sz="4" w:space="0"/>
            </w:tcBorders>
            <w:textDirection w:val="btLr"/>
            <w:vAlign w:val="center"/>
          </w:tcPr>
          <w:p w:rsidRPr="00940E0F" w:rsidR="00CF7286" w:rsidP="00874AFF" w:rsidRDefault="00CF7286">
            <w:pPr>
              <w:ind w:left="-1904" w:right="113" w:firstLine="1975"/>
              <w:rPr>
                <w:rFonts w:cs="Calibri"/>
                <w:b/>
                <w:bCs/>
                <w:color w:val="000000"/>
                <w:szCs w:val="18"/>
                <w:lang w:eastAsia="nl-NL"/>
              </w:rPr>
            </w:pPr>
          </w:p>
        </w:tc>
        <w:tc>
          <w:tcPr>
            <w:tcW w:w="2297" w:type="dxa"/>
            <w:tcBorders>
              <w:top w:val="nil"/>
              <w:left w:val="nil"/>
              <w:bottom w:val="single" w:color="auto" w:sz="4" w:space="0"/>
              <w:right w:val="single" w:color="auto" w:sz="4" w:space="0"/>
            </w:tcBorders>
            <w:shd w:val="clear" w:color="auto" w:fill="auto"/>
            <w:vAlign w:val="center"/>
          </w:tcPr>
          <w:p w:rsidRPr="00940E0F" w:rsidR="00CF7286" w:rsidP="00874AFF" w:rsidRDefault="00CF7286">
            <w:pPr>
              <w:rPr>
                <w:color w:val="000000"/>
              </w:rPr>
            </w:pPr>
            <w:r>
              <w:rPr>
                <w:color w:val="000000"/>
              </w:rPr>
              <w:t>Operatie Prosperity Guardian</w:t>
            </w:r>
          </w:p>
        </w:tc>
        <w:tc>
          <w:tcPr>
            <w:tcW w:w="2806" w:type="dxa"/>
            <w:tcBorders>
              <w:top w:val="nil"/>
              <w:left w:val="nil"/>
              <w:bottom w:val="single" w:color="auto" w:sz="4" w:space="0"/>
              <w:right w:val="single" w:color="auto" w:sz="4" w:space="0"/>
            </w:tcBorders>
            <w:shd w:val="clear" w:color="auto" w:fill="auto"/>
            <w:vAlign w:val="center"/>
          </w:tcPr>
          <w:p w:rsidRPr="00940E0F" w:rsidR="00CF7286" w:rsidP="00874AFF" w:rsidRDefault="00CF7286">
            <w:pPr>
              <w:rPr>
                <w:color w:val="000000"/>
              </w:rPr>
            </w:pPr>
            <w:r>
              <w:rPr>
                <w:color w:val="000000"/>
              </w:rPr>
              <w:t>UNCLOS</w:t>
            </w:r>
          </w:p>
        </w:tc>
        <w:tc>
          <w:tcPr>
            <w:tcW w:w="1872" w:type="dxa"/>
            <w:tcBorders>
              <w:top w:val="nil"/>
              <w:left w:val="nil"/>
              <w:bottom w:val="single" w:color="auto" w:sz="4" w:space="0"/>
              <w:right w:val="single" w:color="auto" w:sz="4" w:space="0"/>
            </w:tcBorders>
            <w:shd w:val="clear" w:color="auto" w:fill="auto"/>
            <w:noWrap/>
            <w:vAlign w:val="center"/>
          </w:tcPr>
          <w:p w:rsidRPr="00940E0F" w:rsidR="00CF7286" w:rsidP="00874AFF" w:rsidRDefault="00CF7286">
            <w:pPr>
              <w:rPr>
                <w:color w:val="000000" w:themeColor="text1"/>
              </w:rPr>
            </w:pPr>
            <w:r>
              <w:rPr>
                <w:color w:val="000000" w:themeColor="text1"/>
              </w:rPr>
              <w:t>Onbepaald</w:t>
            </w:r>
          </w:p>
        </w:tc>
        <w:tc>
          <w:tcPr>
            <w:tcW w:w="1974" w:type="dxa"/>
            <w:tcBorders>
              <w:top w:val="nil"/>
              <w:left w:val="nil"/>
              <w:bottom w:val="single" w:color="auto" w:sz="4" w:space="0"/>
              <w:right w:val="single" w:color="auto" w:sz="4" w:space="0"/>
            </w:tcBorders>
            <w:shd w:val="clear" w:color="auto" w:fill="auto"/>
            <w:vAlign w:val="center"/>
          </w:tcPr>
          <w:p w:rsidRPr="009C1D78" w:rsidR="00CF7286" w:rsidP="00874AFF" w:rsidRDefault="00CF7286">
            <w:r w:rsidRPr="581EF451">
              <w:t>-</w:t>
            </w:r>
          </w:p>
        </w:tc>
      </w:tr>
      <w:tr w:rsidRPr="001B5A9B" w:rsidR="00CF7286" w:rsidTr="00874AFF">
        <w:trPr>
          <w:trHeight w:val="551"/>
        </w:trPr>
        <w:tc>
          <w:tcPr>
            <w:tcW w:w="1134" w:type="dxa"/>
            <w:tcBorders>
              <w:left w:val="single" w:color="auto" w:sz="4" w:space="0"/>
              <w:right w:val="single" w:color="auto" w:sz="4" w:space="0"/>
            </w:tcBorders>
            <w:textDirection w:val="btLr"/>
            <w:vAlign w:val="center"/>
          </w:tcPr>
          <w:p w:rsidRPr="00940E0F" w:rsidR="00CF7286" w:rsidP="00874AFF" w:rsidRDefault="00CF7286">
            <w:pPr>
              <w:ind w:left="-1904" w:right="113" w:firstLine="1975"/>
              <w:rPr>
                <w:rFonts w:cs="Calibri"/>
                <w:b/>
                <w:bCs/>
                <w:color w:val="000000"/>
                <w:szCs w:val="18"/>
                <w:lang w:eastAsia="nl-NL"/>
              </w:rPr>
            </w:pPr>
          </w:p>
        </w:tc>
        <w:tc>
          <w:tcPr>
            <w:tcW w:w="2297" w:type="dxa"/>
            <w:tcBorders>
              <w:top w:val="nil"/>
              <w:left w:val="nil"/>
              <w:bottom w:val="single" w:color="auto" w:sz="4" w:space="0"/>
              <w:right w:val="single" w:color="auto" w:sz="4" w:space="0"/>
            </w:tcBorders>
            <w:shd w:val="clear" w:color="auto" w:fill="auto"/>
            <w:vAlign w:val="center"/>
          </w:tcPr>
          <w:p w:rsidRPr="00940E0F" w:rsidR="00CF7286" w:rsidP="00874AFF" w:rsidRDefault="00CF7286">
            <w:pPr>
              <w:rPr>
                <w:color w:val="000000"/>
              </w:rPr>
            </w:pPr>
            <w:r>
              <w:rPr>
                <w:color w:val="000000"/>
              </w:rPr>
              <w:t>Operatie Poseidon Archer</w:t>
            </w:r>
          </w:p>
        </w:tc>
        <w:tc>
          <w:tcPr>
            <w:tcW w:w="2806" w:type="dxa"/>
            <w:tcBorders>
              <w:top w:val="nil"/>
              <w:left w:val="nil"/>
              <w:bottom w:val="single" w:color="auto" w:sz="4" w:space="0"/>
              <w:right w:val="single" w:color="auto" w:sz="4" w:space="0"/>
            </w:tcBorders>
            <w:shd w:val="clear" w:color="auto" w:fill="auto"/>
            <w:vAlign w:val="center"/>
          </w:tcPr>
          <w:p w:rsidRPr="001B5A9B" w:rsidR="00CF7286" w:rsidP="00874AFF" w:rsidRDefault="00CF7286">
            <w:pPr>
              <w:rPr>
                <w:color w:val="000000"/>
                <w:lang w:val="de-DE"/>
              </w:rPr>
            </w:pPr>
            <w:r w:rsidRPr="001B5A9B">
              <w:rPr>
                <w:color w:val="000000"/>
                <w:lang w:val="de-DE"/>
              </w:rPr>
              <w:t>VN Handvest art. 51</w:t>
            </w:r>
          </w:p>
        </w:tc>
        <w:tc>
          <w:tcPr>
            <w:tcW w:w="1872" w:type="dxa"/>
            <w:tcBorders>
              <w:top w:val="nil"/>
              <w:left w:val="nil"/>
              <w:bottom w:val="single" w:color="auto" w:sz="4" w:space="0"/>
              <w:right w:val="single" w:color="auto" w:sz="4" w:space="0"/>
            </w:tcBorders>
            <w:shd w:val="clear" w:color="auto" w:fill="auto"/>
            <w:noWrap/>
            <w:vAlign w:val="center"/>
          </w:tcPr>
          <w:p w:rsidRPr="001B5A9B" w:rsidR="00CF7286" w:rsidP="00874AFF" w:rsidRDefault="00CF7286">
            <w:pPr>
              <w:rPr>
                <w:color w:val="000000" w:themeColor="text1"/>
                <w:lang w:val="de-DE"/>
              </w:rPr>
            </w:pPr>
            <w:r w:rsidRPr="001B5A9B">
              <w:rPr>
                <w:color w:val="000000" w:themeColor="text1"/>
                <w:lang w:val="de-DE"/>
              </w:rPr>
              <w:t>Onbepaald</w:t>
            </w:r>
          </w:p>
        </w:tc>
        <w:tc>
          <w:tcPr>
            <w:tcW w:w="1974" w:type="dxa"/>
            <w:tcBorders>
              <w:top w:val="nil"/>
              <w:left w:val="nil"/>
              <w:bottom w:val="single" w:color="auto" w:sz="4" w:space="0"/>
              <w:right w:val="single" w:color="auto" w:sz="4" w:space="0"/>
            </w:tcBorders>
            <w:shd w:val="clear" w:color="auto" w:fill="auto"/>
            <w:vAlign w:val="center"/>
          </w:tcPr>
          <w:p w:rsidRPr="001B5A9B" w:rsidR="00CF7286" w:rsidP="00874AFF" w:rsidRDefault="00CF7286">
            <w:pPr>
              <w:rPr>
                <w:lang w:val="de-DE"/>
              </w:rPr>
            </w:pPr>
            <w:r w:rsidRPr="001B5A9B">
              <w:rPr>
                <w:lang w:val="de-DE"/>
              </w:rPr>
              <w:t>9 juli 2025</w:t>
            </w:r>
          </w:p>
        </w:tc>
      </w:tr>
      <w:tr w:rsidRPr="001B5A9B" w:rsidR="00CF7286" w:rsidTr="00874AFF">
        <w:trPr>
          <w:trHeight w:val="415"/>
        </w:trPr>
        <w:tc>
          <w:tcPr>
            <w:tcW w:w="1134" w:type="dxa"/>
            <w:tcBorders>
              <w:left w:val="single" w:color="auto" w:sz="4" w:space="0"/>
              <w:right w:val="single" w:color="auto" w:sz="4" w:space="0"/>
            </w:tcBorders>
            <w:textDirection w:val="btLr"/>
            <w:vAlign w:val="center"/>
          </w:tcPr>
          <w:p w:rsidRPr="00A67043" w:rsidR="00CF7286" w:rsidP="00874AFF" w:rsidRDefault="00CF7286">
            <w:pPr>
              <w:ind w:left="-1904" w:right="113" w:firstLine="1975"/>
              <w:rPr>
                <w:rFonts w:cs="Calibri"/>
                <w:b/>
                <w:bCs/>
                <w:color w:val="000000"/>
                <w:szCs w:val="18"/>
                <w:lang w:val="de-DE" w:eastAsia="nl-NL"/>
              </w:rPr>
            </w:pPr>
          </w:p>
        </w:tc>
        <w:tc>
          <w:tcPr>
            <w:tcW w:w="2297" w:type="dxa"/>
            <w:tcBorders>
              <w:top w:val="nil"/>
              <w:left w:val="nil"/>
              <w:bottom w:val="single" w:color="auto" w:sz="4" w:space="0"/>
              <w:right w:val="single" w:color="auto" w:sz="4" w:space="0"/>
            </w:tcBorders>
            <w:shd w:val="clear" w:color="auto" w:fill="auto"/>
            <w:vAlign w:val="center"/>
          </w:tcPr>
          <w:p w:rsidRPr="00A67043" w:rsidR="00CF7286" w:rsidP="009210DA" w:rsidRDefault="00CF7286">
            <w:pPr>
              <w:rPr>
                <w:color w:val="000000"/>
                <w:lang w:val="de-DE"/>
              </w:rPr>
            </w:pPr>
            <w:r>
              <w:rPr>
                <w:color w:val="000000"/>
                <w:lang w:val="de-DE"/>
              </w:rPr>
              <w:t>EUNAVFOR A</w:t>
            </w:r>
            <w:r w:rsidR="009210DA">
              <w:rPr>
                <w:color w:val="000000"/>
                <w:lang w:val="de-DE"/>
              </w:rPr>
              <w:t>SPIDES</w:t>
            </w:r>
          </w:p>
        </w:tc>
        <w:tc>
          <w:tcPr>
            <w:tcW w:w="2806" w:type="dxa"/>
            <w:tcBorders>
              <w:top w:val="nil"/>
              <w:left w:val="nil"/>
              <w:bottom w:val="single" w:color="auto" w:sz="4" w:space="0"/>
              <w:right w:val="single" w:color="auto" w:sz="4" w:space="0"/>
            </w:tcBorders>
            <w:shd w:val="clear" w:color="auto" w:fill="auto"/>
            <w:vAlign w:val="center"/>
          </w:tcPr>
          <w:p w:rsidRPr="001B5A9B" w:rsidR="00CF7286" w:rsidP="00874AFF" w:rsidRDefault="00CF7286">
            <w:pPr>
              <w:rPr>
                <w:color w:val="000000"/>
                <w:lang w:val="de-DE"/>
              </w:rPr>
            </w:pPr>
            <w:r w:rsidRPr="001B5A9B">
              <w:rPr>
                <w:color w:val="000000"/>
                <w:lang w:val="de-DE"/>
              </w:rPr>
              <w:t xml:space="preserve">UNCLOS </w:t>
            </w:r>
          </w:p>
        </w:tc>
        <w:tc>
          <w:tcPr>
            <w:tcW w:w="1872" w:type="dxa"/>
            <w:tcBorders>
              <w:top w:val="nil"/>
              <w:left w:val="nil"/>
              <w:bottom w:val="single" w:color="auto" w:sz="4" w:space="0"/>
              <w:right w:val="single" w:color="auto" w:sz="4" w:space="0"/>
            </w:tcBorders>
            <w:shd w:val="clear" w:color="auto" w:fill="auto"/>
            <w:noWrap/>
            <w:vAlign w:val="center"/>
          </w:tcPr>
          <w:p w:rsidRPr="001B5A9B" w:rsidR="00CF7286" w:rsidP="00874AFF" w:rsidRDefault="00CF7286">
            <w:pPr>
              <w:rPr>
                <w:color w:val="000000" w:themeColor="text1"/>
                <w:lang w:val="de-DE"/>
              </w:rPr>
            </w:pPr>
            <w:r w:rsidRPr="001B5A9B">
              <w:rPr>
                <w:color w:val="000000" w:themeColor="text1"/>
                <w:lang w:val="de-DE"/>
              </w:rPr>
              <w:t>28 februari 2026</w:t>
            </w:r>
          </w:p>
        </w:tc>
        <w:tc>
          <w:tcPr>
            <w:tcW w:w="1974" w:type="dxa"/>
            <w:tcBorders>
              <w:top w:val="nil"/>
              <w:left w:val="nil"/>
              <w:bottom w:val="single" w:color="auto" w:sz="4" w:space="0"/>
              <w:right w:val="single" w:color="auto" w:sz="4" w:space="0"/>
            </w:tcBorders>
            <w:shd w:val="clear" w:color="auto" w:fill="auto"/>
            <w:vAlign w:val="center"/>
          </w:tcPr>
          <w:p w:rsidRPr="001B5A9B" w:rsidR="00CF7286" w:rsidP="00874AFF" w:rsidRDefault="00CF7286">
            <w:r>
              <w:rPr>
                <w:lang w:val="de-DE"/>
              </w:rPr>
              <w:t>30 juni</w:t>
            </w:r>
            <w:r w:rsidRPr="001B5A9B">
              <w:rPr>
                <w:lang w:val="de-DE"/>
              </w:rPr>
              <w:t xml:space="preserve"> </w:t>
            </w:r>
            <w:r>
              <w:t>2028</w:t>
            </w:r>
          </w:p>
        </w:tc>
      </w:tr>
      <w:tr w:rsidRPr="001B5A9B" w:rsidR="00CF7286" w:rsidTr="00874AFF">
        <w:trPr>
          <w:trHeight w:val="329"/>
        </w:trPr>
        <w:tc>
          <w:tcPr>
            <w:tcW w:w="1134" w:type="dxa"/>
            <w:tcBorders>
              <w:left w:val="single" w:color="auto" w:sz="4" w:space="0"/>
              <w:right w:val="single" w:color="auto" w:sz="4" w:space="0"/>
            </w:tcBorders>
            <w:textDirection w:val="btLr"/>
            <w:vAlign w:val="center"/>
          </w:tcPr>
          <w:p w:rsidR="00CF7286" w:rsidP="00874AFF" w:rsidRDefault="00CF7286">
            <w:pPr>
              <w:ind w:left="-1904" w:right="113" w:firstLine="1975"/>
              <w:rPr>
                <w:rFonts w:cs="Calibri"/>
                <w:b/>
                <w:bCs/>
                <w:color w:val="000000"/>
                <w:szCs w:val="18"/>
                <w:lang w:eastAsia="nl-NL"/>
              </w:rPr>
            </w:pPr>
          </w:p>
        </w:tc>
        <w:tc>
          <w:tcPr>
            <w:tcW w:w="2297" w:type="dxa"/>
            <w:tcBorders>
              <w:top w:val="nil"/>
              <w:left w:val="nil"/>
              <w:bottom w:val="single" w:color="auto" w:sz="4" w:space="0"/>
              <w:right w:val="single" w:color="auto" w:sz="4" w:space="0"/>
            </w:tcBorders>
            <w:shd w:val="clear" w:color="auto" w:fill="auto"/>
            <w:vAlign w:val="center"/>
          </w:tcPr>
          <w:p w:rsidRPr="00A55F0F" w:rsidR="00CF7286" w:rsidP="00874AFF" w:rsidRDefault="00CF7286">
            <w:pPr>
              <w:rPr>
                <w:color w:val="000000"/>
              </w:rPr>
            </w:pPr>
            <w:r w:rsidRPr="00A55F0F">
              <w:rPr>
                <w:color w:val="000000"/>
              </w:rPr>
              <w:t>CMF</w:t>
            </w:r>
          </w:p>
        </w:tc>
        <w:tc>
          <w:tcPr>
            <w:tcW w:w="2806" w:type="dxa"/>
            <w:tcBorders>
              <w:top w:val="nil"/>
              <w:left w:val="nil"/>
              <w:bottom w:val="single" w:color="auto" w:sz="4" w:space="0"/>
              <w:right w:val="single" w:color="auto" w:sz="4" w:space="0"/>
            </w:tcBorders>
            <w:shd w:val="clear" w:color="auto" w:fill="auto"/>
            <w:vAlign w:val="center"/>
          </w:tcPr>
          <w:p w:rsidRPr="001B5A9B" w:rsidR="00CF7286" w:rsidP="00874AFF" w:rsidRDefault="00CF7286">
            <w:pPr>
              <w:rPr>
                <w:color w:val="000000"/>
              </w:rPr>
            </w:pPr>
            <w:r w:rsidRPr="001B5A9B">
              <w:rPr>
                <w:color w:val="000000"/>
              </w:rPr>
              <w:t>UNCLOS</w:t>
            </w:r>
          </w:p>
        </w:tc>
        <w:tc>
          <w:tcPr>
            <w:tcW w:w="1872" w:type="dxa"/>
            <w:tcBorders>
              <w:top w:val="nil"/>
              <w:left w:val="nil"/>
              <w:bottom w:val="single" w:color="auto" w:sz="4" w:space="0"/>
              <w:right w:val="single" w:color="auto" w:sz="4" w:space="0"/>
            </w:tcBorders>
            <w:shd w:val="clear" w:color="auto" w:fill="auto"/>
            <w:noWrap/>
            <w:vAlign w:val="center"/>
          </w:tcPr>
          <w:p w:rsidRPr="001B5A9B" w:rsidR="00CF7286" w:rsidP="00874AFF" w:rsidRDefault="00CF7286">
            <w:pPr>
              <w:rPr>
                <w:color w:val="000000" w:themeColor="text1"/>
              </w:rPr>
            </w:pPr>
            <w:r w:rsidRPr="001B5A9B">
              <w:rPr>
                <w:color w:val="000000" w:themeColor="text1"/>
              </w:rPr>
              <w:t>Onbepaald</w:t>
            </w:r>
          </w:p>
        </w:tc>
        <w:tc>
          <w:tcPr>
            <w:tcW w:w="1974" w:type="dxa"/>
            <w:tcBorders>
              <w:top w:val="nil"/>
              <w:left w:val="nil"/>
              <w:bottom w:val="single" w:color="auto" w:sz="4" w:space="0"/>
              <w:right w:val="single" w:color="auto" w:sz="4" w:space="0"/>
            </w:tcBorders>
            <w:shd w:val="clear" w:color="auto" w:fill="auto"/>
            <w:vAlign w:val="center"/>
          </w:tcPr>
          <w:p w:rsidRPr="001B5A9B" w:rsidR="00CF7286" w:rsidP="00874AFF" w:rsidRDefault="00CF7286">
            <w:r w:rsidRPr="001B5A9B">
              <w:t>Onbepaald</w:t>
            </w:r>
          </w:p>
        </w:tc>
      </w:tr>
      <w:tr w:rsidRPr="001B5A9B" w:rsidR="00CF7286" w:rsidTr="00874AFF">
        <w:trPr>
          <w:cantSplit/>
          <w:trHeight w:val="351"/>
        </w:trPr>
        <w:tc>
          <w:tcPr>
            <w:tcW w:w="1134" w:type="dxa"/>
            <w:vMerge w:val="restart"/>
            <w:tcBorders>
              <w:top w:val="single" w:color="000000" w:themeColor="text1" w:sz="4" w:space="0"/>
              <w:left w:val="single" w:color="auto" w:sz="4" w:space="0"/>
              <w:right w:val="single" w:color="auto" w:sz="4" w:space="0"/>
            </w:tcBorders>
            <w:shd w:val="clear" w:color="auto" w:fill="auto"/>
            <w:textDirection w:val="btLr"/>
            <w:vAlign w:val="center"/>
          </w:tcPr>
          <w:p w:rsidRPr="00341CCD" w:rsidR="00CF7286" w:rsidP="00874AFF" w:rsidRDefault="00CF7286">
            <w:pPr>
              <w:ind w:left="-1904" w:right="113" w:firstLine="1975"/>
              <w:rPr>
                <w:rFonts w:cs="Calibri"/>
                <w:b/>
                <w:bCs/>
                <w:color w:val="000000"/>
                <w:lang w:eastAsia="nl-NL"/>
              </w:rPr>
            </w:pPr>
            <w:r w:rsidRPr="001D251E">
              <w:rPr>
                <w:b/>
                <w:bCs/>
                <w:color w:val="000000"/>
              </w:rPr>
              <w:t>Afrika</w:t>
            </w:r>
          </w:p>
        </w:tc>
        <w:tc>
          <w:tcPr>
            <w:tcW w:w="2297" w:type="dxa"/>
            <w:tcBorders>
              <w:top w:val="single" w:color="auto" w:sz="4" w:space="0"/>
              <w:left w:val="nil"/>
              <w:bottom w:val="single" w:color="auto" w:sz="4" w:space="0"/>
              <w:right w:val="single" w:color="auto" w:sz="4" w:space="0"/>
            </w:tcBorders>
            <w:shd w:val="clear" w:color="auto" w:fill="auto"/>
            <w:vAlign w:val="center"/>
            <w:hideMark/>
          </w:tcPr>
          <w:p w:rsidRPr="001B5A9B" w:rsidR="00CF7286" w:rsidP="009210DA" w:rsidRDefault="00CF7286">
            <w:pPr>
              <w:rPr>
                <w:color w:val="000000"/>
              </w:rPr>
            </w:pPr>
            <w:r w:rsidRPr="001B5A9B">
              <w:rPr>
                <w:color w:val="000000"/>
              </w:rPr>
              <w:t>EUNAVFOR A</w:t>
            </w:r>
            <w:r w:rsidR="009210DA">
              <w:rPr>
                <w:color w:val="000000"/>
              </w:rPr>
              <w:t>TALANTA</w:t>
            </w:r>
            <w:r w:rsidRPr="001B5A9B">
              <w:rPr>
                <w:color w:val="000000"/>
              </w:rPr>
              <w:t xml:space="preserve"> (oostkust Afrika)</w:t>
            </w:r>
          </w:p>
        </w:tc>
        <w:tc>
          <w:tcPr>
            <w:tcW w:w="2806" w:type="dxa"/>
            <w:tcBorders>
              <w:top w:val="single" w:color="auto" w:sz="4" w:space="0"/>
              <w:left w:val="nil"/>
              <w:bottom w:val="single" w:color="auto" w:sz="4" w:space="0"/>
              <w:right w:val="single" w:color="auto" w:sz="4" w:space="0"/>
            </w:tcBorders>
            <w:shd w:val="clear" w:color="auto" w:fill="auto"/>
            <w:vAlign w:val="center"/>
            <w:hideMark/>
          </w:tcPr>
          <w:p w:rsidRPr="001B5A9B" w:rsidR="00CF7286" w:rsidP="00874AFF" w:rsidRDefault="00CF7286">
            <w:r w:rsidRPr="001B5A9B">
              <w:t>VNVR-resolutie 2383</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1B5A9B" w:rsidR="00CF7286" w:rsidP="00874AFF" w:rsidRDefault="00CF7286">
            <w:pPr>
              <w:rPr>
                <w:color w:val="000000"/>
              </w:rPr>
            </w:pPr>
            <w:r w:rsidRPr="001B5A9B">
              <w:rPr>
                <w:color w:val="000000"/>
              </w:rPr>
              <w:t>31 december 2024</w:t>
            </w:r>
          </w:p>
        </w:tc>
        <w:tc>
          <w:tcPr>
            <w:tcW w:w="1974" w:type="dxa"/>
            <w:tcBorders>
              <w:top w:val="single" w:color="auto" w:sz="4" w:space="0"/>
              <w:left w:val="nil"/>
              <w:bottom w:val="single" w:color="auto" w:sz="4" w:space="0"/>
              <w:right w:val="single" w:color="auto" w:sz="4" w:space="0"/>
            </w:tcBorders>
            <w:shd w:val="clear" w:color="auto" w:fill="auto"/>
            <w:vAlign w:val="center"/>
            <w:hideMark/>
          </w:tcPr>
          <w:p w:rsidRPr="001B5A9B" w:rsidR="00CF7286" w:rsidP="00874AFF" w:rsidRDefault="00CF7286">
            <w:r>
              <w:t>30 juni 2028</w:t>
            </w:r>
          </w:p>
        </w:tc>
      </w:tr>
      <w:tr w:rsidRPr="001B5A9B" w:rsidR="00CF7286" w:rsidTr="00874AFF">
        <w:trPr>
          <w:cantSplit/>
          <w:trHeight w:val="561"/>
        </w:trPr>
        <w:tc>
          <w:tcPr>
            <w:tcW w:w="1134" w:type="dxa"/>
            <w:vMerge/>
            <w:tcBorders>
              <w:left w:val="single" w:color="auto" w:sz="4" w:space="0"/>
              <w:right w:val="single" w:color="auto" w:sz="4" w:space="0"/>
            </w:tcBorders>
            <w:textDirection w:val="btLr"/>
            <w:vAlign w:val="center"/>
          </w:tcPr>
          <w:p w:rsidRPr="00940E0F" w:rsidR="00CF7286" w:rsidP="00874AFF" w:rsidRDefault="00CF7286">
            <w:pPr>
              <w:ind w:left="-1904" w:right="113" w:firstLine="1975"/>
              <w:rPr>
                <w:b/>
                <w:color w:val="000000"/>
                <w:highlight w:val="yellow"/>
              </w:rPr>
            </w:pPr>
          </w:p>
        </w:tc>
        <w:tc>
          <w:tcPr>
            <w:tcW w:w="2297" w:type="dxa"/>
            <w:tcBorders>
              <w:top w:val="nil"/>
              <w:left w:val="nil"/>
              <w:bottom w:val="single" w:color="auto" w:sz="4" w:space="0"/>
              <w:right w:val="single" w:color="auto" w:sz="4" w:space="0"/>
            </w:tcBorders>
            <w:shd w:val="clear" w:color="auto" w:fill="auto"/>
            <w:vAlign w:val="center"/>
          </w:tcPr>
          <w:p w:rsidRPr="00940E0F" w:rsidR="00CF7286" w:rsidP="00874AFF" w:rsidRDefault="00CF7286">
            <w:pPr>
              <w:rPr>
                <w:color w:val="000000"/>
                <w:lang w:val="es-ES"/>
              </w:rPr>
            </w:pPr>
            <w:r>
              <w:rPr>
                <w:color w:val="000000"/>
                <w:lang w:val="es-ES"/>
              </w:rPr>
              <w:t>GPOI</w:t>
            </w:r>
          </w:p>
        </w:tc>
        <w:tc>
          <w:tcPr>
            <w:tcW w:w="2806" w:type="dxa"/>
            <w:tcBorders>
              <w:top w:val="nil"/>
              <w:left w:val="nil"/>
              <w:bottom w:val="single" w:color="auto" w:sz="4" w:space="0"/>
              <w:right w:val="single" w:color="auto" w:sz="4" w:space="0"/>
            </w:tcBorders>
            <w:shd w:val="clear" w:color="auto" w:fill="auto"/>
            <w:vAlign w:val="center"/>
          </w:tcPr>
          <w:p w:rsidRPr="001B5A9B" w:rsidR="00CF7286" w:rsidP="00874AFF" w:rsidRDefault="00CF7286">
            <w:pPr>
              <w:rPr>
                <w:color w:val="000000"/>
              </w:rPr>
            </w:pPr>
            <w:r w:rsidRPr="001B5A9B">
              <w:rPr>
                <w:color w:val="000000"/>
              </w:rPr>
              <w:t>Overeenkomst USA - Afrikaanse landen</w:t>
            </w:r>
          </w:p>
        </w:tc>
        <w:tc>
          <w:tcPr>
            <w:tcW w:w="1872" w:type="dxa"/>
            <w:tcBorders>
              <w:top w:val="nil"/>
              <w:left w:val="nil"/>
              <w:bottom w:val="single" w:color="auto" w:sz="4" w:space="0"/>
              <w:right w:val="single" w:color="auto" w:sz="4" w:space="0"/>
            </w:tcBorders>
            <w:shd w:val="clear" w:color="auto" w:fill="auto"/>
            <w:noWrap/>
            <w:vAlign w:val="center"/>
          </w:tcPr>
          <w:p w:rsidRPr="001B5A9B" w:rsidR="00CF7286" w:rsidP="00874AFF" w:rsidRDefault="00CF7286">
            <w:r w:rsidRPr="001B5A9B">
              <w:t>Onbepaald</w:t>
            </w:r>
          </w:p>
        </w:tc>
        <w:tc>
          <w:tcPr>
            <w:tcW w:w="1974" w:type="dxa"/>
            <w:tcBorders>
              <w:top w:val="nil"/>
              <w:left w:val="nil"/>
              <w:bottom w:val="single" w:color="auto" w:sz="4" w:space="0"/>
              <w:right w:val="single" w:color="auto" w:sz="4" w:space="0"/>
            </w:tcBorders>
            <w:shd w:val="clear" w:color="auto" w:fill="auto"/>
            <w:vAlign w:val="center"/>
          </w:tcPr>
          <w:p w:rsidRPr="00341CCD" w:rsidR="00CF7286" w:rsidP="00874AFF" w:rsidRDefault="00CF7286">
            <w:pPr>
              <w:rPr>
                <w:szCs w:val="18"/>
              </w:rPr>
            </w:pPr>
            <w:r w:rsidRPr="006410A5">
              <w:t xml:space="preserve">30 juni 2028 </w:t>
            </w:r>
          </w:p>
        </w:tc>
      </w:tr>
      <w:tr w:rsidRPr="001B5A9B" w:rsidR="00CF7286" w:rsidTr="00874AFF">
        <w:trPr>
          <w:cantSplit/>
          <w:trHeight w:val="561"/>
        </w:trPr>
        <w:tc>
          <w:tcPr>
            <w:tcW w:w="1134" w:type="dxa"/>
            <w:vMerge/>
            <w:tcBorders>
              <w:left w:val="single" w:color="auto" w:sz="4" w:space="0"/>
              <w:bottom w:val="single" w:color="000000" w:sz="4" w:space="0"/>
              <w:right w:val="single" w:color="auto" w:sz="4" w:space="0"/>
            </w:tcBorders>
            <w:textDirection w:val="btLr"/>
            <w:vAlign w:val="center"/>
          </w:tcPr>
          <w:p w:rsidRPr="00940E0F" w:rsidR="00CF7286" w:rsidP="00874AFF" w:rsidRDefault="00CF7286">
            <w:pPr>
              <w:ind w:left="-1904" w:right="113" w:firstLine="1975"/>
              <w:rPr>
                <w:b/>
                <w:color w:val="000000"/>
                <w:highlight w:val="yellow"/>
              </w:rPr>
            </w:pPr>
          </w:p>
        </w:tc>
        <w:tc>
          <w:tcPr>
            <w:tcW w:w="2297" w:type="dxa"/>
            <w:tcBorders>
              <w:top w:val="nil"/>
              <w:left w:val="nil"/>
              <w:bottom w:val="single" w:color="auto" w:sz="4" w:space="0"/>
              <w:right w:val="single" w:color="auto" w:sz="4" w:space="0"/>
            </w:tcBorders>
            <w:shd w:val="clear" w:color="auto" w:fill="auto"/>
            <w:vAlign w:val="center"/>
          </w:tcPr>
          <w:p w:rsidR="00CF7286" w:rsidP="00874AFF" w:rsidRDefault="00CF7286">
            <w:pPr>
              <w:rPr>
                <w:color w:val="000000"/>
                <w:lang w:val="es-ES"/>
              </w:rPr>
            </w:pPr>
            <w:r>
              <w:rPr>
                <w:color w:val="000000"/>
                <w:lang w:val="es-ES"/>
              </w:rPr>
              <w:t>EU</w:t>
            </w:r>
            <w:r w:rsidR="006A78F9">
              <w:rPr>
                <w:color w:val="000000"/>
                <w:lang w:val="es-ES"/>
              </w:rPr>
              <w:t xml:space="preserve"> </w:t>
            </w:r>
            <w:r>
              <w:rPr>
                <w:color w:val="000000"/>
                <w:lang w:val="es-ES"/>
              </w:rPr>
              <w:t>SDI</w:t>
            </w:r>
            <w:r w:rsidR="006A78F9">
              <w:rPr>
                <w:color w:val="000000"/>
                <w:lang w:val="es-ES"/>
              </w:rPr>
              <w:t xml:space="preserve"> </w:t>
            </w:r>
            <w:r>
              <w:rPr>
                <w:color w:val="000000"/>
                <w:lang w:val="es-ES"/>
              </w:rPr>
              <w:t>GOG</w:t>
            </w:r>
          </w:p>
        </w:tc>
        <w:tc>
          <w:tcPr>
            <w:tcW w:w="2806" w:type="dxa"/>
            <w:tcBorders>
              <w:top w:val="nil"/>
              <w:left w:val="nil"/>
              <w:bottom w:val="single" w:color="auto" w:sz="4" w:space="0"/>
              <w:right w:val="single" w:color="auto" w:sz="4" w:space="0"/>
            </w:tcBorders>
            <w:shd w:val="clear" w:color="auto" w:fill="auto"/>
            <w:vAlign w:val="center"/>
          </w:tcPr>
          <w:p w:rsidRPr="001B5A9B" w:rsidR="00CF7286" w:rsidP="00874AFF" w:rsidRDefault="00CF7286">
            <w:pPr>
              <w:rPr>
                <w:color w:val="000000"/>
              </w:rPr>
            </w:pPr>
            <w:r>
              <w:rPr>
                <w:color w:val="000000"/>
              </w:rPr>
              <w:t xml:space="preserve">Besluit van de Europese Raad </w:t>
            </w:r>
          </w:p>
        </w:tc>
        <w:tc>
          <w:tcPr>
            <w:tcW w:w="1872" w:type="dxa"/>
            <w:tcBorders>
              <w:top w:val="nil"/>
              <w:left w:val="nil"/>
              <w:bottom w:val="single" w:color="auto" w:sz="4" w:space="0"/>
              <w:right w:val="single" w:color="auto" w:sz="4" w:space="0"/>
            </w:tcBorders>
            <w:shd w:val="clear" w:color="auto" w:fill="auto"/>
            <w:noWrap/>
            <w:vAlign w:val="center"/>
          </w:tcPr>
          <w:p w:rsidRPr="001B5A9B" w:rsidR="00CF7286" w:rsidP="00874AFF" w:rsidRDefault="00CF7286">
            <w:r>
              <w:t>Onbepaald</w:t>
            </w:r>
          </w:p>
        </w:tc>
        <w:tc>
          <w:tcPr>
            <w:tcW w:w="1974" w:type="dxa"/>
            <w:tcBorders>
              <w:top w:val="nil"/>
              <w:left w:val="nil"/>
              <w:bottom w:val="single" w:color="auto" w:sz="4" w:space="0"/>
              <w:right w:val="single" w:color="auto" w:sz="4" w:space="0"/>
            </w:tcBorders>
            <w:shd w:val="clear" w:color="auto" w:fill="auto"/>
            <w:vAlign w:val="center"/>
          </w:tcPr>
          <w:p w:rsidRPr="00341CCD" w:rsidR="00CF7286" w:rsidP="00874AFF" w:rsidRDefault="00CF7286">
            <w:pPr>
              <w:rPr>
                <w:szCs w:val="18"/>
              </w:rPr>
            </w:pPr>
            <w:r w:rsidRPr="006410A5">
              <w:t>30 juni 2028</w:t>
            </w:r>
          </w:p>
        </w:tc>
      </w:tr>
      <w:tr w:rsidRPr="001B5A9B" w:rsidR="00CF7286" w:rsidTr="00874AFF">
        <w:trPr>
          <w:cantSplit/>
          <w:trHeight w:val="441"/>
        </w:trPr>
        <w:tc>
          <w:tcPr>
            <w:tcW w:w="1134" w:type="dxa"/>
            <w:tcBorders>
              <w:left w:val="single" w:color="auto" w:sz="4" w:space="0"/>
              <w:right w:val="single" w:color="auto" w:sz="4" w:space="0"/>
            </w:tcBorders>
            <w:textDirection w:val="btLr"/>
            <w:vAlign w:val="center"/>
          </w:tcPr>
          <w:p w:rsidRPr="009C1D78" w:rsidR="00CF7286" w:rsidP="00874AFF" w:rsidRDefault="00CF7286">
            <w:pPr>
              <w:ind w:left="-1904" w:right="113" w:firstLine="1975"/>
              <w:jc w:val="center"/>
              <w:rPr>
                <w:rFonts w:cs="Calibri"/>
                <w:b/>
                <w:bCs/>
                <w:color w:val="000000"/>
                <w:lang w:eastAsia="nl-NL"/>
              </w:rPr>
            </w:pPr>
          </w:p>
        </w:tc>
        <w:tc>
          <w:tcPr>
            <w:tcW w:w="2297" w:type="dxa"/>
            <w:tcBorders>
              <w:top w:val="nil"/>
              <w:left w:val="nil"/>
              <w:bottom w:val="single" w:color="auto" w:sz="4" w:space="0"/>
              <w:right w:val="single" w:color="auto" w:sz="4" w:space="0"/>
            </w:tcBorders>
            <w:shd w:val="clear" w:color="auto" w:fill="auto"/>
            <w:vAlign w:val="center"/>
          </w:tcPr>
          <w:p w:rsidRPr="00D37E98" w:rsidR="00CF7286" w:rsidP="00874AFF" w:rsidRDefault="00CF7286">
            <w:pPr>
              <w:rPr>
                <w:color w:val="000000"/>
                <w:highlight w:val="yellow"/>
                <w:lang w:val="es-ES"/>
              </w:rPr>
            </w:pPr>
            <w:r w:rsidRPr="00D37E98">
              <w:rPr>
                <w:color w:val="000000"/>
                <w:lang w:val="es-ES"/>
              </w:rPr>
              <w:t>KFOR</w:t>
            </w:r>
          </w:p>
        </w:tc>
        <w:tc>
          <w:tcPr>
            <w:tcW w:w="2806" w:type="dxa"/>
            <w:tcBorders>
              <w:top w:val="nil"/>
              <w:left w:val="nil"/>
              <w:bottom w:val="single" w:color="auto" w:sz="4" w:space="0"/>
              <w:right w:val="single" w:color="auto" w:sz="4" w:space="0"/>
            </w:tcBorders>
            <w:shd w:val="clear" w:color="auto" w:fill="auto"/>
            <w:vAlign w:val="center"/>
          </w:tcPr>
          <w:p w:rsidRPr="001B5A9B" w:rsidR="00CF7286" w:rsidP="00874AFF" w:rsidRDefault="00CF7286">
            <w:pPr>
              <w:rPr>
                <w:color w:val="000000"/>
              </w:rPr>
            </w:pPr>
            <w:r w:rsidRPr="001B5A9B">
              <w:rPr>
                <w:color w:val="000000"/>
              </w:rPr>
              <w:t>VNVR-resolutie 1244</w:t>
            </w:r>
          </w:p>
        </w:tc>
        <w:tc>
          <w:tcPr>
            <w:tcW w:w="1872" w:type="dxa"/>
            <w:tcBorders>
              <w:top w:val="nil"/>
              <w:left w:val="nil"/>
              <w:bottom w:val="single" w:color="auto" w:sz="4" w:space="0"/>
              <w:right w:val="single" w:color="auto" w:sz="4" w:space="0"/>
            </w:tcBorders>
            <w:shd w:val="clear" w:color="auto" w:fill="auto"/>
            <w:noWrap/>
            <w:vAlign w:val="center"/>
          </w:tcPr>
          <w:p w:rsidRPr="001B5A9B" w:rsidR="00CF7286" w:rsidP="00874AFF" w:rsidRDefault="00CF7286">
            <w:r w:rsidRPr="001B5A9B">
              <w:t>Onbepaald</w:t>
            </w:r>
          </w:p>
        </w:tc>
        <w:tc>
          <w:tcPr>
            <w:tcW w:w="1974" w:type="dxa"/>
            <w:tcBorders>
              <w:top w:val="nil"/>
              <w:left w:val="nil"/>
              <w:bottom w:val="single" w:color="auto" w:sz="4" w:space="0"/>
              <w:right w:val="single" w:color="auto" w:sz="4" w:space="0"/>
            </w:tcBorders>
            <w:shd w:val="clear" w:color="auto" w:fill="auto"/>
            <w:vAlign w:val="center"/>
          </w:tcPr>
          <w:p w:rsidRPr="001B5A9B" w:rsidR="00CF7286" w:rsidP="00874AFF" w:rsidRDefault="00CF7286">
            <w:pPr>
              <w:rPr>
                <w:szCs w:val="18"/>
              </w:rPr>
            </w:pPr>
            <w:r w:rsidRPr="00D37E98">
              <w:t>30 april 2026</w:t>
            </w:r>
          </w:p>
        </w:tc>
      </w:tr>
      <w:tr w:rsidRPr="00EF09E2" w:rsidR="00CF7286" w:rsidTr="00874AFF">
        <w:trPr>
          <w:cantSplit/>
          <w:trHeight w:val="703"/>
        </w:trPr>
        <w:tc>
          <w:tcPr>
            <w:tcW w:w="1134" w:type="dxa"/>
            <w:vMerge w:val="restart"/>
            <w:tcBorders>
              <w:left w:val="single" w:color="auto" w:sz="4" w:space="0"/>
              <w:right w:val="single" w:color="auto" w:sz="4" w:space="0"/>
            </w:tcBorders>
            <w:textDirection w:val="btLr"/>
            <w:vAlign w:val="center"/>
          </w:tcPr>
          <w:p w:rsidRPr="0065370E" w:rsidR="00CF7286" w:rsidP="00874AFF" w:rsidRDefault="00CF7286">
            <w:pPr>
              <w:ind w:left="-1904" w:right="113" w:firstLine="1975"/>
              <w:jc w:val="center"/>
              <w:rPr>
                <w:b/>
                <w:bCs/>
                <w:color w:val="000000"/>
                <w:highlight w:val="yellow"/>
              </w:rPr>
            </w:pPr>
            <w:r>
              <w:rPr>
                <w:rFonts w:cs="Calibri"/>
                <w:b/>
                <w:bCs/>
                <w:color w:val="000000"/>
                <w:lang w:eastAsia="nl-NL"/>
              </w:rPr>
              <w:t>Diverse</w:t>
            </w:r>
            <w:r w:rsidRPr="00F139AB">
              <w:rPr>
                <w:rFonts w:cs="Calibri"/>
                <w:b/>
                <w:bCs/>
                <w:color w:val="000000"/>
                <w:lang w:eastAsia="nl-NL"/>
              </w:rPr>
              <w:t>n</w:t>
            </w:r>
          </w:p>
        </w:tc>
        <w:tc>
          <w:tcPr>
            <w:tcW w:w="2297" w:type="dxa"/>
            <w:tcBorders>
              <w:top w:val="nil"/>
              <w:left w:val="nil"/>
              <w:bottom w:val="single" w:color="auto" w:sz="4" w:space="0"/>
              <w:right w:val="single" w:color="auto" w:sz="4" w:space="0"/>
            </w:tcBorders>
            <w:shd w:val="clear" w:color="auto" w:fill="auto"/>
            <w:vAlign w:val="center"/>
          </w:tcPr>
          <w:p w:rsidRPr="00940E0F" w:rsidR="00CF7286" w:rsidP="00874AFF" w:rsidRDefault="00CF7286">
            <w:pPr>
              <w:rPr>
                <w:color w:val="000000"/>
                <w:lang w:val="es-ES"/>
              </w:rPr>
            </w:pPr>
            <w:r w:rsidRPr="581EF451">
              <w:rPr>
                <w:i/>
                <w:iCs/>
                <w:color w:val="000000"/>
                <w:lang w:val="es-ES"/>
              </w:rPr>
              <w:t>Early Forward Presence</w:t>
            </w:r>
            <w:r w:rsidRPr="00940E0F">
              <w:rPr>
                <w:color w:val="000000"/>
                <w:lang w:val="es-ES"/>
              </w:rPr>
              <w:t>/SOLE</w:t>
            </w:r>
          </w:p>
        </w:tc>
        <w:tc>
          <w:tcPr>
            <w:tcW w:w="2806" w:type="dxa"/>
            <w:tcBorders>
              <w:top w:val="nil"/>
              <w:left w:val="nil"/>
              <w:bottom w:val="single" w:color="auto" w:sz="4" w:space="0"/>
              <w:right w:val="single" w:color="auto" w:sz="4" w:space="0"/>
            </w:tcBorders>
            <w:shd w:val="clear" w:color="auto" w:fill="auto"/>
            <w:vAlign w:val="center"/>
          </w:tcPr>
          <w:p w:rsidRPr="00940E0F" w:rsidR="00CF7286" w:rsidP="00874AFF" w:rsidRDefault="00CF7286">
            <w:pPr>
              <w:rPr>
                <w:color w:val="000000"/>
              </w:rPr>
            </w:pPr>
            <w:r>
              <w:rPr>
                <w:color w:val="000000"/>
              </w:rPr>
              <w:t>o.b.v. Note Verbale</w:t>
            </w:r>
          </w:p>
        </w:tc>
        <w:tc>
          <w:tcPr>
            <w:tcW w:w="1872" w:type="dxa"/>
            <w:tcBorders>
              <w:top w:val="nil"/>
              <w:left w:val="nil"/>
              <w:bottom w:val="single" w:color="auto" w:sz="4" w:space="0"/>
              <w:right w:val="single" w:color="auto" w:sz="4" w:space="0"/>
            </w:tcBorders>
            <w:shd w:val="clear" w:color="auto" w:fill="auto"/>
            <w:noWrap/>
            <w:vAlign w:val="center"/>
          </w:tcPr>
          <w:p w:rsidRPr="00940E0F" w:rsidR="00CF7286" w:rsidP="00874AFF" w:rsidRDefault="00CF7286">
            <w:r>
              <w:t>Onbepaald</w:t>
            </w:r>
          </w:p>
        </w:tc>
        <w:tc>
          <w:tcPr>
            <w:tcW w:w="1974" w:type="dxa"/>
            <w:tcBorders>
              <w:top w:val="nil"/>
              <w:left w:val="nil"/>
              <w:bottom w:val="single" w:color="auto" w:sz="4" w:space="0"/>
              <w:right w:val="single" w:color="auto" w:sz="4" w:space="0"/>
            </w:tcBorders>
            <w:shd w:val="clear" w:color="auto" w:fill="auto"/>
            <w:vAlign w:val="center"/>
          </w:tcPr>
          <w:p w:rsidR="00CF7286" w:rsidP="00874AFF" w:rsidRDefault="00CF7286">
            <w:pPr>
              <w:rPr>
                <w:szCs w:val="18"/>
              </w:rPr>
            </w:pPr>
          </w:p>
          <w:p w:rsidR="00CF7286" w:rsidP="00874AFF" w:rsidRDefault="00CF7286">
            <w:pPr>
              <w:rPr>
                <w:szCs w:val="18"/>
              </w:rPr>
            </w:pPr>
            <w:r w:rsidRPr="00D3138C">
              <w:t>Doorlopend</w:t>
            </w:r>
          </w:p>
          <w:p w:rsidRPr="005B568F" w:rsidR="00CF7286" w:rsidP="00874AFF" w:rsidRDefault="00CF7286">
            <w:pPr>
              <w:rPr>
                <w:szCs w:val="18"/>
              </w:rPr>
            </w:pPr>
          </w:p>
        </w:tc>
      </w:tr>
      <w:tr w:rsidRPr="00EF09E2" w:rsidR="00CF7286" w:rsidTr="00874AFF">
        <w:trPr>
          <w:cantSplit/>
          <w:trHeight w:val="387"/>
        </w:trPr>
        <w:tc>
          <w:tcPr>
            <w:tcW w:w="1134" w:type="dxa"/>
            <w:vMerge/>
            <w:tcBorders>
              <w:left w:val="single" w:color="auto" w:sz="4" w:space="0"/>
              <w:right w:val="single" w:color="auto" w:sz="4" w:space="0"/>
            </w:tcBorders>
            <w:textDirection w:val="btLr"/>
            <w:vAlign w:val="center"/>
          </w:tcPr>
          <w:p w:rsidRPr="009C1D78" w:rsidR="00CF7286" w:rsidP="00874AFF" w:rsidRDefault="00CF7286">
            <w:pPr>
              <w:ind w:left="113" w:right="113"/>
              <w:rPr>
                <w:rFonts w:cs="Calibri"/>
                <w:b/>
                <w:bCs/>
                <w:color w:val="000000"/>
                <w:lang w:eastAsia="nl-NL"/>
              </w:rPr>
            </w:pPr>
          </w:p>
        </w:tc>
        <w:tc>
          <w:tcPr>
            <w:tcW w:w="2297" w:type="dxa"/>
            <w:tcBorders>
              <w:top w:val="nil"/>
              <w:left w:val="nil"/>
              <w:bottom w:val="single" w:color="auto" w:sz="4" w:space="0"/>
              <w:right w:val="single" w:color="auto" w:sz="4" w:space="0"/>
            </w:tcBorders>
            <w:shd w:val="clear" w:color="auto" w:fill="auto"/>
            <w:vAlign w:val="center"/>
          </w:tcPr>
          <w:p w:rsidRPr="00341CCD" w:rsidR="00CF7286" w:rsidP="00874AFF" w:rsidRDefault="00CF7286">
            <w:pPr>
              <w:rPr>
                <w:i/>
                <w:iCs/>
                <w:color w:val="000000"/>
                <w:lang w:val="es-ES"/>
              </w:rPr>
            </w:pPr>
            <w:r w:rsidRPr="7B5F9CB0">
              <w:rPr>
                <w:i/>
                <w:iCs/>
                <w:color w:val="000000"/>
                <w:lang w:val="es-ES"/>
              </w:rPr>
              <w:t>UNC</w:t>
            </w:r>
          </w:p>
        </w:tc>
        <w:tc>
          <w:tcPr>
            <w:tcW w:w="2806" w:type="dxa"/>
            <w:tcBorders>
              <w:top w:val="nil"/>
              <w:left w:val="nil"/>
              <w:bottom w:val="single" w:color="auto" w:sz="4" w:space="0"/>
              <w:right w:val="single" w:color="auto" w:sz="4" w:space="0"/>
            </w:tcBorders>
            <w:shd w:val="clear" w:color="auto" w:fill="auto"/>
            <w:vAlign w:val="center"/>
          </w:tcPr>
          <w:p w:rsidR="00CF7286" w:rsidP="00874AFF" w:rsidRDefault="00CF7286">
            <w:pPr>
              <w:rPr>
                <w:color w:val="000000"/>
              </w:rPr>
            </w:pPr>
            <w:r>
              <w:rPr>
                <w:color w:val="000000"/>
              </w:rPr>
              <w:t>VNVR-resolutie 82 en 83</w:t>
            </w:r>
          </w:p>
        </w:tc>
        <w:tc>
          <w:tcPr>
            <w:tcW w:w="1872" w:type="dxa"/>
            <w:tcBorders>
              <w:top w:val="nil"/>
              <w:left w:val="nil"/>
              <w:bottom w:val="single" w:color="auto" w:sz="4" w:space="0"/>
              <w:right w:val="single" w:color="auto" w:sz="4" w:space="0"/>
            </w:tcBorders>
            <w:shd w:val="clear" w:color="auto" w:fill="auto"/>
            <w:noWrap/>
            <w:vAlign w:val="center"/>
          </w:tcPr>
          <w:p w:rsidR="00CF7286" w:rsidP="00874AFF" w:rsidRDefault="00CF7286">
            <w:r>
              <w:t>Onbepaald</w:t>
            </w:r>
          </w:p>
        </w:tc>
        <w:tc>
          <w:tcPr>
            <w:tcW w:w="1974" w:type="dxa"/>
            <w:tcBorders>
              <w:top w:val="nil"/>
              <w:left w:val="nil"/>
              <w:bottom w:val="single" w:color="auto" w:sz="4" w:space="0"/>
              <w:right w:val="single" w:color="auto" w:sz="4" w:space="0"/>
            </w:tcBorders>
            <w:shd w:val="clear" w:color="auto" w:fill="auto"/>
            <w:vAlign w:val="center"/>
          </w:tcPr>
          <w:p w:rsidR="00CF7286" w:rsidP="00874AFF" w:rsidRDefault="00CF7286">
            <w:pPr>
              <w:rPr>
                <w:szCs w:val="18"/>
              </w:rPr>
            </w:pPr>
            <w:r w:rsidRPr="00D37E98">
              <w:t>31 dec 2026</w:t>
            </w:r>
          </w:p>
        </w:tc>
      </w:tr>
      <w:tr w:rsidRPr="00940E0F" w:rsidR="00CF7286" w:rsidTr="00874AFF">
        <w:trPr>
          <w:trHeight w:val="563"/>
        </w:trPr>
        <w:tc>
          <w:tcPr>
            <w:tcW w:w="1134" w:type="dxa"/>
            <w:vMerge/>
            <w:tcBorders>
              <w:left w:val="single" w:color="auto" w:sz="4" w:space="0"/>
              <w:bottom w:val="single" w:color="000000" w:themeColor="text1" w:sz="4" w:space="0"/>
              <w:right w:val="single" w:color="auto" w:sz="4" w:space="0"/>
            </w:tcBorders>
            <w:shd w:val="clear" w:color="auto" w:fill="auto"/>
            <w:noWrap/>
            <w:textDirection w:val="btLr"/>
            <w:vAlign w:val="center"/>
            <w:hideMark/>
          </w:tcPr>
          <w:p w:rsidRPr="0065370E" w:rsidR="00CF7286" w:rsidP="00874AFF" w:rsidRDefault="00CF7286">
            <w:pPr>
              <w:ind w:left="113" w:right="113"/>
              <w:rPr>
                <w:rFonts w:cs="Calibri"/>
                <w:b/>
                <w:bCs/>
                <w:color w:val="000000"/>
                <w:lang w:eastAsia="nl-NL"/>
              </w:rPr>
            </w:pPr>
          </w:p>
        </w:tc>
        <w:tc>
          <w:tcPr>
            <w:tcW w:w="2297" w:type="dxa"/>
            <w:tcBorders>
              <w:top w:val="nil"/>
              <w:left w:val="nil"/>
              <w:bottom w:val="single" w:color="auto" w:sz="4" w:space="0"/>
              <w:right w:val="single" w:color="auto" w:sz="4" w:space="0"/>
            </w:tcBorders>
            <w:shd w:val="clear" w:color="auto" w:fill="auto"/>
            <w:vAlign w:val="center"/>
          </w:tcPr>
          <w:p w:rsidRPr="00940E0F" w:rsidR="00CF7286" w:rsidP="00874AFF" w:rsidRDefault="00CF7286">
            <w:pPr>
              <w:rPr>
                <w:color w:val="000000"/>
                <w:highlight w:val="yellow"/>
              </w:rPr>
            </w:pPr>
            <w:r w:rsidRPr="009C1D78">
              <w:rPr>
                <w:rFonts w:cs="Calibri"/>
                <w:color w:val="000000"/>
                <w:lang w:eastAsia="nl-NL"/>
              </w:rPr>
              <w:t>VPD</w:t>
            </w:r>
          </w:p>
        </w:tc>
        <w:tc>
          <w:tcPr>
            <w:tcW w:w="2806" w:type="dxa"/>
            <w:tcBorders>
              <w:top w:val="nil"/>
              <w:left w:val="nil"/>
              <w:bottom w:val="single" w:color="auto" w:sz="4" w:space="0"/>
              <w:right w:val="single" w:color="auto" w:sz="4" w:space="0"/>
            </w:tcBorders>
            <w:shd w:val="clear" w:color="auto" w:fill="auto"/>
            <w:vAlign w:val="center"/>
          </w:tcPr>
          <w:p w:rsidRPr="00940E0F" w:rsidR="00CF7286" w:rsidP="00874AFF" w:rsidRDefault="00CF7286">
            <w:pPr>
              <w:rPr>
                <w:highlight w:val="yellow"/>
              </w:rPr>
            </w:pPr>
            <w:r w:rsidRPr="00266381">
              <w:rPr>
                <w:rFonts w:cs="Calibri"/>
                <w:lang w:eastAsia="nl-NL"/>
              </w:rPr>
              <w:t>Art. 97 Grondwet</w:t>
            </w:r>
          </w:p>
        </w:tc>
        <w:tc>
          <w:tcPr>
            <w:tcW w:w="1872" w:type="dxa"/>
            <w:tcBorders>
              <w:top w:val="nil"/>
              <w:left w:val="nil"/>
              <w:bottom w:val="single" w:color="auto" w:sz="4" w:space="0"/>
              <w:right w:val="single" w:color="auto" w:sz="4" w:space="0"/>
            </w:tcBorders>
            <w:shd w:val="clear" w:color="auto" w:fill="auto"/>
            <w:noWrap/>
            <w:vAlign w:val="center"/>
          </w:tcPr>
          <w:p w:rsidRPr="00940E0F" w:rsidR="00CF7286" w:rsidP="00874AFF" w:rsidRDefault="00CF7286">
            <w:pPr>
              <w:rPr>
                <w:highlight w:val="yellow"/>
              </w:rPr>
            </w:pPr>
            <w:r w:rsidRPr="00266381">
              <w:rPr>
                <w:rFonts w:cs="Calibri"/>
                <w:lang w:eastAsia="nl-NL"/>
              </w:rPr>
              <w:t>Onbepaald</w:t>
            </w:r>
          </w:p>
        </w:tc>
        <w:tc>
          <w:tcPr>
            <w:tcW w:w="1974" w:type="dxa"/>
            <w:tcBorders>
              <w:top w:val="nil"/>
              <w:left w:val="nil"/>
              <w:bottom w:val="single" w:color="auto" w:sz="4" w:space="0"/>
              <w:right w:val="single" w:color="auto" w:sz="4" w:space="0"/>
            </w:tcBorders>
            <w:shd w:val="clear" w:color="auto" w:fill="auto"/>
            <w:vAlign w:val="center"/>
          </w:tcPr>
          <w:p w:rsidRPr="0065370E" w:rsidR="00CF7286" w:rsidP="00874AFF" w:rsidRDefault="00CF7286">
            <w:pPr>
              <w:rPr>
                <w:highlight w:val="yellow"/>
              </w:rPr>
            </w:pPr>
            <w:r w:rsidRPr="00266381">
              <w:rPr>
                <w:rFonts w:cs="Calibri"/>
                <w:lang w:eastAsia="nl-NL"/>
              </w:rPr>
              <w:t>Onbepaald</w:t>
            </w:r>
          </w:p>
        </w:tc>
      </w:tr>
      <w:bookmarkEnd w:id="435"/>
    </w:tbl>
    <w:p w:rsidRPr="00A62DE5" w:rsidR="00CF7286" w:rsidP="00CF7286" w:rsidRDefault="00CF7286">
      <w:pPr>
        <w:sectPr w:rsidRPr="00A62DE5" w:rsidR="00CF7286" w:rsidSect="00C35EC5">
          <w:headerReference w:type="even" r:id="rId8"/>
          <w:headerReference w:type="default" r:id="rId9"/>
          <w:footerReference w:type="even" r:id="rId10"/>
          <w:footerReference w:type="default" r:id="rId11"/>
          <w:headerReference w:type="first" r:id="rId12"/>
          <w:footerReference w:type="first" r:id="rId13"/>
          <w:pgSz w:w="11906" w:h="16838" w:code="9"/>
          <w:pgMar w:top="2410" w:right="991" w:bottom="1276" w:left="1701" w:header="567" w:footer="227" w:gutter="1134"/>
          <w:cols w:space="708"/>
          <w:titlePg/>
          <w:docGrid w:linePitch="360"/>
        </w:sectPr>
      </w:pPr>
    </w:p>
    <w:p w:rsidRPr="00422292" w:rsidR="00FF3726" w:rsidP="00EE13FE" w:rsidRDefault="00FF3726"/>
    <w:sectPr w:rsidRPr="00422292" w:rsidR="00FF3726" w:rsidSect="00CF7286">
      <w:footerReference w:type="even" r:id="rId14"/>
      <w:footerReference w:type="default" r:id="rId15"/>
      <w:headerReference w:type="first" r:id="rId16"/>
      <w:pgSz w:w="11906" w:h="16838" w:code="9"/>
      <w:pgMar w:top="2410" w:right="991" w:bottom="1276" w:left="1701" w:header="567" w:footer="227" w:gutter="1134"/>
      <w:cols w:space="708"/>
      <w:titlePg/>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12007D" w16cex:dateUtc="2026-05-04T11:49:00Z"/>
  <w16cex:commentExtensible w16cex:durableId="6F44E76E" w16cex:dateUtc="2026-05-04T11:49:00Z"/>
  <w16cex:commentExtensible w16cex:durableId="64C24276" w16cex:dateUtc="2026-05-04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B7C8E5" w16cid:durableId="7D12007D"/>
  <w16cid:commentId w16cid:paraId="10283BF1" w16cid:durableId="6F44E76E"/>
  <w16cid:commentId w16cid:paraId="00BDB9AB" w16cid:durableId="64C242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B53" w:rsidRDefault="00956B53" w:rsidP="00FF3726">
      <w:pPr>
        <w:spacing w:line="240" w:lineRule="auto"/>
      </w:pPr>
      <w:r>
        <w:separator/>
      </w:r>
    </w:p>
  </w:endnote>
  <w:endnote w:type="continuationSeparator" w:id="0">
    <w:p w:rsidR="00956B53" w:rsidRDefault="00956B53" w:rsidP="00FF3726">
      <w:pPr>
        <w:spacing w:line="240" w:lineRule="auto"/>
      </w:pPr>
      <w:r>
        <w:continuationSeparator/>
      </w:r>
    </w:p>
  </w:endnote>
  <w:endnote w:type="continuationNotice" w:id="1">
    <w:p w:rsidR="00956B53" w:rsidRDefault="00956B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28" w:type="dxa"/>
      <w:tblLayout w:type="fixed"/>
      <w:tblCellMar>
        <w:left w:w="0" w:type="dxa"/>
        <w:right w:w="0" w:type="dxa"/>
      </w:tblCellMar>
      <w:tblLook w:val="01E0" w:firstRow="1" w:lastRow="1" w:firstColumn="1" w:lastColumn="1" w:noHBand="0" w:noVBand="0"/>
    </w:tblPr>
    <w:tblGrid>
      <w:gridCol w:w="2268"/>
      <w:gridCol w:w="1512"/>
      <w:gridCol w:w="828"/>
      <w:gridCol w:w="1352"/>
      <w:gridCol w:w="2268"/>
    </w:tblGrid>
    <w:tr w:rsidR="008F192A" w:rsidTr="0072564D">
      <w:trPr>
        <w:gridBefore w:val="2"/>
        <w:wBefore w:w="3780" w:type="dxa"/>
        <w:trHeight w:val="180"/>
      </w:trPr>
      <w:tc>
        <w:tcPr>
          <w:tcW w:w="2180" w:type="dxa"/>
          <w:gridSpan w:val="2"/>
          <w:shd w:val="clear" w:color="auto" w:fill="auto"/>
          <w:vAlign w:val="bottom"/>
        </w:tcPr>
        <w:p w:rsidR="008F192A" w:rsidRPr="009151EB" w:rsidRDefault="008F192A" w:rsidP="00E56A2B">
          <w:pPr>
            <w:pStyle w:val="Footer"/>
            <w:spacing w:line="180" w:lineRule="atLeast"/>
            <w:rPr>
              <w:sz w:val="13"/>
              <w:szCs w:val="13"/>
              <w:lang w:val="en-US"/>
            </w:rPr>
          </w:pPr>
          <w:r w:rsidRPr="009C1D78">
            <w:rPr>
              <w:sz w:val="13"/>
              <w:szCs w:val="13"/>
              <w:lang w:val="en-US"/>
            </w:rPr>
            <w:t xml:space="preserve">Pagina </w:t>
          </w:r>
          <w:r w:rsidRPr="00E56A2B">
            <w:rPr>
              <w:noProof/>
              <w:sz w:val="13"/>
              <w:szCs w:val="13"/>
              <w:lang w:val="en-US"/>
            </w:rPr>
            <w:fldChar w:fldCharType="begin"/>
          </w:r>
          <w:r w:rsidRPr="003600B6">
            <w:rPr>
              <w:sz w:val="13"/>
              <w:lang w:val="en-US"/>
            </w:rPr>
            <w:instrText xml:space="preserve"> PAGE   \* MERGEFORMAT </w:instrText>
          </w:r>
          <w:r w:rsidRPr="00E56A2B">
            <w:rPr>
              <w:sz w:val="13"/>
              <w:lang w:val="en-US"/>
            </w:rPr>
            <w:fldChar w:fldCharType="separate"/>
          </w:r>
          <w:r w:rsidRPr="00327989">
            <w:rPr>
              <w:noProof/>
              <w:sz w:val="13"/>
              <w:szCs w:val="13"/>
              <w:lang w:val="en-US"/>
            </w:rPr>
            <w:t>3</w:t>
          </w:r>
          <w:r w:rsidRPr="00E56A2B">
            <w:rPr>
              <w:noProof/>
              <w:sz w:val="13"/>
              <w:szCs w:val="13"/>
              <w:lang w:val="en-US"/>
            </w:rPr>
            <w:fldChar w:fldCharType="end"/>
          </w:r>
          <w:r w:rsidRPr="00327989">
            <w:rPr>
              <w:sz w:val="13"/>
              <w:szCs w:val="13"/>
              <w:lang w:val="en-US"/>
            </w:rPr>
            <w:t xml:space="preserve"> van </w:t>
          </w:r>
          <w:r w:rsidRPr="009151EB">
            <w:rPr>
              <w:noProof/>
              <w:sz w:val="13"/>
              <w:szCs w:val="13"/>
              <w:lang w:val="en-US"/>
            </w:rPr>
            <w:fldChar w:fldCharType="begin"/>
          </w:r>
          <w:r w:rsidRPr="003600B6">
            <w:rPr>
              <w:sz w:val="13"/>
              <w:lang w:val="en-US"/>
            </w:rPr>
            <w:instrText xml:space="preserve"> NUMPAGES   \* MERGEFORMAT </w:instrText>
          </w:r>
          <w:r w:rsidRPr="009151EB">
            <w:rPr>
              <w:sz w:val="13"/>
              <w:lang w:val="en-US"/>
            </w:rPr>
            <w:fldChar w:fldCharType="separate"/>
          </w:r>
          <w:r w:rsidRPr="00A017C8">
            <w:rPr>
              <w:noProof/>
              <w:sz w:val="13"/>
              <w:szCs w:val="13"/>
              <w:lang w:val="en-US"/>
            </w:rPr>
            <w:t>19</w:t>
          </w:r>
          <w:r w:rsidRPr="009151EB">
            <w:rPr>
              <w:noProof/>
              <w:sz w:val="13"/>
              <w:szCs w:val="13"/>
              <w:lang w:val="en-US"/>
            </w:rPr>
            <w:fldChar w:fldCharType="end"/>
          </w:r>
        </w:p>
      </w:tc>
      <w:tc>
        <w:tcPr>
          <w:tcW w:w="2268" w:type="dxa"/>
          <w:shd w:val="clear" w:color="auto" w:fill="auto"/>
          <w:tcMar>
            <w:left w:w="240" w:type="dxa"/>
          </w:tcMar>
        </w:tcPr>
        <w:p w:rsidR="008F192A" w:rsidRPr="003600B6" w:rsidRDefault="008F192A" w:rsidP="002D4E67">
          <w:pPr>
            <w:pStyle w:val="Footer"/>
            <w:spacing w:line="180" w:lineRule="atLeast"/>
            <w:rPr>
              <w:b/>
              <w:smallCaps/>
              <w:sz w:val="16"/>
            </w:rPr>
          </w:pPr>
        </w:p>
      </w:tc>
    </w:tr>
    <w:tr w:rsidR="008F192A" w:rsidTr="0072564D">
      <w:trPr>
        <w:gridAfter w:val="2"/>
        <w:wAfter w:w="3620" w:type="dxa"/>
        <w:trHeight w:val="180"/>
      </w:trPr>
      <w:tc>
        <w:tcPr>
          <w:tcW w:w="2268" w:type="dxa"/>
          <w:shd w:val="clear" w:color="auto" w:fill="auto"/>
          <w:vAlign w:val="bottom"/>
        </w:tcPr>
        <w:p w:rsidR="008F192A" w:rsidRPr="003600B6" w:rsidRDefault="008F192A" w:rsidP="002D4E67">
          <w:pPr>
            <w:pStyle w:val="Footer"/>
            <w:spacing w:line="180" w:lineRule="atLeast"/>
            <w:rPr>
              <w:b/>
              <w:smallCaps/>
              <w:sz w:val="16"/>
              <w:lang w:val="en-US"/>
            </w:rPr>
          </w:pPr>
        </w:p>
      </w:tc>
      <w:tc>
        <w:tcPr>
          <w:tcW w:w="2340" w:type="dxa"/>
          <w:gridSpan w:val="2"/>
          <w:shd w:val="clear" w:color="auto" w:fill="auto"/>
          <w:tcMar>
            <w:left w:w="240" w:type="dxa"/>
          </w:tcMar>
          <w:vAlign w:val="bottom"/>
        </w:tcPr>
        <w:p w:rsidR="008F192A" w:rsidRPr="003600B6" w:rsidRDefault="008F192A" w:rsidP="002D4E67">
          <w:pPr>
            <w:pStyle w:val="Footer"/>
            <w:spacing w:line="180" w:lineRule="atLeast"/>
            <w:jc w:val="right"/>
            <w:rPr>
              <w:sz w:val="13"/>
              <w:lang w:val="en-US"/>
            </w:rPr>
          </w:pPr>
        </w:p>
      </w:tc>
    </w:tr>
  </w:tbl>
  <w:p w:rsidR="008F192A" w:rsidRDefault="008F192A">
    <w:pPr>
      <w:pStyle w:val="Footer"/>
    </w:pPr>
  </w:p>
  <w:p w:rsidR="008F192A" w:rsidRDefault="008F192A" w:rsidP="00A42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600" w:type="dxa"/>
      <w:tblLayout w:type="fixed"/>
      <w:tblCellMar>
        <w:left w:w="0" w:type="dxa"/>
        <w:right w:w="0" w:type="dxa"/>
      </w:tblCellMar>
      <w:tblLook w:val="01E0" w:firstRow="1" w:lastRow="1" w:firstColumn="1" w:lastColumn="1" w:noHBand="0" w:noVBand="0"/>
    </w:tblPr>
    <w:tblGrid>
      <w:gridCol w:w="1900"/>
      <w:gridCol w:w="2268"/>
    </w:tblGrid>
    <w:tr w:rsidR="008F192A" w:rsidTr="7B5F9CB0">
      <w:trPr>
        <w:trHeight w:val="180"/>
      </w:trPr>
      <w:tc>
        <w:tcPr>
          <w:tcW w:w="1900" w:type="dxa"/>
          <w:shd w:val="clear" w:color="auto" w:fill="auto"/>
        </w:tcPr>
        <w:p w:rsidR="008F192A" w:rsidRPr="00B97DC8" w:rsidRDefault="008F192A" w:rsidP="00B97DC8">
          <w:pPr>
            <w:pStyle w:val="Footer"/>
            <w:spacing w:line="180" w:lineRule="atLeast"/>
            <w:rPr>
              <w:sz w:val="13"/>
              <w:szCs w:val="13"/>
            </w:rPr>
          </w:pPr>
          <w:r w:rsidRPr="009C1D78">
            <w:rPr>
              <w:sz w:val="13"/>
              <w:szCs w:val="13"/>
            </w:rPr>
            <w:t xml:space="preserve">Pagina </w:t>
          </w:r>
          <w:r w:rsidRPr="00D3138C">
            <w:rPr>
              <w:noProof/>
              <w:sz w:val="13"/>
              <w:szCs w:val="13"/>
            </w:rPr>
            <w:fldChar w:fldCharType="begin"/>
          </w:r>
          <w:r w:rsidRPr="002F37B8">
            <w:rPr>
              <w:sz w:val="13"/>
            </w:rPr>
            <w:instrText xml:space="preserve"> PAGE   \* MERGEFORMAT </w:instrText>
          </w:r>
          <w:r w:rsidRPr="00D3138C">
            <w:rPr>
              <w:sz w:val="13"/>
            </w:rPr>
            <w:fldChar w:fldCharType="separate"/>
          </w:r>
          <w:r w:rsidR="00405D8D" w:rsidRPr="00405D8D">
            <w:rPr>
              <w:noProof/>
              <w:sz w:val="13"/>
              <w:szCs w:val="13"/>
            </w:rPr>
            <w:t>22</w:t>
          </w:r>
          <w:r w:rsidRPr="00D3138C">
            <w:rPr>
              <w:noProof/>
              <w:sz w:val="13"/>
              <w:szCs w:val="13"/>
            </w:rPr>
            <w:fldChar w:fldCharType="end"/>
          </w:r>
          <w:r w:rsidRPr="009C1D78">
            <w:rPr>
              <w:sz w:val="13"/>
              <w:szCs w:val="13"/>
            </w:rPr>
            <w:t xml:space="preserve"> van </w:t>
          </w:r>
          <w:r w:rsidRPr="00D3138C">
            <w:rPr>
              <w:noProof/>
              <w:sz w:val="13"/>
              <w:szCs w:val="13"/>
            </w:rPr>
            <w:fldChar w:fldCharType="begin"/>
          </w:r>
          <w:r w:rsidRPr="002F37B8">
            <w:rPr>
              <w:sz w:val="13"/>
            </w:rPr>
            <w:instrText xml:space="preserve"> NUMPAGES   \* MERGEFORMAT </w:instrText>
          </w:r>
          <w:r w:rsidRPr="00D3138C">
            <w:rPr>
              <w:sz w:val="13"/>
            </w:rPr>
            <w:fldChar w:fldCharType="separate"/>
          </w:r>
          <w:r w:rsidR="00405D8D" w:rsidRPr="00405D8D">
            <w:rPr>
              <w:noProof/>
              <w:sz w:val="13"/>
              <w:szCs w:val="13"/>
            </w:rPr>
            <w:t>23</w:t>
          </w:r>
          <w:r w:rsidRPr="00D3138C">
            <w:rPr>
              <w:noProof/>
              <w:sz w:val="13"/>
              <w:szCs w:val="13"/>
            </w:rPr>
            <w:fldChar w:fldCharType="end"/>
          </w:r>
        </w:p>
      </w:tc>
      <w:tc>
        <w:tcPr>
          <w:tcW w:w="2268" w:type="dxa"/>
          <w:shd w:val="clear" w:color="auto" w:fill="auto"/>
          <w:tcMar>
            <w:left w:w="240" w:type="dxa"/>
          </w:tcMar>
        </w:tcPr>
        <w:p w:rsidR="008F192A" w:rsidRPr="003600B6" w:rsidRDefault="008F192A" w:rsidP="002D4E67">
          <w:pPr>
            <w:pStyle w:val="Footer"/>
            <w:spacing w:line="180" w:lineRule="atLeast"/>
            <w:rPr>
              <w:b/>
              <w:smallCaps/>
              <w:sz w:val="16"/>
            </w:rPr>
          </w:pPr>
        </w:p>
      </w:tc>
    </w:tr>
  </w:tbl>
  <w:p w:rsidR="008F192A" w:rsidRPr="00CB6999" w:rsidRDefault="008F192A" w:rsidP="002D4E67">
    <w:pPr>
      <w:pStyle w:val="Footer"/>
      <w:spacing w:line="180" w:lineRule="exact"/>
    </w:pPr>
  </w:p>
  <w:p w:rsidR="008F192A" w:rsidRPr="00CB6999" w:rsidRDefault="008F192A" w:rsidP="008200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8D" w:rsidRDefault="00405D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28" w:type="dxa"/>
      <w:tblLayout w:type="fixed"/>
      <w:tblCellMar>
        <w:left w:w="0" w:type="dxa"/>
        <w:right w:w="0" w:type="dxa"/>
      </w:tblCellMar>
      <w:tblLook w:val="01E0" w:firstRow="1" w:lastRow="1" w:firstColumn="1" w:lastColumn="1" w:noHBand="0" w:noVBand="0"/>
    </w:tblPr>
    <w:tblGrid>
      <w:gridCol w:w="2268"/>
      <w:gridCol w:w="1512"/>
      <w:gridCol w:w="828"/>
      <w:gridCol w:w="1352"/>
      <w:gridCol w:w="2268"/>
    </w:tblGrid>
    <w:tr w:rsidR="008F192A" w:rsidTr="0072564D">
      <w:trPr>
        <w:gridBefore w:val="2"/>
        <w:wBefore w:w="3780" w:type="dxa"/>
        <w:trHeight w:val="180"/>
      </w:trPr>
      <w:tc>
        <w:tcPr>
          <w:tcW w:w="2180" w:type="dxa"/>
          <w:gridSpan w:val="2"/>
          <w:shd w:val="clear" w:color="auto" w:fill="auto"/>
          <w:vAlign w:val="bottom"/>
        </w:tcPr>
        <w:p w:rsidR="008F192A" w:rsidRPr="009151EB" w:rsidRDefault="008F192A" w:rsidP="00E56A2B">
          <w:pPr>
            <w:pStyle w:val="Footer"/>
            <w:spacing w:line="180" w:lineRule="atLeast"/>
            <w:rPr>
              <w:sz w:val="13"/>
              <w:szCs w:val="13"/>
              <w:lang w:val="en-US"/>
            </w:rPr>
          </w:pPr>
          <w:r w:rsidRPr="009C1D78">
            <w:rPr>
              <w:sz w:val="13"/>
              <w:szCs w:val="13"/>
              <w:lang w:val="en-US"/>
            </w:rPr>
            <w:t xml:space="preserve">Pagina </w:t>
          </w:r>
          <w:r w:rsidRPr="00E56A2B">
            <w:rPr>
              <w:noProof/>
              <w:sz w:val="13"/>
              <w:szCs w:val="13"/>
              <w:lang w:val="en-US"/>
            </w:rPr>
            <w:fldChar w:fldCharType="begin"/>
          </w:r>
          <w:r w:rsidRPr="003600B6">
            <w:rPr>
              <w:sz w:val="13"/>
              <w:lang w:val="en-US"/>
            </w:rPr>
            <w:instrText xml:space="preserve"> PAGE   \* MERGEFORMAT </w:instrText>
          </w:r>
          <w:r w:rsidRPr="00E56A2B">
            <w:rPr>
              <w:sz w:val="13"/>
              <w:lang w:val="en-US"/>
            </w:rPr>
            <w:fldChar w:fldCharType="separate"/>
          </w:r>
          <w:r w:rsidRPr="00327989">
            <w:rPr>
              <w:noProof/>
              <w:sz w:val="13"/>
              <w:szCs w:val="13"/>
              <w:lang w:val="en-US"/>
            </w:rPr>
            <w:t>3</w:t>
          </w:r>
          <w:r w:rsidRPr="00E56A2B">
            <w:rPr>
              <w:noProof/>
              <w:sz w:val="13"/>
              <w:szCs w:val="13"/>
              <w:lang w:val="en-US"/>
            </w:rPr>
            <w:fldChar w:fldCharType="end"/>
          </w:r>
          <w:r w:rsidRPr="00327989">
            <w:rPr>
              <w:sz w:val="13"/>
              <w:szCs w:val="13"/>
              <w:lang w:val="en-US"/>
            </w:rPr>
            <w:t xml:space="preserve"> van </w:t>
          </w:r>
          <w:r w:rsidRPr="009151EB">
            <w:rPr>
              <w:noProof/>
              <w:sz w:val="13"/>
              <w:szCs w:val="13"/>
              <w:lang w:val="en-US"/>
            </w:rPr>
            <w:fldChar w:fldCharType="begin"/>
          </w:r>
          <w:r w:rsidRPr="003600B6">
            <w:rPr>
              <w:sz w:val="13"/>
              <w:lang w:val="en-US"/>
            </w:rPr>
            <w:instrText xml:space="preserve"> NUMPAGES   \* MERGEFORMAT </w:instrText>
          </w:r>
          <w:r w:rsidRPr="009151EB">
            <w:rPr>
              <w:sz w:val="13"/>
              <w:lang w:val="en-US"/>
            </w:rPr>
            <w:fldChar w:fldCharType="separate"/>
          </w:r>
          <w:r w:rsidRPr="004C7F9E">
            <w:rPr>
              <w:noProof/>
              <w:sz w:val="13"/>
              <w:szCs w:val="13"/>
              <w:lang w:val="en-US"/>
            </w:rPr>
            <w:t>19</w:t>
          </w:r>
          <w:r w:rsidRPr="009151EB">
            <w:rPr>
              <w:noProof/>
              <w:sz w:val="13"/>
              <w:szCs w:val="13"/>
              <w:lang w:val="en-US"/>
            </w:rPr>
            <w:fldChar w:fldCharType="end"/>
          </w:r>
        </w:p>
      </w:tc>
      <w:tc>
        <w:tcPr>
          <w:tcW w:w="2268" w:type="dxa"/>
          <w:shd w:val="clear" w:color="auto" w:fill="auto"/>
          <w:tcMar>
            <w:left w:w="240" w:type="dxa"/>
          </w:tcMar>
        </w:tcPr>
        <w:p w:rsidR="008F192A" w:rsidRPr="003600B6" w:rsidRDefault="008F192A" w:rsidP="002D4E67">
          <w:pPr>
            <w:pStyle w:val="Footer"/>
            <w:spacing w:line="180" w:lineRule="atLeast"/>
            <w:rPr>
              <w:b/>
              <w:smallCaps/>
              <w:sz w:val="16"/>
            </w:rPr>
          </w:pPr>
        </w:p>
      </w:tc>
    </w:tr>
    <w:tr w:rsidR="008F192A" w:rsidTr="0072564D">
      <w:trPr>
        <w:gridAfter w:val="2"/>
        <w:wAfter w:w="3620" w:type="dxa"/>
        <w:trHeight w:val="180"/>
      </w:trPr>
      <w:tc>
        <w:tcPr>
          <w:tcW w:w="2268" w:type="dxa"/>
          <w:shd w:val="clear" w:color="auto" w:fill="auto"/>
          <w:vAlign w:val="bottom"/>
        </w:tcPr>
        <w:p w:rsidR="008F192A" w:rsidRPr="003600B6" w:rsidRDefault="008F192A" w:rsidP="002D4E67">
          <w:pPr>
            <w:pStyle w:val="Footer"/>
            <w:spacing w:line="180" w:lineRule="atLeast"/>
            <w:rPr>
              <w:b/>
              <w:smallCaps/>
              <w:sz w:val="16"/>
              <w:lang w:val="en-US"/>
            </w:rPr>
          </w:pPr>
        </w:p>
      </w:tc>
      <w:tc>
        <w:tcPr>
          <w:tcW w:w="2340" w:type="dxa"/>
          <w:gridSpan w:val="2"/>
          <w:shd w:val="clear" w:color="auto" w:fill="auto"/>
          <w:tcMar>
            <w:left w:w="240" w:type="dxa"/>
          </w:tcMar>
          <w:vAlign w:val="bottom"/>
        </w:tcPr>
        <w:p w:rsidR="008F192A" w:rsidRPr="003600B6" w:rsidRDefault="008F192A" w:rsidP="002D4E67">
          <w:pPr>
            <w:pStyle w:val="Footer"/>
            <w:spacing w:line="180" w:lineRule="atLeast"/>
            <w:jc w:val="right"/>
            <w:rPr>
              <w:sz w:val="13"/>
              <w:lang w:val="en-US"/>
            </w:rPr>
          </w:pPr>
        </w:p>
      </w:tc>
    </w:tr>
  </w:tbl>
  <w:p w:rsidR="008F192A" w:rsidRDefault="008F192A">
    <w:pPr>
      <w:pStyle w:val="Footer"/>
    </w:pPr>
  </w:p>
  <w:p w:rsidR="008F192A" w:rsidRDefault="008F192A" w:rsidP="00A42C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600" w:type="dxa"/>
      <w:tblLayout w:type="fixed"/>
      <w:tblCellMar>
        <w:left w:w="0" w:type="dxa"/>
        <w:right w:w="0" w:type="dxa"/>
      </w:tblCellMar>
      <w:tblLook w:val="01E0" w:firstRow="1" w:lastRow="1" w:firstColumn="1" w:lastColumn="1" w:noHBand="0" w:noVBand="0"/>
    </w:tblPr>
    <w:tblGrid>
      <w:gridCol w:w="1900"/>
      <w:gridCol w:w="2268"/>
    </w:tblGrid>
    <w:tr w:rsidR="008F192A" w:rsidTr="7B5F9CB0">
      <w:trPr>
        <w:trHeight w:val="180"/>
      </w:trPr>
      <w:tc>
        <w:tcPr>
          <w:tcW w:w="1900" w:type="dxa"/>
          <w:shd w:val="clear" w:color="auto" w:fill="auto"/>
        </w:tcPr>
        <w:p w:rsidR="008F192A" w:rsidRPr="00B97DC8" w:rsidRDefault="008F192A" w:rsidP="00B97DC8">
          <w:pPr>
            <w:pStyle w:val="Footer"/>
            <w:spacing w:line="180" w:lineRule="atLeast"/>
            <w:rPr>
              <w:sz w:val="13"/>
              <w:szCs w:val="13"/>
            </w:rPr>
          </w:pPr>
          <w:r w:rsidRPr="009C1D78">
            <w:rPr>
              <w:sz w:val="13"/>
              <w:szCs w:val="13"/>
            </w:rPr>
            <w:t xml:space="preserve">Pagina </w:t>
          </w:r>
          <w:r w:rsidRPr="00D3138C">
            <w:rPr>
              <w:noProof/>
              <w:sz w:val="13"/>
              <w:szCs w:val="13"/>
            </w:rPr>
            <w:fldChar w:fldCharType="begin"/>
          </w:r>
          <w:r w:rsidRPr="002F37B8">
            <w:rPr>
              <w:sz w:val="13"/>
            </w:rPr>
            <w:instrText xml:space="preserve"> PAGE   \* MERGEFORMAT </w:instrText>
          </w:r>
          <w:r w:rsidRPr="00D3138C">
            <w:rPr>
              <w:sz w:val="13"/>
            </w:rPr>
            <w:fldChar w:fldCharType="separate"/>
          </w:r>
          <w:r w:rsidRPr="00CF7286">
            <w:rPr>
              <w:noProof/>
              <w:sz w:val="13"/>
              <w:szCs w:val="13"/>
            </w:rPr>
            <w:t>5</w:t>
          </w:r>
          <w:r w:rsidRPr="00D3138C">
            <w:rPr>
              <w:noProof/>
              <w:sz w:val="13"/>
              <w:szCs w:val="13"/>
            </w:rPr>
            <w:fldChar w:fldCharType="end"/>
          </w:r>
          <w:r w:rsidRPr="009C1D78">
            <w:rPr>
              <w:sz w:val="13"/>
              <w:szCs w:val="13"/>
            </w:rPr>
            <w:t xml:space="preserve"> van </w:t>
          </w:r>
          <w:r w:rsidRPr="00D3138C">
            <w:rPr>
              <w:noProof/>
              <w:sz w:val="13"/>
              <w:szCs w:val="13"/>
            </w:rPr>
            <w:fldChar w:fldCharType="begin"/>
          </w:r>
          <w:r w:rsidRPr="002F37B8">
            <w:rPr>
              <w:sz w:val="13"/>
            </w:rPr>
            <w:instrText xml:space="preserve"> NUMPAGES   \* MERGEFORMAT </w:instrText>
          </w:r>
          <w:r w:rsidRPr="00D3138C">
            <w:rPr>
              <w:sz w:val="13"/>
            </w:rPr>
            <w:fldChar w:fldCharType="separate"/>
          </w:r>
          <w:r w:rsidRPr="00CF7286">
            <w:rPr>
              <w:noProof/>
              <w:sz w:val="13"/>
              <w:szCs w:val="13"/>
            </w:rPr>
            <w:t>5</w:t>
          </w:r>
          <w:r w:rsidRPr="00D3138C">
            <w:rPr>
              <w:noProof/>
              <w:sz w:val="13"/>
              <w:szCs w:val="13"/>
            </w:rPr>
            <w:fldChar w:fldCharType="end"/>
          </w:r>
        </w:p>
      </w:tc>
      <w:tc>
        <w:tcPr>
          <w:tcW w:w="2268" w:type="dxa"/>
          <w:shd w:val="clear" w:color="auto" w:fill="auto"/>
          <w:tcMar>
            <w:left w:w="240" w:type="dxa"/>
          </w:tcMar>
        </w:tcPr>
        <w:p w:rsidR="008F192A" w:rsidRPr="003600B6" w:rsidRDefault="008F192A" w:rsidP="002D4E67">
          <w:pPr>
            <w:pStyle w:val="Footer"/>
            <w:spacing w:line="180" w:lineRule="atLeast"/>
            <w:rPr>
              <w:b/>
              <w:smallCaps/>
              <w:sz w:val="16"/>
            </w:rPr>
          </w:pPr>
        </w:p>
      </w:tc>
    </w:tr>
  </w:tbl>
  <w:p w:rsidR="008F192A" w:rsidRPr="00CB6999" w:rsidRDefault="008F192A" w:rsidP="002D4E67">
    <w:pPr>
      <w:pStyle w:val="Footer"/>
      <w:spacing w:line="180" w:lineRule="exact"/>
    </w:pPr>
  </w:p>
  <w:p w:rsidR="008F192A" w:rsidRPr="00CB6999" w:rsidRDefault="008F192A" w:rsidP="008200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B53" w:rsidRDefault="00956B53" w:rsidP="00FF3726">
      <w:pPr>
        <w:spacing w:line="240" w:lineRule="auto"/>
      </w:pPr>
      <w:r>
        <w:separator/>
      </w:r>
    </w:p>
  </w:footnote>
  <w:footnote w:type="continuationSeparator" w:id="0">
    <w:p w:rsidR="00956B53" w:rsidRDefault="00956B53" w:rsidP="00FF3726">
      <w:pPr>
        <w:spacing w:line="240" w:lineRule="auto"/>
      </w:pPr>
      <w:r>
        <w:continuationSeparator/>
      </w:r>
    </w:p>
  </w:footnote>
  <w:footnote w:type="continuationNotice" w:id="1">
    <w:p w:rsidR="00956B53" w:rsidRDefault="00956B53">
      <w:pPr>
        <w:spacing w:line="240" w:lineRule="auto"/>
      </w:pPr>
    </w:p>
  </w:footnote>
  <w:footnote w:id="2">
    <w:p w:rsidR="008F192A" w:rsidRPr="0032298D" w:rsidRDefault="008F192A" w:rsidP="00CF7286">
      <w:pPr>
        <w:pStyle w:val="FootnoteText"/>
        <w:rPr>
          <w:sz w:val="14"/>
          <w:szCs w:val="14"/>
        </w:rPr>
      </w:pPr>
      <w:r w:rsidRPr="0032298D">
        <w:rPr>
          <w:rStyle w:val="FootnoteReference"/>
          <w:rFonts w:ascii="Verdana" w:hAnsi="Verdana"/>
          <w:sz w:val="14"/>
          <w:szCs w:val="14"/>
        </w:rPr>
        <w:footnoteRef/>
      </w:r>
      <w:r w:rsidRPr="0032298D">
        <w:rPr>
          <w:sz w:val="14"/>
          <w:szCs w:val="14"/>
        </w:rPr>
        <w:t xml:space="preserve"> De door het kabinet gestelde kaders voor de bijdrage: aard, omvang en duur van de deelname aan de missie of operatie en (als van toepassing) welke nationale ‘</w:t>
      </w:r>
      <w:r w:rsidRPr="581EF451">
        <w:rPr>
          <w:i/>
          <w:iCs/>
          <w:sz w:val="14"/>
          <w:szCs w:val="14"/>
        </w:rPr>
        <w:t>caveats</w:t>
      </w:r>
      <w:r w:rsidRPr="0032298D">
        <w:rPr>
          <w:sz w:val="14"/>
          <w:szCs w:val="14"/>
        </w:rPr>
        <w:t>‘ gelden bij de uitvoering van het mandaat van de missie.</w:t>
      </w:r>
    </w:p>
  </w:footnote>
  <w:footnote w:id="3">
    <w:p w:rsidR="008F192A" w:rsidRPr="00AE349C" w:rsidRDefault="008F192A" w:rsidP="00CF7286">
      <w:pPr>
        <w:pStyle w:val="FootnoteText"/>
        <w:rPr>
          <w:sz w:val="14"/>
          <w:szCs w:val="14"/>
        </w:rPr>
      </w:pPr>
      <w:r w:rsidRPr="00AE349C">
        <w:rPr>
          <w:rStyle w:val="FootnoteReference"/>
          <w:rFonts w:ascii="Verdana" w:hAnsi="Verdana"/>
          <w:sz w:val="14"/>
          <w:szCs w:val="14"/>
        </w:rPr>
        <w:footnoteRef/>
      </w:r>
      <w:r w:rsidRPr="00AE349C">
        <w:rPr>
          <w:sz w:val="14"/>
          <w:szCs w:val="14"/>
        </w:rPr>
        <w:t xml:space="preserve"> Het behelst hier de missies en operaties uit deze rapportage alsmede de artikel 100-operaties; civiele missies zijn niet meegenomen. </w:t>
      </w:r>
    </w:p>
  </w:footnote>
  <w:footnote w:id="4">
    <w:p w:rsidR="008F192A" w:rsidRPr="000255D4" w:rsidRDefault="008F192A" w:rsidP="00CF7286">
      <w:pPr>
        <w:pStyle w:val="FootnoteText"/>
      </w:pPr>
      <w:r>
        <w:rPr>
          <w:rStyle w:val="FootnoteReference"/>
        </w:rPr>
        <w:footnoteRef/>
      </w:r>
      <w:r>
        <w:t xml:space="preserve"> </w:t>
      </w:r>
      <w:r>
        <w:rPr>
          <w:rStyle w:val="FootnoteReference"/>
        </w:rPr>
        <w:footnoteRef/>
      </w:r>
      <w:r>
        <w:t xml:space="preserve"> Brief regering aan Kamer van 9 maart </w:t>
      </w:r>
      <w:r w:rsidRPr="004A0C15">
        <w:rPr>
          <w:sz w:val="14"/>
          <w:szCs w:val="14"/>
        </w:rPr>
        <w:t>202</w:t>
      </w:r>
      <w:r>
        <w:rPr>
          <w:sz w:val="14"/>
          <w:szCs w:val="14"/>
        </w:rPr>
        <w:t>6</w:t>
      </w:r>
      <w:r w:rsidRPr="004A0C15">
        <w:rPr>
          <w:sz w:val="14"/>
          <w:szCs w:val="14"/>
        </w:rPr>
        <w:t xml:space="preserve"> (Kamerstuk </w:t>
      </w:r>
      <w:r w:rsidRPr="00EB7138">
        <w:rPr>
          <w:sz w:val="14"/>
          <w:szCs w:val="14"/>
        </w:rPr>
        <w:t>29521</w:t>
      </w:r>
      <w:r>
        <w:rPr>
          <w:sz w:val="14"/>
          <w:szCs w:val="14"/>
        </w:rPr>
        <w:t xml:space="preserve">, nr. </w:t>
      </w:r>
      <w:r w:rsidRPr="00EB7138">
        <w:rPr>
          <w:sz w:val="14"/>
          <w:szCs w:val="14"/>
        </w:rPr>
        <w:t>510</w:t>
      </w:r>
      <w:r w:rsidRPr="004A0C15">
        <w:rPr>
          <w:sz w:val="14"/>
          <w:szCs w:val="14"/>
        </w:rPr>
        <w:t>).</w:t>
      </w:r>
    </w:p>
  </w:footnote>
  <w:footnote w:id="5">
    <w:p w:rsidR="008F192A" w:rsidRPr="004A0C15" w:rsidRDefault="008F192A" w:rsidP="00CF7286">
      <w:pPr>
        <w:pStyle w:val="FootnoteText"/>
        <w:rPr>
          <w:sz w:val="14"/>
          <w:szCs w:val="14"/>
        </w:rPr>
      </w:pPr>
      <w:r w:rsidRPr="0032298D">
        <w:rPr>
          <w:rStyle w:val="FootnoteReference"/>
          <w:rFonts w:ascii="Verdana" w:hAnsi="Verdana"/>
          <w:sz w:val="14"/>
          <w:szCs w:val="14"/>
        </w:rPr>
        <w:footnoteRef/>
      </w:r>
      <w:r w:rsidRPr="0032298D">
        <w:rPr>
          <w:sz w:val="14"/>
          <w:szCs w:val="14"/>
        </w:rPr>
        <w:t xml:space="preserve"> V</w:t>
      </w:r>
      <w:r w:rsidRPr="004A0C15">
        <w:rPr>
          <w:sz w:val="14"/>
          <w:szCs w:val="14"/>
        </w:rPr>
        <w:t xml:space="preserve">erslag van de Raad Buitenlandse Zaken van 24 april 2023 (Kamerstuk 21501-02, nr. 2648). </w:t>
      </w:r>
    </w:p>
  </w:footnote>
  <w:footnote w:id="6">
    <w:p w:rsidR="008F192A" w:rsidRPr="0078683B" w:rsidRDefault="008F192A" w:rsidP="00CF7286">
      <w:pPr>
        <w:pStyle w:val="FootnoteText"/>
        <w:rPr>
          <w:i/>
          <w:iCs/>
          <w:sz w:val="14"/>
          <w:szCs w:val="14"/>
        </w:rPr>
      </w:pPr>
      <w:r w:rsidRPr="0032298D">
        <w:rPr>
          <w:rStyle w:val="FootnoteReference"/>
          <w:rFonts w:ascii="Verdana" w:hAnsi="Verdana"/>
          <w:sz w:val="14"/>
          <w:szCs w:val="14"/>
        </w:rPr>
        <w:footnoteRef/>
      </w:r>
      <w:r w:rsidRPr="0032298D">
        <w:rPr>
          <w:sz w:val="14"/>
          <w:szCs w:val="14"/>
        </w:rPr>
        <w:t xml:space="preserve"> H</w:t>
      </w:r>
      <w:r w:rsidRPr="004A0C15">
        <w:rPr>
          <w:sz w:val="14"/>
          <w:szCs w:val="14"/>
        </w:rPr>
        <w:t xml:space="preserve">et operatiegebied is de Perzische Golf, Straat van Hormuz, Arabische Zee, Golf van Aden, Rode Zee en een gedeelte van de Indische Oceaan. </w:t>
      </w:r>
    </w:p>
  </w:footnote>
  <w:footnote w:id="7">
    <w:p w:rsidR="008F192A" w:rsidRPr="00292B77" w:rsidRDefault="008F192A" w:rsidP="00CF7286">
      <w:pPr>
        <w:pStyle w:val="FootnoteText"/>
      </w:pPr>
      <w:r w:rsidRPr="0032298D">
        <w:rPr>
          <w:rStyle w:val="FootnoteReference"/>
          <w:rFonts w:ascii="Verdana" w:hAnsi="Verdana"/>
          <w:sz w:val="14"/>
          <w:szCs w:val="14"/>
        </w:rPr>
        <w:footnoteRef/>
      </w:r>
      <w:r w:rsidRPr="0032298D">
        <w:rPr>
          <w:sz w:val="14"/>
          <w:szCs w:val="14"/>
        </w:rPr>
        <w:t xml:space="preserve"> Mi</w:t>
      </w:r>
      <w:r w:rsidRPr="004A0C15">
        <w:rPr>
          <w:sz w:val="14"/>
          <w:szCs w:val="14"/>
        </w:rPr>
        <w:t>litair staakt-het-vuren verdrag dat in augustus 1953 is overgenomen door de VN.</w:t>
      </w:r>
    </w:p>
  </w:footnote>
  <w:footnote w:id="8">
    <w:p w:rsidR="008F192A" w:rsidRPr="00CB1913" w:rsidRDefault="008F192A" w:rsidP="00CF7286">
      <w:pPr>
        <w:pStyle w:val="FootnoteText"/>
        <w:rPr>
          <w:sz w:val="14"/>
          <w:szCs w:val="14"/>
        </w:rPr>
      </w:pPr>
      <w:r w:rsidRPr="00CB1913">
        <w:rPr>
          <w:rStyle w:val="FootnoteReference"/>
          <w:rFonts w:ascii="Verdana" w:hAnsi="Verdana"/>
          <w:sz w:val="14"/>
          <w:szCs w:val="14"/>
        </w:rPr>
        <w:footnoteRef/>
      </w:r>
      <w:r w:rsidRPr="00CB1913">
        <w:rPr>
          <w:sz w:val="14"/>
          <w:szCs w:val="14"/>
        </w:rPr>
        <w:t xml:space="preserve"> Onder andere: “Een missie in een missie: De Nederlandse bijdrage aan MINUSMA 2014-2019”, d.d. augustus 2022; “Eindevaluatie Nederlandse bijdrage RSM Afghanistan”, d.d. 19 mei 2023; “Nederlandse bijdrage aan stabiliteit, veiligheid en rechtsorde in fragiele contexten”, d.d. augustus 2023; “Rapport: Commissie van onderzoek wapeninzet Hawija”, d.d. 26 januari 2025.</w:t>
      </w:r>
    </w:p>
  </w:footnote>
  <w:footnote w:id="9">
    <w:p w:rsidR="008F192A" w:rsidRPr="00AE349C" w:rsidRDefault="008F192A" w:rsidP="00CF7286">
      <w:pPr>
        <w:pStyle w:val="FootnoteText"/>
        <w:rPr>
          <w:sz w:val="14"/>
          <w:szCs w:val="14"/>
        </w:rPr>
      </w:pPr>
      <w:r w:rsidRPr="00AE349C">
        <w:rPr>
          <w:rStyle w:val="FootnoteReference"/>
          <w:rFonts w:ascii="Verdana" w:hAnsi="Verdana"/>
          <w:sz w:val="14"/>
          <w:szCs w:val="14"/>
        </w:rPr>
        <w:footnoteRef/>
      </w:r>
      <w:r w:rsidRPr="00AE349C">
        <w:rPr>
          <w:sz w:val="14"/>
          <w:szCs w:val="14"/>
        </w:rPr>
        <w:t xml:space="preserve"> Het mandaat dat de internationale gemeenschap of een andere internationale organisatie geeft aan de organisatie die de missie of operatie gaat uitvoeren. Het mandaat ziet op wat de taak is van de missie of operatie op vreemde bodem (wat mag je doen, hoe mag je het doen). Dit mandaat kan afkomstig zijn van de VN, met een resolutie van de Veiligheidsraad, maar ook worden gegeven door een regionale veiligheidsorganisatie, zoals bijvoorbeeld de OVSE of EU. De inhoud van het mandaat beschrijft de opdracht, aard en duur van de internationale missie of operatie.</w:t>
      </w:r>
    </w:p>
  </w:footnote>
  <w:footnote w:id="10">
    <w:p w:rsidR="008F192A" w:rsidRPr="00AE349C" w:rsidRDefault="008F192A" w:rsidP="00CF7286">
      <w:pPr>
        <w:pStyle w:val="FootnoteText"/>
        <w:rPr>
          <w:sz w:val="14"/>
          <w:szCs w:val="14"/>
        </w:rPr>
      </w:pPr>
      <w:r w:rsidRPr="00AE349C">
        <w:rPr>
          <w:rStyle w:val="FootnoteReference"/>
          <w:rFonts w:ascii="Verdana" w:hAnsi="Verdana"/>
          <w:sz w:val="14"/>
          <w:szCs w:val="14"/>
        </w:rPr>
        <w:footnoteRef/>
      </w:r>
      <w:r w:rsidRPr="00AE349C">
        <w:rPr>
          <w:sz w:val="14"/>
          <w:szCs w:val="14"/>
        </w:rPr>
        <w:t xml:space="preserve"> De door het kabinet gestelde kaders voor de bijdrage: aard, omvang en duur van de deelname aan de missie of operatie.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8D" w:rsidRDefault="00405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8D" w:rsidRDefault="00405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747"/>
      <w:gridCol w:w="2815"/>
    </w:tblGrid>
    <w:tr w:rsidR="008F192A" w:rsidRPr="00CB6999" w:rsidTr="00C35EC5">
      <w:trPr>
        <w:trHeight w:val="2268"/>
      </w:trPr>
      <w:tc>
        <w:tcPr>
          <w:tcW w:w="737" w:type="dxa"/>
          <w:shd w:val="clear" w:color="auto" w:fill="auto"/>
        </w:tcPr>
        <w:p w:rsidR="008F192A" w:rsidRPr="00CB6999" w:rsidRDefault="008F192A" w:rsidP="00C35EC5">
          <w:pPr>
            <w:framePr w:hSpace="180" w:wrap="around" w:vAnchor="page" w:hAnchor="page" w:x="5529" w:y="1"/>
          </w:pPr>
          <w:r>
            <w:rPr>
              <w:noProof/>
              <w:lang w:eastAsia="nl-NL"/>
            </w:rPr>
            <w:drawing>
              <wp:inline distT="0" distB="0" distL="0" distR="0" wp14:anchorId="56795915" wp14:editId="085B61CF">
                <wp:extent cx="474345" cy="1578610"/>
                <wp:effectExtent l="0" t="0" r="0" b="0"/>
                <wp:docPr id="136372282" name="Afbeelding 2" descr="N:\BS\AL\u007063\AppData\Local\Microsoft\Windows\Temporary Internet Files\u007063\AppData\Local\Microsoft\Windows\Temporary Internet Files\ramaekers.caroline\AppData\Local\Microsoft\Windows\Temporary Internet Files\u007063\AppData\Local\Microsoft\Windows\Temporary Internet Files\Content.Outlook\AppData\Local\Microsoft\Windows\Temporary Internet Files\u019110\AppData\Local\Microsoft\Windows\Temporary Internet Files\u0056n2\AppData\Local\Microsoft\Windows\Temporary Internet Files\Content.Outlook\AppData\Local\Microsoft\Windows\Temporary Internet Files\Content.Outlook\AppData\C7001U05\u0039c8\Program Files\Defensie\Logos\RO_BEELDMERK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S\AL\u007063\AppData\Local\Microsoft\Windows\Temporary Internet Files\u007063\AppData\Local\Microsoft\Windows\Temporary Internet Files\ramaekers.caroline\AppData\Local\Microsoft\Windows\Temporary Internet Files\u007063\AppData\Local\Microsoft\Windows\Temporary Internet Files\Content.Outlook\AppData\Local\Microsoft\Windows\Temporary Internet Files\u019110\AppData\Local\Microsoft\Windows\Temporary Internet Files\u0056n2\AppData\Local\Microsoft\Windows\Temporary Internet Files\Content.Outlook\AppData\Local\Microsoft\Windows\Temporary Internet Files\Content.Outlook\AppData\C7001U05\u0039c8\Program Files\Defensie\Logos\RO_BEELDMERK_Briefinprint_n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1578610"/>
                        </a:xfrm>
                        <a:prstGeom prst="rect">
                          <a:avLst/>
                        </a:prstGeom>
                        <a:noFill/>
                        <a:ln>
                          <a:noFill/>
                        </a:ln>
                      </pic:spPr>
                    </pic:pic>
                  </a:graphicData>
                </a:graphic>
              </wp:inline>
            </w:drawing>
          </w:r>
        </w:p>
      </w:tc>
      <w:tc>
        <w:tcPr>
          <w:tcW w:w="2815" w:type="dxa"/>
          <w:shd w:val="clear" w:color="auto" w:fill="auto"/>
          <w:vAlign w:val="bottom"/>
        </w:tcPr>
        <w:p w:rsidR="008F192A" w:rsidRPr="00CB6999" w:rsidRDefault="008F192A" w:rsidP="00C35EC5">
          <w:pPr>
            <w:framePr w:hSpace="180" w:wrap="around" w:vAnchor="page" w:hAnchor="page" w:x="5529" w:y="1"/>
          </w:pPr>
          <w:r>
            <w:rPr>
              <w:noProof/>
              <w:lang w:eastAsia="nl-NL"/>
            </w:rPr>
            <w:drawing>
              <wp:anchor distT="0" distB="0" distL="114300" distR="114300" simplePos="0" relativeHeight="251660288" behindDoc="1" locked="0" layoutInCell="1" allowOverlap="1" wp14:anchorId="34C3FA3F" wp14:editId="5D6417A1">
                <wp:simplePos x="0" y="0"/>
                <wp:positionH relativeFrom="column">
                  <wp:posOffset>0</wp:posOffset>
                </wp:positionH>
                <wp:positionV relativeFrom="paragraph">
                  <wp:posOffset>-381000</wp:posOffset>
                </wp:positionV>
                <wp:extent cx="2340610" cy="1583690"/>
                <wp:effectExtent l="0" t="0" r="0" b="0"/>
                <wp:wrapNone/>
                <wp:docPr id="1179975421" name="Afbeelding 3" descr="RO_D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D_Woordbeeld_Briefinprint_n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0610" cy="1583690"/>
                        </a:xfrm>
                        <a:prstGeom prst="rect">
                          <a:avLst/>
                        </a:prstGeom>
                        <a:noFill/>
                      </pic:spPr>
                    </pic:pic>
                  </a:graphicData>
                </a:graphic>
                <wp14:sizeRelH relativeFrom="page">
                  <wp14:pctWidth>0</wp14:pctWidth>
                </wp14:sizeRelH>
                <wp14:sizeRelV relativeFrom="page">
                  <wp14:pctHeight>0</wp14:pctHeight>
                </wp14:sizeRelV>
              </wp:anchor>
            </w:drawing>
          </w:r>
        </w:p>
      </w:tc>
    </w:tr>
  </w:tbl>
  <w:p w:rsidR="008F192A" w:rsidRPr="003600B6" w:rsidRDefault="008F192A" w:rsidP="00C35EC5">
    <w:pPr>
      <w:rPr>
        <w:vanish/>
      </w:rPr>
    </w:pPr>
  </w:p>
  <w:p w:rsidR="008F192A" w:rsidRPr="003600B6" w:rsidRDefault="008F192A" w:rsidP="00C35EC5">
    <w:pPr>
      <w:rPr>
        <w:vanish/>
      </w:rPr>
    </w:pPr>
  </w:p>
  <w:tbl>
    <w:tblPr>
      <w:tblW w:w="8506" w:type="dxa"/>
      <w:tblCellMar>
        <w:left w:w="0" w:type="dxa"/>
        <w:right w:w="0" w:type="dxa"/>
      </w:tblCellMar>
      <w:tblLook w:val="01E0" w:firstRow="1" w:lastRow="1" w:firstColumn="1" w:lastColumn="1" w:noHBand="0" w:noVBand="0"/>
    </w:tblPr>
    <w:tblGrid>
      <w:gridCol w:w="2064"/>
      <w:gridCol w:w="6442"/>
    </w:tblGrid>
    <w:tr w:rsidR="008F192A" w:rsidRPr="00CB6999" w:rsidTr="00423FD6">
      <w:trPr>
        <w:trHeight w:val="2600"/>
      </w:trPr>
      <w:tc>
        <w:tcPr>
          <w:tcW w:w="8506" w:type="dxa"/>
          <w:gridSpan w:val="2"/>
          <w:shd w:val="clear" w:color="auto" w:fill="auto"/>
        </w:tcPr>
        <w:p w:rsidR="008F192A" w:rsidRPr="0078683B" w:rsidRDefault="008F192A" w:rsidP="0078683B">
          <w:pPr>
            <w:framePr w:hSpace="180" w:wrap="around" w:vAnchor="page" w:hAnchor="page" w:x="2021" w:y="3930"/>
            <w:spacing w:line="300" w:lineRule="atLeast"/>
            <w:rPr>
              <w:b/>
              <w:bCs/>
              <w:sz w:val="24"/>
            </w:rPr>
          </w:pPr>
          <w:r w:rsidRPr="7B5F9CB0">
            <w:rPr>
              <w:b/>
              <w:bCs/>
              <w:sz w:val="24"/>
            </w:rPr>
            <w:t>Jaarlijkse Voortgangsrapportage</w:t>
          </w:r>
        </w:p>
        <w:p w:rsidR="008F192A" w:rsidRPr="0078683B" w:rsidRDefault="008F192A" w:rsidP="0078683B">
          <w:pPr>
            <w:framePr w:hSpace="180" w:wrap="around" w:vAnchor="page" w:hAnchor="page" w:x="2021" w:y="3930"/>
            <w:spacing w:line="300" w:lineRule="atLeast"/>
            <w:rPr>
              <w:b/>
              <w:bCs/>
              <w:sz w:val="24"/>
            </w:rPr>
          </w:pPr>
          <w:r w:rsidRPr="7B5F9CB0">
            <w:rPr>
              <w:b/>
              <w:bCs/>
              <w:sz w:val="24"/>
            </w:rPr>
            <w:t>Overige Missiebijdragen mei 2025 tot en met april 2026</w:t>
          </w:r>
        </w:p>
        <w:p w:rsidR="008F192A" w:rsidRPr="002F6801" w:rsidRDefault="008F192A" w:rsidP="00D63A23">
          <w:pPr>
            <w:framePr w:hSpace="180" w:wrap="around" w:vAnchor="page" w:hAnchor="page" w:x="2021" w:y="3930"/>
            <w:spacing w:line="300" w:lineRule="atLeast"/>
            <w:rPr>
              <w:sz w:val="24"/>
            </w:rPr>
          </w:pPr>
        </w:p>
        <w:p w:rsidR="008F192A" w:rsidRPr="00CB6999" w:rsidRDefault="008F192A" w:rsidP="00D63A23">
          <w:pPr>
            <w:framePr w:hSpace="180" w:wrap="around" w:vAnchor="page" w:hAnchor="page" w:x="2021" w:y="3930"/>
            <w:spacing w:line="300" w:lineRule="atLeast"/>
          </w:pPr>
        </w:p>
      </w:tc>
    </w:tr>
    <w:tr w:rsidR="008F192A" w:rsidRPr="00CB6999" w:rsidTr="7B5F9CB0">
      <w:trPr>
        <w:trHeight w:val="240"/>
      </w:trPr>
      <w:tc>
        <w:tcPr>
          <w:tcW w:w="2064" w:type="dxa"/>
          <w:shd w:val="clear" w:color="auto" w:fill="auto"/>
        </w:tcPr>
        <w:p w:rsidR="008F192A" w:rsidRPr="00724C7E" w:rsidRDefault="008F192A" w:rsidP="00D63A23">
          <w:pPr>
            <w:framePr w:hSpace="180" w:wrap="around" w:vAnchor="page" w:hAnchor="page" w:x="2021" w:y="3930"/>
            <w:spacing w:line="180" w:lineRule="atLeast"/>
            <w:rPr>
              <w:highlight w:val="yellow"/>
            </w:rPr>
          </w:pPr>
          <w:r w:rsidRPr="00DB1974">
            <w:t>Datum: 20 mei 2026</w:t>
          </w:r>
        </w:p>
      </w:tc>
      <w:tc>
        <w:tcPr>
          <w:tcW w:w="6442" w:type="dxa"/>
          <w:shd w:val="clear" w:color="auto" w:fill="auto"/>
        </w:tcPr>
        <w:p w:rsidR="008F192A" w:rsidRPr="00724C7E" w:rsidRDefault="008F192A" w:rsidP="00D63A23">
          <w:pPr>
            <w:framePr w:hSpace="180" w:wrap="around" w:vAnchor="page" w:hAnchor="page" w:x="2021" w:y="3930"/>
            <w:spacing w:line="180" w:lineRule="atLeast"/>
            <w:rPr>
              <w:highlight w:val="yellow"/>
            </w:rPr>
          </w:pPr>
        </w:p>
      </w:tc>
    </w:tr>
    <w:tr w:rsidR="008F192A" w:rsidRPr="00CB6999" w:rsidTr="7B5F9CB0">
      <w:trPr>
        <w:trHeight w:val="275"/>
      </w:trPr>
      <w:tc>
        <w:tcPr>
          <w:tcW w:w="2064" w:type="dxa"/>
          <w:shd w:val="clear" w:color="auto" w:fill="auto"/>
        </w:tcPr>
        <w:p w:rsidR="008F192A" w:rsidRPr="00CB6999" w:rsidRDefault="008F192A" w:rsidP="00D63A23">
          <w:pPr>
            <w:framePr w:hSpace="180" w:wrap="around" w:vAnchor="page" w:hAnchor="page" w:x="2021" w:y="3930"/>
            <w:spacing w:line="180" w:lineRule="atLeast"/>
          </w:pPr>
        </w:p>
      </w:tc>
      <w:tc>
        <w:tcPr>
          <w:tcW w:w="6442" w:type="dxa"/>
          <w:shd w:val="clear" w:color="auto" w:fill="auto"/>
        </w:tcPr>
        <w:p w:rsidR="008F192A" w:rsidRPr="00B74527" w:rsidRDefault="008F192A" w:rsidP="00D63A23">
          <w:pPr>
            <w:framePr w:hSpace="180" w:wrap="around" w:vAnchor="page" w:hAnchor="page" w:x="2021" w:y="3930"/>
            <w:spacing w:line="180" w:lineRule="atLeast"/>
          </w:pPr>
        </w:p>
      </w:tc>
    </w:tr>
  </w:tbl>
  <w:tbl>
    <w:tblPr>
      <w:tblW w:w="0" w:type="auto"/>
      <w:tblLayout w:type="fixed"/>
      <w:tblCellMar>
        <w:left w:w="0" w:type="dxa"/>
        <w:right w:w="0" w:type="dxa"/>
      </w:tblCellMar>
      <w:tblLook w:val="01E0" w:firstRow="1" w:lastRow="1" w:firstColumn="1" w:lastColumn="1" w:noHBand="0" w:noVBand="0"/>
    </w:tblPr>
    <w:tblGrid>
      <w:gridCol w:w="7483"/>
    </w:tblGrid>
    <w:tr w:rsidR="008F192A" w:rsidRPr="00CB6999" w:rsidTr="00C35EC5">
      <w:trPr>
        <w:trHeight w:val="2410"/>
      </w:trPr>
      <w:tc>
        <w:tcPr>
          <w:tcW w:w="7483" w:type="dxa"/>
          <w:shd w:val="clear" w:color="auto" w:fill="auto"/>
        </w:tcPr>
        <w:p w:rsidR="008F192A" w:rsidRDefault="008F192A" w:rsidP="00C35EC5">
          <w:pPr>
            <w:pStyle w:val="Header"/>
          </w:pPr>
          <w:r>
            <w:t xml:space="preserve"> </w:t>
          </w:r>
        </w:p>
        <w:p w:rsidR="008F192A" w:rsidRDefault="008F192A" w:rsidP="00C35EC5"/>
        <w:p w:rsidR="008F192A" w:rsidRPr="00AC0C1C" w:rsidRDefault="008F192A" w:rsidP="00C35EC5">
          <w:pPr>
            <w:tabs>
              <w:tab w:val="left" w:pos="2136"/>
            </w:tabs>
          </w:pPr>
          <w:r>
            <w:tab/>
          </w:r>
        </w:p>
      </w:tc>
    </w:tr>
  </w:tbl>
  <w:p w:rsidR="008F192A" w:rsidRPr="003600B6" w:rsidRDefault="008F192A" w:rsidP="00C35EC5">
    <w:pPr>
      <w:rPr>
        <w:vanish/>
      </w:rPr>
    </w:pPr>
  </w:p>
  <w:p w:rsidR="008F192A" w:rsidRPr="00CB6999" w:rsidRDefault="008F192A" w:rsidP="00C35EC5">
    <w:pPr>
      <w:pStyle w:val="Header"/>
      <w:tabs>
        <w:tab w:val="clear" w:pos="4536"/>
        <w:tab w:val="clear" w:pos="9072"/>
        <w:tab w:val="left" w:pos="1100"/>
      </w:tabs>
    </w:pPr>
  </w:p>
  <w:p w:rsidR="008F192A" w:rsidRDefault="008F1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92A" w:rsidRPr="003600B6" w:rsidRDefault="008F192A" w:rsidP="00C35EC5">
    <w:pPr>
      <w:rPr>
        <w:vanish/>
      </w:rPr>
    </w:pPr>
    <w:bookmarkStart w:id="439" w:name="classif_type_first"/>
    <w:bookmarkEnd w:id="439"/>
  </w:p>
  <w:p w:rsidR="008F192A" w:rsidRPr="003600B6" w:rsidRDefault="008F192A" w:rsidP="00C35EC5">
    <w:pPr>
      <w:rPr>
        <w:vanish/>
      </w:rPr>
    </w:pPr>
  </w:p>
  <w:p w:rsidR="008F192A" w:rsidRPr="003600B6" w:rsidRDefault="008F192A" w:rsidP="00C35EC5">
    <w:pPr>
      <w:rPr>
        <w:vanish/>
      </w:rPr>
    </w:pPr>
    <w:bookmarkStart w:id="440" w:name="version_first"/>
    <w:bookmarkStart w:id="441" w:name="title"/>
    <w:bookmarkEnd w:id="440"/>
  </w:p>
  <w:bookmarkEnd w:id="441"/>
  <w:p w:rsidR="008F192A" w:rsidRPr="00CB6999" w:rsidRDefault="008F192A" w:rsidP="00C35EC5">
    <w:pPr>
      <w:pStyle w:val="Header"/>
      <w:tabs>
        <w:tab w:val="clear" w:pos="4536"/>
        <w:tab w:val="clear" w:pos="9072"/>
        <w:tab w:val="left" w:pos="1100"/>
      </w:tabs>
    </w:pPr>
  </w:p>
  <w:p w:rsidR="008F192A" w:rsidRDefault="008F1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EFD"/>
    <w:multiLevelType w:val="hybridMultilevel"/>
    <w:tmpl w:val="8A4C0D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6477237"/>
    <w:multiLevelType w:val="multilevel"/>
    <w:tmpl w:val="926240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7F73ED6"/>
    <w:multiLevelType w:val="hybridMultilevel"/>
    <w:tmpl w:val="9EDCF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C5B1856"/>
    <w:multiLevelType w:val="multilevel"/>
    <w:tmpl w:val="A16C384E"/>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206B40"/>
    <w:multiLevelType w:val="hybridMultilevel"/>
    <w:tmpl w:val="9D8A2C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42375A"/>
    <w:multiLevelType w:val="hybridMultilevel"/>
    <w:tmpl w:val="533A41A4"/>
    <w:lvl w:ilvl="0" w:tplc="5F281B4A">
      <w:start w:val="1"/>
      <w:numFmt w:val="bullet"/>
      <w:pStyle w:val="Bulletswithtext"/>
      <w:lvlText w:val=""/>
      <w:lvlJc w:val="left"/>
      <w:pPr>
        <w:tabs>
          <w:tab w:val="num" w:pos="340"/>
        </w:tabs>
        <w:ind w:left="340" w:hanging="340"/>
      </w:pPr>
      <w:rPr>
        <w:rFonts w:ascii="Symbol" w:hAnsi="Symbol" w:hint="default"/>
        <w:b w:val="0"/>
        <w:i w:val="0"/>
        <w:color w:val="auto"/>
        <w:position w:val="3"/>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612ED3"/>
    <w:multiLevelType w:val="multilevel"/>
    <w:tmpl w:val="55587148"/>
    <w:lvl w:ilvl="0">
      <w:start w:val="1"/>
      <w:numFmt w:val="decimal"/>
      <w:pStyle w:val="appendix"/>
      <w:lvlText w:val="Bijlage %1"/>
      <w:lvlJc w:val="right"/>
      <w:pPr>
        <w:tabs>
          <w:tab w:val="num" w:pos="936"/>
        </w:tabs>
        <w:ind w:left="936" w:hanging="227"/>
      </w:pPr>
      <w:rPr>
        <w:rFonts w:ascii="Verdana" w:hAnsi="Verdana"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EC02B26"/>
    <w:multiLevelType w:val="multilevel"/>
    <w:tmpl w:val="199AAF48"/>
    <w:lvl w:ilvl="0">
      <w:start w:val="2"/>
      <w:numFmt w:val="decimal"/>
      <w:lvlText w:val="%1."/>
      <w:lvlJc w:val="left"/>
      <w:pPr>
        <w:ind w:left="540" w:hanging="54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2F000000"/>
    <w:multiLevelType w:val="hybridMultilevel"/>
    <w:tmpl w:val="2FBA9A30"/>
    <w:lvl w:ilvl="0" w:tplc="848C6FAA">
      <w:start w:val="1"/>
      <w:numFmt w:val="lowerRoman"/>
      <w:lvlText w:val="%1)"/>
      <w:lvlJc w:val="left"/>
      <w:pPr>
        <w:ind w:left="1080" w:hanging="720"/>
      </w:pPr>
      <w:rPr>
        <w:rFonts w:hint="default"/>
        <w:b w:val="0"/>
        <w:shd w:val="clear" w:color="auto" w:fill="auto"/>
      </w:rPr>
    </w:lvl>
    <w:lvl w:ilvl="1" w:tplc="4DFAD27A">
      <w:start w:val="1"/>
      <w:numFmt w:val="lowerLetter"/>
      <w:lvlText w:val="%2."/>
      <w:lvlJc w:val="left"/>
      <w:pPr>
        <w:ind w:left="1440" w:hanging="360"/>
      </w:pPr>
      <w:rPr>
        <w:b w:val="0"/>
        <w:shd w:val="clear" w:color="auto" w:fill="auto"/>
      </w:rPr>
    </w:lvl>
    <w:lvl w:ilvl="2" w:tplc="0EA8CA2E">
      <w:start w:val="1"/>
      <w:numFmt w:val="lowerRoman"/>
      <w:lvlText w:val="%3."/>
      <w:lvlJc w:val="right"/>
      <w:pPr>
        <w:ind w:left="2160" w:hanging="180"/>
      </w:pPr>
      <w:rPr>
        <w:shd w:val="clear" w:color="auto" w:fill="auto"/>
      </w:rPr>
    </w:lvl>
    <w:lvl w:ilvl="3" w:tplc="F6EA1962">
      <w:start w:val="1"/>
      <w:numFmt w:val="decimal"/>
      <w:lvlText w:val="%4."/>
      <w:lvlJc w:val="left"/>
      <w:pPr>
        <w:ind w:left="2880" w:hanging="360"/>
      </w:pPr>
      <w:rPr>
        <w:shd w:val="clear" w:color="auto" w:fill="auto"/>
      </w:rPr>
    </w:lvl>
    <w:lvl w:ilvl="4" w:tplc="2DD46EEC">
      <w:start w:val="1"/>
      <w:numFmt w:val="lowerLetter"/>
      <w:lvlText w:val="%5."/>
      <w:lvlJc w:val="left"/>
      <w:pPr>
        <w:ind w:left="3600" w:hanging="360"/>
      </w:pPr>
      <w:rPr>
        <w:shd w:val="clear" w:color="auto" w:fill="auto"/>
      </w:rPr>
    </w:lvl>
    <w:lvl w:ilvl="5" w:tplc="DDF232B2">
      <w:start w:val="1"/>
      <w:numFmt w:val="lowerRoman"/>
      <w:lvlText w:val="%6."/>
      <w:lvlJc w:val="right"/>
      <w:pPr>
        <w:ind w:left="4320" w:hanging="180"/>
      </w:pPr>
      <w:rPr>
        <w:shd w:val="clear" w:color="auto" w:fill="auto"/>
      </w:rPr>
    </w:lvl>
    <w:lvl w:ilvl="6" w:tplc="48FC4A50">
      <w:start w:val="1"/>
      <w:numFmt w:val="decimal"/>
      <w:lvlText w:val="%7."/>
      <w:lvlJc w:val="left"/>
      <w:pPr>
        <w:ind w:left="5040" w:hanging="360"/>
      </w:pPr>
      <w:rPr>
        <w:shd w:val="clear" w:color="auto" w:fill="auto"/>
      </w:rPr>
    </w:lvl>
    <w:lvl w:ilvl="7" w:tplc="733AECC8">
      <w:start w:val="1"/>
      <w:numFmt w:val="lowerLetter"/>
      <w:lvlText w:val="%8."/>
      <w:lvlJc w:val="left"/>
      <w:pPr>
        <w:ind w:left="5760" w:hanging="360"/>
      </w:pPr>
      <w:rPr>
        <w:shd w:val="clear" w:color="auto" w:fill="auto"/>
      </w:rPr>
    </w:lvl>
    <w:lvl w:ilvl="8" w:tplc="5B96FEBE">
      <w:start w:val="1"/>
      <w:numFmt w:val="lowerRoman"/>
      <w:lvlText w:val="%9."/>
      <w:lvlJc w:val="right"/>
      <w:pPr>
        <w:ind w:left="6480" w:hanging="180"/>
      </w:pPr>
      <w:rPr>
        <w:shd w:val="clear" w:color="auto" w:fill="auto"/>
      </w:rPr>
    </w:lvl>
  </w:abstractNum>
  <w:abstractNum w:abstractNumId="9" w15:restartNumberingAfterBreak="0">
    <w:nsid w:val="31415659"/>
    <w:multiLevelType w:val="hybridMultilevel"/>
    <w:tmpl w:val="CD304D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6C02637"/>
    <w:multiLevelType w:val="multilevel"/>
    <w:tmpl w:val="8D96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616BC"/>
    <w:multiLevelType w:val="hybridMultilevel"/>
    <w:tmpl w:val="4ED6C7DA"/>
    <w:lvl w:ilvl="0" w:tplc="0778DD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220C68"/>
    <w:multiLevelType w:val="hybridMultilevel"/>
    <w:tmpl w:val="9CC6E5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D155279"/>
    <w:multiLevelType w:val="hybridMultilevel"/>
    <w:tmpl w:val="AB60F9BC"/>
    <w:lvl w:ilvl="0" w:tplc="074E8B0C">
      <w:start w:val="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391696"/>
    <w:multiLevelType w:val="hybridMultilevel"/>
    <w:tmpl w:val="6450CBC4"/>
    <w:lvl w:ilvl="0" w:tplc="AA2A8616">
      <w:start w:val="1"/>
      <w:numFmt w:val="decimal"/>
      <w:pStyle w:val="Enumerationwithtext"/>
      <w:lvlText w:val="%1"/>
      <w:lvlJc w:val="left"/>
      <w:pPr>
        <w:tabs>
          <w:tab w:val="num" w:pos="340"/>
        </w:tabs>
        <w:ind w:left="340" w:hanging="340"/>
      </w:pPr>
      <w:rPr>
        <w:rFonts w:ascii="Verdana" w:hAnsi="Verdana" w:hint="default"/>
        <w:b w:val="0"/>
        <w:i w:val="0"/>
        <w:sz w:val="18"/>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5C236CD5"/>
    <w:multiLevelType w:val="hybridMultilevel"/>
    <w:tmpl w:val="DC16CB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0A7355"/>
    <w:multiLevelType w:val="hybridMultilevel"/>
    <w:tmpl w:val="C3DC4554"/>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96B07E0"/>
    <w:multiLevelType w:val="hybridMultilevel"/>
    <w:tmpl w:val="A22E3980"/>
    <w:lvl w:ilvl="0" w:tplc="DF22B1A6">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461B15"/>
    <w:multiLevelType w:val="multilevel"/>
    <w:tmpl w:val="B4D0FE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0105363"/>
    <w:multiLevelType w:val="hybridMultilevel"/>
    <w:tmpl w:val="A844C120"/>
    <w:lvl w:ilvl="0" w:tplc="20D84BA4">
      <w:start w:val="1"/>
      <w:numFmt w:val="bullet"/>
      <w:pStyle w:val="Indentedenumerationwithtext"/>
      <w:lvlText w:val="-"/>
      <w:lvlJc w:val="left"/>
      <w:pPr>
        <w:tabs>
          <w:tab w:val="num" w:pos="340"/>
        </w:tabs>
        <w:ind w:left="680" w:hanging="340"/>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BE73C4"/>
    <w:multiLevelType w:val="hybridMultilevel"/>
    <w:tmpl w:val="05C82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5"/>
  </w:num>
  <w:num w:numId="4">
    <w:abstractNumId w:val="18"/>
  </w:num>
  <w:num w:numId="5">
    <w:abstractNumId w:val="6"/>
  </w:num>
  <w:num w:numId="6">
    <w:abstractNumId w:val="18"/>
  </w:num>
  <w:num w:numId="7">
    <w:abstractNumId w:val="10"/>
  </w:num>
  <w:num w:numId="8">
    <w:abstractNumId w:val="11"/>
  </w:num>
  <w:num w:numId="9">
    <w:abstractNumId w:val="18"/>
  </w:num>
  <w:num w:numId="10">
    <w:abstractNumId w:val="9"/>
  </w:num>
  <w:num w:numId="11">
    <w:abstractNumId w:val="12"/>
  </w:num>
  <w:num w:numId="12">
    <w:abstractNumId w:val="16"/>
  </w:num>
  <w:num w:numId="13">
    <w:abstractNumId w:val="12"/>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8"/>
  </w:num>
  <w:num w:numId="18">
    <w:abstractNumId w:val="0"/>
  </w:num>
  <w:num w:numId="19">
    <w:abstractNumId w:val="13"/>
  </w:num>
  <w:num w:numId="20">
    <w:abstractNumId w:val="3"/>
  </w:num>
  <w:num w:numId="21">
    <w:abstractNumId w:val="2"/>
  </w:num>
  <w:num w:numId="22">
    <w:abstractNumId w:val="20"/>
  </w:num>
  <w:num w:numId="23">
    <w:abstractNumId w:val="15"/>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726"/>
    <w:rsid w:val="00000B4D"/>
    <w:rsid w:val="00000C83"/>
    <w:rsid w:val="00000D72"/>
    <w:rsid w:val="00001098"/>
    <w:rsid w:val="000010B2"/>
    <w:rsid w:val="00001642"/>
    <w:rsid w:val="00001789"/>
    <w:rsid w:val="00001C77"/>
    <w:rsid w:val="00002712"/>
    <w:rsid w:val="00002B2C"/>
    <w:rsid w:val="00003764"/>
    <w:rsid w:val="000037E4"/>
    <w:rsid w:val="00003ACA"/>
    <w:rsid w:val="0000512D"/>
    <w:rsid w:val="00005341"/>
    <w:rsid w:val="00005731"/>
    <w:rsid w:val="00005AA4"/>
    <w:rsid w:val="00005DA2"/>
    <w:rsid w:val="00006320"/>
    <w:rsid w:val="00006D56"/>
    <w:rsid w:val="00007F53"/>
    <w:rsid w:val="00010577"/>
    <w:rsid w:val="00010FE7"/>
    <w:rsid w:val="00011566"/>
    <w:rsid w:val="0001194D"/>
    <w:rsid w:val="00011AB4"/>
    <w:rsid w:val="00011DAA"/>
    <w:rsid w:val="00012255"/>
    <w:rsid w:val="000125C0"/>
    <w:rsid w:val="00012962"/>
    <w:rsid w:val="00012B39"/>
    <w:rsid w:val="00012FB9"/>
    <w:rsid w:val="00013A83"/>
    <w:rsid w:val="00013B60"/>
    <w:rsid w:val="00013C3C"/>
    <w:rsid w:val="00013FF1"/>
    <w:rsid w:val="0001432D"/>
    <w:rsid w:val="00014EE0"/>
    <w:rsid w:val="0001523C"/>
    <w:rsid w:val="0001541E"/>
    <w:rsid w:val="00015509"/>
    <w:rsid w:val="00015862"/>
    <w:rsid w:val="00016201"/>
    <w:rsid w:val="00016C78"/>
    <w:rsid w:val="000171D5"/>
    <w:rsid w:val="000172B8"/>
    <w:rsid w:val="00017D2D"/>
    <w:rsid w:val="00017ED4"/>
    <w:rsid w:val="0002040E"/>
    <w:rsid w:val="0002079C"/>
    <w:rsid w:val="00020881"/>
    <w:rsid w:val="0002128D"/>
    <w:rsid w:val="000228D3"/>
    <w:rsid w:val="00023745"/>
    <w:rsid w:val="00023747"/>
    <w:rsid w:val="00023FCA"/>
    <w:rsid w:val="00024426"/>
    <w:rsid w:val="0002449A"/>
    <w:rsid w:val="000245E0"/>
    <w:rsid w:val="00024721"/>
    <w:rsid w:val="0002527F"/>
    <w:rsid w:val="0002542A"/>
    <w:rsid w:val="00025708"/>
    <w:rsid w:val="00025AC0"/>
    <w:rsid w:val="00025D24"/>
    <w:rsid w:val="0002623E"/>
    <w:rsid w:val="0002652A"/>
    <w:rsid w:val="000268C8"/>
    <w:rsid w:val="00026E1D"/>
    <w:rsid w:val="00027A54"/>
    <w:rsid w:val="00031220"/>
    <w:rsid w:val="000312E0"/>
    <w:rsid w:val="0003154B"/>
    <w:rsid w:val="000318C1"/>
    <w:rsid w:val="000319BA"/>
    <w:rsid w:val="0003204C"/>
    <w:rsid w:val="000320AC"/>
    <w:rsid w:val="00033075"/>
    <w:rsid w:val="0003337B"/>
    <w:rsid w:val="00033454"/>
    <w:rsid w:val="00034208"/>
    <w:rsid w:val="00034364"/>
    <w:rsid w:val="000344AD"/>
    <w:rsid w:val="0003459B"/>
    <w:rsid w:val="00034AC5"/>
    <w:rsid w:val="00034D79"/>
    <w:rsid w:val="0003526B"/>
    <w:rsid w:val="000353CC"/>
    <w:rsid w:val="00035405"/>
    <w:rsid w:val="000354C4"/>
    <w:rsid w:val="000354EB"/>
    <w:rsid w:val="00035F6D"/>
    <w:rsid w:val="0003644B"/>
    <w:rsid w:val="000367AC"/>
    <w:rsid w:val="00036F42"/>
    <w:rsid w:val="000370B1"/>
    <w:rsid w:val="000379DE"/>
    <w:rsid w:val="0004051D"/>
    <w:rsid w:val="000406D1"/>
    <w:rsid w:val="000408EA"/>
    <w:rsid w:val="00040950"/>
    <w:rsid w:val="00040D0D"/>
    <w:rsid w:val="00040E39"/>
    <w:rsid w:val="0004117A"/>
    <w:rsid w:val="0004129D"/>
    <w:rsid w:val="000416A1"/>
    <w:rsid w:val="00041B78"/>
    <w:rsid w:val="00041CF1"/>
    <w:rsid w:val="0004274C"/>
    <w:rsid w:val="00042D6D"/>
    <w:rsid w:val="0004326F"/>
    <w:rsid w:val="00043975"/>
    <w:rsid w:val="00043D76"/>
    <w:rsid w:val="00043F67"/>
    <w:rsid w:val="00044869"/>
    <w:rsid w:val="00044E7E"/>
    <w:rsid w:val="0004513F"/>
    <w:rsid w:val="000454F1"/>
    <w:rsid w:val="000459FD"/>
    <w:rsid w:val="00045BED"/>
    <w:rsid w:val="00045F27"/>
    <w:rsid w:val="000462DA"/>
    <w:rsid w:val="00046837"/>
    <w:rsid w:val="00046CB2"/>
    <w:rsid w:val="00047446"/>
    <w:rsid w:val="000474B6"/>
    <w:rsid w:val="000476C9"/>
    <w:rsid w:val="00050086"/>
    <w:rsid w:val="0005094F"/>
    <w:rsid w:val="00051290"/>
    <w:rsid w:val="00051328"/>
    <w:rsid w:val="0005144A"/>
    <w:rsid w:val="000521CE"/>
    <w:rsid w:val="000521DF"/>
    <w:rsid w:val="000527A1"/>
    <w:rsid w:val="000529DA"/>
    <w:rsid w:val="00052EEE"/>
    <w:rsid w:val="0005329D"/>
    <w:rsid w:val="00053341"/>
    <w:rsid w:val="00053692"/>
    <w:rsid w:val="00053895"/>
    <w:rsid w:val="00053A2D"/>
    <w:rsid w:val="00053EE4"/>
    <w:rsid w:val="00054598"/>
    <w:rsid w:val="00054D0D"/>
    <w:rsid w:val="000558E6"/>
    <w:rsid w:val="00055F80"/>
    <w:rsid w:val="00055FA4"/>
    <w:rsid w:val="00056068"/>
    <w:rsid w:val="000568F0"/>
    <w:rsid w:val="00056A55"/>
    <w:rsid w:val="00056A65"/>
    <w:rsid w:val="00056C24"/>
    <w:rsid w:val="000574F1"/>
    <w:rsid w:val="00057527"/>
    <w:rsid w:val="0005772D"/>
    <w:rsid w:val="000577C8"/>
    <w:rsid w:val="00057892"/>
    <w:rsid w:val="00057D37"/>
    <w:rsid w:val="00057E0F"/>
    <w:rsid w:val="00057EAB"/>
    <w:rsid w:val="000604CF"/>
    <w:rsid w:val="0006070F"/>
    <w:rsid w:val="00061035"/>
    <w:rsid w:val="0006155E"/>
    <w:rsid w:val="000616CA"/>
    <w:rsid w:val="000623B5"/>
    <w:rsid w:val="000624BC"/>
    <w:rsid w:val="00062E65"/>
    <w:rsid w:val="000631F4"/>
    <w:rsid w:val="00063520"/>
    <w:rsid w:val="0006399C"/>
    <w:rsid w:val="00063F0F"/>
    <w:rsid w:val="0006416F"/>
    <w:rsid w:val="00064326"/>
    <w:rsid w:val="00064693"/>
    <w:rsid w:val="0006477E"/>
    <w:rsid w:val="00064958"/>
    <w:rsid w:val="00064EB1"/>
    <w:rsid w:val="00065122"/>
    <w:rsid w:val="0006516F"/>
    <w:rsid w:val="000656B4"/>
    <w:rsid w:val="00065BCC"/>
    <w:rsid w:val="00065D00"/>
    <w:rsid w:val="00065D51"/>
    <w:rsid w:val="00065F95"/>
    <w:rsid w:val="00065FFE"/>
    <w:rsid w:val="00066587"/>
    <w:rsid w:val="00066DC8"/>
    <w:rsid w:val="00067103"/>
    <w:rsid w:val="00067423"/>
    <w:rsid w:val="00067B4C"/>
    <w:rsid w:val="00067DCC"/>
    <w:rsid w:val="00070468"/>
    <w:rsid w:val="0007075C"/>
    <w:rsid w:val="0007106A"/>
    <w:rsid w:val="00071575"/>
    <w:rsid w:val="000716BE"/>
    <w:rsid w:val="000719F0"/>
    <w:rsid w:val="000725D4"/>
    <w:rsid w:val="00072800"/>
    <w:rsid w:val="00073077"/>
    <w:rsid w:val="0007310A"/>
    <w:rsid w:val="000734A0"/>
    <w:rsid w:val="000734F7"/>
    <w:rsid w:val="0007379D"/>
    <w:rsid w:val="00073F3F"/>
    <w:rsid w:val="0007455D"/>
    <w:rsid w:val="00074B11"/>
    <w:rsid w:val="000766C0"/>
    <w:rsid w:val="00076E0E"/>
    <w:rsid w:val="0007741E"/>
    <w:rsid w:val="000774DE"/>
    <w:rsid w:val="00077501"/>
    <w:rsid w:val="00077A21"/>
    <w:rsid w:val="00077A93"/>
    <w:rsid w:val="00077F37"/>
    <w:rsid w:val="00077FA8"/>
    <w:rsid w:val="00080BE6"/>
    <w:rsid w:val="000817C5"/>
    <w:rsid w:val="00081826"/>
    <w:rsid w:val="00081F55"/>
    <w:rsid w:val="00082035"/>
    <w:rsid w:val="00082431"/>
    <w:rsid w:val="0008257E"/>
    <w:rsid w:val="0008280C"/>
    <w:rsid w:val="000828DC"/>
    <w:rsid w:val="00082901"/>
    <w:rsid w:val="00082A33"/>
    <w:rsid w:val="00082C8C"/>
    <w:rsid w:val="00082FDF"/>
    <w:rsid w:val="0008302D"/>
    <w:rsid w:val="00083361"/>
    <w:rsid w:val="000836D2"/>
    <w:rsid w:val="0008371F"/>
    <w:rsid w:val="00083864"/>
    <w:rsid w:val="00083BB8"/>
    <w:rsid w:val="00084084"/>
    <w:rsid w:val="00084474"/>
    <w:rsid w:val="00084539"/>
    <w:rsid w:val="00084AD3"/>
    <w:rsid w:val="00085405"/>
    <w:rsid w:val="0008559C"/>
    <w:rsid w:val="00085802"/>
    <w:rsid w:val="000862E7"/>
    <w:rsid w:val="000867E9"/>
    <w:rsid w:val="00086A4F"/>
    <w:rsid w:val="00087614"/>
    <w:rsid w:val="0008762B"/>
    <w:rsid w:val="00087B02"/>
    <w:rsid w:val="00087D32"/>
    <w:rsid w:val="00087EBB"/>
    <w:rsid w:val="000901E5"/>
    <w:rsid w:val="0009030A"/>
    <w:rsid w:val="000910F3"/>
    <w:rsid w:val="00091172"/>
    <w:rsid w:val="000911E2"/>
    <w:rsid w:val="0009134B"/>
    <w:rsid w:val="000914CA"/>
    <w:rsid w:val="000917F4"/>
    <w:rsid w:val="000918AC"/>
    <w:rsid w:val="00091980"/>
    <w:rsid w:val="00092EEF"/>
    <w:rsid w:val="00092F9C"/>
    <w:rsid w:val="000931CF"/>
    <w:rsid w:val="00093980"/>
    <w:rsid w:val="00093C4A"/>
    <w:rsid w:val="0009439A"/>
    <w:rsid w:val="00094B0A"/>
    <w:rsid w:val="00094C28"/>
    <w:rsid w:val="00094DDE"/>
    <w:rsid w:val="00094E15"/>
    <w:rsid w:val="00094E1B"/>
    <w:rsid w:val="0009546B"/>
    <w:rsid w:val="000965C7"/>
    <w:rsid w:val="00097A7B"/>
    <w:rsid w:val="00097AB6"/>
    <w:rsid w:val="00097B5F"/>
    <w:rsid w:val="00097FD9"/>
    <w:rsid w:val="000A077F"/>
    <w:rsid w:val="000A0866"/>
    <w:rsid w:val="000A190E"/>
    <w:rsid w:val="000A1A90"/>
    <w:rsid w:val="000A1ABE"/>
    <w:rsid w:val="000A1BC2"/>
    <w:rsid w:val="000A2B67"/>
    <w:rsid w:val="000A2EDB"/>
    <w:rsid w:val="000A32C9"/>
    <w:rsid w:val="000A3300"/>
    <w:rsid w:val="000A3855"/>
    <w:rsid w:val="000A45FC"/>
    <w:rsid w:val="000A46AD"/>
    <w:rsid w:val="000A662E"/>
    <w:rsid w:val="000A6998"/>
    <w:rsid w:val="000A6BA9"/>
    <w:rsid w:val="000A6FA7"/>
    <w:rsid w:val="000A7501"/>
    <w:rsid w:val="000B00B7"/>
    <w:rsid w:val="000B0599"/>
    <w:rsid w:val="000B119A"/>
    <w:rsid w:val="000B1333"/>
    <w:rsid w:val="000B170C"/>
    <w:rsid w:val="000B1804"/>
    <w:rsid w:val="000B19FB"/>
    <w:rsid w:val="000B286B"/>
    <w:rsid w:val="000B2FE0"/>
    <w:rsid w:val="000B34A4"/>
    <w:rsid w:val="000B3B8E"/>
    <w:rsid w:val="000B3E6E"/>
    <w:rsid w:val="000B41E8"/>
    <w:rsid w:val="000B4A81"/>
    <w:rsid w:val="000B4CAD"/>
    <w:rsid w:val="000B4CC8"/>
    <w:rsid w:val="000B5441"/>
    <w:rsid w:val="000B5CBE"/>
    <w:rsid w:val="000B61A2"/>
    <w:rsid w:val="000B6AAD"/>
    <w:rsid w:val="000B6C16"/>
    <w:rsid w:val="000B71A3"/>
    <w:rsid w:val="000B7278"/>
    <w:rsid w:val="000B7431"/>
    <w:rsid w:val="000B7A24"/>
    <w:rsid w:val="000C0305"/>
    <w:rsid w:val="000C0665"/>
    <w:rsid w:val="000C0887"/>
    <w:rsid w:val="000C0B33"/>
    <w:rsid w:val="000C0CD3"/>
    <w:rsid w:val="000C0FBA"/>
    <w:rsid w:val="000C13D0"/>
    <w:rsid w:val="000C1AA1"/>
    <w:rsid w:val="000C205F"/>
    <w:rsid w:val="000C2232"/>
    <w:rsid w:val="000C283B"/>
    <w:rsid w:val="000C2859"/>
    <w:rsid w:val="000C2FDD"/>
    <w:rsid w:val="000C3333"/>
    <w:rsid w:val="000C4BB2"/>
    <w:rsid w:val="000C5511"/>
    <w:rsid w:val="000C64B7"/>
    <w:rsid w:val="000C64EE"/>
    <w:rsid w:val="000C69D2"/>
    <w:rsid w:val="000C73EE"/>
    <w:rsid w:val="000C7722"/>
    <w:rsid w:val="000C7757"/>
    <w:rsid w:val="000C79C0"/>
    <w:rsid w:val="000C7ACC"/>
    <w:rsid w:val="000C7DCD"/>
    <w:rsid w:val="000C7DF0"/>
    <w:rsid w:val="000D0B5F"/>
    <w:rsid w:val="000D193C"/>
    <w:rsid w:val="000D1F6A"/>
    <w:rsid w:val="000D249A"/>
    <w:rsid w:val="000D24EC"/>
    <w:rsid w:val="000D2D5B"/>
    <w:rsid w:val="000D2D8D"/>
    <w:rsid w:val="000D313F"/>
    <w:rsid w:val="000D3145"/>
    <w:rsid w:val="000D31E1"/>
    <w:rsid w:val="000D3606"/>
    <w:rsid w:val="000D422F"/>
    <w:rsid w:val="000D483D"/>
    <w:rsid w:val="000D4907"/>
    <w:rsid w:val="000D4936"/>
    <w:rsid w:val="000D54DC"/>
    <w:rsid w:val="000D5BC4"/>
    <w:rsid w:val="000D5E39"/>
    <w:rsid w:val="000D6B31"/>
    <w:rsid w:val="000D70D5"/>
    <w:rsid w:val="000D70ED"/>
    <w:rsid w:val="000D72F9"/>
    <w:rsid w:val="000D75D6"/>
    <w:rsid w:val="000D79A4"/>
    <w:rsid w:val="000D7CB3"/>
    <w:rsid w:val="000E01C6"/>
    <w:rsid w:val="000E01C8"/>
    <w:rsid w:val="000E01FA"/>
    <w:rsid w:val="000E03A9"/>
    <w:rsid w:val="000E10F8"/>
    <w:rsid w:val="000E14AE"/>
    <w:rsid w:val="000E1BBB"/>
    <w:rsid w:val="000E1D25"/>
    <w:rsid w:val="000E2184"/>
    <w:rsid w:val="000E21BC"/>
    <w:rsid w:val="000E23B5"/>
    <w:rsid w:val="000E37AD"/>
    <w:rsid w:val="000E3E0D"/>
    <w:rsid w:val="000E3EDB"/>
    <w:rsid w:val="000E4191"/>
    <w:rsid w:val="000E44C4"/>
    <w:rsid w:val="000E4AA8"/>
    <w:rsid w:val="000E4FAF"/>
    <w:rsid w:val="000E55AD"/>
    <w:rsid w:val="000E5EEF"/>
    <w:rsid w:val="000E6502"/>
    <w:rsid w:val="000E69E8"/>
    <w:rsid w:val="000E7A18"/>
    <w:rsid w:val="000E7DCF"/>
    <w:rsid w:val="000F04EF"/>
    <w:rsid w:val="000F09AF"/>
    <w:rsid w:val="000F0E12"/>
    <w:rsid w:val="000F0F35"/>
    <w:rsid w:val="000F1495"/>
    <w:rsid w:val="000F14F6"/>
    <w:rsid w:val="000F1509"/>
    <w:rsid w:val="000F157B"/>
    <w:rsid w:val="000F1627"/>
    <w:rsid w:val="000F1663"/>
    <w:rsid w:val="000F1A16"/>
    <w:rsid w:val="000F1AA9"/>
    <w:rsid w:val="000F1C6C"/>
    <w:rsid w:val="000F2233"/>
    <w:rsid w:val="000F321C"/>
    <w:rsid w:val="000F3740"/>
    <w:rsid w:val="000F46AA"/>
    <w:rsid w:val="000F4A8E"/>
    <w:rsid w:val="000F5232"/>
    <w:rsid w:val="000F5634"/>
    <w:rsid w:val="000F62CE"/>
    <w:rsid w:val="000F6CD7"/>
    <w:rsid w:val="000F6DCD"/>
    <w:rsid w:val="000F746E"/>
    <w:rsid w:val="000F75DF"/>
    <w:rsid w:val="0010066D"/>
    <w:rsid w:val="00101252"/>
    <w:rsid w:val="00101269"/>
    <w:rsid w:val="001012B5"/>
    <w:rsid w:val="0010226C"/>
    <w:rsid w:val="001024D2"/>
    <w:rsid w:val="00102985"/>
    <w:rsid w:val="001034D1"/>
    <w:rsid w:val="0010388E"/>
    <w:rsid w:val="0010492E"/>
    <w:rsid w:val="00104A95"/>
    <w:rsid w:val="001057FD"/>
    <w:rsid w:val="00106C49"/>
    <w:rsid w:val="00106C54"/>
    <w:rsid w:val="00107538"/>
    <w:rsid w:val="0010776C"/>
    <w:rsid w:val="001079A8"/>
    <w:rsid w:val="00110025"/>
    <w:rsid w:val="00110A5B"/>
    <w:rsid w:val="00110B6A"/>
    <w:rsid w:val="00110CA1"/>
    <w:rsid w:val="0011195A"/>
    <w:rsid w:val="00111F00"/>
    <w:rsid w:val="00112344"/>
    <w:rsid w:val="0011254C"/>
    <w:rsid w:val="00112832"/>
    <w:rsid w:val="00112CF1"/>
    <w:rsid w:val="00112E6C"/>
    <w:rsid w:val="00113023"/>
    <w:rsid w:val="0011384A"/>
    <w:rsid w:val="0011406F"/>
    <w:rsid w:val="00114326"/>
    <w:rsid w:val="00114505"/>
    <w:rsid w:val="00114815"/>
    <w:rsid w:val="0011495B"/>
    <w:rsid w:val="00114B07"/>
    <w:rsid w:val="00114D00"/>
    <w:rsid w:val="00115203"/>
    <w:rsid w:val="00115522"/>
    <w:rsid w:val="0011563B"/>
    <w:rsid w:val="00115B19"/>
    <w:rsid w:val="00116784"/>
    <w:rsid w:val="00116EBF"/>
    <w:rsid w:val="00117270"/>
    <w:rsid w:val="00117463"/>
    <w:rsid w:val="001178CE"/>
    <w:rsid w:val="00117D17"/>
    <w:rsid w:val="00117DDC"/>
    <w:rsid w:val="00117E85"/>
    <w:rsid w:val="00117F99"/>
    <w:rsid w:val="00120E4A"/>
    <w:rsid w:val="0012160E"/>
    <w:rsid w:val="00121706"/>
    <w:rsid w:val="00121857"/>
    <w:rsid w:val="001223B5"/>
    <w:rsid w:val="00122860"/>
    <w:rsid w:val="00122959"/>
    <w:rsid w:val="00122CAE"/>
    <w:rsid w:val="001236BC"/>
    <w:rsid w:val="00123F59"/>
    <w:rsid w:val="001247C1"/>
    <w:rsid w:val="001249EA"/>
    <w:rsid w:val="00125BE7"/>
    <w:rsid w:val="00125F72"/>
    <w:rsid w:val="00126134"/>
    <w:rsid w:val="001264DD"/>
    <w:rsid w:val="00126762"/>
    <w:rsid w:val="001272F9"/>
    <w:rsid w:val="00127335"/>
    <w:rsid w:val="00127418"/>
    <w:rsid w:val="001274D7"/>
    <w:rsid w:val="00127773"/>
    <w:rsid w:val="00130677"/>
    <w:rsid w:val="001306C6"/>
    <w:rsid w:val="001307BC"/>
    <w:rsid w:val="00131139"/>
    <w:rsid w:val="00131564"/>
    <w:rsid w:val="00131E08"/>
    <w:rsid w:val="001325F0"/>
    <w:rsid w:val="0013267A"/>
    <w:rsid w:val="00133160"/>
    <w:rsid w:val="0013324E"/>
    <w:rsid w:val="001334F2"/>
    <w:rsid w:val="00133890"/>
    <w:rsid w:val="00133B3C"/>
    <w:rsid w:val="00133CE5"/>
    <w:rsid w:val="0013431B"/>
    <w:rsid w:val="00134668"/>
    <w:rsid w:val="00134F2C"/>
    <w:rsid w:val="00134FC8"/>
    <w:rsid w:val="001351FE"/>
    <w:rsid w:val="00135350"/>
    <w:rsid w:val="0013561E"/>
    <w:rsid w:val="00136598"/>
    <w:rsid w:val="00136BA6"/>
    <w:rsid w:val="00136DAB"/>
    <w:rsid w:val="001370C7"/>
    <w:rsid w:val="00137956"/>
    <w:rsid w:val="00137A71"/>
    <w:rsid w:val="00137B2C"/>
    <w:rsid w:val="00137CBB"/>
    <w:rsid w:val="00137ED2"/>
    <w:rsid w:val="00137F70"/>
    <w:rsid w:val="00140364"/>
    <w:rsid w:val="0014173D"/>
    <w:rsid w:val="001418F6"/>
    <w:rsid w:val="00141DEA"/>
    <w:rsid w:val="00141F2D"/>
    <w:rsid w:val="0014207E"/>
    <w:rsid w:val="00142089"/>
    <w:rsid w:val="00142316"/>
    <w:rsid w:val="0014276B"/>
    <w:rsid w:val="001444E8"/>
    <w:rsid w:val="0014452B"/>
    <w:rsid w:val="00144810"/>
    <w:rsid w:val="0014523A"/>
    <w:rsid w:val="00145EDB"/>
    <w:rsid w:val="00145F83"/>
    <w:rsid w:val="00146DB5"/>
    <w:rsid w:val="0014783C"/>
    <w:rsid w:val="00147C88"/>
    <w:rsid w:val="001507AE"/>
    <w:rsid w:val="00150BC5"/>
    <w:rsid w:val="00150FCA"/>
    <w:rsid w:val="0015138F"/>
    <w:rsid w:val="0015152E"/>
    <w:rsid w:val="00151F74"/>
    <w:rsid w:val="001523F9"/>
    <w:rsid w:val="00152525"/>
    <w:rsid w:val="00153302"/>
    <w:rsid w:val="0015346B"/>
    <w:rsid w:val="001537FB"/>
    <w:rsid w:val="001538D4"/>
    <w:rsid w:val="00153A36"/>
    <w:rsid w:val="00153DAA"/>
    <w:rsid w:val="001540EB"/>
    <w:rsid w:val="00154116"/>
    <w:rsid w:val="0015466F"/>
    <w:rsid w:val="00154906"/>
    <w:rsid w:val="00154947"/>
    <w:rsid w:val="00154A52"/>
    <w:rsid w:val="00154ACC"/>
    <w:rsid w:val="0015523C"/>
    <w:rsid w:val="00155257"/>
    <w:rsid w:val="00155865"/>
    <w:rsid w:val="00155CB4"/>
    <w:rsid w:val="0015781B"/>
    <w:rsid w:val="001579B8"/>
    <w:rsid w:val="00157CE8"/>
    <w:rsid w:val="00160045"/>
    <w:rsid w:val="00160065"/>
    <w:rsid w:val="00160E96"/>
    <w:rsid w:val="00161073"/>
    <w:rsid w:val="001614BD"/>
    <w:rsid w:val="00161D01"/>
    <w:rsid w:val="001622BD"/>
    <w:rsid w:val="00162726"/>
    <w:rsid w:val="0016333B"/>
    <w:rsid w:val="001635B5"/>
    <w:rsid w:val="00163A96"/>
    <w:rsid w:val="0016428C"/>
    <w:rsid w:val="00164CF2"/>
    <w:rsid w:val="00164D72"/>
    <w:rsid w:val="00165112"/>
    <w:rsid w:val="001651CA"/>
    <w:rsid w:val="0016569F"/>
    <w:rsid w:val="00165973"/>
    <w:rsid w:val="00165A7B"/>
    <w:rsid w:val="00165C93"/>
    <w:rsid w:val="00165F9C"/>
    <w:rsid w:val="001663B8"/>
    <w:rsid w:val="00166AA8"/>
    <w:rsid w:val="00166D9C"/>
    <w:rsid w:val="0016719E"/>
    <w:rsid w:val="0016736D"/>
    <w:rsid w:val="001675B9"/>
    <w:rsid w:val="00167FF2"/>
    <w:rsid w:val="001706DB"/>
    <w:rsid w:val="0017098A"/>
    <w:rsid w:val="00170D6B"/>
    <w:rsid w:val="00170EC6"/>
    <w:rsid w:val="00170FB5"/>
    <w:rsid w:val="001722BE"/>
    <w:rsid w:val="00172E0A"/>
    <w:rsid w:val="0017341A"/>
    <w:rsid w:val="00173430"/>
    <w:rsid w:val="001737D2"/>
    <w:rsid w:val="00173D1D"/>
    <w:rsid w:val="00174B05"/>
    <w:rsid w:val="0017520C"/>
    <w:rsid w:val="00175557"/>
    <w:rsid w:val="00175AC9"/>
    <w:rsid w:val="00175E10"/>
    <w:rsid w:val="001761CE"/>
    <w:rsid w:val="001761E8"/>
    <w:rsid w:val="001765EB"/>
    <w:rsid w:val="001768F4"/>
    <w:rsid w:val="00176B1F"/>
    <w:rsid w:val="00176B3F"/>
    <w:rsid w:val="00176D4B"/>
    <w:rsid w:val="00176DE2"/>
    <w:rsid w:val="00177C0C"/>
    <w:rsid w:val="00177C3F"/>
    <w:rsid w:val="001801F9"/>
    <w:rsid w:val="001808BA"/>
    <w:rsid w:val="001808D2"/>
    <w:rsid w:val="00180ACE"/>
    <w:rsid w:val="00180B3C"/>
    <w:rsid w:val="00180EF4"/>
    <w:rsid w:val="0018105A"/>
    <w:rsid w:val="00181511"/>
    <w:rsid w:val="00181BE9"/>
    <w:rsid w:val="00181C4E"/>
    <w:rsid w:val="00181CA8"/>
    <w:rsid w:val="00181E02"/>
    <w:rsid w:val="00182596"/>
    <w:rsid w:val="00182CFB"/>
    <w:rsid w:val="00183362"/>
    <w:rsid w:val="00183995"/>
    <w:rsid w:val="00183B2B"/>
    <w:rsid w:val="00183D86"/>
    <w:rsid w:val="001841BD"/>
    <w:rsid w:val="00184A09"/>
    <w:rsid w:val="001854CD"/>
    <w:rsid w:val="00185CD9"/>
    <w:rsid w:val="001861BC"/>
    <w:rsid w:val="001864DF"/>
    <w:rsid w:val="0018666B"/>
    <w:rsid w:val="00186C6E"/>
    <w:rsid w:val="00186D7A"/>
    <w:rsid w:val="00187119"/>
    <w:rsid w:val="001873DC"/>
    <w:rsid w:val="00187E1D"/>
    <w:rsid w:val="00187E8A"/>
    <w:rsid w:val="00187EC5"/>
    <w:rsid w:val="00187FE1"/>
    <w:rsid w:val="001904A7"/>
    <w:rsid w:val="0019071D"/>
    <w:rsid w:val="00190AAA"/>
    <w:rsid w:val="00190E21"/>
    <w:rsid w:val="0019114E"/>
    <w:rsid w:val="001914B6"/>
    <w:rsid w:val="001914C7"/>
    <w:rsid w:val="00191A3D"/>
    <w:rsid w:val="001920FF"/>
    <w:rsid w:val="0019219C"/>
    <w:rsid w:val="001921D5"/>
    <w:rsid w:val="00192888"/>
    <w:rsid w:val="001931E7"/>
    <w:rsid w:val="001933A9"/>
    <w:rsid w:val="00193534"/>
    <w:rsid w:val="0019444C"/>
    <w:rsid w:val="0019523D"/>
    <w:rsid w:val="001953AE"/>
    <w:rsid w:val="00195EC7"/>
    <w:rsid w:val="00195FEF"/>
    <w:rsid w:val="00196300"/>
    <w:rsid w:val="00196886"/>
    <w:rsid w:val="001969FA"/>
    <w:rsid w:val="00196AF2"/>
    <w:rsid w:val="00196B12"/>
    <w:rsid w:val="00196C02"/>
    <w:rsid w:val="00196E41"/>
    <w:rsid w:val="00196F7C"/>
    <w:rsid w:val="001A002F"/>
    <w:rsid w:val="001A07E1"/>
    <w:rsid w:val="001A1AA9"/>
    <w:rsid w:val="001A1D9A"/>
    <w:rsid w:val="001A24FE"/>
    <w:rsid w:val="001A25A6"/>
    <w:rsid w:val="001A2A08"/>
    <w:rsid w:val="001A33AA"/>
    <w:rsid w:val="001A38C9"/>
    <w:rsid w:val="001A3E6B"/>
    <w:rsid w:val="001A42C6"/>
    <w:rsid w:val="001A440E"/>
    <w:rsid w:val="001A45CB"/>
    <w:rsid w:val="001A4A9A"/>
    <w:rsid w:val="001A4E20"/>
    <w:rsid w:val="001A4E60"/>
    <w:rsid w:val="001A561F"/>
    <w:rsid w:val="001A5E33"/>
    <w:rsid w:val="001A62E4"/>
    <w:rsid w:val="001A6935"/>
    <w:rsid w:val="001A6E13"/>
    <w:rsid w:val="001A72CE"/>
    <w:rsid w:val="001A7530"/>
    <w:rsid w:val="001A7609"/>
    <w:rsid w:val="001A77EB"/>
    <w:rsid w:val="001B00F1"/>
    <w:rsid w:val="001B0331"/>
    <w:rsid w:val="001B04FC"/>
    <w:rsid w:val="001B055F"/>
    <w:rsid w:val="001B09CB"/>
    <w:rsid w:val="001B0B81"/>
    <w:rsid w:val="001B1114"/>
    <w:rsid w:val="001B124E"/>
    <w:rsid w:val="001B195B"/>
    <w:rsid w:val="001B1AE4"/>
    <w:rsid w:val="001B2915"/>
    <w:rsid w:val="001B2E89"/>
    <w:rsid w:val="001B32C5"/>
    <w:rsid w:val="001B336E"/>
    <w:rsid w:val="001B3869"/>
    <w:rsid w:val="001B3DD5"/>
    <w:rsid w:val="001B3E8A"/>
    <w:rsid w:val="001B4A1C"/>
    <w:rsid w:val="001B4A39"/>
    <w:rsid w:val="001B5542"/>
    <w:rsid w:val="001B5A9B"/>
    <w:rsid w:val="001B5F2B"/>
    <w:rsid w:val="001B64D5"/>
    <w:rsid w:val="001B666E"/>
    <w:rsid w:val="001B6DF0"/>
    <w:rsid w:val="001B74F5"/>
    <w:rsid w:val="001B77A0"/>
    <w:rsid w:val="001B7A57"/>
    <w:rsid w:val="001B7D33"/>
    <w:rsid w:val="001C00DE"/>
    <w:rsid w:val="001C0191"/>
    <w:rsid w:val="001C0781"/>
    <w:rsid w:val="001C0BE3"/>
    <w:rsid w:val="001C0D15"/>
    <w:rsid w:val="001C119F"/>
    <w:rsid w:val="001C123F"/>
    <w:rsid w:val="001C129A"/>
    <w:rsid w:val="001C1629"/>
    <w:rsid w:val="001C1815"/>
    <w:rsid w:val="001C1910"/>
    <w:rsid w:val="001C1AA3"/>
    <w:rsid w:val="001C1E3A"/>
    <w:rsid w:val="001C1FA4"/>
    <w:rsid w:val="001C29F7"/>
    <w:rsid w:val="001C2F25"/>
    <w:rsid w:val="001C3DAD"/>
    <w:rsid w:val="001C45CE"/>
    <w:rsid w:val="001C4BFC"/>
    <w:rsid w:val="001C5154"/>
    <w:rsid w:val="001C51C2"/>
    <w:rsid w:val="001C5554"/>
    <w:rsid w:val="001C5D93"/>
    <w:rsid w:val="001C5DA6"/>
    <w:rsid w:val="001C603A"/>
    <w:rsid w:val="001C6042"/>
    <w:rsid w:val="001C6408"/>
    <w:rsid w:val="001C64A6"/>
    <w:rsid w:val="001C6691"/>
    <w:rsid w:val="001C6AB9"/>
    <w:rsid w:val="001C6B98"/>
    <w:rsid w:val="001C7105"/>
    <w:rsid w:val="001C74D7"/>
    <w:rsid w:val="001C74D8"/>
    <w:rsid w:val="001C76E2"/>
    <w:rsid w:val="001C76FA"/>
    <w:rsid w:val="001D03F9"/>
    <w:rsid w:val="001D04B2"/>
    <w:rsid w:val="001D0645"/>
    <w:rsid w:val="001D0704"/>
    <w:rsid w:val="001D0B69"/>
    <w:rsid w:val="001D0F3E"/>
    <w:rsid w:val="001D13C5"/>
    <w:rsid w:val="001D21D8"/>
    <w:rsid w:val="001D21DA"/>
    <w:rsid w:val="001D2387"/>
    <w:rsid w:val="001D251E"/>
    <w:rsid w:val="001D27EB"/>
    <w:rsid w:val="001D289C"/>
    <w:rsid w:val="001D2F18"/>
    <w:rsid w:val="001D2F33"/>
    <w:rsid w:val="001D2FC1"/>
    <w:rsid w:val="001D3C09"/>
    <w:rsid w:val="001D3E79"/>
    <w:rsid w:val="001D47D1"/>
    <w:rsid w:val="001D4A38"/>
    <w:rsid w:val="001D5196"/>
    <w:rsid w:val="001D5229"/>
    <w:rsid w:val="001D53B4"/>
    <w:rsid w:val="001D55D2"/>
    <w:rsid w:val="001D5A85"/>
    <w:rsid w:val="001D76D0"/>
    <w:rsid w:val="001D7A8C"/>
    <w:rsid w:val="001E0844"/>
    <w:rsid w:val="001E0A57"/>
    <w:rsid w:val="001E1E20"/>
    <w:rsid w:val="001E2409"/>
    <w:rsid w:val="001E2576"/>
    <w:rsid w:val="001E2AEF"/>
    <w:rsid w:val="001E2CDC"/>
    <w:rsid w:val="001E2F7E"/>
    <w:rsid w:val="001E3A4E"/>
    <w:rsid w:val="001E4284"/>
    <w:rsid w:val="001E47F9"/>
    <w:rsid w:val="001E4E36"/>
    <w:rsid w:val="001E500C"/>
    <w:rsid w:val="001E5717"/>
    <w:rsid w:val="001E5A43"/>
    <w:rsid w:val="001E6067"/>
    <w:rsid w:val="001E62A9"/>
    <w:rsid w:val="001E6C69"/>
    <w:rsid w:val="001E77F7"/>
    <w:rsid w:val="001E79B8"/>
    <w:rsid w:val="001E7CAD"/>
    <w:rsid w:val="001E7E1C"/>
    <w:rsid w:val="001F057A"/>
    <w:rsid w:val="001F0E34"/>
    <w:rsid w:val="001F0EF2"/>
    <w:rsid w:val="001F0FDB"/>
    <w:rsid w:val="001F163D"/>
    <w:rsid w:val="001F240E"/>
    <w:rsid w:val="001F2E71"/>
    <w:rsid w:val="001F3037"/>
    <w:rsid w:val="001F30AA"/>
    <w:rsid w:val="001F31DB"/>
    <w:rsid w:val="001F3557"/>
    <w:rsid w:val="001F3686"/>
    <w:rsid w:val="001F3AE1"/>
    <w:rsid w:val="001F4954"/>
    <w:rsid w:val="001F5681"/>
    <w:rsid w:val="001F5BAA"/>
    <w:rsid w:val="001F6046"/>
    <w:rsid w:val="001F6167"/>
    <w:rsid w:val="001F62C5"/>
    <w:rsid w:val="001F6347"/>
    <w:rsid w:val="001F765A"/>
    <w:rsid w:val="001F7C87"/>
    <w:rsid w:val="001F7CE9"/>
    <w:rsid w:val="001F7D62"/>
    <w:rsid w:val="001F7DE0"/>
    <w:rsid w:val="001F7E8A"/>
    <w:rsid w:val="001F7E8E"/>
    <w:rsid w:val="001F7F17"/>
    <w:rsid w:val="00200A41"/>
    <w:rsid w:val="002019B4"/>
    <w:rsid w:val="00201ADB"/>
    <w:rsid w:val="00201E3F"/>
    <w:rsid w:val="00202288"/>
    <w:rsid w:val="002024B4"/>
    <w:rsid w:val="002024BD"/>
    <w:rsid w:val="00202C3B"/>
    <w:rsid w:val="00203451"/>
    <w:rsid w:val="002039F4"/>
    <w:rsid w:val="00203E75"/>
    <w:rsid w:val="002041FB"/>
    <w:rsid w:val="0020427C"/>
    <w:rsid w:val="002044CD"/>
    <w:rsid w:val="002047DF"/>
    <w:rsid w:val="00204810"/>
    <w:rsid w:val="002048F2"/>
    <w:rsid w:val="002050BE"/>
    <w:rsid w:val="00205102"/>
    <w:rsid w:val="0020538E"/>
    <w:rsid w:val="002059B3"/>
    <w:rsid w:val="00205E1D"/>
    <w:rsid w:val="00205F09"/>
    <w:rsid w:val="00206579"/>
    <w:rsid w:val="00206FBD"/>
    <w:rsid w:val="002071FA"/>
    <w:rsid w:val="0020781E"/>
    <w:rsid w:val="002101F5"/>
    <w:rsid w:val="00210225"/>
    <w:rsid w:val="002104CC"/>
    <w:rsid w:val="002105AA"/>
    <w:rsid w:val="00210743"/>
    <w:rsid w:val="00210B58"/>
    <w:rsid w:val="00210C0B"/>
    <w:rsid w:val="00210DDF"/>
    <w:rsid w:val="002110B7"/>
    <w:rsid w:val="002113F2"/>
    <w:rsid w:val="002118D3"/>
    <w:rsid w:val="00211BD4"/>
    <w:rsid w:val="00211CA6"/>
    <w:rsid w:val="00211D09"/>
    <w:rsid w:val="0021238B"/>
    <w:rsid w:val="00212648"/>
    <w:rsid w:val="002128F7"/>
    <w:rsid w:val="0021305E"/>
    <w:rsid w:val="00213874"/>
    <w:rsid w:val="002141D9"/>
    <w:rsid w:val="00214CC0"/>
    <w:rsid w:val="00214E2D"/>
    <w:rsid w:val="00214EE5"/>
    <w:rsid w:val="002150F0"/>
    <w:rsid w:val="00216709"/>
    <w:rsid w:val="0021718C"/>
    <w:rsid w:val="002177C6"/>
    <w:rsid w:val="002179D4"/>
    <w:rsid w:val="0022035B"/>
    <w:rsid w:val="0022042D"/>
    <w:rsid w:val="002205D9"/>
    <w:rsid w:val="002206EA"/>
    <w:rsid w:val="00220A18"/>
    <w:rsid w:val="00221230"/>
    <w:rsid w:val="00221B1A"/>
    <w:rsid w:val="002221D2"/>
    <w:rsid w:val="002222AD"/>
    <w:rsid w:val="00222DA3"/>
    <w:rsid w:val="00222DE3"/>
    <w:rsid w:val="002230D9"/>
    <w:rsid w:val="00223A86"/>
    <w:rsid w:val="00223C12"/>
    <w:rsid w:val="00223C88"/>
    <w:rsid w:val="00223EA6"/>
    <w:rsid w:val="002243F6"/>
    <w:rsid w:val="00224492"/>
    <w:rsid w:val="00224923"/>
    <w:rsid w:val="00224CBA"/>
    <w:rsid w:val="00224E35"/>
    <w:rsid w:val="00225171"/>
    <w:rsid w:val="002255C2"/>
    <w:rsid w:val="002267F2"/>
    <w:rsid w:val="00226908"/>
    <w:rsid w:val="00226E7A"/>
    <w:rsid w:val="002274BF"/>
    <w:rsid w:val="00230380"/>
    <w:rsid w:val="002307BA"/>
    <w:rsid w:val="00230EF0"/>
    <w:rsid w:val="00231134"/>
    <w:rsid w:val="002311A5"/>
    <w:rsid w:val="002312FE"/>
    <w:rsid w:val="00231D1E"/>
    <w:rsid w:val="00231DFF"/>
    <w:rsid w:val="00232899"/>
    <w:rsid w:val="002328ED"/>
    <w:rsid w:val="00232E2E"/>
    <w:rsid w:val="00233025"/>
    <w:rsid w:val="00233736"/>
    <w:rsid w:val="0023387F"/>
    <w:rsid w:val="00233B6F"/>
    <w:rsid w:val="00234C43"/>
    <w:rsid w:val="00235193"/>
    <w:rsid w:val="0023535C"/>
    <w:rsid w:val="00235CE8"/>
    <w:rsid w:val="00236069"/>
    <w:rsid w:val="00236701"/>
    <w:rsid w:val="0023681E"/>
    <w:rsid w:val="00236997"/>
    <w:rsid w:val="00236CD9"/>
    <w:rsid w:val="0023740C"/>
    <w:rsid w:val="00237C93"/>
    <w:rsid w:val="0024033F"/>
    <w:rsid w:val="0024063D"/>
    <w:rsid w:val="002407FD"/>
    <w:rsid w:val="00241700"/>
    <w:rsid w:val="002424C4"/>
    <w:rsid w:val="002426D0"/>
    <w:rsid w:val="00242D2D"/>
    <w:rsid w:val="002433D9"/>
    <w:rsid w:val="0024352C"/>
    <w:rsid w:val="0024396C"/>
    <w:rsid w:val="002439E1"/>
    <w:rsid w:val="00243EDE"/>
    <w:rsid w:val="00244180"/>
    <w:rsid w:val="00244536"/>
    <w:rsid w:val="002448FC"/>
    <w:rsid w:val="00245CB2"/>
    <w:rsid w:val="00245DF6"/>
    <w:rsid w:val="00246F45"/>
    <w:rsid w:val="0024748B"/>
    <w:rsid w:val="00247782"/>
    <w:rsid w:val="002477E7"/>
    <w:rsid w:val="002479A5"/>
    <w:rsid w:val="002500E7"/>
    <w:rsid w:val="002506D6"/>
    <w:rsid w:val="00250DE5"/>
    <w:rsid w:val="00251252"/>
    <w:rsid w:val="002514CE"/>
    <w:rsid w:val="0025180B"/>
    <w:rsid w:val="00251B24"/>
    <w:rsid w:val="00252072"/>
    <w:rsid w:val="0025225C"/>
    <w:rsid w:val="0025263B"/>
    <w:rsid w:val="00252644"/>
    <w:rsid w:val="00252AF6"/>
    <w:rsid w:val="00252E21"/>
    <w:rsid w:val="0025369C"/>
    <w:rsid w:val="0025466A"/>
    <w:rsid w:val="0025475F"/>
    <w:rsid w:val="0025486B"/>
    <w:rsid w:val="00254872"/>
    <w:rsid w:val="00254EAC"/>
    <w:rsid w:val="002552FC"/>
    <w:rsid w:val="00255881"/>
    <w:rsid w:val="00255AAE"/>
    <w:rsid w:val="00255C29"/>
    <w:rsid w:val="00255CE4"/>
    <w:rsid w:val="0025617B"/>
    <w:rsid w:val="002563B8"/>
    <w:rsid w:val="00257434"/>
    <w:rsid w:val="00260098"/>
    <w:rsid w:val="002603E4"/>
    <w:rsid w:val="002609AC"/>
    <w:rsid w:val="00261F93"/>
    <w:rsid w:val="002624E4"/>
    <w:rsid w:val="0026290B"/>
    <w:rsid w:val="00262A15"/>
    <w:rsid w:val="00262D51"/>
    <w:rsid w:val="00263805"/>
    <w:rsid w:val="00263B63"/>
    <w:rsid w:val="00264113"/>
    <w:rsid w:val="0026443E"/>
    <w:rsid w:val="00264992"/>
    <w:rsid w:val="00264FB6"/>
    <w:rsid w:val="00266381"/>
    <w:rsid w:val="00266A3A"/>
    <w:rsid w:val="00266D1A"/>
    <w:rsid w:val="002670B0"/>
    <w:rsid w:val="00267240"/>
    <w:rsid w:val="00267439"/>
    <w:rsid w:val="00267C1C"/>
    <w:rsid w:val="00267D0E"/>
    <w:rsid w:val="002703B3"/>
    <w:rsid w:val="00270784"/>
    <w:rsid w:val="00270D0B"/>
    <w:rsid w:val="002711F6"/>
    <w:rsid w:val="002719E5"/>
    <w:rsid w:val="00271AD0"/>
    <w:rsid w:val="00271B01"/>
    <w:rsid w:val="00272140"/>
    <w:rsid w:val="00272DE0"/>
    <w:rsid w:val="00272E6C"/>
    <w:rsid w:val="0027320A"/>
    <w:rsid w:val="00273471"/>
    <w:rsid w:val="002744FF"/>
    <w:rsid w:val="00274D77"/>
    <w:rsid w:val="00275596"/>
    <w:rsid w:val="002755EB"/>
    <w:rsid w:val="0027566D"/>
    <w:rsid w:val="00275930"/>
    <w:rsid w:val="002760A3"/>
    <w:rsid w:val="00276822"/>
    <w:rsid w:val="00276B66"/>
    <w:rsid w:val="00276C61"/>
    <w:rsid w:val="0027743D"/>
    <w:rsid w:val="002775EB"/>
    <w:rsid w:val="00277CBE"/>
    <w:rsid w:val="00277D53"/>
    <w:rsid w:val="00277D89"/>
    <w:rsid w:val="00277EAA"/>
    <w:rsid w:val="00280993"/>
    <w:rsid w:val="00280DA1"/>
    <w:rsid w:val="00281383"/>
    <w:rsid w:val="00281524"/>
    <w:rsid w:val="00281FAC"/>
    <w:rsid w:val="00282611"/>
    <w:rsid w:val="002826FA"/>
    <w:rsid w:val="00282767"/>
    <w:rsid w:val="00282A45"/>
    <w:rsid w:val="00282EF5"/>
    <w:rsid w:val="00283A0F"/>
    <w:rsid w:val="00284739"/>
    <w:rsid w:val="002848CC"/>
    <w:rsid w:val="00284BE0"/>
    <w:rsid w:val="00284E5F"/>
    <w:rsid w:val="00284EE6"/>
    <w:rsid w:val="00284FC7"/>
    <w:rsid w:val="002851AF"/>
    <w:rsid w:val="00285AE2"/>
    <w:rsid w:val="00286724"/>
    <w:rsid w:val="00286A7C"/>
    <w:rsid w:val="00286DE8"/>
    <w:rsid w:val="00286E58"/>
    <w:rsid w:val="00287044"/>
    <w:rsid w:val="00287114"/>
    <w:rsid w:val="0028717A"/>
    <w:rsid w:val="002877F3"/>
    <w:rsid w:val="00287C4A"/>
    <w:rsid w:val="00287EE6"/>
    <w:rsid w:val="00287F70"/>
    <w:rsid w:val="0029087A"/>
    <w:rsid w:val="00290C38"/>
    <w:rsid w:val="00290F3E"/>
    <w:rsid w:val="00291232"/>
    <w:rsid w:val="002916C8"/>
    <w:rsid w:val="00291CE4"/>
    <w:rsid w:val="00292B77"/>
    <w:rsid w:val="00292D9A"/>
    <w:rsid w:val="002935B4"/>
    <w:rsid w:val="002944AB"/>
    <w:rsid w:val="002950EB"/>
    <w:rsid w:val="002951E1"/>
    <w:rsid w:val="00295F1B"/>
    <w:rsid w:val="00296075"/>
    <w:rsid w:val="0029683F"/>
    <w:rsid w:val="002969E2"/>
    <w:rsid w:val="00297C0E"/>
    <w:rsid w:val="00297CE5"/>
    <w:rsid w:val="002A0018"/>
    <w:rsid w:val="002A0183"/>
    <w:rsid w:val="002A0283"/>
    <w:rsid w:val="002A07CD"/>
    <w:rsid w:val="002A0881"/>
    <w:rsid w:val="002A0DC2"/>
    <w:rsid w:val="002A181E"/>
    <w:rsid w:val="002A249B"/>
    <w:rsid w:val="002A30A0"/>
    <w:rsid w:val="002A33EE"/>
    <w:rsid w:val="002A3631"/>
    <w:rsid w:val="002A3A46"/>
    <w:rsid w:val="002A421D"/>
    <w:rsid w:val="002A4225"/>
    <w:rsid w:val="002A45A7"/>
    <w:rsid w:val="002A4897"/>
    <w:rsid w:val="002A4A1E"/>
    <w:rsid w:val="002A4A67"/>
    <w:rsid w:val="002A555E"/>
    <w:rsid w:val="002A58A5"/>
    <w:rsid w:val="002A59D0"/>
    <w:rsid w:val="002A5F77"/>
    <w:rsid w:val="002A6514"/>
    <w:rsid w:val="002A6818"/>
    <w:rsid w:val="002A7430"/>
    <w:rsid w:val="002A7506"/>
    <w:rsid w:val="002A774B"/>
    <w:rsid w:val="002A79FF"/>
    <w:rsid w:val="002A7B44"/>
    <w:rsid w:val="002A7C27"/>
    <w:rsid w:val="002A7C40"/>
    <w:rsid w:val="002A7F41"/>
    <w:rsid w:val="002B0128"/>
    <w:rsid w:val="002B01BC"/>
    <w:rsid w:val="002B0214"/>
    <w:rsid w:val="002B022F"/>
    <w:rsid w:val="002B0A30"/>
    <w:rsid w:val="002B0E13"/>
    <w:rsid w:val="002B15ED"/>
    <w:rsid w:val="002B19D2"/>
    <w:rsid w:val="002B1C77"/>
    <w:rsid w:val="002B1D56"/>
    <w:rsid w:val="002B212F"/>
    <w:rsid w:val="002B21D8"/>
    <w:rsid w:val="002B244C"/>
    <w:rsid w:val="002B25A2"/>
    <w:rsid w:val="002B2A47"/>
    <w:rsid w:val="002B2C4A"/>
    <w:rsid w:val="002B2F37"/>
    <w:rsid w:val="002B2F9B"/>
    <w:rsid w:val="002B32C7"/>
    <w:rsid w:val="002B35B8"/>
    <w:rsid w:val="002B36BF"/>
    <w:rsid w:val="002B3842"/>
    <w:rsid w:val="002B3A83"/>
    <w:rsid w:val="002B45B5"/>
    <w:rsid w:val="002B4D33"/>
    <w:rsid w:val="002B5AB8"/>
    <w:rsid w:val="002B5B92"/>
    <w:rsid w:val="002B5C21"/>
    <w:rsid w:val="002B5C99"/>
    <w:rsid w:val="002B5F95"/>
    <w:rsid w:val="002B6381"/>
    <w:rsid w:val="002B6385"/>
    <w:rsid w:val="002B6577"/>
    <w:rsid w:val="002B6673"/>
    <w:rsid w:val="002B6689"/>
    <w:rsid w:val="002B6B94"/>
    <w:rsid w:val="002B6EAF"/>
    <w:rsid w:val="002B6F30"/>
    <w:rsid w:val="002B72CB"/>
    <w:rsid w:val="002B77E5"/>
    <w:rsid w:val="002B7A82"/>
    <w:rsid w:val="002B7D1D"/>
    <w:rsid w:val="002C000A"/>
    <w:rsid w:val="002C095D"/>
    <w:rsid w:val="002C10BB"/>
    <w:rsid w:val="002C140D"/>
    <w:rsid w:val="002C14F5"/>
    <w:rsid w:val="002C18C1"/>
    <w:rsid w:val="002C1DF1"/>
    <w:rsid w:val="002C2290"/>
    <w:rsid w:val="002C23B8"/>
    <w:rsid w:val="002C25BB"/>
    <w:rsid w:val="002C260F"/>
    <w:rsid w:val="002C275A"/>
    <w:rsid w:val="002C29A9"/>
    <w:rsid w:val="002C2B0D"/>
    <w:rsid w:val="002C2CF9"/>
    <w:rsid w:val="002C30AB"/>
    <w:rsid w:val="002C30B1"/>
    <w:rsid w:val="002C32D3"/>
    <w:rsid w:val="002C374D"/>
    <w:rsid w:val="002C377F"/>
    <w:rsid w:val="002C384A"/>
    <w:rsid w:val="002C4EA9"/>
    <w:rsid w:val="002C54EA"/>
    <w:rsid w:val="002C554C"/>
    <w:rsid w:val="002C55D8"/>
    <w:rsid w:val="002C58D3"/>
    <w:rsid w:val="002C65EC"/>
    <w:rsid w:val="002C6AEC"/>
    <w:rsid w:val="002C73A7"/>
    <w:rsid w:val="002C7B80"/>
    <w:rsid w:val="002C7C1A"/>
    <w:rsid w:val="002C7C1B"/>
    <w:rsid w:val="002D02D4"/>
    <w:rsid w:val="002D0727"/>
    <w:rsid w:val="002D116C"/>
    <w:rsid w:val="002D147A"/>
    <w:rsid w:val="002D167F"/>
    <w:rsid w:val="002D1F01"/>
    <w:rsid w:val="002D28EA"/>
    <w:rsid w:val="002D3035"/>
    <w:rsid w:val="002D348A"/>
    <w:rsid w:val="002D3A36"/>
    <w:rsid w:val="002D3B2E"/>
    <w:rsid w:val="002D4054"/>
    <w:rsid w:val="002D41B7"/>
    <w:rsid w:val="002D451A"/>
    <w:rsid w:val="002D473F"/>
    <w:rsid w:val="002D476C"/>
    <w:rsid w:val="002D47B4"/>
    <w:rsid w:val="002D4CA0"/>
    <w:rsid w:val="002D4E67"/>
    <w:rsid w:val="002D5365"/>
    <w:rsid w:val="002D5644"/>
    <w:rsid w:val="002D5661"/>
    <w:rsid w:val="002D56EB"/>
    <w:rsid w:val="002D5E4F"/>
    <w:rsid w:val="002D6019"/>
    <w:rsid w:val="002D64F0"/>
    <w:rsid w:val="002D6C86"/>
    <w:rsid w:val="002D6F2A"/>
    <w:rsid w:val="002D71AF"/>
    <w:rsid w:val="002D75BD"/>
    <w:rsid w:val="002D787E"/>
    <w:rsid w:val="002D7D51"/>
    <w:rsid w:val="002D7E91"/>
    <w:rsid w:val="002D7EE3"/>
    <w:rsid w:val="002E08E4"/>
    <w:rsid w:val="002E1B3F"/>
    <w:rsid w:val="002E22CA"/>
    <w:rsid w:val="002E24A6"/>
    <w:rsid w:val="002E2705"/>
    <w:rsid w:val="002E2753"/>
    <w:rsid w:val="002E3031"/>
    <w:rsid w:val="002E3420"/>
    <w:rsid w:val="002E3C89"/>
    <w:rsid w:val="002E3F05"/>
    <w:rsid w:val="002E415C"/>
    <w:rsid w:val="002E4800"/>
    <w:rsid w:val="002E52F6"/>
    <w:rsid w:val="002E57DD"/>
    <w:rsid w:val="002E5E69"/>
    <w:rsid w:val="002E63BA"/>
    <w:rsid w:val="002E67D2"/>
    <w:rsid w:val="002E69B2"/>
    <w:rsid w:val="002E736C"/>
    <w:rsid w:val="002E74D3"/>
    <w:rsid w:val="002E7D91"/>
    <w:rsid w:val="002F0639"/>
    <w:rsid w:val="002F07EE"/>
    <w:rsid w:val="002F0A23"/>
    <w:rsid w:val="002F0BF3"/>
    <w:rsid w:val="002F1162"/>
    <w:rsid w:val="002F17AB"/>
    <w:rsid w:val="002F18CF"/>
    <w:rsid w:val="002F2216"/>
    <w:rsid w:val="002F2EA8"/>
    <w:rsid w:val="002F34F8"/>
    <w:rsid w:val="002F3646"/>
    <w:rsid w:val="002F38B1"/>
    <w:rsid w:val="002F3C40"/>
    <w:rsid w:val="002F4015"/>
    <w:rsid w:val="002F421C"/>
    <w:rsid w:val="002F458D"/>
    <w:rsid w:val="002F4DE1"/>
    <w:rsid w:val="002F5145"/>
    <w:rsid w:val="002F52EC"/>
    <w:rsid w:val="002F53FF"/>
    <w:rsid w:val="002F5D1C"/>
    <w:rsid w:val="002F5FD8"/>
    <w:rsid w:val="002F60E0"/>
    <w:rsid w:val="002F6AB0"/>
    <w:rsid w:val="002F6AD6"/>
    <w:rsid w:val="002F7031"/>
    <w:rsid w:val="002F764F"/>
    <w:rsid w:val="002F7F36"/>
    <w:rsid w:val="0030049A"/>
    <w:rsid w:val="00300598"/>
    <w:rsid w:val="00300F69"/>
    <w:rsid w:val="003010E4"/>
    <w:rsid w:val="003012F9"/>
    <w:rsid w:val="00301346"/>
    <w:rsid w:val="003018FF"/>
    <w:rsid w:val="00301B4B"/>
    <w:rsid w:val="00301C74"/>
    <w:rsid w:val="00302659"/>
    <w:rsid w:val="0030293F"/>
    <w:rsid w:val="00302E15"/>
    <w:rsid w:val="00303139"/>
    <w:rsid w:val="00303341"/>
    <w:rsid w:val="0030338E"/>
    <w:rsid w:val="003036AA"/>
    <w:rsid w:val="00303958"/>
    <w:rsid w:val="003042EE"/>
    <w:rsid w:val="0030462B"/>
    <w:rsid w:val="00304900"/>
    <w:rsid w:val="00304A2C"/>
    <w:rsid w:val="00305398"/>
    <w:rsid w:val="003053BB"/>
    <w:rsid w:val="0030563D"/>
    <w:rsid w:val="003056B6"/>
    <w:rsid w:val="00305D91"/>
    <w:rsid w:val="0030652A"/>
    <w:rsid w:val="00306D62"/>
    <w:rsid w:val="00306EEF"/>
    <w:rsid w:val="00307135"/>
    <w:rsid w:val="00307597"/>
    <w:rsid w:val="0030794C"/>
    <w:rsid w:val="00310006"/>
    <w:rsid w:val="00310ADA"/>
    <w:rsid w:val="0031123A"/>
    <w:rsid w:val="0031181F"/>
    <w:rsid w:val="0031231F"/>
    <w:rsid w:val="00312504"/>
    <w:rsid w:val="0031290A"/>
    <w:rsid w:val="00312AD3"/>
    <w:rsid w:val="00313043"/>
    <w:rsid w:val="00313128"/>
    <w:rsid w:val="00313172"/>
    <w:rsid w:val="00313358"/>
    <w:rsid w:val="00313792"/>
    <w:rsid w:val="0031384D"/>
    <w:rsid w:val="0031400B"/>
    <w:rsid w:val="003141BC"/>
    <w:rsid w:val="0031456C"/>
    <w:rsid w:val="0031496B"/>
    <w:rsid w:val="003150C1"/>
    <w:rsid w:val="003154F3"/>
    <w:rsid w:val="00315794"/>
    <w:rsid w:val="003159AE"/>
    <w:rsid w:val="003159C7"/>
    <w:rsid w:val="00315A3C"/>
    <w:rsid w:val="003165F7"/>
    <w:rsid w:val="00316799"/>
    <w:rsid w:val="0031684C"/>
    <w:rsid w:val="00316A3A"/>
    <w:rsid w:val="00316B17"/>
    <w:rsid w:val="00316B7F"/>
    <w:rsid w:val="00316C33"/>
    <w:rsid w:val="00317175"/>
    <w:rsid w:val="00317A28"/>
    <w:rsid w:val="0032037C"/>
    <w:rsid w:val="00320452"/>
    <w:rsid w:val="00320A39"/>
    <w:rsid w:val="00321165"/>
    <w:rsid w:val="00321289"/>
    <w:rsid w:val="00321826"/>
    <w:rsid w:val="00321894"/>
    <w:rsid w:val="00321E52"/>
    <w:rsid w:val="0032211F"/>
    <w:rsid w:val="003223E7"/>
    <w:rsid w:val="00322537"/>
    <w:rsid w:val="0032272D"/>
    <w:rsid w:val="00322923"/>
    <w:rsid w:val="0032298D"/>
    <w:rsid w:val="003233FE"/>
    <w:rsid w:val="00323440"/>
    <w:rsid w:val="0032349A"/>
    <w:rsid w:val="0032396E"/>
    <w:rsid w:val="00323A0E"/>
    <w:rsid w:val="00323E80"/>
    <w:rsid w:val="00324016"/>
    <w:rsid w:val="0032494A"/>
    <w:rsid w:val="00324B99"/>
    <w:rsid w:val="00324F27"/>
    <w:rsid w:val="003254EA"/>
    <w:rsid w:val="003259D5"/>
    <w:rsid w:val="00325BE5"/>
    <w:rsid w:val="003260C5"/>
    <w:rsid w:val="003262C5"/>
    <w:rsid w:val="0032703F"/>
    <w:rsid w:val="00327586"/>
    <w:rsid w:val="00327989"/>
    <w:rsid w:val="00327B43"/>
    <w:rsid w:val="00327E1D"/>
    <w:rsid w:val="00327EF9"/>
    <w:rsid w:val="003301E5"/>
    <w:rsid w:val="003302D0"/>
    <w:rsid w:val="003309F1"/>
    <w:rsid w:val="00331320"/>
    <w:rsid w:val="003319F8"/>
    <w:rsid w:val="00331D25"/>
    <w:rsid w:val="00331E7F"/>
    <w:rsid w:val="0033204F"/>
    <w:rsid w:val="003321E9"/>
    <w:rsid w:val="00332748"/>
    <w:rsid w:val="00332DF1"/>
    <w:rsid w:val="00333048"/>
    <w:rsid w:val="00333857"/>
    <w:rsid w:val="003338BE"/>
    <w:rsid w:val="00333A7F"/>
    <w:rsid w:val="00333AC8"/>
    <w:rsid w:val="003343FC"/>
    <w:rsid w:val="003351CF"/>
    <w:rsid w:val="00335885"/>
    <w:rsid w:val="0033627E"/>
    <w:rsid w:val="00336499"/>
    <w:rsid w:val="00336AE5"/>
    <w:rsid w:val="00336D8B"/>
    <w:rsid w:val="00337289"/>
    <w:rsid w:val="003377D4"/>
    <w:rsid w:val="00337BB8"/>
    <w:rsid w:val="00337BC9"/>
    <w:rsid w:val="00337C09"/>
    <w:rsid w:val="00337CBC"/>
    <w:rsid w:val="00337DF7"/>
    <w:rsid w:val="003407E1"/>
    <w:rsid w:val="00340F37"/>
    <w:rsid w:val="00340F4F"/>
    <w:rsid w:val="00341020"/>
    <w:rsid w:val="00341235"/>
    <w:rsid w:val="00341490"/>
    <w:rsid w:val="003415C8"/>
    <w:rsid w:val="00341CCD"/>
    <w:rsid w:val="00341E20"/>
    <w:rsid w:val="00341EA2"/>
    <w:rsid w:val="00341F1B"/>
    <w:rsid w:val="003422C5"/>
    <w:rsid w:val="00342EE5"/>
    <w:rsid w:val="003438AF"/>
    <w:rsid w:val="00343B22"/>
    <w:rsid w:val="00344039"/>
    <w:rsid w:val="00344762"/>
    <w:rsid w:val="00344BD7"/>
    <w:rsid w:val="003459C0"/>
    <w:rsid w:val="00346056"/>
    <w:rsid w:val="003466B7"/>
    <w:rsid w:val="00346C1B"/>
    <w:rsid w:val="0034701F"/>
    <w:rsid w:val="0034745B"/>
    <w:rsid w:val="00347DE0"/>
    <w:rsid w:val="003502B3"/>
    <w:rsid w:val="00350368"/>
    <w:rsid w:val="003510E7"/>
    <w:rsid w:val="00352155"/>
    <w:rsid w:val="003521A1"/>
    <w:rsid w:val="0035224D"/>
    <w:rsid w:val="00352961"/>
    <w:rsid w:val="00352A14"/>
    <w:rsid w:val="00352C36"/>
    <w:rsid w:val="00352C38"/>
    <w:rsid w:val="00352CC4"/>
    <w:rsid w:val="00352F58"/>
    <w:rsid w:val="003531BB"/>
    <w:rsid w:val="003539E9"/>
    <w:rsid w:val="00354103"/>
    <w:rsid w:val="0035428C"/>
    <w:rsid w:val="00354A93"/>
    <w:rsid w:val="00354C21"/>
    <w:rsid w:val="00354C4B"/>
    <w:rsid w:val="0035507A"/>
    <w:rsid w:val="00355153"/>
    <w:rsid w:val="0035537A"/>
    <w:rsid w:val="0035592A"/>
    <w:rsid w:val="0035682D"/>
    <w:rsid w:val="003569D9"/>
    <w:rsid w:val="00356AA3"/>
    <w:rsid w:val="00356BC8"/>
    <w:rsid w:val="00356C4E"/>
    <w:rsid w:val="00356FF3"/>
    <w:rsid w:val="00357D70"/>
    <w:rsid w:val="003609E4"/>
    <w:rsid w:val="003611EF"/>
    <w:rsid w:val="003614CE"/>
    <w:rsid w:val="003616D1"/>
    <w:rsid w:val="003617BC"/>
    <w:rsid w:val="00362614"/>
    <w:rsid w:val="00362B2A"/>
    <w:rsid w:val="00362CFB"/>
    <w:rsid w:val="003632AA"/>
    <w:rsid w:val="0036380E"/>
    <w:rsid w:val="00363BEA"/>
    <w:rsid w:val="00363D16"/>
    <w:rsid w:val="003641FD"/>
    <w:rsid w:val="0036499B"/>
    <w:rsid w:val="0036537E"/>
    <w:rsid w:val="00365843"/>
    <w:rsid w:val="0036588B"/>
    <w:rsid w:val="00365D48"/>
    <w:rsid w:val="00366CF5"/>
    <w:rsid w:val="00366F2E"/>
    <w:rsid w:val="0036748F"/>
    <w:rsid w:val="00367570"/>
    <w:rsid w:val="00367781"/>
    <w:rsid w:val="003679CC"/>
    <w:rsid w:val="00367AAA"/>
    <w:rsid w:val="0037069F"/>
    <w:rsid w:val="0037083B"/>
    <w:rsid w:val="00370D3C"/>
    <w:rsid w:val="00370F9F"/>
    <w:rsid w:val="0037106B"/>
    <w:rsid w:val="003717F2"/>
    <w:rsid w:val="0037194E"/>
    <w:rsid w:val="00371E97"/>
    <w:rsid w:val="00372229"/>
    <w:rsid w:val="003730F2"/>
    <w:rsid w:val="003736EA"/>
    <w:rsid w:val="00373787"/>
    <w:rsid w:val="0037383B"/>
    <w:rsid w:val="00374237"/>
    <w:rsid w:val="003743D5"/>
    <w:rsid w:val="00374999"/>
    <w:rsid w:val="00374ADA"/>
    <w:rsid w:val="00375B41"/>
    <w:rsid w:val="003762C2"/>
    <w:rsid w:val="0037662C"/>
    <w:rsid w:val="00376DAE"/>
    <w:rsid w:val="0037718D"/>
    <w:rsid w:val="00377AEF"/>
    <w:rsid w:val="00377BF3"/>
    <w:rsid w:val="00377C6B"/>
    <w:rsid w:val="0038006C"/>
    <w:rsid w:val="00380100"/>
    <w:rsid w:val="0038020D"/>
    <w:rsid w:val="003806A5"/>
    <w:rsid w:val="00381906"/>
    <w:rsid w:val="0038192C"/>
    <w:rsid w:val="00381C46"/>
    <w:rsid w:val="0038253B"/>
    <w:rsid w:val="00382A78"/>
    <w:rsid w:val="0038383A"/>
    <w:rsid w:val="00383EDA"/>
    <w:rsid w:val="00383F01"/>
    <w:rsid w:val="00384AEA"/>
    <w:rsid w:val="003871BB"/>
    <w:rsid w:val="00387360"/>
    <w:rsid w:val="003875BA"/>
    <w:rsid w:val="003876F2"/>
    <w:rsid w:val="00387AB2"/>
    <w:rsid w:val="00387C4B"/>
    <w:rsid w:val="00390013"/>
    <w:rsid w:val="00390330"/>
    <w:rsid w:val="003905BC"/>
    <w:rsid w:val="0039083F"/>
    <w:rsid w:val="0039096E"/>
    <w:rsid w:val="00390FA0"/>
    <w:rsid w:val="003911D5"/>
    <w:rsid w:val="00391612"/>
    <w:rsid w:val="00391699"/>
    <w:rsid w:val="0039225B"/>
    <w:rsid w:val="003922ED"/>
    <w:rsid w:val="00392525"/>
    <w:rsid w:val="0039288B"/>
    <w:rsid w:val="00392A1F"/>
    <w:rsid w:val="00392CD3"/>
    <w:rsid w:val="003934B0"/>
    <w:rsid w:val="00393B41"/>
    <w:rsid w:val="00393D01"/>
    <w:rsid w:val="00393FA1"/>
    <w:rsid w:val="00394AEB"/>
    <w:rsid w:val="00395140"/>
    <w:rsid w:val="0039534F"/>
    <w:rsid w:val="003953D4"/>
    <w:rsid w:val="003954DC"/>
    <w:rsid w:val="00395510"/>
    <w:rsid w:val="00395954"/>
    <w:rsid w:val="00395FCE"/>
    <w:rsid w:val="00396D67"/>
    <w:rsid w:val="00397080"/>
    <w:rsid w:val="003975B1"/>
    <w:rsid w:val="003977C6"/>
    <w:rsid w:val="00397B45"/>
    <w:rsid w:val="003A017D"/>
    <w:rsid w:val="003A061F"/>
    <w:rsid w:val="003A0BFE"/>
    <w:rsid w:val="003A0E33"/>
    <w:rsid w:val="003A1751"/>
    <w:rsid w:val="003A1FF4"/>
    <w:rsid w:val="003A21AF"/>
    <w:rsid w:val="003A2369"/>
    <w:rsid w:val="003A2BEC"/>
    <w:rsid w:val="003A2C57"/>
    <w:rsid w:val="003A37C9"/>
    <w:rsid w:val="003A3A27"/>
    <w:rsid w:val="003A3B87"/>
    <w:rsid w:val="003A3E98"/>
    <w:rsid w:val="003A40CB"/>
    <w:rsid w:val="003A41AA"/>
    <w:rsid w:val="003A4682"/>
    <w:rsid w:val="003A486A"/>
    <w:rsid w:val="003A5281"/>
    <w:rsid w:val="003A54F6"/>
    <w:rsid w:val="003A5710"/>
    <w:rsid w:val="003A589F"/>
    <w:rsid w:val="003A5A0C"/>
    <w:rsid w:val="003A63A6"/>
    <w:rsid w:val="003A6936"/>
    <w:rsid w:val="003A6C70"/>
    <w:rsid w:val="003A6E1A"/>
    <w:rsid w:val="003A7197"/>
    <w:rsid w:val="003A7C0D"/>
    <w:rsid w:val="003B030E"/>
    <w:rsid w:val="003B0315"/>
    <w:rsid w:val="003B07C3"/>
    <w:rsid w:val="003B097A"/>
    <w:rsid w:val="003B0CE4"/>
    <w:rsid w:val="003B0D5C"/>
    <w:rsid w:val="003B1106"/>
    <w:rsid w:val="003B13E2"/>
    <w:rsid w:val="003B197A"/>
    <w:rsid w:val="003B2140"/>
    <w:rsid w:val="003B249D"/>
    <w:rsid w:val="003B39E8"/>
    <w:rsid w:val="003B3BEA"/>
    <w:rsid w:val="003B3C1D"/>
    <w:rsid w:val="003B433F"/>
    <w:rsid w:val="003B438B"/>
    <w:rsid w:val="003B450A"/>
    <w:rsid w:val="003B5185"/>
    <w:rsid w:val="003B5BFC"/>
    <w:rsid w:val="003B62F1"/>
    <w:rsid w:val="003B663A"/>
    <w:rsid w:val="003B6843"/>
    <w:rsid w:val="003B6B33"/>
    <w:rsid w:val="003B726D"/>
    <w:rsid w:val="003C0263"/>
    <w:rsid w:val="003C06AE"/>
    <w:rsid w:val="003C136B"/>
    <w:rsid w:val="003C1460"/>
    <w:rsid w:val="003C15A2"/>
    <w:rsid w:val="003C1B09"/>
    <w:rsid w:val="003C1E91"/>
    <w:rsid w:val="003C1EBF"/>
    <w:rsid w:val="003C208E"/>
    <w:rsid w:val="003C2602"/>
    <w:rsid w:val="003C2B6C"/>
    <w:rsid w:val="003C2CAC"/>
    <w:rsid w:val="003C2E07"/>
    <w:rsid w:val="003C2E76"/>
    <w:rsid w:val="003C365B"/>
    <w:rsid w:val="003C4105"/>
    <w:rsid w:val="003C4548"/>
    <w:rsid w:val="003C549E"/>
    <w:rsid w:val="003C5583"/>
    <w:rsid w:val="003C57A3"/>
    <w:rsid w:val="003C5871"/>
    <w:rsid w:val="003C5A0A"/>
    <w:rsid w:val="003C5CC7"/>
    <w:rsid w:val="003C649E"/>
    <w:rsid w:val="003C69A6"/>
    <w:rsid w:val="003C705A"/>
    <w:rsid w:val="003C78C9"/>
    <w:rsid w:val="003C7E2C"/>
    <w:rsid w:val="003D05EC"/>
    <w:rsid w:val="003D07EB"/>
    <w:rsid w:val="003D0E3A"/>
    <w:rsid w:val="003D0FB7"/>
    <w:rsid w:val="003D1067"/>
    <w:rsid w:val="003D1660"/>
    <w:rsid w:val="003D1B65"/>
    <w:rsid w:val="003D1BAF"/>
    <w:rsid w:val="003D24E0"/>
    <w:rsid w:val="003D255E"/>
    <w:rsid w:val="003D28BA"/>
    <w:rsid w:val="003D2AE7"/>
    <w:rsid w:val="003D2C91"/>
    <w:rsid w:val="003D2F91"/>
    <w:rsid w:val="003D316F"/>
    <w:rsid w:val="003D3418"/>
    <w:rsid w:val="003D3674"/>
    <w:rsid w:val="003D3A15"/>
    <w:rsid w:val="003D3B21"/>
    <w:rsid w:val="003D3CD5"/>
    <w:rsid w:val="003D4012"/>
    <w:rsid w:val="003D4092"/>
    <w:rsid w:val="003D4136"/>
    <w:rsid w:val="003D4681"/>
    <w:rsid w:val="003D4985"/>
    <w:rsid w:val="003D4C71"/>
    <w:rsid w:val="003D4E24"/>
    <w:rsid w:val="003D5130"/>
    <w:rsid w:val="003D57A1"/>
    <w:rsid w:val="003D5CCE"/>
    <w:rsid w:val="003D5CE1"/>
    <w:rsid w:val="003D6A14"/>
    <w:rsid w:val="003D6BF8"/>
    <w:rsid w:val="003D7C06"/>
    <w:rsid w:val="003D7C8B"/>
    <w:rsid w:val="003D7ED6"/>
    <w:rsid w:val="003E0774"/>
    <w:rsid w:val="003E1BF4"/>
    <w:rsid w:val="003E1CB0"/>
    <w:rsid w:val="003E1F1E"/>
    <w:rsid w:val="003E1F71"/>
    <w:rsid w:val="003E2220"/>
    <w:rsid w:val="003E2430"/>
    <w:rsid w:val="003E2A04"/>
    <w:rsid w:val="003E30E9"/>
    <w:rsid w:val="003E396F"/>
    <w:rsid w:val="003E3C91"/>
    <w:rsid w:val="003E425C"/>
    <w:rsid w:val="003E432C"/>
    <w:rsid w:val="003E48BC"/>
    <w:rsid w:val="003E4D09"/>
    <w:rsid w:val="003E5313"/>
    <w:rsid w:val="003E55E4"/>
    <w:rsid w:val="003E56E0"/>
    <w:rsid w:val="003E5712"/>
    <w:rsid w:val="003E586C"/>
    <w:rsid w:val="003E7E4A"/>
    <w:rsid w:val="003F0B8E"/>
    <w:rsid w:val="003F0CA9"/>
    <w:rsid w:val="003F13B5"/>
    <w:rsid w:val="003F1A96"/>
    <w:rsid w:val="003F1B0A"/>
    <w:rsid w:val="003F1D39"/>
    <w:rsid w:val="003F217B"/>
    <w:rsid w:val="003F28FB"/>
    <w:rsid w:val="003F3413"/>
    <w:rsid w:val="003F3484"/>
    <w:rsid w:val="003F34B5"/>
    <w:rsid w:val="003F371E"/>
    <w:rsid w:val="003F3981"/>
    <w:rsid w:val="003F3B75"/>
    <w:rsid w:val="003F4E69"/>
    <w:rsid w:val="003F5415"/>
    <w:rsid w:val="003F5DAB"/>
    <w:rsid w:val="003F6141"/>
    <w:rsid w:val="003F6AC9"/>
    <w:rsid w:val="003F7980"/>
    <w:rsid w:val="003F7B0E"/>
    <w:rsid w:val="004006FD"/>
    <w:rsid w:val="0040087A"/>
    <w:rsid w:val="004009C2"/>
    <w:rsid w:val="004013A9"/>
    <w:rsid w:val="004014D0"/>
    <w:rsid w:val="00401F9E"/>
    <w:rsid w:val="0040274A"/>
    <w:rsid w:val="00402A77"/>
    <w:rsid w:val="00402E4B"/>
    <w:rsid w:val="00403D95"/>
    <w:rsid w:val="004047D0"/>
    <w:rsid w:val="00404A14"/>
    <w:rsid w:val="00404D06"/>
    <w:rsid w:val="00405CD2"/>
    <w:rsid w:val="00405D8D"/>
    <w:rsid w:val="00406484"/>
    <w:rsid w:val="00406986"/>
    <w:rsid w:val="004069C3"/>
    <w:rsid w:val="00406A98"/>
    <w:rsid w:val="0040713B"/>
    <w:rsid w:val="0040770D"/>
    <w:rsid w:val="00407736"/>
    <w:rsid w:val="00407AB7"/>
    <w:rsid w:val="00407D8A"/>
    <w:rsid w:val="0041067C"/>
    <w:rsid w:val="00410B31"/>
    <w:rsid w:val="00410B90"/>
    <w:rsid w:val="00410F79"/>
    <w:rsid w:val="0041121E"/>
    <w:rsid w:val="0041136B"/>
    <w:rsid w:val="00411EB1"/>
    <w:rsid w:val="00411F08"/>
    <w:rsid w:val="00412174"/>
    <w:rsid w:val="0041257F"/>
    <w:rsid w:val="004126DC"/>
    <w:rsid w:val="00412769"/>
    <w:rsid w:val="004127A2"/>
    <w:rsid w:val="00412865"/>
    <w:rsid w:val="00412BD0"/>
    <w:rsid w:val="00412CF5"/>
    <w:rsid w:val="00413702"/>
    <w:rsid w:val="004138B6"/>
    <w:rsid w:val="00413E3D"/>
    <w:rsid w:val="00414214"/>
    <w:rsid w:val="004144EF"/>
    <w:rsid w:val="00414C2E"/>
    <w:rsid w:val="004154C1"/>
    <w:rsid w:val="00415EB4"/>
    <w:rsid w:val="004160F2"/>
    <w:rsid w:val="0041616F"/>
    <w:rsid w:val="004165F6"/>
    <w:rsid w:val="00416C1D"/>
    <w:rsid w:val="00416FE9"/>
    <w:rsid w:val="004175BE"/>
    <w:rsid w:val="00417873"/>
    <w:rsid w:val="00417D01"/>
    <w:rsid w:val="004206E8"/>
    <w:rsid w:val="00420BD2"/>
    <w:rsid w:val="0042107D"/>
    <w:rsid w:val="0042196F"/>
    <w:rsid w:val="00421C82"/>
    <w:rsid w:val="00421F30"/>
    <w:rsid w:val="00422292"/>
    <w:rsid w:val="004230EC"/>
    <w:rsid w:val="00423AE4"/>
    <w:rsid w:val="00423FD6"/>
    <w:rsid w:val="00424E2F"/>
    <w:rsid w:val="00424EA3"/>
    <w:rsid w:val="0042502B"/>
    <w:rsid w:val="004257AA"/>
    <w:rsid w:val="00425C4C"/>
    <w:rsid w:val="00426282"/>
    <w:rsid w:val="004264FD"/>
    <w:rsid w:val="00426BBA"/>
    <w:rsid w:val="00427257"/>
    <w:rsid w:val="0042725D"/>
    <w:rsid w:val="00427CD3"/>
    <w:rsid w:val="0043000C"/>
    <w:rsid w:val="00430132"/>
    <w:rsid w:val="0043083C"/>
    <w:rsid w:val="00430BAA"/>
    <w:rsid w:val="0043109F"/>
    <w:rsid w:val="004313B4"/>
    <w:rsid w:val="00431539"/>
    <w:rsid w:val="0043191F"/>
    <w:rsid w:val="00431C61"/>
    <w:rsid w:val="00431F09"/>
    <w:rsid w:val="00432074"/>
    <w:rsid w:val="00432973"/>
    <w:rsid w:val="00432A47"/>
    <w:rsid w:val="00432FBD"/>
    <w:rsid w:val="00434565"/>
    <w:rsid w:val="00434AB1"/>
    <w:rsid w:val="00434C00"/>
    <w:rsid w:val="00434EDD"/>
    <w:rsid w:val="00435C5B"/>
    <w:rsid w:val="0043676D"/>
    <w:rsid w:val="00436CA9"/>
    <w:rsid w:val="00436E78"/>
    <w:rsid w:val="004378D5"/>
    <w:rsid w:val="00437B7A"/>
    <w:rsid w:val="00437BC8"/>
    <w:rsid w:val="00440441"/>
    <w:rsid w:val="00440AEF"/>
    <w:rsid w:val="004422A2"/>
    <w:rsid w:val="0044248C"/>
    <w:rsid w:val="004424EF"/>
    <w:rsid w:val="00443150"/>
    <w:rsid w:val="0044349B"/>
    <w:rsid w:val="00443893"/>
    <w:rsid w:val="004439DC"/>
    <w:rsid w:val="00443C26"/>
    <w:rsid w:val="00443CCC"/>
    <w:rsid w:val="00443FC0"/>
    <w:rsid w:val="00444649"/>
    <w:rsid w:val="00444864"/>
    <w:rsid w:val="00445B9C"/>
    <w:rsid w:val="00446661"/>
    <w:rsid w:val="004466D3"/>
    <w:rsid w:val="00446FFE"/>
    <w:rsid w:val="00447263"/>
    <w:rsid w:val="004475BE"/>
    <w:rsid w:val="00447886"/>
    <w:rsid w:val="00447D6F"/>
    <w:rsid w:val="004506B2"/>
    <w:rsid w:val="00451237"/>
    <w:rsid w:val="0045165B"/>
    <w:rsid w:val="004516C9"/>
    <w:rsid w:val="00451B3A"/>
    <w:rsid w:val="00451F4B"/>
    <w:rsid w:val="004520FE"/>
    <w:rsid w:val="004521F1"/>
    <w:rsid w:val="00452456"/>
    <w:rsid w:val="00452C74"/>
    <w:rsid w:val="00452E33"/>
    <w:rsid w:val="004533C3"/>
    <w:rsid w:val="00453588"/>
    <w:rsid w:val="00453CC3"/>
    <w:rsid w:val="00453E0C"/>
    <w:rsid w:val="00454497"/>
    <w:rsid w:val="0045469A"/>
    <w:rsid w:val="00454BA2"/>
    <w:rsid w:val="00454F45"/>
    <w:rsid w:val="00455E2F"/>
    <w:rsid w:val="0045621E"/>
    <w:rsid w:val="00456B2C"/>
    <w:rsid w:val="00456E9C"/>
    <w:rsid w:val="00456EA4"/>
    <w:rsid w:val="00457AB7"/>
    <w:rsid w:val="0046034E"/>
    <w:rsid w:val="0046057B"/>
    <w:rsid w:val="0046058C"/>
    <w:rsid w:val="00461105"/>
    <w:rsid w:val="004617A6"/>
    <w:rsid w:val="004620E0"/>
    <w:rsid w:val="0046216F"/>
    <w:rsid w:val="0046268E"/>
    <w:rsid w:val="00462735"/>
    <w:rsid w:val="00462834"/>
    <w:rsid w:val="004628CC"/>
    <w:rsid w:val="0046298F"/>
    <w:rsid w:val="00463B69"/>
    <w:rsid w:val="0046492C"/>
    <w:rsid w:val="004650C1"/>
    <w:rsid w:val="004651B4"/>
    <w:rsid w:val="00465B7C"/>
    <w:rsid w:val="00465BCC"/>
    <w:rsid w:val="00466306"/>
    <w:rsid w:val="0046631E"/>
    <w:rsid w:val="0046643B"/>
    <w:rsid w:val="0046683C"/>
    <w:rsid w:val="00466B61"/>
    <w:rsid w:val="00466BCF"/>
    <w:rsid w:val="00467B8F"/>
    <w:rsid w:val="0047008D"/>
    <w:rsid w:val="004703FF"/>
    <w:rsid w:val="004708A6"/>
    <w:rsid w:val="004713B2"/>
    <w:rsid w:val="004717DC"/>
    <w:rsid w:val="00472684"/>
    <w:rsid w:val="00472989"/>
    <w:rsid w:val="00472FA1"/>
    <w:rsid w:val="0047331D"/>
    <w:rsid w:val="0047415F"/>
    <w:rsid w:val="00474579"/>
    <w:rsid w:val="00474671"/>
    <w:rsid w:val="004746AF"/>
    <w:rsid w:val="00474A18"/>
    <w:rsid w:val="00474AA1"/>
    <w:rsid w:val="00474DCE"/>
    <w:rsid w:val="0047534F"/>
    <w:rsid w:val="00475807"/>
    <w:rsid w:val="00475A27"/>
    <w:rsid w:val="00475F07"/>
    <w:rsid w:val="004760FC"/>
    <w:rsid w:val="004766C1"/>
    <w:rsid w:val="004767B5"/>
    <w:rsid w:val="004769FC"/>
    <w:rsid w:val="00476C99"/>
    <w:rsid w:val="00477015"/>
    <w:rsid w:val="0047710B"/>
    <w:rsid w:val="00477E85"/>
    <w:rsid w:val="00477F19"/>
    <w:rsid w:val="00480400"/>
    <w:rsid w:val="0048057D"/>
    <w:rsid w:val="004805CC"/>
    <w:rsid w:val="0048065A"/>
    <w:rsid w:val="00480E1B"/>
    <w:rsid w:val="00480FE1"/>
    <w:rsid w:val="00481302"/>
    <w:rsid w:val="004819CF"/>
    <w:rsid w:val="004819FF"/>
    <w:rsid w:val="00481AB4"/>
    <w:rsid w:val="00481D13"/>
    <w:rsid w:val="00481EDE"/>
    <w:rsid w:val="004821E7"/>
    <w:rsid w:val="00482344"/>
    <w:rsid w:val="004825E7"/>
    <w:rsid w:val="004829D9"/>
    <w:rsid w:val="00482B11"/>
    <w:rsid w:val="00482C48"/>
    <w:rsid w:val="00482F12"/>
    <w:rsid w:val="00483613"/>
    <w:rsid w:val="004837E9"/>
    <w:rsid w:val="00483B90"/>
    <w:rsid w:val="00483C9A"/>
    <w:rsid w:val="00483E53"/>
    <w:rsid w:val="0048401D"/>
    <w:rsid w:val="00484110"/>
    <w:rsid w:val="0048438B"/>
    <w:rsid w:val="00484925"/>
    <w:rsid w:val="00484E8C"/>
    <w:rsid w:val="004851D3"/>
    <w:rsid w:val="00486030"/>
    <w:rsid w:val="00486A46"/>
    <w:rsid w:val="00486F62"/>
    <w:rsid w:val="004873A8"/>
    <w:rsid w:val="0048756E"/>
    <w:rsid w:val="004900B5"/>
    <w:rsid w:val="0049015C"/>
    <w:rsid w:val="0049015E"/>
    <w:rsid w:val="00490680"/>
    <w:rsid w:val="00490760"/>
    <w:rsid w:val="0049092D"/>
    <w:rsid w:val="00490A7E"/>
    <w:rsid w:val="00490AD6"/>
    <w:rsid w:val="004915AC"/>
    <w:rsid w:val="004916C0"/>
    <w:rsid w:val="004917A4"/>
    <w:rsid w:val="00491CC0"/>
    <w:rsid w:val="004920E6"/>
    <w:rsid w:val="004924D8"/>
    <w:rsid w:val="00492857"/>
    <w:rsid w:val="00492942"/>
    <w:rsid w:val="00492FA7"/>
    <w:rsid w:val="004931DD"/>
    <w:rsid w:val="004934A2"/>
    <w:rsid w:val="0049354A"/>
    <w:rsid w:val="00493656"/>
    <w:rsid w:val="00493C97"/>
    <w:rsid w:val="0049497D"/>
    <w:rsid w:val="004952D7"/>
    <w:rsid w:val="004958E1"/>
    <w:rsid w:val="00495EA9"/>
    <w:rsid w:val="00495FCE"/>
    <w:rsid w:val="00496466"/>
    <w:rsid w:val="0049733E"/>
    <w:rsid w:val="00497B12"/>
    <w:rsid w:val="00497FA2"/>
    <w:rsid w:val="004A04C3"/>
    <w:rsid w:val="004A0714"/>
    <w:rsid w:val="004A0B22"/>
    <w:rsid w:val="004A0C15"/>
    <w:rsid w:val="004A0C60"/>
    <w:rsid w:val="004A1094"/>
    <w:rsid w:val="004A17A4"/>
    <w:rsid w:val="004A1E66"/>
    <w:rsid w:val="004A25BE"/>
    <w:rsid w:val="004A3DCA"/>
    <w:rsid w:val="004A4844"/>
    <w:rsid w:val="004A48A7"/>
    <w:rsid w:val="004A4C3D"/>
    <w:rsid w:val="004A4E21"/>
    <w:rsid w:val="004A4EC5"/>
    <w:rsid w:val="004A5315"/>
    <w:rsid w:val="004A5687"/>
    <w:rsid w:val="004A5867"/>
    <w:rsid w:val="004A58D2"/>
    <w:rsid w:val="004A5937"/>
    <w:rsid w:val="004A5CA1"/>
    <w:rsid w:val="004A5FF4"/>
    <w:rsid w:val="004A6145"/>
    <w:rsid w:val="004A675C"/>
    <w:rsid w:val="004A686E"/>
    <w:rsid w:val="004A740B"/>
    <w:rsid w:val="004A7803"/>
    <w:rsid w:val="004A7A7D"/>
    <w:rsid w:val="004B02B1"/>
    <w:rsid w:val="004B02FA"/>
    <w:rsid w:val="004B0B0D"/>
    <w:rsid w:val="004B0D82"/>
    <w:rsid w:val="004B0DA2"/>
    <w:rsid w:val="004B0DD5"/>
    <w:rsid w:val="004B1A27"/>
    <w:rsid w:val="004B29F8"/>
    <w:rsid w:val="004B3EE1"/>
    <w:rsid w:val="004B406D"/>
    <w:rsid w:val="004B41CA"/>
    <w:rsid w:val="004B45EE"/>
    <w:rsid w:val="004B4B45"/>
    <w:rsid w:val="004B52E5"/>
    <w:rsid w:val="004B5402"/>
    <w:rsid w:val="004B5484"/>
    <w:rsid w:val="004B54A1"/>
    <w:rsid w:val="004B5B97"/>
    <w:rsid w:val="004B5E14"/>
    <w:rsid w:val="004B6063"/>
    <w:rsid w:val="004B7133"/>
    <w:rsid w:val="004B771F"/>
    <w:rsid w:val="004B7C3E"/>
    <w:rsid w:val="004B7D01"/>
    <w:rsid w:val="004C0109"/>
    <w:rsid w:val="004C1443"/>
    <w:rsid w:val="004C1488"/>
    <w:rsid w:val="004C1771"/>
    <w:rsid w:val="004C1894"/>
    <w:rsid w:val="004C1E61"/>
    <w:rsid w:val="004C20FA"/>
    <w:rsid w:val="004C25FE"/>
    <w:rsid w:val="004C2CD6"/>
    <w:rsid w:val="004C314C"/>
    <w:rsid w:val="004C32C8"/>
    <w:rsid w:val="004C38A9"/>
    <w:rsid w:val="004C3AAE"/>
    <w:rsid w:val="004C40CA"/>
    <w:rsid w:val="004C4D2B"/>
    <w:rsid w:val="004C4E3E"/>
    <w:rsid w:val="004C5452"/>
    <w:rsid w:val="004C5532"/>
    <w:rsid w:val="004C6222"/>
    <w:rsid w:val="004C6B30"/>
    <w:rsid w:val="004C6C2A"/>
    <w:rsid w:val="004C6DC3"/>
    <w:rsid w:val="004C7E9D"/>
    <w:rsid w:val="004C7EC4"/>
    <w:rsid w:val="004C7F9E"/>
    <w:rsid w:val="004D085F"/>
    <w:rsid w:val="004D0F9A"/>
    <w:rsid w:val="004D16B1"/>
    <w:rsid w:val="004D1ACB"/>
    <w:rsid w:val="004D1AD7"/>
    <w:rsid w:val="004D1C8E"/>
    <w:rsid w:val="004D1FFB"/>
    <w:rsid w:val="004D29E5"/>
    <w:rsid w:val="004D334E"/>
    <w:rsid w:val="004D3578"/>
    <w:rsid w:val="004D3750"/>
    <w:rsid w:val="004D3E77"/>
    <w:rsid w:val="004D400A"/>
    <w:rsid w:val="004D4413"/>
    <w:rsid w:val="004D44B0"/>
    <w:rsid w:val="004D488F"/>
    <w:rsid w:val="004D584E"/>
    <w:rsid w:val="004D591E"/>
    <w:rsid w:val="004D6037"/>
    <w:rsid w:val="004D6160"/>
    <w:rsid w:val="004D6D9D"/>
    <w:rsid w:val="004D6E67"/>
    <w:rsid w:val="004E139E"/>
    <w:rsid w:val="004E1C0E"/>
    <w:rsid w:val="004E1D10"/>
    <w:rsid w:val="004E1F16"/>
    <w:rsid w:val="004E20DC"/>
    <w:rsid w:val="004E22CE"/>
    <w:rsid w:val="004E2A31"/>
    <w:rsid w:val="004E2D91"/>
    <w:rsid w:val="004E3005"/>
    <w:rsid w:val="004E317E"/>
    <w:rsid w:val="004E37E3"/>
    <w:rsid w:val="004E39A8"/>
    <w:rsid w:val="004E3CBC"/>
    <w:rsid w:val="004E4009"/>
    <w:rsid w:val="004E404C"/>
    <w:rsid w:val="004E4072"/>
    <w:rsid w:val="004E436D"/>
    <w:rsid w:val="004E43F2"/>
    <w:rsid w:val="004E4430"/>
    <w:rsid w:val="004E44CC"/>
    <w:rsid w:val="004E4512"/>
    <w:rsid w:val="004E4880"/>
    <w:rsid w:val="004E565C"/>
    <w:rsid w:val="004E620D"/>
    <w:rsid w:val="004E6B5F"/>
    <w:rsid w:val="004E6F5A"/>
    <w:rsid w:val="004E71A5"/>
    <w:rsid w:val="004E765E"/>
    <w:rsid w:val="004E7755"/>
    <w:rsid w:val="004E77CF"/>
    <w:rsid w:val="004E7C0A"/>
    <w:rsid w:val="004E7F2E"/>
    <w:rsid w:val="004F0038"/>
    <w:rsid w:val="004F0941"/>
    <w:rsid w:val="004F0A08"/>
    <w:rsid w:val="004F1126"/>
    <w:rsid w:val="004F1349"/>
    <w:rsid w:val="004F1409"/>
    <w:rsid w:val="004F19F1"/>
    <w:rsid w:val="004F1C61"/>
    <w:rsid w:val="004F1CB7"/>
    <w:rsid w:val="004F1E85"/>
    <w:rsid w:val="004F2089"/>
    <w:rsid w:val="004F2097"/>
    <w:rsid w:val="004F2445"/>
    <w:rsid w:val="004F254A"/>
    <w:rsid w:val="004F2AB0"/>
    <w:rsid w:val="004F2B47"/>
    <w:rsid w:val="004F40F8"/>
    <w:rsid w:val="004F4371"/>
    <w:rsid w:val="004F4528"/>
    <w:rsid w:val="004F4AE8"/>
    <w:rsid w:val="004F5465"/>
    <w:rsid w:val="004F573C"/>
    <w:rsid w:val="004F5E14"/>
    <w:rsid w:val="004F5F7F"/>
    <w:rsid w:val="004F69C4"/>
    <w:rsid w:val="004F6A29"/>
    <w:rsid w:val="004F72CF"/>
    <w:rsid w:val="004F7744"/>
    <w:rsid w:val="004F79FF"/>
    <w:rsid w:val="004F7BB6"/>
    <w:rsid w:val="004F7DD3"/>
    <w:rsid w:val="0050057F"/>
    <w:rsid w:val="0050091F"/>
    <w:rsid w:val="00500A0D"/>
    <w:rsid w:val="00500E65"/>
    <w:rsid w:val="00501A7E"/>
    <w:rsid w:val="00501E81"/>
    <w:rsid w:val="00502150"/>
    <w:rsid w:val="00502409"/>
    <w:rsid w:val="0050244A"/>
    <w:rsid w:val="00502717"/>
    <w:rsid w:val="005028E5"/>
    <w:rsid w:val="00502D8C"/>
    <w:rsid w:val="00502E67"/>
    <w:rsid w:val="00503486"/>
    <w:rsid w:val="00503544"/>
    <w:rsid w:val="005035DE"/>
    <w:rsid w:val="00503AC2"/>
    <w:rsid w:val="00503E6D"/>
    <w:rsid w:val="00504049"/>
    <w:rsid w:val="00504413"/>
    <w:rsid w:val="005047F9"/>
    <w:rsid w:val="0050486B"/>
    <w:rsid w:val="00505515"/>
    <w:rsid w:val="0050556D"/>
    <w:rsid w:val="005063DC"/>
    <w:rsid w:val="00506B26"/>
    <w:rsid w:val="00506B2D"/>
    <w:rsid w:val="00506C8B"/>
    <w:rsid w:val="005071AA"/>
    <w:rsid w:val="00507204"/>
    <w:rsid w:val="00507346"/>
    <w:rsid w:val="0050799C"/>
    <w:rsid w:val="00507DFE"/>
    <w:rsid w:val="00507F59"/>
    <w:rsid w:val="00510291"/>
    <w:rsid w:val="00510442"/>
    <w:rsid w:val="00510A37"/>
    <w:rsid w:val="00510DCA"/>
    <w:rsid w:val="00510EE4"/>
    <w:rsid w:val="0051178A"/>
    <w:rsid w:val="00511E7F"/>
    <w:rsid w:val="00511F3F"/>
    <w:rsid w:val="00511F6E"/>
    <w:rsid w:val="0051213E"/>
    <w:rsid w:val="005121A6"/>
    <w:rsid w:val="005126F6"/>
    <w:rsid w:val="00512839"/>
    <w:rsid w:val="00512871"/>
    <w:rsid w:val="0051307B"/>
    <w:rsid w:val="00513823"/>
    <w:rsid w:val="00513ABE"/>
    <w:rsid w:val="00513D40"/>
    <w:rsid w:val="005142B7"/>
    <w:rsid w:val="0051448B"/>
    <w:rsid w:val="00514553"/>
    <w:rsid w:val="00514937"/>
    <w:rsid w:val="005151B3"/>
    <w:rsid w:val="005151EE"/>
    <w:rsid w:val="0051556D"/>
    <w:rsid w:val="00515887"/>
    <w:rsid w:val="00515D67"/>
    <w:rsid w:val="00516715"/>
    <w:rsid w:val="00517544"/>
    <w:rsid w:val="0051793B"/>
    <w:rsid w:val="0052007E"/>
    <w:rsid w:val="005206B8"/>
    <w:rsid w:val="00520CA1"/>
    <w:rsid w:val="00521865"/>
    <w:rsid w:val="005219F5"/>
    <w:rsid w:val="00521A39"/>
    <w:rsid w:val="00521B0A"/>
    <w:rsid w:val="00521C0C"/>
    <w:rsid w:val="00521E2E"/>
    <w:rsid w:val="00521FA3"/>
    <w:rsid w:val="0052252F"/>
    <w:rsid w:val="0052272C"/>
    <w:rsid w:val="0052296A"/>
    <w:rsid w:val="00522C74"/>
    <w:rsid w:val="00523171"/>
    <w:rsid w:val="00523BCD"/>
    <w:rsid w:val="0052484E"/>
    <w:rsid w:val="005250CF"/>
    <w:rsid w:val="0052551B"/>
    <w:rsid w:val="005258D0"/>
    <w:rsid w:val="00525E89"/>
    <w:rsid w:val="00525F54"/>
    <w:rsid w:val="00526458"/>
    <w:rsid w:val="005267F9"/>
    <w:rsid w:val="00526D1E"/>
    <w:rsid w:val="005271C8"/>
    <w:rsid w:val="00527889"/>
    <w:rsid w:val="005279D4"/>
    <w:rsid w:val="00527A13"/>
    <w:rsid w:val="00527DD3"/>
    <w:rsid w:val="0053015E"/>
    <w:rsid w:val="00530B24"/>
    <w:rsid w:val="0053142E"/>
    <w:rsid w:val="005319C5"/>
    <w:rsid w:val="005320B0"/>
    <w:rsid w:val="00532532"/>
    <w:rsid w:val="00532A20"/>
    <w:rsid w:val="00533271"/>
    <w:rsid w:val="00533C1D"/>
    <w:rsid w:val="00533DB7"/>
    <w:rsid w:val="00533FE9"/>
    <w:rsid w:val="005341BE"/>
    <w:rsid w:val="005350BC"/>
    <w:rsid w:val="00535FDA"/>
    <w:rsid w:val="005360A4"/>
    <w:rsid w:val="00536290"/>
    <w:rsid w:val="00536638"/>
    <w:rsid w:val="005366B3"/>
    <w:rsid w:val="00537ABF"/>
    <w:rsid w:val="00537B30"/>
    <w:rsid w:val="00537B3E"/>
    <w:rsid w:val="0054000A"/>
    <w:rsid w:val="005414FA"/>
    <w:rsid w:val="00542343"/>
    <w:rsid w:val="00542587"/>
    <w:rsid w:val="00542BF0"/>
    <w:rsid w:val="00543799"/>
    <w:rsid w:val="0054391E"/>
    <w:rsid w:val="00543B16"/>
    <w:rsid w:val="00543BD0"/>
    <w:rsid w:val="00544AD9"/>
    <w:rsid w:val="00544C3E"/>
    <w:rsid w:val="00544CEF"/>
    <w:rsid w:val="005452D5"/>
    <w:rsid w:val="00545639"/>
    <w:rsid w:val="005457A3"/>
    <w:rsid w:val="00545E1C"/>
    <w:rsid w:val="00545EF0"/>
    <w:rsid w:val="0054619B"/>
    <w:rsid w:val="00546782"/>
    <w:rsid w:val="0054689A"/>
    <w:rsid w:val="0054717A"/>
    <w:rsid w:val="00547988"/>
    <w:rsid w:val="0055054F"/>
    <w:rsid w:val="005505EF"/>
    <w:rsid w:val="00550C75"/>
    <w:rsid w:val="00550CF7"/>
    <w:rsid w:val="00550D59"/>
    <w:rsid w:val="00550DA4"/>
    <w:rsid w:val="00550E17"/>
    <w:rsid w:val="005515E0"/>
    <w:rsid w:val="00551EA6"/>
    <w:rsid w:val="00551F5E"/>
    <w:rsid w:val="00552254"/>
    <w:rsid w:val="0055350E"/>
    <w:rsid w:val="00553A43"/>
    <w:rsid w:val="00554AED"/>
    <w:rsid w:val="00554E47"/>
    <w:rsid w:val="005550C7"/>
    <w:rsid w:val="00555551"/>
    <w:rsid w:val="005556DA"/>
    <w:rsid w:val="005558CA"/>
    <w:rsid w:val="00556016"/>
    <w:rsid w:val="005566A6"/>
    <w:rsid w:val="00556BD0"/>
    <w:rsid w:val="005572F2"/>
    <w:rsid w:val="005576C7"/>
    <w:rsid w:val="00557E6B"/>
    <w:rsid w:val="005602A4"/>
    <w:rsid w:val="005602F3"/>
    <w:rsid w:val="005603EB"/>
    <w:rsid w:val="005609DB"/>
    <w:rsid w:val="00560F75"/>
    <w:rsid w:val="005619F9"/>
    <w:rsid w:val="00561AFF"/>
    <w:rsid w:val="00562914"/>
    <w:rsid w:val="00562F0F"/>
    <w:rsid w:val="00563201"/>
    <w:rsid w:val="00563C14"/>
    <w:rsid w:val="00563C31"/>
    <w:rsid w:val="00563D79"/>
    <w:rsid w:val="00563F4F"/>
    <w:rsid w:val="005641CC"/>
    <w:rsid w:val="00564296"/>
    <w:rsid w:val="005649F1"/>
    <w:rsid w:val="00564E74"/>
    <w:rsid w:val="00565039"/>
    <w:rsid w:val="00565922"/>
    <w:rsid w:val="0056596E"/>
    <w:rsid w:val="005659CA"/>
    <w:rsid w:val="00565AF2"/>
    <w:rsid w:val="005666D7"/>
    <w:rsid w:val="00566791"/>
    <w:rsid w:val="00566876"/>
    <w:rsid w:val="005678B1"/>
    <w:rsid w:val="00567FF7"/>
    <w:rsid w:val="0057006A"/>
    <w:rsid w:val="00570460"/>
    <w:rsid w:val="0057048D"/>
    <w:rsid w:val="005705CD"/>
    <w:rsid w:val="005706D6"/>
    <w:rsid w:val="00570748"/>
    <w:rsid w:val="00570809"/>
    <w:rsid w:val="00570D42"/>
    <w:rsid w:val="00570F03"/>
    <w:rsid w:val="00570F3B"/>
    <w:rsid w:val="005711DF"/>
    <w:rsid w:val="00571379"/>
    <w:rsid w:val="005714C9"/>
    <w:rsid w:val="00571FE3"/>
    <w:rsid w:val="0057222A"/>
    <w:rsid w:val="0057281E"/>
    <w:rsid w:val="00572948"/>
    <w:rsid w:val="00572ADC"/>
    <w:rsid w:val="00572CA8"/>
    <w:rsid w:val="00572CB5"/>
    <w:rsid w:val="00573536"/>
    <w:rsid w:val="005737DF"/>
    <w:rsid w:val="0057387E"/>
    <w:rsid w:val="00573989"/>
    <w:rsid w:val="00573D19"/>
    <w:rsid w:val="00574126"/>
    <w:rsid w:val="0057432B"/>
    <w:rsid w:val="00574685"/>
    <w:rsid w:val="0057484B"/>
    <w:rsid w:val="0057638D"/>
    <w:rsid w:val="00576B0B"/>
    <w:rsid w:val="00577151"/>
    <w:rsid w:val="0057740B"/>
    <w:rsid w:val="005775F8"/>
    <w:rsid w:val="0057783E"/>
    <w:rsid w:val="005778BC"/>
    <w:rsid w:val="0058052C"/>
    <w:rsid w:val="00580565"/>
    <w:rsid w:val="005806C4"/>
    <w:rsid w:val="00580D07"/>
    <w:rsid w:val="00580DC3"/>
    <w:rsid w:val="00580E90"/>
    <w:rsid w:val="00581692"/>
    <w:rsid w:val="00581D6F"/>
    <w:rsid w:val="00581EBE"/>
    <w:rsid w:val="00582156"/>
    <w:rsid w:val="00582B11"/>
    <w:rsid w:val="00583724"/>
    <w:rsid w:val="00583A9A"/>
    <w:rsid w:val="005843F7"/>
    <w:rsid w:val="00584E4B"/>
    <w:rsid w:val="00584EB9"/>
    <w:rsid w:val="00585368"/>
    <w:rsid w:val="00585AA1"/>
    <w:rsid w:val="00585AC3"/>
    <w:rsid w:val="00585B81"/>
    <w:rsid w:val="00585C83"/>
    <w:rsid w:val="00586506"/>
    <w:rsid w:val="0058694E"/>
    <w:rsid w:val="00586AD7"/>
    <w:rsid w:val="005873E5"/>
    <w:rsid w:val="0058756C"/>
    <w:rsid w:val="00587586"/>
    <w:rsid w:val="005876A4"/>
    <w:rsid w:val="0058780C"/>
    <w:rsid w:val="00587BF4"/>
    <w:rsid w:val="00590AC0"/>
    <w:rsid w:val="00590C19"/>
    <w:rsid w:val="00590F1C"/>
    <w:rsid w:val="0059149E"/>
    <w:rsid w:val="00591E3E"/>
    <w:rsid w:val="005922A6"/>
    <w:rsid w:val="005924F5"/>
    <w:rsid w:val="00592570"/>
    <w:rsid w:val="00593143"/>
    <w:rsid w:val="005931F4"/>
    <w:rsid w:val="005934A3"/>
    <w:rsid w:val="005936B5"/>
    <w:rsid w:val="00593E49"/>
    <w:rsid w:val="00593FE6"/>
    <w:rsid w:val="005944F9"/>
    <w:rsid w:val="0059475F"/>
    <w:rsid w:val="00594A84"/>
    <w:rsid w:val="0059512E"/>
    <w:rsid w:val="00595491"/>
    <w:rsid w:val="00595876"/>
    <w:rsid w:val="00595B5B"/>
    <w:rsid w:val="00595F77"/>
    <w:rsid w:val="0059613C"/>
    <w:rsid w:val="00596E4A"/>
    <w:rsid w:val="00596E93"/>
    <w:rsid w:val="005971A2"/>
    <w:rsid w:val="00597612"/>
    <w:rsid w:val="00597E17"/>
    <w:rsid w:val="005A0628"/>
    <w:rsid w:val="005A0DAE"/>
    <w:rsid w:val="005A1240"/>
    <w:rsid w:val="005A1271"/>
    <w:rsid w:val="005A1506"/>
    <w:rsid w:val="005A1A44"/>
    <w:rsid w:val="005A1A59"/>
    <w:rsid w:val="005A1E26"/>
    <w:rsid w:val="005A241C"/>
    <w:rsid w:val="005A2796"/>
    <w:rsid w:val="005A2ACD"/>
    <w:rsid w:val="005A2E52"/>
    <w:rsid w:val="005A31C8"/>
    <w:rsid w:val="005A3233"/>
    <w:rsid w:val="005A39AF"/>
    <w:rsid w:val="005A3B69"/>
    <w:rsid w:val="005A3C70"/>
    <w:rsid w:val="005A4156"/>
    <w:rsid w:val="005A47D5"/>
    <w:rsid w:val="005A48BB"/>
    <w:rsid w:val="005A4F8F"/>
    <w:rsid w:val="005A4FAC"/>
    <w:rsid w:val="005A52CD"/>
    <w:rsid w:val="005A5493"/>
    <w:rsid w:val="005A5B01"/>
    <w:rsid w:val="005A5EE6"/>
    <w:rsid w:val="005A5FD6"/>
    <w:rsid w:val="005A65B8"/>
    <w:rsid w:val="005A67FE"/>
    <w:rsid w:val="005A6D8B"/>
    <w:rsid w:val="005A700C"/>
    <w:rsid w:val="005A7644"/>
    <w:rsid w:val="005A77B6"/>
    <w:rsid w:val="005A7AB5"/>
    <w:rsid w:val="005A7F2C"/>
    <w:rsid w:val="005B0676"/>
    <w:rsid w:val="005B088D"/>
    <w:rsid w:val="005B0CCC"/>
    <w:rsid w:val="005B15BE"/>
    <w:rsid w:val="005B1923"/>
    <w:rsid w:val="005B1CAA"/>
    <w:rsid w:val="005B2AA7"/>
    <w:rsid w:val="005B3DB7"/>
    <w:rsid w:val="005B492C"/>
    <w:rsid w:val="005B5301"/>
    <w:rsid w:val="005B5436"/>
    <w:rsid w:val="005B568F"/>
    <w:rsid w:val="005B58B1"/>
    <w:rsid w:val="005B5BBD"/>
    <w:rsid w:val="005B61AA"/>
    <w:rsid w:val="005B6240"/>
    <w:rsid w:val="005B6662"/>
    <w:rsid w:val="005B6A1F"/>
    <w:rsid w:val="005B6DFE"/>
    <w:rsid w:val="005B6E86"/>
    <w:rsid w:val="005B731A"/>
    <w:rsid w:val="005B74AA"/>
    <w:rsid w:val="005B7608"/>
    <w:rsid w:val="005B7B59"/>
    <w:rsid w:val="005B7D8D"/>
    <w:rsid w:val="005C0791"/>
    <w:rsid w:val="005C087D"/>
    <w:rsid w:val="005C0F4C"/>
    <w:rsid w:val="005C22C7"/>
    <w:rsid w:val="005C2744"/>
    <w:rsid w:val="005C3A8E"/>
    <w:rsid w:val="005C3D87"/>
    <w:rsid w:val="005C3E19"/>
    <w:rsid w:val="005C455D"/>
    <w:rsid w:val="005C4EF3"/>
    <w:rsid w:val="005C55DC"/>
    <w:rsid w:val="005C6923"/>
    <w:rsid w:val="005C7DD9"/>
    <w:rsid w:val="005D00E4"/>
    <w:rsid w:val="005D078B"/>
    <w:rsid w:val="005D0D05"/>
    <w:rsid w:val="005D112E"/>
    <w:rsid w:val="005D11C0"/>
    <w:rsid w:val="005D1672"/>
    <w:rsid w:val="005D2958"/>
    <w:rsid w:val="005D2C10"/>
    <w:rsid w:val="005D39DA"/>
    <w:rsid w:val="005D3A1D"/>
    <w:rsid w:val="005D3B5C"/>
    <w:rsid w:val="005D42B0"/>
    <w:rsid w:val="005D4369"/>
    <w:rsid w:val="005D4473"/>
    <w:rsid w:val="005D461E"/>
    <w:rsid w:val="005D4791"/>
    <w:rsid w:val="005D4B2B"/>
    <w:rsid w:val="005D52EF"/>
    <w:rsid w:val="005D52F8"/>
    <w:rsid w:val="005D54D7"/>
    <w:rsid w:val="005D54DE"/>
    <w:rsid w:val="005D55C1"/>
    <w:rsid w:val="005D5F80"/>
    <w:rsid w:val="005D6121"/>
    <w:rsid w:val="005D657E"/>
    <w:rsid w:val="005D65C4"/>
    <w:rsid w:val="005D69BF"/>
    <w:rsid w:val="005D6C14"/>
    <w:rsid w:val="005D6EDD"/>
    <w:rsid w:val="005D6FED"/>
    <w:rsid w:val="005D724E"/>
    <w:rsid w:val="005D738C"/>
    <w:rsid w:val="005D7CA0"/>
    <w:rsid w:val="005D7CDD"/>
    <w:rsid w:val="005D7D57"/>
    <w:rsid w:val="005D7F4B"/>
    <w:rsid w:val="005E011C"/>
    <w:rsid w:val="005E03C8"/>
    <w:rsid w:val="005E090F"/>
    <w:rsid w:val="005E1284"/>
    <w:rsid w:val="005E1873"/>
    <w:rsid w:val="005E1E24"/>
    <w:rsid w:val="005E1EA7"/>
    <w:rsid w:val="005E2083"/>
    <w:rsid w:val="005E21DB"/>
    <w:rsid w:val="005E24DB"/>
    <w:rsid w:val="005E2963"/>
    <w:rsid w:val="005E29D1"/>
    <w:rsid w:val="005E2A80"/>
    <w:rsid w:val="005E2BA1"/>
    <w:rsid w:val="005E2FF0"/>
    <w:rsid w:val="005E3569"/>
    <w:rsid w:val="005E3728"/>
    <w:rsid w:val="005E380C"/>
    <w:rsid w:val="005E3841"/>
    <w:rsid w:val="005E3F6E"/>
    <w:rsid w:val="005E4577"/>
    <w:rsid w:val="005E4760"/>
    <w:rsid w:val="005E4AB8"/>
    <w:rsid w:val="005E4B51"/>
    <w:rsid w:val="005E4BA2"/>
    <w:rsid w:val="005E4CAD"/>
    <w:rsid w:val="005E4E40"/>
    <w:rsid w:val="005E5134"/>
    <w:rsid w:val="005E6348"/>
    <w:rsid w:val="005E6641"/>
    <w:rsid w:val="005E6950"/>
    <w:rsid w:val="005E69D2"/>
    <w:rsid w:val="005E6B1D"/>
    <w:rsid w:val="005E6BB1"/>
    <w:rsid w:val="005E70CD"/>
    <w:rsid w:val="005E7119"/>
    <w:rsid w:val="005F0152"/>
    <w:rsid w:val="005F02E7"/>
    <w:rsid w:val="005F0357"/>
    <w:rsid w:val="005F090A"/>
    <w:rsid w:val="005F15D2"/>
    <w:rsid w:val="005F168D"/>
    <w:rsid w:val="005F1C17"/>
    <w:rsid w:val="005F2807"/>
    <w:rsid w:val="005F2F0B"/>
    <w:rsid w:val="005F356B"/>
    <w:rsid w:val="005F3CB1"/>
    <w:rsid w:val="005F489F"/>
    <w:rsid w:val="005F4C3C"/>
    <w:rsid w:val="005F5323"/>
    <w:rsid w:val="005F56B0"/>
    <w:rsid w:val="005F58D8"/>
    <w:rsid w:val="005F5FC9"/>
    <w:rsid w:val="005F6373"/>
    <w:rsid w:val="005F6690"/>
    <w:rsid w:val="005F6920"/>
    <w:rsid w:val="005F6ACE"/>
    <w:rsid w:val="005F74C2"/>
    <w:rsid w:val="005F74DE"/>
    <w:rsid w:val="005F7971"/>
    <w:rsid w:val="005F7B5C"/>
    <w:rsid w:val="005F7E23"/>
    <w:rsid w:val="00600348"/>
    <w:rsid w:val="0060038D"/>
    <w:rsid w:val="006003BE"/>
    <w:rsid w:val="0060095A"/>
    <w:rsid w:val="00601A71"/>
    <w:rsid w:val="00601D2A"/>
    <w:rsid w:val="00601DD5"/>
    <w:rsid w:val="00601FA2"/>
    <w:rsid w:val="00602606"/>
    <w:rsid w:val="006026A7"/>
    <w:rsid w:val="006033AD"/>
    <w:rsid w:val="00603408"/>
    <w:rsid w:val="006037A3"/>
    <w:rsid w:val="00604077"/>
    <w:rsid w:val="00604DE8"/>
    <w:rsid w:val="00604EBA"/>
    <w:rsid w:val="00605924"/>
    <w:rsid w:val="006059F2"/>
    <w:rsid w:val="00605C3D"/>
    <w:rsid w:val="006068DC"/>
    <w:rsid w:val="006078D3"/>
    <w:rsid w:val="00607CBD"/>
    <w:rsid w:val="00607EB9"/>
    <w:rsid w:val="00610492"/>
    <w:rsid w:val="006109C0"/>
    <w:rsid w:val="00611035"/>
    <w:rsid w:val="0061179C"/>
    <w:rsid w:val="006118AA"/>
    <w:rsid w:val="006118B5"/>
    <w:rsid w:val="00612076"/>
    <w:rsid w:val="0061249F"/>
    <w:rsid w:val="00612CBE"/>
    <w:rsid w:val="00612E8D"/>
    <w:rsid w:val="00613EB8"/>
    <w:rsid w:val="006140CF"/>
    <w:rsid w:val="006141A1"/>
    <w:rsid w:val="00614324"/>
    <w:rsid w:val="00614D01"/>
    <w:rsid w:val="00614DC1"/>
    <w:rsid w:val="006150FD"/>
    <w:rsid w:val="00615FB3"/>
    <w:rsid w:val="006167A1"/>
    <w:rsid w:val="0061682D"/>
    <w:rsid w:val="00616D31"/>
    <w:rsid w:val="0061765B"/>
    <w:rsid w:val="00617753"/>
    <w:rsid w:val="0061782F"/>
    <w:rsid w:val="00617F17"/>
    <w:rsid w:val="006201B5"/>
    <w:rsid w:val="006201BE"/>
    <w:rsid w:val="00620367"/>
    <w:rsid w:val="006214B3"/>
    <w:rsid w:val="00621AEE"/>
    <w:rsid w:val="006221AA"/>
    <w:rsid w:val="00622311"/>
    <w:rsid w:val="00622382"/>
    <w:rsid w:val="00622418"/>
    <w:rsid w:val="00622517"/>
    <w:rsid w:val="0062279D"/>
    <w:rsid w:val="0062286C"/>
    <w:rsid w:val="006228AB"/>
    <w:rsid w:val="00622A4C"/>
    <w:rsid w:val="0062316C"/>
    <w:rsid w:val="00623428"/>
    <w:rsid w:val="0062392A"/>
    <w:rsid w:val="00623A8E"/>
    <w:rsid w:val="00623E8B"/>
    <w:rsid w:val="0062439D"/>
    <w:rsid w:val="00624C7D"/>
    <w:rsid w:val="006250B9"/>
    <w:rsid w:val="0062517A"/>
    <w:rsid w:val="00625199"/>
    <w:rsid w:val="00625B85"/>
    <w:rsid w:val="00626642"/>
    <w:rsid w:val="00626963"/>
    <w:rsid w:val="00626F52"/>
    <w:rsid w:val="00627689"/>
    <w:rsid w:val="006279AD"/>
    <w:rsid w:val="00630511"/>
    <w:rsid w:val="0063087E"/>
    <w:rsid w:val="00630D67"/>
    <w:rsid w:val="00631AC9"/>
    <w:rsid w:val="00631B37"/>
    <w:rsid w:val="006328FE"/>
    <w:rsid w:val="00632BFD"/>
    <w:rsid w:val="00633062"/>
    <w:rsid w:val="00633398"/>
    <w:rsid w:val="0063357C"/>
    <w:rsid w:val="00633DEA"/>
    <w:rsid w:val="00633E77"/>
    <w:rsid w:val="006344CF"/>
    <w:rsid w:val="006348AC"/>
    <w:rsid w:val="0063492C"/>
    <w:rsid w:val="00635FA0"/>
    <w:rsid w:val="00636105"/>
    <w:rsid w:val="00636122"/>
    <w:rsid w:val="00636208"/>
    <w:rsid w:val="00637667"/>
    <w:rsid w:val="006408B6"/>
    <w:rsid w:val="00640EC2"/>
    <w:rsid w:val="006410A5"/>
    <w:rsid w:val="006411DA"/>
    <w:rsid w:val="00641433"/>
    <w:rsid w:val="00641491"/>
    <w:rsid w:val="006415F3"/>
    <w:rsid w:val="00641AEC"/>
    <w:rsid w:val="00641CF5"/>
    <w:rsid w:val="006420CA"/>
    <w:rsid w:val="00642580"/>
    <w:rsid w:val="006428BB"/>
    <w:rsid w:val="006432BB"/>
    <w:rsid w:val="0064336C"/>
    <w:rsid w:val="0064350D"/>
    <w:rsid w:val="00643870"/>
    <w:rsid w:val="00643979"/>
    <w:rsid w:val="00643AD9"/>
    <w:rsid w:val="00643F50"/>
    <w:rsid w:val="006449E5"/>
    <w:rsid w:val="006456C3"/>
    <w:rsid w:val="00645A0C"/>
    <w:rsid w:val="00645A77"/>
    <w:rsid w:val="00647548"/>
    <w:rsid w:val="00647803"/>
    <w:rsid w:val="00647970"/>
    <w:rsid w:val="00647D73"/>
    <w:rsid w:val="00647D8D"/>
    <w:rsid w:val="00651015"/>
    <w:rsid w:val="00651104"/>
    <w:rsid w:val="00651151"/>
    <w:rsid w:val="006524CC"/>
    <w:rsid w:val="00652D41"/>
    <w:rsid w:val="00652FD5"/>
    <w:rsid w:val="006531DE"/>
    <w:rsid w:val="0065370E"/>
    <w:rsid w:val="00653789"/>
    <w:rsid w:val="006538E3"/>
    <w:rsid w:val="00653F44"/>
    <w:rsid w:val="00653FCF"/>
    <w:rsid w:val="006545F9"/>
    <w:rsid w:val="006546C9"/>
    <w:rsid w:val="00654EB9"/>
    <w:rsid w:val="00655424"/>
    <w:rsid w:val="006555BA"/>
    <w:rsid w:val="006558C8"/>
    <w:rsid w:val="00655DAB"/>
    <w:rsid w:val="00655ECD"/>
    <w:rsid w:val="00655F08"/>
    <w:rsid w:val="006567AB"/>
    <w:rsid w:val="00656EF4"/>
    <w:rsid w:val="0065700F"/>
    <w:rsid w:val="006576A2"/>
    <w:rsid w:val="00657F4E"/>
    <w:rsid w:val="006601F0"/>
    <w:rsid w:val="00660F88"/>
    <w:rsid w:val="00661813"/>
    <w:rsid w:val="00661819"/>
    <w:rsid w:val="00661AAA"/>
    <w:rsid w:val="00661F50"/>
    <w:rsid w:val="00661F99"/>
    <w:rsid w:val="006626C4"/>
    <w:rsid w:val="00662BE3"/>
    <w:rsid w:val="0066339F"/>
    <w:rsid w:val="00663909"/>
    <w:rsid w:val="00663AEC"/>
    <w:rsid w:val="00663AF1"/>
    <w:rsid w:val="00663EC3"/>
    <w:rsid w:val="006649E7"/>
    <w:rsid w:val="0066505C"/>
    <w:rsid w:val="00665894"/>
    <w:rsid w:val="006658F5"/>
    <w:rsid w:val="006661F3"/>
    <w:rsid w:val="00666CEC"/>
    <w:rsid w:val="00667502"/>
    <w:rsid w:val="00667D01"/>
    <w:rsid w:val="0067018A"/>
    <w:rsid w:val="00670942"/>
    <w:rsid w:val="006715B0"/>
    <w:rsid w:val="00671642"/>
    <w:rsid w:val="00671705"/>
    <w:rsid w:val="00671879"/>
    <w:rsid w:val="00671B46"/>
    <w:rsid w:val="006721BE"/>
    <w:rsid w:val="00672B08"/>
    <w:rsid w:val="00672FBA"/>
    <w:rsid w:val="00673056"/>
    <w:rsid w:val="00673066"/>
    <w:rsid w:val="00674615"/>
    <w:rsid w:val="00674893"/>
    <w:rsid w:val="00674B2C"/>
    <w:rsid w:val="00674C7C"/>
    <w:rsid w:val="00674CC0"/>
    <w:rsid w:val="00674E4F"/>
    <w:rsid w:val="00675122"/>
    <w:rsid w:val="00675718"/>
    <w:rsid w:val="006758F4"/>
    <w:rsid w:val="00675A1F"/>
    <w:rsid w:val="00675EC9"/>
    <w:rsid w:val="006763E2"/>
    <w:rsid w:val="0067641C"/>
    <w:rsid w:val="0067678F"/>
    <w:rsid w:val="00676A5D"/>
    <w:rsid w:val="006773B4"/>
    <w:rsid w:val="00677F60"/>
    <w:rsid w:val="00680324"/>
    <w:rsid w:val="00680A6C"/>
    <w:rsid w:val="00680B36"/>
    <w:rsid w:val="00680FC3"/>
    <w:rsid w:val="006817A5"/>
    <w:rsid w:val="0068185E"/>
    <w:rsid w:val="006818F7"/>
    <w:rsid w:val="00681B34"/>
    <w:rsid w:val="00681EE6"/>
    <w:rsid w:val="0068229F"/>
    <w:rsid w:val="006828BC"/>
    <w:rsid w:val="0068302F"/>
    <w:rsid w:val="00683200"/>
    <w:rsid w:val="0068384F"/>
    <w:rsid w:val="00683B9D"/>
    <w:rsid w:val="00683DE2"/>
    <w:rsid w:val="00684D9A"/>
    <w:rsid w:val="00684DAB"/>
    <w:rsid w:val="00684F2D"/>
    <w:rsid w:val="0068506B"/>
    <w:rsid w:val="00685BDF"/>
    <w:rsid w:val="00685D1B"/>
    <w:rsid w:val="00685FC2"/>
    <w:rsid w:val="0068640B"/>
    <w:rsid w:val="006867AA"/>
    <w:rsid w:val="00686B50"/>
    <w:rsid w:val="0068701C"/>
    <w:rsid w:val="0068735C"/>
    <w:rsid w:val="00687693"/>
    <w:rsid w:val="00687779"/>
    <w:rsid w:val="00687827"/>
    <w:rsid w:val="006878D2"/>
    <w:rsid w:val="00687902"/>
    <w:rsid w:val="00687AA0"/>
    <w:rsid w:val="00687F60"/>
    <w:rsid w:val="006905DE"/>
    <w:rsid w:val="00690A31"/>
    <w:rsid w:val="00690CB7"/>
    <w:rsid w:val="00691384"/>
    <w:rsid w:val="006922C5"/>
    <w:rsid w:val="00692A50"/>
    <w:rsid w:val="00692CAE"/>
    <w:rsid w:val="00693030"/>
    <w:rsid w:val="00694115"/>
    <w:rsid w:val="00694DFE"/>
    <w:rsid w:val="0069545B"/>
    <w:rsid w:val="00695943"/>
    <w:rsid w:val="00695B33"/>
    <w:rsid w:val="0069621E"/>
    <w:rsid w:val="00696988"/>
    <w:rsid w:val="00696E5B"/>
    <w:rsid w:val="00697759"/>
    <w:rsid w:val="006978EA"/>
    <w:rsid w:val="006979F5"/>
    <w:rsid w:val="00697BE2"/>
    <w:rsid w:val="00697FEB"/>
    <w:rsid w:val="006A001A"/>
    <w:rsid w:val="006A1249"/>
    <w:rsid w:val="006A1684"/>
    <w:rsid w:val="006A180B"/>
    <w:rsid w:val="006A1920"/>
    <w:rsid w:val="006A1AA0"/>
    <w:rsid w:val="006A203C"/>
    <w:rsid w:val="006A217E"/>
    <w:rsid w:val="006A222A"/>
    <w:rsid w:val="006A2755"/>
    <w:rsid w:val="006A27AA"/>
    <w:rsid w:val="006A2945"/>
    <w:rsid w:val="006A297E"/>
    <w:rsid w:val="006A2E97"/>
    <w:rsid w:val="006A2F51"/>
    <w:rsid w:val="006A3447"/>
    <w:rsid w:val="006A394B"/>
    <w:rsid w:val="006A3B53"/>
    <w:rsid w:val="006A4F7B"/>
    <w:rsid w:val="006A5092"/>
    <w:rsid w:val="006A5636"/>
    <w:rsid w:val="006A585A"/>
    <w:rsid w:val="006A61C2"/>
    <w:rsid w:val="006A64A4"/>
    <w:rsid w:val="006A6BB6"/>
    <w:rsid w:val="006A76C0"/>
    <w:rsid w:val="006A786E"/>
    <w:rsid w:val="006A78F9"/>
    <w:rsid w:val="006B11A1"/>
    <w:rsid w:val="006B187D"/>
    <w:rsid w:val="006B18DA"/>
    <w:rsid w:val="006B1AAD"/>
    <w:rsid w:val="006B24C4"/>
    <w:rsid w:val="006B2647"/>
    <w:rsid w:val="006B2AB9"/>
    <w:rsid w:val="006B2B07"/>
    <w:rsid w:val="006B2BFC"/>
    <w:rsid w:val="006B2CC3"/>
    <w:rsid w:val="006B31F2"/>
    <w:rsid w:val="006B3A6A"/>
    <w:rsid w:val="006B3BDE"/>
    <w:rsid w:val="006B405E"/>
    <w:rsid w:val="006B482E"/>
    <w:rsid w:val="006B4DEC"/>
    <w:rsid w:val="006B5CE9"/>
    <w:rsid w:val="006B5F0D"/>
    <w:rsid w:val="006B6174"/>
    <w:rsid w:val="006B6197"/>
    <w:rsid w:val="006B643E"/>
    <w:rsid w:val="006B647C"/>
    <w:rsid w:val="006B6C43"/>
    <w:rsid w:val="006B6E0A"/>
    <w:rsid w:val="006B6FED"/>
    <w:rsid w:val="006B724B"/>
    <w:rsid w:val="006B76A9"/>
    <w:rsid w:val="006B7757"/>
    <w:rsid w:val="006B7A05"/>
    <w:rsid w:val="006B7DFA"/>
    <w:rsid w:val="006C0C5C"/>
    <w:rsid w:val="006C0EE8"/>
    <w:rsid w:val="006C11DD"/>
    <w:rsid w:val="006C12AB"/>
    <w:rsid w:val="006C1962"/>
    <w:rsid w:val="006C2B5B"/>
    <w:rsid w:val="006C2F7F"/>
    <w:rsid w:val="006C34F0"/>
    <w:rsid w:val="006C3930"/>
    <w:rsid w:val="006C3F78"/>
    <w:rsid w:val="006C4234"/>
    <w:rsid w:val="006C4639"/>
    <w:rsid w:val="006C466F"/>
    <w:rsid w:val="006C46D8"/>
    <w:rsid w:val="006C48AA"/>
    <w:rsid w:val="006C4A15"/>
    <w:rsid w:val="006C4BC7"/>
    <w:rsid w:val="006C4D22"/>
    <w:rsid w:val="006C5633"/>
    <w:rsid w:val="006C5794"/>
    <w:rsid w:val="006C5A22"/>
    <w:rsid w:val="006C5E34"/>
    <w:rsid w:val="006C5EA8"/>
    <w:rsid w:val="006C602E"/>
    <w:rsid w:val="006C60DF"/>
    <w:rsid w:val="006C6167"/>
    <w:rsid w:val="006C6235"/>
    <w:rsid w:val="006C6B90"/>
    <w:rsid w:val="006C6EAD"/>
    <w:rsid w:val="006C7562"/>
    <w:rsid w:val="006C7A4D"/>
    <w:rsid w:val="006D0E90"/>
    <w:rsid w:val="006D14D1"/>
    <w:rsid w:val="006D2484"/>
    <w:rsid w:val="006D2698"/>
    <w:rsid w:val="006D33A9"/>
    <w:rsid w:val="006D34C8"/>
    <w:rsid w:val="006D3608"/>
    <w:rsid w:val="006D3980"/>
    <w:rsid w:val="006D39E0"/>
    <w:rsid w:val="006D41F4"/>
    <w:rsid w:val="006D473C"/>
    <w:rsid w:val="006D47CB"/>
    <w:rsid w:val="006D4B32"/>
    <w:rsid w:val="006D549E"/>
    <w:rsid w:val="006D581F"/>
    <w:rsid w:val="006D5FF2"/>
    <w:rsid w:val="006D6148"/>
    <w:rsid w:val="006D6D89"/>
    <w:rsid w:val="006D7349"/>
    <w:rsid w:val="006D7D9E"/>
    <w:rsid w:val="006D7DD5"/>
    <w:rsid w:val="006E0627"/>
    <w:rsid w:val="006E079D"/>
    <w:rsid w:val="006E091D"/>
    <w:rsid w:val="006E0A46"/>
    <w:rsid w:val="006E0DED"/>
    <w:rsid w:val="006E0F27"/>
    <w:rsid w:val="006E115A"/>
    <w:rsid w:val="006E1B3D"/>
    <w:rsid w:val="006E1CA8"/>
    <w:rsid w:val="006E265E"/>
    <w:rsid w:val="006E2769"/>
    <w:rsid w:val="006E281B"/>
    <w:rsid w:val="006E2CF4"/>
    <w:rsid w:val="006E33D1"/>
    <w:rsid w:val="006E3BF1"/>
    <w:rsid w:val="006E3D25"/>
    <w:rsid w:val="006E3DDB"/>
    <w:rsid w:val="006E3E23"/>
    <w:rsid w:val="006E3ECF"/>
    <w:rsid w:val="006E45C2"/>
    <w:rsid w:val="006E46FB"/>
    <w:rsid w:val="006E4B30"/>
    <w:rsid w:val="006E4CFD"/>
    <w:rsid w:val="006E550E"/>
    <w:rsid w:val="006E6456"/>
    <w:rsid w:val="006E6714"/>
    <w:rsid w:val="006E69DF"/>
    <w:rsid w:val="006E707F"/>
    <w:rsid w:val="006E730B"/>
    <w:rsid w:val="006E73B2"/>
    <w:rsid w:val="006E77BD"/>
    <w:rsid w:val="006E7FD1"/>
    <w:rsid w:val="006F0147"/>
    <w:rsid w:val="006F01D5"/>
    <w:rsid w:val="006F0465"/>
    <w:rsid w:val="006F052C"/>
    <w:rsid w:val="006F0A2A"/>
    <w:rsid w:val="006F13F1"/>
    <w:rsid w:val="006F20DC"/>
    <w:rsid w:val="006F2B57"/>
    <w:rsid w:val="006F2F48"/>
    <w:rsid w:val="006F2F80"/>
    <w:rsid w:val="006F3785"/>
    <w:rsid w:val="006F37B3"/>
    <w:rsid w:val="006F41B5"/>
    <w:rsid w:val="006F43CD"/>
    <w:rsid w:val="006F4527"/>
    <w:rsid w:val="006F4918"/>
    <w:rsid w:val="006F4930"/>
    <w:rsid w:val="006F4D52"/>
    <w:rsid w:val="006F51BE"/>
    <w:rsid w:val="006F534D"/>
    <w:rsid w:val="006F54DD"/>
    <w:rsid w:val="006F5636"/>
    <w:rsid w:val="006F5B6C"/>
    <w:rsid w:val="006F5C3B"/>
    <w:rsid w:val="006F5E69"/>
    <w:rsid w:val="006F5ED7"/>
    <w:rsid w:val="006F625F"/>
    <w:rsid w:val="006F64ED"/>
    <w:rsid w:val="006F75C9"/>
    <w:rsid w:val="006F7781"/>
    <w:rsid w:val="006F7DB7"/>
    <w:rsid w:val="00700298"/>
    <w:rsid w:val="0070031A"/>
    <w:rsid w:val="0070056B"/>
    <w:rsid w:val="00700B65"/>
    <w:rsid w:val="00701377"/>
    <w:rsid w:val="00701924"/>
    <w:rsid w:val="007025BC"/>
    <w:rsid w:val="00702B65"/>
    <w:rsid w:val="00702D9E"/>
    <w:rsid w:val="00703112"/>
    <w:rsid w:val="0070393E"/>
    <w:rsid w:val="00703F36"/>
    <w:rsid w:val="007040F8"/>
    <w:rsid w:val="007044EB"/>
    <w:rsid w:val="007046C5"/>
    <w:rsid w:val="00704D10"/>
    <w:rsid w:val="0070509E"/>
    <w:rsid w:val="00705203"/>
    <w:rsid w:val="007053F6"/>
    <w:rsid w:val="00705A34"/>
    <w:rsid w:val="00705C6A"/>
    <w:rsid w:val="00706866"/>
    <w:rsid w:val="00706A51"/>
    <w:rsid w:val="0070799D"/>
    <w:rsid w:val="007079FA"/>
    <w:rsid w:val="00707F66"/>
    <w:rsid w:val="00707FAD"/>
    <w:rsid w:val="00710174"/>
    <w:rsid w:val="00710807"/>
    <w:rsid w:val="007113F4"/>
    <w:rsid w:val="00711DAD"/>
    <w:rsid w:val="00711DD7"/>
    <w:rsid w:val="00711E2A"/>
    <w:rsid w:val="0071201B"/>
    <w:rsid w:val="00712157"/>
    <w:rsid w:val="0071301B"/>
    <w:rsid w:val="007131AC"/>
    <w:rsid w:val="007134EF"/>
    <w:rsid w:val="0071356C"/>
    <w:rsid w:val="00713A35"/>
    <w:rsid w:val="00713ADB"/>
    <w:rsid w:val="0071407C"/>
    <w:rsid w:val="00714150"/>
    <w:rsid w:val="007142AA"/>
    <w:rsid w:val="00714343"/>
    <w:rsid w:val="00714B75"/>
    <w:rsid w:val="00715322"/>
    <w:rsid w:val="00715369"/>
    <w:rsid w:val="0071540F"/>
    <w:rsid w:val="007155CD"/>
    <w:rsid w:val="0071568C"/>
    <w:rsid w:val="00715E9E"/>
    <w:rsid w:val="0071601F"/>
    <w:rsid w:val="00716249"/>
    <w:rsid w:val="007163CC"/>
    <w:rsid w:val="0071753E"/>
    <w:rsid w:val="0071787B"/>
    <w:rsid w:val="007178B2"/>
    <w:rsid w:val="007179B1"/>
    <w:rsid w:val="00717B00"/>
    <w:rsid w:val="00717D10"/>
    <w:rsid w:val="007201C4"/>
    <w:rsid w:val="007201DE"/>
    <w:rsid w:val="007203E8"/>
    <w:rsid w:val="00720C2F"/>
    <w:rsid w:val="00720F7F"/>
    <w:rsid w:val="00720FC2"/>
    <w:rsid w:val="007212CD"/>
    <w:rsid w:val="00721347"/>
    <w:rsid w:val="00721866"/>
    <w:rsid w:val="00721998"/>
    <w:rsid w:val="00721D2B"/>
    <w:rsid w:val="007222EF"/>
    <w:rsid w:val="00722832"/>
    <w:rsid w:val="00722BC9"/>
    <w:rsid w:val="00722C88"/>
    <w:rsid w:val="00722E84"/>
    <w:rsid w:val="00722F33"/>
    <w:rsid w:val="00723218"/>
    <w:rsid w:val="00723340"/>
    <w:rsid w:val="007235D1"/>
    <w:rsid w:val="007239B9"/>
    <w:rsid w:val="007244FC"/>
    <w:rsid w:val="007247BF"/>
    <w:rsid w:val="00724885"/>
    <w:rsid w:val="007249A4"/>
    <w:rsid w:val="00724A2B"/>
    <w:rsid w:val="00724C7E"/>
    <w:rsid w:val="00724E7B"/>
    <w:rsid w:val="007250E5"/>
    <w:rsid w:val="0072564D"/>
    <w:rsid w:val="00725700"/>
    <w:rsid w:val="00725EE0"/>
    <w:rsid w:val="007263E8"/>
    <w:rsid w:val="007265DF"/>
    <w:rsid w:val="007266E1"/>
    <w:rsid w:val="00727335"/>
    <w:rsid w:val="007301A8"/>
    <w:rsid w:val="00730AFA"/>
    <w:rsid w:val="00731573"/>
    <w:rsid w:val="00731C80"/>
    <w:rsid w:val="00731DA6"/>
    <w:rsid w:val="00732180"/>
    <w:rsid w:val="00732F25"/>
    <w:rsid w:val="0073399A"/>
    <w:rsid w:val="00733A3E"/>
    <w:rsid w:val="00733AFE"/>
    <w:rsid w:val="00733E55"/>
    <w:rsid w:val="00734A62"/>
    <w:rsid w:val="00734C21"/>
    <w:rsid w:val="00735B1D"/>
    <w:rsid w:val="0073637D"/>
    <w:rsid w:val="00736E10"/>
    <w:rsid w:val="00736E37"/>
    <w:rsid w:val="00736EA9"/>
    <w:rsid w:val="0074040D"/>
    <w:rsid w:val="00740915"/>
    <w:rsid w:val="007411F6"/>
    <w:rsid w:val="0074175F"/>
    <w:rsid w:val="00741D1A"/>
    <w:rsid w:val="00742410"/>
    <w:rsid w:val="00742836"/>
    <w:rsid w:val="00742866"/>
    <w:rsid w:val="00742BA3"/>
    <w:rsid w:val="007431EC"/>
    <w:rsid w:val="007434FC"/>
    <w:rsid w:val="00743545"/>
    <w:rsid w:val="00743792"/>
    <w:rsid w:val="007442BF"/>
    <w:rsid w:val="007445DA"/>
    <w:rsid w:val="007447EB"/>
    <w:rsid w:val="00745AF3"/>
    <w:rsid w:val="00745CE0"/>
    <w:rsid w:val="00745D20"/>
    <w:rsid w:val="007461A1"/>
    <w:rsid w:val="007462D4"/>
    <w:rsid w:val="007465AF"/>
    <w:rsid w:val="007466E5"/>
    <w:rsid w:val="007470A0"/>
    <w:rsid w:val="0074721B"/>
    <w:rsid w:val="00747227"/>
    <w:rsid w:val="00750526"/>
    <w:rsid w:val="007506A8"/>
    <w:rsid w:val="0075140A"/>
    <w:rsid w:val="0075334E"/>
    <w:rsid w:val="007534F7"/>
    <w:rsid w:val="00753607"/>
    <w:rsid w:val="00753B20"/>
    <w:rsid w:val="00753D7D"/>
    <w:rsid w:val="00754009"/>
    <w:rsid w:val="007546FF"/>
    <w:rsid w:val="00754F57"/>
    <w:rsid w:val="00754FAC"/>
    <w:rsid w:val="00755DAC"/>
    <w:rsid w:val="00756082"/>
    <w:rsid w:val="007563E7"/>
    <w:rsid w:val="007566A7"/>
    <w:rsid w:val="00756771"/>
    <w:rsid w:val="00756816"/>
    <w:rsid w:val="00756FAD"/>
    <w:rsid w:val="00757080"/>
    <w:rsid w:val="007572DF"/>
    <w:rsid w:val="007574D0"/>
    <w:rsid w:val="00760867"/>
    <w:rsid w:val="00760876"/>
    <w:rsid w:val="00761414"/>
    <w:rsid w:val="00761D3D"/>
    <w:rsid w:val="00762907"/>
    <w:rsid w:val="00762A35"/>
    <w:rsid w:val="00762D06"/>
    <w:rsid w:val="007632B9"/>
    <w:rsid w:val="007636AF"/>
    <w:rsid w:val="00763EE6"/>
    <w:rsid w:val="00763F45"/>
    <w:rsid w:val="007641DD"/>
    <w:rsid w:val="007645CF"/>
    <w:rsid w:val="00764AC7"/>
    <w:rsid w:val="00764F24"/>
    <w:rsid w:val="007651E6"/>
    <w:rsid w:val="0076546F"/>
    <w:rsid w:val="007655B9"/>
    <w:rsid w:val="00766412"/>
    <w:rsid w:val="00766B63"/>
    <w:rsid w:val="0076779C"/>
    <w:rsid w:val="007679B6"/>
    <w:rsid w:val="00767D57"/>
    <w:rsid w:val="00767E26"/>
    <w:rsid w:val="007700B8"/>
    <w:rsid w:val="0077037A"/>
    <w:rsid w:val="00770707"/>
    <w:rsid w:val="0077070C"/>
    <w:rsid w:val="00770A3A"/>
    <w:rsid w:val="00770CF3"/>
    <w:rsid w:val="00770DDE"/>
    <w:rsid w:val="00771324"/>
    <w:rsid w:val="0077141D"/>
    <w:rsid w:val="00771541"/>
    <w:rsid w:val="00772DC6"/>
    <w:rsid w:val="007738D9"/>
    <w:rsid w:val="00773B05"/>
    <w:rsid w:val="007743E8"/>
    <w:rsid w:val="00774AFB"/>
    <w:rsid w:val="00774CDD"/>
    <w:rsid w:val="00774DAD"/>
    <w:rsid w:val="00775293"/>
    <w:rsid w:val="00775817"/>
    <w:rsid w:val="00775A93"/>
    <w:rsid w:val="00775C42"/>
    <w:rsid w:val="00775EFA"/>
    <w:rsid w:val="00775FB3"/>
    <w:rsid w:val="007763BF"/>
    <w:rsid w:val="00776474"/>
    <w:rsid w:val="007768DF"/>
    <w:rsid w:val="00776A87"/>
    <w:rsid w:val="00776BA7"/>
    <w:rsid w:val="00777006"/>
    <w:rsid w:val="007772BF"/>
    <w:rsid w:val="0077774B"/>
    <w:rsid w:val="00780926"/>
    <w:rsid w:val="00780AAE"/>
    <w:rsid w:val="00780FEA"/>
    <w:rsid w:val="007810F6"/>
    <w:rsid w:val="007814BF"/>
    <w:rsid w:val="0078155D"/>
    <w:rsid w:val="00782111"/>
    <w:rsid w:val="00782C3E"/>
    <w:rsid w:val="007833B3"/>
    <w:rsid w:val="007837FF"/>
    <w:rsid w:val="00783B9D"/>
    <w:rsid w:val="0078405D"/>
    <w:rsid w:val="007840D6"/>
    <w:rsid w:val="00784665"/>
    <w:rsid w:val="0078576A"/>
    <w:rsid w:val="00785845"/>
    <w:rsid w:val="0078586B"/>
    <w:rsid w:val="00785C85"/>
    <w:rsid w:val="007860EB"/>
    <w:rsid w:val="007862F6"/>
    <w:rsid w:val="00786820"/>
    <w:rsid w:val="0078683B"/>
    <w:rsid w:val="007878DC"/>
    <w:rsid w:val="00787B0B"/>
    <w:rsid w:val="00790553"/>
    <w:rsid w:val="00790CCB"/>
    <w:rsid w:val="00791120"/>
    <w:rsid w:val="0079135A"/>
    <w:rsid w:val="007913EF"/>
    <w:rsid w:val="00791C2A"/>
    <w:rsid w:val="007921DC"/>
    <w:rsid w:val="0079288F"/>
    <w:rsid w:val="00792FFF"/>
    <w:rsid w:val="007931DC"/>
    <w:rsid w:val="0079349A"/>
    <w:rsid w:val="00793A35"/>
    <w:rsid w:val="00793BCA"/>
    <w:rsid w:val="00794673"/>
    <w:rsid w:val="00794F4D"/>
    <w:rsid w:val="00795236"/>
    <w:rsid w:val="007956FB"/>
    <w:rsid w:val="00795FC3"/>
    <w:rsid w:val="007960E2"/>
    <w:rsid w:val="00796242"/>
    <w:rsid w:val="00796266"/>
    <w:rsid w:val="00796B54"/>
    <w:rsid w:val="00797E11"/>
    <w:rsid w:val="00797ED6"/>
    <w:rsid w:val="007A0214"/>
    <w:rsid w:val="007A1587"/>
    <w:rsid w:val="007A16B5"/>
    <w:rsid w:val="007A180D"/>
    <w:rsid w:val="007A19CE"/>
    <w:rsid w:val="007A1C6A"/>
    <w:rsid w:val="007A1FC6"/>
    <w:rsid w:val="007A25C9"/>
    <w:rsid w:val="007A25DC"/>
    <w:rsid w:val="007A2639"/>
    <w:rsid w:val="007A3327"/>
    <w:rsid w:val="007A3398"/>
    <w:rsid w:val="007A404F"/>
    <w:rsid w:val="007A5022"/>
    <w:rsid w:val="007A568E"/>
    <w:rsid w:val="007A5B1A"/>
    <w:rsid w:val="007A5ED3"/>
    <w:rsid w:val="007A63B3"/>
    <w:rsid w:val="007A6426"/>
    <w:rsid w:val="007A6587"/>
    <w:rsid w:val="007A685D"/>
    <w:rsid w:val="007A6884"/>
    <w:rsid w:val="007A6B16"/>
    <w:rsid w:val="007A6FDA"/>
    <w:rsid w:val="007A70C2"/>
    <w:rsid w:val="007A7291"/>
    <w:rsid w:val="007A7301"/>
    <w:rsid w:val="007A7757"/>
    <w:rsid w:val="007A7B52"/>
    <w:rsid w:val="007B039A"/>
    <w:rsid w:val="007B0423"/>
    <w:rsid w:val="007B0BC4"/>
    <w:rsid w:val="007B0DB1"/>
    <w:rsid w:val="007B1311"/>
    <w:rsid w:val="007B19B6"/>
    <w:rsid w:val="007B2D0A"/>
    <w:rsid w:val="007B39CC"/>
    <w:rsid w:val="007B3CAA"/>
    <w:rsid w:val="007B3CE4"/>
    <w:rsid w:val="007B3FC1"/>
    <w:rsid w:val="007B402E"/>
    <w:rsid w:val="007B40BC"/>
    <w:rsid w:val="007B41F9"/>
    <w:rsid w:val="007B4825"/>
    <w:rsid w:val="007B484D"/>
    <w:rsid w:val="007B5089"/>
    <w:rsid w:val="007B5833"/>
    <w:rsid w:val="007B5C9A"/>
    <w:rsid w:val="007B6A07"/>
    <w:rsid w:val="007B7DA0"/>
    <w:rsid w:val="007B7DBC"/>
    <w:rsid w:val="007C0305"/>
    <w:rsid w:val="007C0313"/>
    <w:rsid w:val="007C05F3"/>
    <w:rsid w:val="007C0B79"/>
    <w:rsid w:val="007C0E94"/>
    <w:rsid w:val="007C0EC5"/>
    <w:rsid w:val="007C1313"/>
    <w:rsid w:val="007C2006"/>
    <w:rsid w:val="007C2E17"/>
    <w:rsid w:val="007C2F2F"/>
    <w:rsid w:val="007C3669"/>
    <w:rsid w:val="007C4B09"/>
    <w:rsid w:val="007C4E35"/>
    <w:rsid w:val="007C4E8C"/>
    <w:rsid w:val="007C50F6"/>
    <w:rsid w:val="007C54AE"/>
    <w:rsid w:val="007C5B2F"/>
    <w:rsid w:val="007C5E6A"/>
    <w:rsid w:val="007C5ED1"/>
    <w:rsid w:val="007C616C"/>
    <w:rsid w:val="007C694C"/>
    <w:rsid w:val="007C6CCB"/>
    <w:rsid w:val="007C7980"/>
    <w:rsid w:val="007C7A73"/>
    <w:rsid w:val="007D01F2"/>
    <w:rsid w:val="007D0C52"/>
    <w:rsid w:val="007D1725"/>
    <w:rsid w:val="007D1E7D"/>
    <w:rsid w:val="007D20D0"/>
    <w:rsid w:val="007D2805"/>
    <w:rsid w:val="007D2B2C"/>
    <w:rsid w:val="007D2FEC"/>
    <w:rsid w:val="007D3ABD"/>
    <w:rsid w:val="007D3AC4"/>
    <w:rsid w:val="007D40E5"/>
    <w:rsid w:val="007D4BCA"/>
    <w:rsid w:val="007D4CE5"/>
    <w:rsid w:val="007D5245"/>
    <w:rsid w:val="007D5AA0"/>
    <w:rsid w:val="007D5EAE"/>
    <w:rsid w:val="007D63B8"/>
    <w:rsid w:val="007D63CE"/>
    <w:rsid w:val="007D6D88"/>
    <w:rsid w:val="007D7074"/>
    <w:rsid w:val="007D731C"/>
    <w:rsid w:val="007D75E5"/>
    <w:rsid w:val="007D77A3"/>
    <w:rsid w:val="007D7C0C"/>
    <w:rsid w:val="007E005A"/>
    <w:rsid w:val="007E0453"/>
    <w:rsid w:val="007E0D3B"/>
    <w:rsid w:val="007E1068"/>
    <w:rsid w:val="007E106B"/>
    <w:rsid w:val="007E10DD"/>
    <w:rsid w:val="007E14FF"/>
    <w:rsid w:val="007E172D"/>
    <w:rsid w:val="007E1EB7"/>
    <w:rsid w:val="007E2800"/>
    <w:rsid w:val="007E3844"/>
    <w:rsid w:val="007E3A2F"/>
    <w:rsid w:val="007E3D7A"/>
    <w:rsid w:val="007E3EAD"/>
    <w:rsid w:val="007E3F9C"/>
    <w:rsid w:val="007E403B"/>
    <w:rsid w:val="007E406B"/>
    <w:rsid w:val="007E4154"/>
    <w:rsid w:val="007E459A"/>
    <w:rsid w:val="007E4954"/>
    <w:rsid w:val="007E4FA3"/>
    <w:rsid w:val="007E5D9D"/>
    <w:rsid w:val="007E5DE2"/>
    <w:rsid w:val="007E65B3"/>
    <w:rsid w:val="007E68FE"/>
    <w:rsid w:val="007E6B63"/>
    <w:rsid w:val="007E756B"/>
    <w:rsid w:val="007E7ABE"/>
    <w:rsid w:val="007F0587"/>
    <w:rsid w:val="007F0593"/>
    <w:rsid w:val="007F0811"/>
    <w:rsid w:val="007F0F6B"/>
    <w:rsid w:val="007F1330"/>
    <w:rsid w:val="007F1CA1"/>
    <w:rsid w:val="007F2136"/>
    <w:rsid w:val="007F2568"/>
    <w:rsid w:val="007F290E"/>
    <w:rsid w:val="007F2A35"/>
    <w:rsid w:val="007F2BFF"/>
    <w:rsid w:val="007F2DA5"/>
    <w:rsid w:val="007F32CB"/>
    <w:rsid w:val="007F33CC"/>
    <w:rsid w:val="007F40DE"/>
    <w:rsid w:val="007F50DB"/>
    <w:rsid w:val="007F55D5"/>
    <w:rsid w:val="007F5BD4"/>
    <w:rsid w:val="007F5EBE"/>
    <w:rsid w:val="007F7107"/>
    <w:rsid w:val="007F75F5"/>
    <w:rsid w:val="007F7775"/>
    <w:rsid w:val="00800052"/>
    <w:rsid w:val="008009C9"/>
    <w:rsid w:val="00801042"/>
    <w:rsid w:val="008011CD"/>
    <w:rsid w:val="008019BF"/>
    <w:rsid w:val="00802628"/>
    <w:rsid w:val="00802748"/>
    <w:rsid w:val="00802A9D"/>
    <w:rsid w:val="00802B6E"/>
    <w:rsid w:val="00802C2B"/>
    <w:rsid w:val="00803202"/>
    <w:rsid w:val="00803606"/>
    <w:rsid w:val="008043AD"/>
    <w:rsid w:val="00804495"/>
    <w:rsid w:val="00804B1D"/>
    <w:rsid w:val="008052F3"/>
    <w:rsid w:val="00806382"/>
    <w:rsid w:val="008069F9"/>
    <w:rsid w:val="00806AF9"/>
    <w:rsid w:val="00806D5B"/>
    <w:rsid w:val="00806F49"/>
    <w:rsid w:val="0080717A"/>
    <w:rsid w:val="00810088"/>
    <w:rsid w:val="008103B1"/>
    <w:rsid w:val="00810500"/>
    <w:rsid w:val="00811023"/>
    <w:rsid w:val="00811FA1"/>
    <w:rsid w:val="008125E8"/>
    <w:rsid w:val="0081260B"/>
    <w:rsid w:val="008126DB"/>
    <w:rsid w:val="00812C0B"/>
    <w:rsid w:val="00813651"/>
    <w:rsid w:val="00813D02"/>
    <w:rsid w:val="00813ED0"/>
    <w:rsid w:val="008142D2"/>
    <w:rsid w:val="00814BF1"/>
    <w:rsid w:val="008157CC"/>
    <w:rsid w:val="00816279"/>
    <w:rsid w:val="008163BB"/>
    <w:rsid w:val="008167C2"/>
    <w:rsid w:val="0081697B"/>
    <w:rsid w:val="00816E3C"/>
    <w:rsid w:val="00817032"/>
    <w:rsid w:val="0081756C"/>
    <w:rsid w:val="00817A6F"/>
    <w:rsid w:val="00817E30"/>
    <w:rsid w:val="00820000"/>
    <w:rsid w:val="00820C05"/>
    <w:rsid w:val="00820C65"/>
    <w:rsid w:val="00821412"/>
    <w:rsid w:val="00821535"/>
    <w:rsid w:val="0082161A"/>
    <w:rsid w:val="00821839"/>
    <w:rsid w:val="0082191D"/>
    <w:rsid w:val="00821AFA"/>
    <w:rsid w:val="00821B96"/>
    <w:rsid w:val="00821CF3"/>
    <w:rsid w:val="00821E67"/>
    <w:rsid w:val="008220B1"/>
    <w:rsid w:val="00823A13"/>
    <w:rsid w:val="00823D40"/>
    <w:rsid w:val="0082448C"/>
    <w:rsid w:val="00824909"/>
    <w:rsid w:val="00824C89"/>
    <w:rsid w:val="00825E13"/>
    <w:rsid w:val="008262C4"/>
    <w:rsid w:val="008263EF"/>
    <w:rsid w:val="008265A6"/>
    <w:rsid w:val="008265BD"/>
    <w:rsid w:val="00827D15"/>
    <w:rsid w:val="00827D76"/>
    <w:rsid w:val="00827EAA"/>
    <w:rsid w:val="0083036E"/>
    <w:rsid w:val="00830447"/>
    <w:rsid w:val="008309CF"/>
    <w:rsid w:val="00830C63"/>
    <w:rsid w:val="00830E6B"/>
    <w:rsid w:val="00831D00"/>
    <w:rsid w:val="00831E3F"/>
    <w:rsid w:val="0083272E"/>
    <w:rsid w:val="008331B8"/>
    <w:rsid w:val="00833579"/>
    <w:rsid w:val="00833591"/>
    <w:rsid w:val="00833AED"/>
    <w:rsid w:val="0083432F"/>
    <w:rsid w:val="008347EE"/>
    <w:rsid w:val="00834C9C"/>
    <w:rsid w:val="00835B66"/>
    <w:rsid w:val="00835ED5"/>
    <w:rsid w:val="008366A4"/>
    <w:rsid w:val="008379C0"/>
    <w:rsid w:val="00837A68"/>
    <w:rsid w:val="00837B34"/>
    <w:rsid w:val="00840392"/>
    <w:rsid w:val="008405ED"/>
    <w:rsid w:val="008410C9"/>
    <w:rsid w:val="0084117E"/>
    <w:rsid w:val="00841365"/>
    <w:rsid w:val="008416B1"/>
    <w:rsid w:val="00841D9F"/>
    <w:rsid w:val="00841EFB"/>
    <w:rsid w:val="00841FCA"/>
    <w:rsid w:val="008422B2"/>
    <w:rsid w:val="008426F8"/>
    <w:rsid w:val="008428F9"/>
    <w:rsid w:val="00842979"/>
    <w:rsid w:val="00843151"/>
    <w:rsid w:val="0084368B"/>
    <w:rsid w:val="0084387D"/>
    <w:rsid w:val="00843905"/>
    <w:rsid w:val="00843E7F"/>
    <w:rsid w:val="008444CF"/>
    <w:rsid w:val="00844B7A"/>
    <w:rsid w:val="00844FD5"/>
    <w:rsid w:val="00845665"/>
    <w:rsid w:val="008459FD"/>
    <w:rsid w:val="00845C40"/>
    <w:rsid w:val="00846406"/>
    <w:rsid w:val="00846672"/>
    <w:rsid w:val="00846AED"/>
    <w:rsid w:val="00846C94"/>
    <w:rsid w:val="00846F9B"/>
    <w:rsid w:val="00847656"/>
    <w:rsid w:val="00847692"/>
    <w:rsid w:val="00847DCD"/>
    <w:rsid w:val="00847E2C"/>
    <w:rsid w:val="00847F0C"/>
    <w:rsid w:val="0085019B"/>
    <w:rsid w:val="008501BB"/>
    <w:rsid w:val="0085064B"/>
    <w:rsid w:val="00850F9E"/>
    <w:rsid w:val="00851F60"/>
    <w:rsid w:val="0085227C"/>
    <w:rsid w:val="0085262E"/>
    <w:rsid w:val="00852743"/>
    <w:rsid w:val="008529AB"/>
    <w:rsid w:val="00853106"/>
    <w:rsid w:val="0085354C"/>
    <w:rsid w:val="0085363C"/>
    <w:rsid w:val="0085372B"/>
    <w:rsid w:val="00853FFE"/>
    <w:rsid w:val="008544C4"/>
    <w:rsid w:val="008546AA"/>
    <w:rsid w:val="00854C09"/>
    <w:rsid w:val="008558DA"/>
    <w:rsid w:val="0085698C"/>
    <w:rsid w:val="00857959"/>
    <w:rsid w:val="0086047F"/>
    <w:rsid w:val="0086094A"/>
    <w:rsid w:val="00860EDF"/>
    <w:rsid w:val="00861157"/>
    <w:rsid w:val="008618FA"/>
    <w:rsid w:val="00861FDA"/>
    <w:rsid w:val="008622BF"/>
    <w:rsid w:val="008622E8"/>
    <w:rsid w:val="00862442"/>
    <w:rsid w:val="0086249D"/>
    <w:rsid w:val="00862756"/>
    <w:rsid w:val="0086290B"/>
    <w:rsid w:val="00863081"/>
    <w:rsid w:val="008633DF"/>
    <w:rsid w:val="00863576"/>
    <w:rsid w:val="00863859"/>
    <w:rsid w:val="00863C74"/>
    <w:rsid w:val="0086407D"/>
    <w:rsid w:val="008646E3"/>
    <w:rsid w:val="00864B9B"/>
    <w:rsid w:val="0086594B"/>
    <w:rsid w:val="00865BCC"/>
    <w:rsid w:val="00865DC8"/>
    <w:rsid w:val="00865E2F"/>
    <w:rsid w:val="008669B0"/>
    <w:rsid w:val="00866EA4"/>
    <w:rsid w:val="00866EE6"/>
    <w:rsid w:val="008670EE"/>
    <w:rsid w:val="00867377"/>
    <w:rsid w:val="008674D3"/>
    <w:rsid w:val="00870792"/>
    <w:rsid w:val="00870A40"/>
    <w:rsid w:val="008711F9"/>
    <w:rsid w:val="00871FF3"/>
    <w:rsid w:val="008724C7"/>
    <w:rsid w:val="00873442"/>
    <w:rsid w:val="0087352F"/>
    <w:rsid w:val="00873538"/>
    <w:rsid w:val="0087353E"/>
    <w:rsid w:val="00873D8F"/>
    <w:rsid w:val="008741A9"/>
    <w:rsid w:val="00874410"/>
    <w:rsid w:val="0087497D"/>
    <w:rsid w:val="00874AFF"/>
    <w:rsid w:val="00874C9C"/>
    <w:rsid w:val="00874D04"/>
    <w:rsid w:val="00874D35"/>
    <w:rsid w:val="00874E6B"/>
    <w:rsid w:val="00874E76"/>
    <w:rsid w:val="00875535"/>
    <w:rsid w:val="00876293"/>
    <w:rsid w:val="00876570"/>
    <w:rsid w:val="00877286"/>
    <w:rsid w:val="008772F7"/>
    <w:rsid w:val="0087789D"/>
    <w:rsid w:val="00880105"/>
    <w:rsid w:val="00880852"/>
    <w:rsid w:val="008812F0"/>
    <w:rsid w:val="00881737"/>
    <w:rsid w:val="008822EA"/>
    <w:rsid w:val="00882302"/>
    <w:rsid w:val="008828BD"/>
    <w:rsid w:val="00882AC1"/>
    <w:rsid w:val="00882AFD"/>
    <w:rsid w:val="00882FE1"/>
    <w:rsid w:val="008832D7"/>
    <w:rsid w:val="00883310"/>
    <w:rsid w:val="008838EF"/>
    <w:rsid w:val="00884013"/>
    <w:rsid w:val="00884501"/>
    <w:rsid w:val="008847CB"/>
    <w:rsid w:val="00884B24"/>
    <w:rsid w:val="00884E6F"/>
    <w:rsid w:val="00885382"/>
    <w:rsid w:val="008855E1"/>
    <w:rsid w:val="00885673"/>
    <w:rsid w:val="00885879"/>
    <w:rsid w:val="00885A07"/>
    <w:rsid w:val="00885B53"/>
    <w:rsid w:val="00885B80"/>
    <w:rsid w:val="00885B85"/>
    <w:rsid w:val="00885CDE"/>
    <w:rsid w:val="008864B4"/>
    <w:rsid w:val="008869B3"/>
    <w:rsid w:val="00886A31"/>
    <w:rsid w:val="008872D7"/>
    <w:rsid w:val="00887C1E"/>
    <w:rsid w:val="00890C56"/>
    <w:rsid w:val="00890DB1"/>
    <w:rsid w:val="0089183F"/>
    <w:rsid w:val="00891948"/>
    <w:rsid w:val="00891B3E"/>
    <w:rsid w:val="00891BFD"/>
    <w:rsid w:val="00891E7F"/>
    <w:rsid w:val="008921E9"/>
    <w:rsid w:val="008922F2"/>
    <w:rsid w:val="0089391D"/>
    <w:rsid w:val="00894324"/>
    <w:rsid w:val="00894F86"/>
    <w:rsid w:val="0089516C"/>
    <w:rsid w:val="00895554"/>
    <w:rsid w:val="00895957"/>
    <w:rsid w:val="00895F5E"/>
    <w:rsid w:val="008961B3"/>
    <w:rsid w:val="0089623C"/>
    <w:rsid w:val="00896B30"/>
    <w:rsid w:val="00896C3D"/>
    <w:rsid w:val="00897029"/>
    <w:rsid w:val="00897398"/>
    <w:rsid w:val="00897489"/>
    <w:rsid w:val="00897641"/>
    <w:rsid w:val="00897848"/>
    <w:rsid w:val="00897D7D"/>
    <w:rsid w:val="008A01C2"/>
    <w:rsid w:val="008A061A"/>
    <w:rsid w:val="008A0B83"/>
    <w:rsid w:val="008A0E3B"/>
    <w:rsid w:val="008A18A3"/>
    <w:rsid w:val="008A1A86"/>
    <w:rsid w:val="008A1F02"/>
    <w:rsid w:val="008A29B1"/>
    <w:rsid w:val="008A2F84"/>
    <w:rsid w:val="008A3733"/>
    <w:rsid w:val="008A38F6"/>
    <w:rsid w:val="008A3A1D"/>
    <w:rsid w:val="008A3B83"/>
    <w:rsid w:val="008A3DA0"/>
    <w:rsid w:val="008A4014"/>
    <w:rsid w:val="008A402C"/>
    <w:rsid w:val="008A46A6"/>
    <w:rsid w:val="008A4D4A"/>
    <w:rsid w:val="008A4D99"/>
    <w:rsid w:val="008A537F"/>
    <w:rsid w:val="008A5D0F"/>
    <w:rsid w:val="008A649A"/>
    <w:rsid w:val="008A6509"/>
    <w:rsid w:val="008A67DE"/>
    <w:rsid w:val="008A68CD"/>
    <w:rsid w:val="008A6D26"/>
    <w:rsid w:val="008A7611"/>
    <w:rsid w:val="008A7693"/>
    <w:rsid w:val="008A77A6"/>
    <w:rsid w:val="008B00C4"/>
    <w:rsid w:val="008B02FB"/>
    <w:rsid w:val="008B0B44"/>
    <w:rsid w:val="008B0D47"/>
    <w:rsid w:val="008B16AF"/>
    <w:rsid w:val="008B18AB"/>
    <w:rsid w:val="008B1B9C"/>
    <w:rsid w:val="008B2178"/>
    <w:rsid w:val="008B245A"/>
    <w:rsid w:val="008B25E7"/>
    <w:rsid w:val="008B28F7"/>
    <w:rsid w:val="008B2FAD"/>
    <w:rsid w:val="008B34C3"/>
    <w:rsid w:val="008B35A8"/>
    <w:rsid w:val="008B38D3"/>
    <w:rsid w:val="008B39F9"/>
    <w:rsid w:val="008B3BB1"/>
    <w:rsid w:val="008B448F"/>
    <w:rsid w:val="008B4D82"/>
    <w:rsid w:val="008B611E"/>
    <w:rsid w:val="008B694F"/>
    <w:rsid w:val="008B6E38"/>
    <w:rsid w:val="008B707D"/>
    <w:rsid w:val="008B7179"/>
    <w:rsid w:val="008B741A"/>
    <w:rsid w:val="008B755C"/>
    <w:rsid w:val="008B7FBE"/>
    <w:rsid w:val="008C011A"/>
    <w:rsid w:val="008C0472"/>
    <w:rsid w:val="008C0A63"/>
    <w:rsid w:val="008C1101"/>
    <w:rsid w:val="008C1857"/>
    <w:rsid w:val="008C2241"/>
    <w:rsid w:val="008C229A"/>
    <w:rsid w:val="008C274E"/>
    <w:rsid w:val="008C330C"/>
    <w:rsid w:val="008C330F"/>
    <w:rsid w:val="008C35B9"/>
    <w:rsid w:val="008C4571"/>
    <w:rsid w:val="008C4833"/>
    <w:rsid w:val="008C5513"/>
    <w:rsid w:val="008C61EC"/>
    <w:rsid w:val="008C7375"/>
    <w:rsid w:val="008C7A33"/>
    <w:rsid w:val="008C7E78"/>
    <w:rsid w:val="008C7FD7"/>
    <w:rsid w:val="008D0B81"/>
    <w:rsid w:val="008D1143"/>
    <w:rsid w:val="008D1F5A"/>
    <w:rsid w:val="008D23DF"/>
    <w:rsid w:val="008D24BE"/>
    <w:rsid w:val="008D2B76"/>
    <w:rsid w:val="008D2F03"/>
    <w:rsid w:val="008D3078"/>
    <w:rsid w:val="008D373A"/>
    <w:rsid w:val="008D3D27"/>
    <w:rsid w:val="008D3F42"/>
    <w:rsid w:val="008D48A1"/>
    <w:rsid w:val="008D4C39"/>
    <w:rsid w:val="008D4DC7"/>
    <w:rsid w:val="008D556D"/>
    <w:rsid w:val="008D61CC"/>
    <w:rsid w:val="008D6B3A"/>
    <w:rsid w:val="008D6E84"/>
    <w:rsid w:val="008D777D"/>
    <w:rsid w:val="008D7D6D"/>
    <w:rsid w:val="008D7DA7"/>
    <w:rsid w:val="008D7F9B"/>
    <w:rsid w:val="008E0A64"/>
    <w:rsid w:val="008E1BB5"/>
    <w:rsid w:val="008E2496"/>
    <w:rsid w:val="008E296F"/>
    <w:rsid w:val="008E2A16"/>
    <w:rsid w:val="008E2D08"/>
    <w:rsid w:val="008E2F0F"/>
    <w:rsid w:val="008E3015"/>
    <w:rsid w:val="008E30D9"/>
    <w:rsid w:val="008E3AF4"/>
    <w:rsid w:val="008E3F72"/>
    <w:rsid w:val="008E420B"/>
    <w:rsid w:val="008E4292"/>
    <w:rsid w:val="008E469B"/>
    <w:rsid w:val="008E4897"/>
    <w:rsid w:val="008E4A2E"/>
    <w:rsid w:val="008E519B"/>
    <w:rsid w:val="008E5341"/>
    <w:rsid w:val="008E57FF"/>
    <w:rsid w:val="008E5D46"/>
    <w:rsid w:val="008E5F3C"/>
    <w:rsid w:val="008E62F5"/>
    <w:rsid w:val="008E6428"/>
    <w:rsid w:val="008E66DB"/>
    <w:rsid w:val="008E6746"/>
    <w:rsid w:val="008E6BAA"/>
    <w:rsid w:val="008E6E3A"/>
    <w:rsid w:val="008E785B"/>
    <w:rsid w:val="008E7AE7"/>
    <w:rsid w:val="008F00A2"/>
    <w:rsid w:val="008F08F2"/>
    <w:rsid w:val="008F09AA"/>
    <w:rsid w:val="008F0BFE"/>
    <w:rsid w:val="008F15C2"/>
    <w:rsid w:val="008F192A"/>
    <w:rsid w:val="008F221C"/>
    <w:rsid w:val="008F22D7"/>
    <w:rsid w:val="008F2D61"/>
    <w:rsid w:val="008F3069"/>
    <w:rsid w:val="008F379B"/>
    <w:rsid w:val="008F397B"/>
    <w:rsid w:val="008F3F85"/>
    <w:rsid w:val="008F5AC0"/>
    <w:rsid w:val="008F633F"/>
    <w:rsid w:val="008F65AD"/>
    <w:rsid w:val="008F6C2F"/>
    <w:rsid w:val="008F6E48"/>
    <w:rsid w:val="008F7370"/>
    <w:rsid w:val="008F76BA"/>
    <w:rsid w:val="009003DD"/>
    <w:rsid w:val="0090052F"/>
    <w:rsid w:val="0090076D"/>
    <w:rsid w:val="00900A53"/>
    <w:rsid w:val="00900DFC"/>
    <w:rsid w:val="00901033"/>
    <w:rsid w:val="0090124B"/>
    <w:rsid w:val="009018DC"/>
    <w:rsid w:val="0090193C"/>
    <w:rsid w:val="00902095"/>
    <w:rsid w:val="009028B9"/>
    <w:rsid w:val="00902B9F"/>
    <w:rsid w:val="009030DA"/>
    <w:rsid w:val="0090357C"/>
    <w:rsid w:val="00903590"/>
    <w:rsid w:val="00903C97"/>
    <w:rsid w:val="00903E5B"/>
    <w:rsid w:val="009040B0"/>
    <w:rsid w:val="00904AFF"/>
    <w:rsid w:val="00904C47"/>
    <w:rsid w:val="00904E62"/>
    <w:rsid w:val="00905225"/>
    <w:rsid w:val="009052A3"/>
    <w:rsid w:val="009053F6"/>
    <w:rsid w:val="00905CA4"/>
    <w:rsid w:val="00905E16"/>
    <w:rsid w:val="0090614D"/>
    <w:rsid w:val="00906557"/>
    <w:rsid w:val="009065AB"/>
    <w:rsid w:val="009069A4"/>
    <w:rsid w:val="00906B96"/>
    <w:rsid w:val="00906DA0"/>
    <w:rsid w:val="00907127"/>
    <w:rsid w:val="009079D4"/>
    <w:rsid w:val="00907A1E"/>
    <w:rsid w:val="00907B7A"/>
    <w:rsid w:val="00907ECC"/>
    <w:rsid w:val="00910499"/>
    <w:rsid w:val="009104E6"/>
    <w:rsid w:val="00910A40"/>
    <w:rsid w:val="00910C10"/>
    <w:rsid w:val="00911803"/>
    <w:rsid w:val="00911AF4"/>
    <w:rsid w:val="00911CF4"/>
    <w:rsid w:val="00912368"/>
    <w:rsid w:val="009123C2"/>
    <w:rsid w:val="0091288A"/>
    <w:rsid w:val="00913323"/>
    <w:rsid w:val="00913A51"/>
    <w:rsid w:val="009140AA"/>
    <w:rsid w:val="00914133"/>
    <w:rsid w:val="00914518"/>
    <w:rsid w:val="009148D1"/>
    <w:rsid w:val="009148FD"/>
    <w:rsid w:val="00914D7F"/>
    <w:rsid w:val="009151EB"/>
    <w:rsid w:val="00915728"/>
    <w:rsid w:val="00915C27"/>
    <w:rsid w:val="00915F67"/>
    <w:rsid w:val="00916113"/>
    <w:rsid w:val="009165A5"/>
    <w:rsid w:val="0091669A"/>
    <w:rsid w:val="00916D03"/>
    <w:rsid w:val="00916F8A"/>
    <w:rsid w:val="0091731A"/>
    <w:rsid w:val="009176F3"/>
    <w:rsid w:val="009177BB"/>
    <w:rsid w:val="00917AD5"/>
    <w:rsid w:val="00917AF1"/>
    <w:rsid w:val="00917E6E"/>
    <w:rsid w:val="00917FCB"/>
    <w:rsid w:val="00920083"/>
    <w:rsid w:val="0092094E"/>
    <w:rsid w:val="0092109D"/>
    <w:rsid w:val="009210DA"/>
    <w:rsid w:val="00921C14"/>
    <w:rsid w:val="00921D49"/>
    <w:rsid w:val="009220F5"/>
    <w:rsid w:val="009223A6"/>
    <w:rsid w:val="009226A6"/>
    <w:rsid w:val="00922C6A"/>
    <w:rsid w:val="00923572"/>
    <w:rsid w:val="00923B70"/>
    <w:rsid w:val="00924125"/>
    <w:rsid w:val="009242D8"/>
    <w:rsid w:val="00924BCA"/>
    <w:rsid w:val="00924C3A"/>
    <w:rsid w:val="00925349"/>
    <w:rsid w:val="0092546B"/>
    <w:rsid w:val="00925E1A"/>
    <w:rsid w:val="00925E40"/>
    <w:rsid w:val="0092606A"/>
    <w:rsid w:val="0092693C"/>
    <w:rsid w:val="009270A8"/>
    <w:rsid w:val="0092734D"/>
    <w:rsid w:val="00927680"/>
    <w:rsid w:val="009279BD"/>
    <w:rsid w:val="0093043E"/>
    <w:rsid w:val="009305E4"/>
    <w:rsid w:val="00930799"/>
    <w:rsid w:val="0093091F"/>
    <w:rsid w:val="00930929"/>
    <w:rsid w:val="00931310"/>
    <w:rsid w:val="0093161F"/>
    <w:rsid w:val="00931E16"/>
    <w:rsid w:val="00932166"/>
    <w:rsid w:val="00932E44"/>
    <w:rsid w:val="009330EF"/>
    <w:rsid w:val="00933A3F"/>
    <w:rsid w:val="00933A8E"/>
    <w:rsid w:val="00933B23"/>
    <w:rsid w:val="0093510A"/>
    <w:rsid w:val="00935225"/>
    <w:rsid w:val="0093550C"/>
    <w:rsid w:val="0093562B"/>
    <w:rsid w:val="00935BA2"/>
    <w:rsid w:val="0093666F"/>
    <w:rsid w:val="009371D6"/>
    <w:rsid w:val="009371D8"/>
    <w:rsid w:val="00937751"/>
    <w:rsid w:val="009377AD"/>
    <w:rsid w:val="009377D3"/>
    <w:rsid w:val="00937C53"/>
    <w:rsid w:val="00940118"/>
    <w:rsid w:val="0094030B"/>
    <w:rsid w:val="00940E0F"/>
    <w:rsid w:val="00941391"/>
    <w:rsid w:val="00941497"/>
    <w:rsid w:val="00941A13"/>
    <w:rsid w:val="00941AFE"/>
    <w:rsid w:val="009420B5"/>
    <w:rsid w:val="0094249F"/>
    <w:rsid w:val="009428E4"/>
    <w:rsid w:val="00942904"/>
    <w:rsid w:val="00942B6C"/>
    <w:rsid w:val="00942C2F"/>
    <w:rsid w:val="00942DD8"/>
    <w:rsid w:val="00942FBE"/>
    <w:rsid w:val="0094309C"/>
    <w:rsid w:val="00943A54"/>
    <w:rsid w:val="00943C92"/>
    <w:rsid w:val="00943D62"/>
    <w:rsid w:val="00944179"/>
    <w:rsid w:val="00944ABF"/>
    <w:rsid w:val="00944AFA"/>
    <w:rsid w:val="00945749"/>
    <w:rsid w:val="00945A27"/>
    <w:rsid w:val="00946EB8"/>
    <w:rsid w:val="0094734E"/>
    <w:rsid w:val="00947C15"/>
    <w:rsid w:val="00947C30"/>
    <w:rsid w:val="00947F8D"/>
    <w:rsid w:val="0095043B"/>
    <w:rsid w:val="009507C9"/>
    <w:rsid w:val="009510F1"/>
    <w:rsid w:val="0095171F"/>
    <w:rsid w:val="00951A6B"/>
    <w:rsid w:val="00951F05"/>
    <w:rsid w:val="00951F35"/>
    <w:rsid w:val="00952007"/>
    <w:rsid w:val="009523DD"/>
    <w:rsid w:val="009526AA"/>
    <w:rsid w:val="00952835"/>
    <w:rsid w:val="009528ED"/>
    <w:rsid w:val="00952D61"/>
    <w:rsid w:val="00953183"/>
    <w:rsid w:val="009535A3"/>
    <w:rsid w:val="00953635"/>
    <w:rsid w:val="00953CD2"/>
    <w:rsid w:val="009540F7"/>
    <w:rsid w:val="009541B8"/>
    <w:rsid w:val="009542FA"/>
    <w:rsid w:val="0095430F"/>
    <w:rsid w:val="00954EFE"/>
    <w:rsid w:val="009550D5"/>
    <w:rsid w:val="009552A6"/>
    <w:rsid w:val="00955ABF"/>
    <w:rsid w:val="00955F36"/>
    <w:rsid w:val="0095607E"/>
    <w:rsid w:val="0095668F"/>
    <w:rsid w:val="00956982"/>
    <w:rsid w:val="00956A41"/>
    <w:rsid w:val="00956B53"/>
    <w:rsid w:val="00956F66"/>
    <w:rsid w:val="00957048"/>
    <w:rsid w:val="0096014A"/>
    <w:rsid w:val="009605C3"/>
    <w:rsid w:val="009609BC"/>
    <w:rsid w:val="00960B7F"/>
    <w:rsid w:val="009610B3"/>
    <w:rsid w:val="009611C0"/>
    <w:rsid w:val="0096170F"/>
    <w:rsid w:val="00961A15"/>
    <w:rsid w:val="00963419"/>
    <w:rsid w:val="009634A2"/>
    <w:rsid w:val="009639FA"/>
    <w:rsid w:val="00963C3E"/>
    <w:rsid w:val="00963E1D"/>
    <w:rsid w:val="0096470B"/>
    <w:rsid w:val="00964826"/>
    <w:rsid w:val="00964979"/>
    <w:rsid w:val="00964C65"/>
    <w:rsid w:val="00965110"/>
    <w:rsid w:val="00965113"/>
    <w:rsid w:val="00965364"/>
    <w:rsid w:val="00965493"/>
    <w:rsid w:val="0096567D"/>
    <w:rsid w:val="009657FD"/>
    <w:rsid w:val="00965CB0"/>
    <w:rsid w:val="009664FE"/>
    <w:rsid w:val="00966568"/>
    <w:rsid w:val="00966666"/>
    <w:rsid w:val="00967492"/>
    <w:rsid w:val="00967498"/>
    <w:rsid w:val="009674A4"/>
    <w:rsid w:val="00967644"/>
    <w:rsid w:val="00967A57"/>
    <w:rsid w:val="00967B98"/>
    <w:rsid w:val="00967DD9"/>
    <w:rsid w:val="00967E53"/>
    <w:rsid w:val="00970443"/>
    <w:rsid w:val="009704EC"/>
    <w:rsid w:val="00970807"/>
    <w:rsid w:val="009708D7"/>
    <w:rsid w:val="00970C18"/>
    <w:rsid w:val="00970FA8"/>
    <w:rsid w:val="009714B0"/>
    <w:rsid w:val="00971906"/>
    <w:rsid w:val="00971C4A"/>
    <w:rsid w:val="00971EC2"/>
    <w:rsid w:val="009724D0"/>
    <w:rsid w:val="00972BC7"/>
    <w:rsid w:val="00972C57"/>
    <w:rsid w:val="00973211"/>
    <w:rsid w:val="00973A7A"/>
    <w:rsid w:val="00973B81"/>
    <w:rsid w:val="00973F84"/>
    <w:rsid w:val="009740A9"/>
    <w:rsid w:val="0097418E"/>
    <w:rsid w:val="00974832"/>
    <w:rsid w:val="00975024"/>
    <w:rsid w:val="0097584A"/>
    <w:rsid w:val="0097678E"/>
    <w:rsid w:val="00976CF1"/>
    <w:rsid w:val="00977240"/>
    <w:rsid w:val="00977648"/>
    <w:rsid w:val="0098026C"/>
    <w:rsid w:val="009804D5"/>
    <w:rsid w:val="009805A0"/>
    <w:rsid w:val="009809FF"/>
    <w:rsid w:val="009812DF"/>
    <w:rsid w:val="0098139D"/>
    <w:rsid w:val="00981ECD"/>
    <w:rsid w:val="00981EFE"/>
    <w:rsid w:val="009821E7"/>
    <w:rsid w:val="00982204"/>
    <w:rsid w:val="0098245D"/>
    <w:rsid w:val="009826B0"/>
    <w:rsid w:val="0098350B"/>
    <w:rsid w:val="009838D3"/>
    <w:rsid w:val="00983AF2"/>
    <w:rsid w:val="009840BD"/>
    <w:rsid w:val="0098495D"/>
    <w:rsid w:val="00985FFC"/>
    <w:rsid w:val="00986AB4"/>
    <w:rsid w:val="00987994"/>
    <w:rsid w:val="00987C5E"/>
    <w:rsid w:val="00987F7E"/>
    <w:rsid w:val="00990285"/>
    <w:rsid w:val="00991726"/>
    <w:rsid w:val="0099186E"/>
    <w:rsid w:val="00991D6B"/>
    <w:rsid w:val="00992768"/>
    <w:rsid w:val="00992A53"/>
    <w:rsid w:val="00992A85"/>
    <w:rsid w:val="00992C5C"/>
    <w:rsid w:val="0099303F"/>
    <w:rsid w:val="00993926"/>
    <w:rsid w:val="00993A6F"/>
    <w:rsid w:val="00994037"/>
    <w:rsid w:val="00994332"/>
    <w:rsid w:val="00995440"/>
    <w:rsid w:val="00995CF6"/>
    <w:rsid w:val="00996921"/>
    <w:rsid w:val="009969DE"/>
    <w:rsid w:val="00996A3F"/>
    <w:rsid w:val="009970E5"/>
    <w:rsid w:val="009974FF"/>
    <w:rsid w:val="009A091D"/>
    <w:rsid w:val="009A0BB3"/>
    <w:rsid w:val="009A14EA"/>
    <w:rsid w:val="009A155D"/>
    <w:rsid w:val="009A1700"/>
    <w:rsid w:val="009A1A53"/>
    <w:rsid w:val="009A1D81"/>
    <w:rsid w:val="009A3094"/>
    <w:rsid w:val="009A3432"/>
    <w:rsid w:val="009A368C"/>
    <w:rsid w:val="009A3875"/>
    <w:rsid w:val="009A3C45"/>
    <w:rsid w:val="009A3EB4"/>
    <w:rsid w:val="009A416B"/>
    <w:rsid w:val="009A42DA"/>
    <w:rsid w:val="009A434A"/>
    <w:rsid w:val="009A51A5"/>
    <w:rsid w:val="009A578D"/>
    <w:rsid w:val="009A5804"/>
    <w:rsid w:val="009A582E"/>
    <w:rsid w:val="009A58BC"/>
    <w:rsid w:val="009A5FC6"/>
    <w:rsid w:val="009A62B4"/>
    <w:rsid w:val="009A6974"/>
    <w:rsid w:val="009A6AC9"/>
    <w:rsid w:val="009A7106"/>
    <w:rsid w:val="009A726B"/>
    <w:rsid w:val="009A787B"/>
    <w:rsid w:val="009A7BC9"/>
    <w:rsid w:val="009B041E"/>
    <w:rsid w:val="009B04C2"/>
    <w:rsid w:val="009B13AA"/>
    <w:rsid w:val="009B15BC"/>
    <w:rsid w:val="009B16BA"/>
    <w:rsid w:val="009B1B6A"/>
    <w:rsid w:val="009B1C5A"/>
    <w:rsid w:val="009B1EB7"/>
    <w:rsid w:val="009B1F6C"/>
    <w:rsid w:val="009B2276"/>
    <w:rsid w:val="009B3149"/>
    <w:rsid w:val="009B3157"/>
    <w:rsid w:val="009B3308"/>
    <w:rsid w:val="009B3316"/>
    <w:rsid w:val="009B3D4D"/>
    <w:rsid w:val="009B4646"/>
    <w:rsid w:val="009B4B10"/>
    <w:rsid w:val="009B4CE6"/>
    <w:rsid w:val="009B4FF2"/>
    <w:rsid w:val="009B500E"/>
    <w:rsid w:val="009B52C1"/>
    <w:rsid w:val="009B54C5"/>
    <w:rsid w:val="009B5AFB"/>
    <w:rsid w:val="009B5E96"/>
    <w:rsid w:val="009B6152"/>
    <w:rsid w:val="009B6158"/>
    <w:rsid w:val="009B63C1"/>
    <w:rsid w:val="009B654A"/>
    <w:rsid w:val="009B6CD7"/>
    <w:rsid w:val="009B712B"/>
    <w:rsid w:val="009B7815"/>
    <w:rsid w:val="009B7951"/>
    <w:rsid w:val="009B7C03"/>
    <w:rsid w:val="009B7CC0"/>
    <w:rsid w:val="009B7E19"/>
    <w:rsid w:val="009C02F7"/>
    <w:rsid w:val="009C041E"/>
    <w:rsid w:val="009C09AA"/>
    <w:rsid w:val="009C0BD5"/>
    <w:rsid w:val="009C0D18"/>
    <w:rsid w:val="009C0F36"/>
    <w:rsid w:val="009C10E4"/>
    <w:rsid w:val="009C1D78"/>
    <w:rsid w:val="009C2442"/>
    <w:rsid w:val="009C262D"/>
    <w:rsid w:val="009C34C5"/>
    <w:rsid w:val="009C38E0"/>
    <w:rsid w:val="009C3E28"/>
    <w:rsid w:val="009C4FC7"/>
    <w:rsid w:val="009C50CF"/>
    <w:rsid w:val="009C6948"/>
    <w:rsid w:val="009C6AFA"/>
    <w:rsid w:val="009C6C91"/>
    <w:rsid w:val="009C73B2"/>
    <w:rsid w:val="009C7454"/>
    <w:rsid w:val="009C7819"/>
    <w:rsid w:val="009C7C84"/>
    <w:rsid w:val="009C7E38"/>
    <w:rsid w:val="009C7FF8"/>
    <w:rsid w:val="009D00F6"/>
    <w:rsid w:val="009D1324"/>
    <w:rsid w:val="009D14FA"/>
    <w:rsid w:val="009D17B2"/>
    <w:rsid w:val="009D1B26"/>
    <w:rsid w:val="009D22E5"/>
    <w:rsid w:val="009D23C8"/>
    <w:rsid w:val="009D2553"/>
    <w:rsid w:val="009D28FE"/>
    <w:rsid w:val="009D2CC3"/>
    <w:rsid w:val="009D2EB5"/>
    <w:rsid w:val="009D3084"/>
    <w:rsid w:val="009D339F"/>
    <w:rsid w:val="009D34A5"/>
    <w:rsid w:val="009D3C92"/>
    <w:rsid w:val="009D3CB1"/>
    <w:rsid w:val="009D43CE"/>
    <w:rsid w:val="009D4485"/>
    <w:rsid w:val="009D4741"/>
    <w:rsid w:val="009D4B8D"/>
    <w:rsid w:val="009D4BFE"/>
    <w:rsid w:val="009D4DE8"/>
    <w:rsid w:val="009D5A80"/>
    <w:rsid w:val="009D5B4B"/>
    <w:rsid w:val="009D5C8C"/>
    <w:rsid w:val="009D6E9C"/>
    <w:rsid w:val="009D7814"/>
    <w:rsid w:val="009D79C1"/>
    <w:rsid w:val="009D7B27"/>
    <w:rsid w:val="009D7C94"/>
    <w:rsid w:val="009D7EC6"/>
    <w:rsid w:val="009E00F4"/>
    <w:rsid w:val="009E094B"/>
    <w:rsid w:val="009E0DEB"/>
    <w:rsid w:val="009E139F"/>
    <w:rsid w:val="009E1924"/>
    <w:rsid w:val="009E1ABE"/>
    <w:rsid w:val="009E23E7"/>
    <w:rsid w:val="009E2538"/>
    <w:rsid w:val="009E2DBE"/>
    <w:rsid w:val="009E30B0"/>
    <w:rsid w:val="009E3409"/>
    <w:rsid w:val="009E3D24"/>
    <w:rsid w:val="009E3DEE"/>
    <w:rsid w:val="009E44A9"/>
    <w:rsid w:val="009E483A"/>
    <w:rsid w:val="009E48D9"/>
    <w:rsid w:val="009E4D6C"/>
    <w:rsid w:val="009E5A27"/>
    <w:rsid w:val="009E6157"/>
    <w:rsid w:val="009E655C"/>
    <w:rsid w:val="009E656D"/>
    <w:rsid w:val="009E6E37"/>
    <w:rsid w:val="009E73C6"/>
    <w:rsid w:val="009E7AA9"/>
    <w:rsid w:val="009E7F6D"/>
    <w:rsid w:val="009F02A8"/>
    <w:rsid w:val="009F0391"/>
    <w:rsid w:val="009F0A38"/>
    <w:rsid w:val="009F1B3D"/>
    <w:rsid w:val="009F1FA2"/>
    <w:rsid w:val="009F2112"/>
    <w:rsid w:val="009F267B"/>
    <w:rsid w:val="009F2F4B"/>
    <w:rsid w:val="009F3445"/>
    <w:rsid w:val="009F34D6"/>
    <w:rsid w:val="009F371C"/>
    <w:rsid w:val="009F391A"/>
    <w:rsid w:val="009F3A55"/>
    <w:rsid w:val="009F3C2F"/>
    <w:rsid w:val="009F3E13"/>
    <w:rsid w:val="009F404F"/>
    <w:rsid w:val="009F4419"/>
    <w:rsid w:val="009F52D2"/>
    <w:rsid w:val="009F55F4"/>
    <w:rsid w:val="009F57D5"/>
    <w:rsid w:val="009F5C97"/>
    <w:rsid w:val="009F6082"/>
    <w:rsid w:val="009F65E3"/>
    <w:rsid w:val="009F65EE"/>
    <w:rsid w:val="009F672D"/>
    <w:rsid w:val="009F6E74"/>
    <w:rsid w:val="009F7285"/>
    <w:rsid w:val="009F742D"/>
    <w:rsid w:val="009F77DA"/>
    <w:rsid w:val="00A006C4"/>
    <w:rsid w:val="00A007FC"/>
    <w:rsid w:val="00A00EC3"/>
    <w:rsid w:val="00A01326"/>
    <w:rsid w:val="00A017C8"/>
    <w:rsid w:val="00A0204D"/>
    <w:rsid w:val="00A0215C"/>
    <w:rsid w:val="00A028AD"/>
    <w:rsid w:val="00A03CF7"/>
    <w:rsid w:val="00A04389"/>
    <w:rsid w:val="00A04664"/>
    <w:rsid w:val="00A048D5"/>
    <w:rsid w:val="00A04D4F"/>
    <w:rsid w:val="00A055B5"/>
    <w:rsid w:val="00A0574D"/>
    <w:rsid w:val="00A062D2"/>
    <w:rsid w:val="00A065AD"/>
    <w:rsid w:val="00A06A5E"/>
    <w:rsid w:val="00A06AC1"/>
    <w:rsid w:val="00A07220"/>
    <w:rsid w:val="00A07CAB"/>
    <w:rsid w:val="00A07CD6"/>
    <w:rsid w:val="00A07EB7"/>
    <w:rsid w:val="00A101DA"/>
    <w:rsid w:val="00A109A7"/>
    <w:rsid w:val="00A11292"/>
    <w:rsid w:val="00A113EA"/>
    <w:rsid w:val="00A116DF"/>
    <w:rsid w:val="00A11954"/>
    <w:rsid w:val="00A1222B"/>
    <w:rsid w:val="00A12C29"/>
    <w:rsid w:val="00A13243"/>
    <w:rsid w:val="00A1357A"/>
    <w:rsid w:val="00A13976"/>
    <w:rsid w:val="00A13C53"/>
    <w:rsid w:val="00A13EF3"/>
    <w:rsid w:val="00A1518B"/>
    <w:rsid w:val="00A1525E"/>
    <w:rsid w:val="00A15DCA"/>
    <w:rsid w:val="00A16339"/>
    <w:rsid w:val="00A16738"/>
    <w:rsid w:val="00A16AE0"/>
    <w:rsid w:val="00A174DE"/>
    <w:rsid w:val="00A203F4"/>
    <w:rsid w:val="00A20B4B"/>
    <w:rsid w:val="00A20E37"/>
    <w:rsid w:val="00A20F8F"/>
    <w:rsid w:val="00A2184D"/>
    <w:rsid w:val="00A2199A"/>
    <w:rsid w:val="00A21CD2"/>
    <w:rsid w:val="00A21FF3"/>
    <w:rsid w:val="00A2281C"/>
    <w:rsid w:val="00A22AA5"/>
    <w:rsid w:val="00A22B94"/>
    <w:rsid w:val="00A22E78"/>
    <w:rsid w:val="00A22FDC"/>
    <w:rsid w:val="00A231D7"/>
    <w:rsid w:val="00A2398D"/>
    <w:rsid w:val="00A23A69"/>
    <w:rsid w:val="00A23EE2"/>
    <w:rsid w:val="00A24254"/>
    <w:rsid w:val="00A243C8"/>
    <w:rsid w:val="00A252F5"/>
    <w:rsid w:val="00A25976"/>
    <w:rsid w:val="00A25AF4"/>
    <w:rsid w:val="00A25D3A"/>
    <w:rsid w:val="00A265EF"/>
    <w:rsid w:val="00A26727"/>
    <w:rsid w:val="00A2678A"/>
    <w:rsid w:val="00A26F85"/>
    <w:rsid w:val="00A27179"/>
    <w:rsid w:val="00A2741A"/>
    <w:rsid w:val="00A3009E"/>
    <w:rsid w:val="00A304F4"/>
    <w:rsid w:val="00A31363"/>
    <w:rsid w:val="00A313A8"/>
    <w:rsid w:val="00A314B7"/>
    <w:rsid w:val="00A317F5"/>
    <w:rsid w:val="00A31A62"/>
    <w:rsid w:val="00A31B92"/>
    <w:rsid w:val="00A32C99"/>
    <w:rsid w:val="00A3368F"/>
    <w:rsid w:val="00A33C7E"/>
    <w:rsid w:val="00A33D21"/>
    <w:rsid w:val="00A34584"/>
    <w:rsid w:val="00A34990"/>
    <w:rsid w:val="00A34C2C"/>
    <w:rsid w:val="00A34D17"/>
    <w:rsid w:val="00A34EA3"/>
    <w:rsid w:val="00A35471"/>
    <w:rsid w:val="00A355C7"/>
    <w:rsid w:val="00A358D5"/>
    <w:rsid w:val="00A35F42"/>
    <w:rsid w:val="00A36960"/>
    <w:rsid w:val="00A373F0"/>
    <w:rsid w:val="00A37872"/>
    <w:rsid w:val="00A37B6E"/>
    <w:rsid w:val="00A37BC4"/>
    <w:rsid w:val="00A37CF0"/>
    <w:rsid w:val="00A4003C"/>
    <w:rsid w:val="00A40666"/>
    <w:rsid w:val="00A409DB"/>
    <w:rsid w:val="00A40ECC"/>
    <w:rsid w:val="00A41A43"/>
    <w:rsid w:val="00A41E3A"/>
    <w:rsid w:val="00A421E9"/>
    <w:rsid w:val="00A42AFC"/>
    <w:rsid w:val="00A42C94"/>
    <w:rsid w:val="00A42D7F"/>
    <w:rsid w:val="00A42F05"/>
    <w:rsid w:val="00A432F3"/>
    <w:rsid w:val="00A43A61"/>
    <w:rsid w:val="00A43B2C"/>
    <w:rsid w:val="00A43EAC"/>
    <w:rsid w:val="00A44114"/>
    <w:rsid w:val="00A443F1"/>
    <w:rsid w:val="00A444B4"/>
    <w:rsid w:val="00A4485F"/>
    <w:rsid w:val="00A44B1B"/>
    <w:rsid w:val="00A44C16"/>
    <w:rsid w:val="00A45138"/>
    <w:rsid w:val="00A4522F"/>
    <w:rsid w:val="00A4524A"/>
    <w:rsid w:val="00A45714"/>
    <w:rsid w:val="00A45C42"/>
    <w:rsid w:val="00A45E0B"/>
    <w:rsid w:val="00A46E7D"/>
    <w:rsid w:val="00A4717D"/>
    <w:rsid w:val="00A473E4"/>
    <w:rsid w:val="00A47996"/>
    <w:rsid w:val="00A524A3"/>
    <w:rsid w:val="00A52B3D"/>
    <w:rsid w:val="00A52EA0"/>
    <w:rsid w:val="00A52EB0"/>
    <w:rsid w:val="00A531B8"/>
    <w:rsid w:val="00A5322D"/>
    <w:rsid w:val="00A53841"/>
    <w:rsid w:val="00A538F2"/>
    <w:rsid w:val="00A53E3E"/>
    <w:rsid w:val="00A53FBD"/>
    <w:rsid w:val="00A54153"/>
    <w:rsid w:val="00A543C9"/>
    <w:rsid w:val="00A54536"/>
    <w:rsid w:val="00A54692"/>
    <w:rsid w:val="00A54819"/>
    <w:rsid w:val="00A548A2"/>
    <w:rsid w:val="00A558A8"/>
    <w:rsid w:val="00A55F0F"/>
    <w:rsid w:val="00A563BA"/>
    <w:rsid w:val="00A56812"/>
    <w:rsid w:val="00A56A28"/>
    <w:rsid w:val="00A56F81"/>
    <w:rsid w:val="00A57A81"/>
    <w:rsid w:val="00A57A82"/>
    <w:rsid w:val="00A57D8B"/>
    <w:rsid w:val="00A6053A"/>
    <w:rsid w:val="00A60631"/>
    <w:rsid w:val="00A606F7"/>
    <w:rsid w:val="00A60FE8"/>
    <w:rsid w:val="00A611D9"/>
    <w:rsid w:val="00A61C34"/>
    <w:rsid w:val="00A61E3E"/>
    <w:rsid w:val="00A62B11"/>
    <w:rsid w:val="00A62B4A"/>
    <w:rsid w:val="00A62DE5"/>
    <w:rsid w:val="00A64223"/>
    <w:rsid w:val="00A6583A"/>
    <w:rsid w:val="00A659D5"/>
    <w:rsid w:val="00A65C0B"/>
    <w:rsid w:val="00A66D3D"/>
    <w:rsid w:val="00A67043"/>
    <w:rsid w:val="00A67A49"/>
    <w:rsid w:val="00A67C5B"/>
    <w:rsid w:val="00A67D90"/>
    <w:rsid w:val="00A67F69"/>
    <w:rsid w:val="00A67FD9"/>
    <w:rsid w:val="00A70383"/>
    <w:rsid w:val="00A70936"/>
    <w:rsid w:val="00A70984"/>
    <w:rsid w:val="00A70A92"/>
    <w:rsid w:val="00A70B41"/>
    <w:rsid w:val="00A71675"/>
    <w:rsid w:val="00A71EA6"/>
    <w:rsid w:val="00A729AF"/>
    <w:rsid w:val="00A72B5B"/>
    <w:rsid w:val="00A72BF2"/>
    <w:rsid w:val="00A7319C"/>
    <w:rsid w:val="00A732EF"/>
    <w:rsid w:val="00A73419"/>
    <w:rsid w:val="00A73782"/>
    <w:rsid w:val="00A74013"/>
    <w:rsid w:val="00A7405F"/>
    <w:rsid w:val="00A74304"/>
    <w:rsid w:val="00A749FD"/>
    <w:rsid w:val="00A74B97"/>
    <w:rsid w:val="00A752F3"/>
    <w:rsid w:val="00A755F0"/>
    <w:rsid w:val="00A7599C"/>
    <w:rsid w:val="00A75B68"/>
    <w:rsid w:val="00A75B81"/>
    <w:rsid w:val="00A75F79"/>
    <w:rsid w:val="00A76033"/>
    <w:rsid w:val="00A762D8"/>
    <w:rsid w:val="00A7676A"/>
    <w:rsid w:val="00A767A3"/>
    <w:rsid w:val="00A7680B"/>
    <w:rsid w:val="00A7704F"/>
    <w:rsid w:val="00A77215"/>
    <w:rsid w:val="00A7776E"/>
    <w:rsid w:val="00A77D78"/>
    <w:rsid w:val="00A77EDD"/>
    <w:rsid w:val="00A80475"/>
    <w:rsid w:val="00A80B4A"/>
    <w:rsid w:val="00A81155"/>
    <w:rsid w:val="00A8119E"/>
    <w:rsid w:val="00A81568"/>
    <w:rsid w:val="00A82224"/>
    <w:rsid w:val="00A825FC"/>
    <w:rsid w:val="00A8274F"/>
    <w:rsid w:val="00A8275E"/>
    <w:rsid w:val="00A82B8A"/>
    <w:rsid w:val="00A83232"/>
    <w:rsid w:val="00A835B2"/>
    <w:rsid w:val="00A83CBB"/>
    <w:rsid w:val="00A84339"/>
    <w:rsid w:val="00A8439E"/>
    <w:rsid w:val="00A8442E"/>
    <w:rsid w:val="00A84AC8"/>
    <w:rsid w:val="00A84E97"/>
    <w:rsid w:val="00A85072"/>
    <w:rsid w:val="00A8589D"/>
    <w:rsid w:val="00A85ACF"/>
    <w:rsid w:val="00A863AB"/>
    <w:rsid w:val="00A8688C"/>
    <w:rsid w:val="00A86B9F"/>
    <w:rsid w:val="00A86BBC"/>
    <w:rsid w:val="00A87087"/>
    <w:rsid w:val="00A87542"/>
    <w:rsid w:val="00A87858"/>
    <w:rsid w:val="00A87DD9"/>
    <w:rsid w:val="00A90632"/>
    <w:rsid w:val="00A91453"/>
    <w:rsid w:val="00A92092"/>
    <w:rsid w:val="00A920FC"/>
    <w:rsid w:val="00A92570"/>
    <w:rsid w:val="00A92580"/>
    <w:rsid w:val="00A92706"/>
    <w:rsid w:val="00A92C15"/>
    <w:rsid w:val="00A92CEF"/>
    <w:rsid w:val="00A93A65"/>
    <w:rsid w:val="00A94192"/>
    <w:rsid w:val="00A94225"/>
    <w:rsid w:val="00A9423D"/>
    <w:rsid w:val="00A94D38"/>
    <w:rsid w:val="00A94EE3"/>
    <w:rsid w:val="00A95124"/>
    <w:rsid w:val="00A956B4"/>
    <w:rsid w:val="00A9626D"/>
    <w:rsid w:val="00A9638C"/>
    <w:rsid w:val="00A96790"/>
    <w:rsid w:val="00A96FAA"/>
    <w:rsid w:val="00A9708C"/>
    <w:rsid w:val="00A97575"/>
    <w:rsid w:val="00A97596"/>
    <w:rsid w:val="00A97BBE"/>
    <w:rsid w:val="00A97C9F"/>
    <w:rsid w:val="00AA0849"/>
    <w:rsid w:val="00AA11C8"/>
    <w:rsid w:val="00AA1207"/>
    <w:rsid w:val="00AA187F"/>
    <w:rsid w:val="00AA21B6"/>
    <w:rsid w:val="00AA2219"/>
    <w:rsid w:val="00AA26EB"/>
    <w:rsid w:val="00AA31AC"/>
    <w:rsid w:val="00AA3EE2"/>
    <w:rsid w:val="00AA3F08"/>
    <w:rsid w:val="00AA4046"/>
    <w:rsid w:val="00AA4A50"/>
    <w:rsid w:val="00AA4BC9"/>
    <w:rsid w:val="00AA593D"/>
    <w:rsid w:val="00AA5D87"/>
    <w:rsid w:val="00AA62A0"/>
    <w:rsid w:val="00AA6458"/>
    <w:rsid w:val="00AA688E"/>
    <w:rsid w:val="00AA6940"/>
    <w:rsid w:val="00AA6D5A"/>
    <w:rsid w:val="00AA74A7"/>
    <w:rsid w:val="00AA7A8B"/>
    <w:rsid w:val="00AA7B97"/>
    <w:rsid w:val="00AA7C8D"/>
    <w:rsid w:val="00AB0839"/>
    <w:rsid w:val="00AB086C"/>
    <w:rsid w:val="00AB0BFD"/>
    <w:rsid w:val="00AB1E2F"/>
    <w:rsid w:val="00AB2F04"/>
    <w:rsid w:val="00AB2F94"/>
    <w:rsid w:val="00AB36B2"/>
    <w:rsid w:val="00AB3E6B"/>
    <w:rsid w:val="00AB4189"/>
    <w:rsid w:val="00AB43D1"/>
    <w:rsid w:val="00AB44E9"/>
    <w:rsid w:val="00AB4A06"/>
    <w:rsid w:val="00AB4E29"/>
    <w:rsid w:val="00AB570C"/>
    <w:rsid w:val="00AB5AE9"/>
    <w:rsid w:val="00AB64F7"/>
    <w:rsid w:val="00AB6C6E"/>
    <w:rsid w:val="00AB6EB5"/>
    <w:rsid w:val="00AB7347"/>
    <w:rsid w:val="00AB7573"/>
    <w:rsid w:val="00AB78E7"/>
    <w:rsid w:val="00AB7E17"/>
    <w:rsid w:val="00AC005A"/>
    <w:rsid w:val="00AC0A34"/>
    <w:rsid w:val="00AC0C1C"/>
    <w:rsid w:val="00AC155F"/>
    <w:rsid w:val="00AC1593"/>
    <w:rsid w:val="00AC15EE"/>
    <w:rsid w:val="00AC2517"/>
    <w:rsid w:val="00AC2668"/>
    <w:rsid w:val="00AC2B8B"/>
    <w:rsid w:val="00AC2EAD"/>
    <w:rsid w:val="00AC2EBE"/>
    <w:rsid w:val="00AC3402"/>
    <w:rsid w:val="00AC44A6"/>
    <w:rsid w:val="00AC4647"/>
    <w:rsid w:val="00AC46EC"/>
    <w:rsid w:val="00AC4BC8"/>
    <w:rsid w:val="00AC523F"/>
    <w:rsid w:val="00AC53A9"/>
    <w:rsid w:val="00AC581B"/>
    <w:rsid w:val="00AC5BED"/>
    <w:rsid w:val="00AC6231"/>
    <w:rsid w:val="00AC66DE"/>
    <w:rsid w:val="00AC6A7A"/>
    <w:rsid w:val="00AC6AFE"/>
    <w:rsid w:val="00AC781E"/>
    <w:rsid w:val="00AC7F91"/>
    <w:rsid w:val="00AD0A99"/>
    <w:rsid w:val="00AD0F48"/>
    <w:rsid w:val="00AD2493"/>
    <w:rsid w:val="00AD2552"/>
    <w:rsid w:val="00AD2C18"/>
    <w:rsid w:val="00AD303C"/>
    <w:rsid w:val="00AD3412"/>
    <w:rsid w:val="00AD3452"/>
    <w:rsid w:val="00AD34D8"/>
    <w:rsid w:val="00AD36D6"/>
    <w:rsid w:val="00AD3754"/>
    <w:rsid w:val="00AD545C"/>
    <w:rsid w:val="00AD5567"/>
    <w:rsid w:val="00AD6138"/>
    <w:rsid w:val="00AD6151"/>
    <w:rsid w:val="00AD67DF"/>
    <w:rsid w:val="00AD71B3"/>
    <w:rsid w:val="00AD79A7"/>
    <w:rsid w:val="00AD7BCF"/>
    <w:rsid w:val="00AD7F87"/>
    <w:rsid w:val="00AE00C1"/>
    <w:rsid w:val="00AE0F5C"/>
    <w:rsid w:val="00AE1666"/>
    <w:rsid w:val="00AE1B3C"/>
    <w:rsid w:val="00AE1CB2"/>
    <w:rsid w:val="00AE1CB9"/>
    <w:rsid w:val="00AE2215"/>
    <w:rsid w:val="00AE226D"/>
    <w:rsid w:val="00AE2900"/>
    <w:rsid w:val="00AE2A1D"/>
    <w:rsid w:val="00AE349C"/>
    <w:rsid w:val="00AE354F"/>
    <w:rsid w:val="00AE3A1B"/>
    <w:rsid w:val="00AE3B20"/>
    <w:rsid w:val="00AE4091"/>
    <w:rsid w:val="00AE41BE"/>
    <w:rsid w:val="00AE4F6E"/>
    <w:rsid w:val="00AE51E5"/>
    <w:rsid w:val="00AE57CC"/>
    <w:rsid w:val="00AE5924"/>
    <w:rsid w:val="00AE5BAA"/>
    <w:rsid w:val="00AE5FC8"/>
    <w:rsid w:val="00AE62FD"/>
    <w:rsid w:val="00AE6849"/>
    <w:rsid w:val="00AE6E18"/>
    <w:rsid w:val="00AE7677"/>
    <w:rsid w:val="00AE7785"/>
    <w:rsid w:val="00AE77A2"/>
    <w:rsid w:val="00AF0B3F"/>
    <w:rsid w:val="00AF1BD6"/>
    <w:rsid w:val="00AF21B3"/>
    <w:rsid w:val="00AF227F"/>
    <w:rsid w:val="00AF2AD7"/>
    <w:rsid w:val="00AF2C75"/>
    <w:rsid w:val="00AF2D57"/>
    <w:rsid w:val="00AF3BF3"/>
    <w:rsid w:val="00AF3E85"/>
    <w:rsid w:val="00AF432F"/>
    <w:rsid w:val="00AF4449"/>
    <w:rsid w:val="00AF5B8B"/>
    <w:rsid w:val="00AF5D63"/>
    <w:rsid w:val="00AF6C9B"/>
    <w:rsid w:val="00AF6DE5"/>
    <w:rsid w:val="00AF6E4D"/>
    <w:rsid w:val="00AF7B29"/>
    <w:rsid w:val="00B0015F"/>
    <w:rsid w:val="00B00198"/>
    <w:rsid w:val="00B00536"/>
    <w:rsid w:val="00B00A15"/>
    <w:rsid w:val="00B00A79"/>
    <w:rsid w:val="00B00ADF"/>
    <w:rsid w:val="00B00BFE"/>
    <w:rsid w:val="00B01492"/>
    <w:rsid w:val="00B01A59"/>
    <w:rsid w:val="00B01E42"/>
    <w:rsid w:val="00B0227A"/>
    <w:rsid w:val="00B02648"/>
    <w:rsid w:val="00B03435"/>
    <w:rsid w:val="00B03622"/>
    <w:rsid w:val="00B03AE3"/>
    <w:rsid w:val="00B0418E"/>
    <w:rsid w:val="00B0499C"/>
    <w:rsid w:val="00B04E02"/>
    <w:rsid w:val="00B04F91"/>
    <w:rsid w:val="00B0505D"/>
    <w:rsid w:val="00B0560E"/>
    <w:rsid w:val="00B0570A"/>
    <w:rsid w:val="00B05776"/>
    <w:rsid w:val="00B059F2"/>
    <w:rsid w:val="00B05DCC"/>
    <w:rsid w:val="00B05DFF"/>
    <w:rsid w:val="00B06C80"/>
    <w:rsid w:val="00B07226"/>
    <w:rsid w:val="00B07275"/>
    <w:rsid w:val="00B1019D"/>
    <w:rsid w:val="00B103A2"/>
    <w:rsid w:val="00B1042F"/>
    <w:rsid w:val="00B108EC"/>
    <w:rsid w:val="00B10C70"/>
    <w:rsid w:val="00B11206"/>
    <w:rsid w:val="00B113AD"/>
    <w:rsid w:val="00B12425"/>
    <w:rsid w:val="00B124FF"/>
    <w:rsid w:val="00B127B6"/>
    <w:rsid w:val="00B127DC"/>
    <w:rsid w:val="00B129F7"/>
    <w:rsid w:val="00B13171"/>
    <w:rsid w:val="00B135F1"/>
    <w:rsid w:val="00B136CE"/>
    <w:rsid w:val="00B13CE0"/>
    <w:rsid w:val="00B13EDD"/>
    <w:rsid w:val="00B14881"/>
    <w:rsid w:val="00B14B37"/>
    <w:rsid w:val="00B14E09"/>
    <w:rsid w:val="00B15091"/>
    <w:rsid w:val="00B15157"/>
    <w:rsid w:val="00B15252"/>
    <w:rsid w:val="00B16527"/>
    <w:rsid w:val="00B16631"/>
    <w:rsid w:val="00B166FF"/>
    <w:rsid w:val="00B16873"/>
    <w:rsid w:val="00B17B1E"/>
    <w:rsid w:val="00B208CF"/>
    <w:rsid w:val="00B209C2"/>
    <w:rsid w:val="00B20B2D"/>
    <w:rsid w:val="00B20C44"/>
    <w:rsid w:val="00B20D18"/>
    <w:rsid w:val="00B20D52"/>
    <w:rsid w:val="00B2136E"/>
    <w:rsid w:val="00B21914"/>
    <w:rsid w:val="00B21BE4"/>
    <w:rsid w:val="00B21CB5"/>
    <w:rsid w:val="00B21E02"/>
    <w:rsid w:val="00B22882"/>
    <w:rsid w:val="00B22BB9"/>
    <w:rsid w:val="00B23135"/>
    <w:rsid w:val="00B24174"/>
    <w:rsid w:val="00B24255"/>
    <w:rsid w:val="00B24518"/>
    <w:rsid w:val="00B253B4"/>
    <w:rsid w:val="00B25458"/>
    <w:rsid w:val="00B2545F"/>
    <w:rsid w:val="00B2569D"/>
    <w:rsid w:val="00B25812"/>
    <w:rsid w:val="00B2582A"/>
    <w:rsid w:val="00B25F18"/>
    <w:rsid w:val="00B265AD"/>
    <w:rsid w:val="00B26ABF"/>
    <w:rsid w:val="00B26C33"/>
    <w:rsid w:val="00B27257"/>
    <w:rsid w:val="00B27475"/>
    <w:rsid w:val="00B27752"/>
    <w:rsid w:val="00B27867"/>
    <w:rsid w:val="00B27E67"/>
    <w:rsid w:val="00B30241"/>
    <w:rsid w:val="00B309AC"/>
    <w:rsid w:val="00B319ED"/>
    <w:rsid w:val="00B31F77"/>
    <w:rsid w:val="00B32395"/>
    <w:rsid w:val="00B326FA"/>
    <w:rsid w:val="00B328DF"/>
    <w:rsid w:val="00B32944"/>
    <w:rsid w:val="00B32A34"/>
    <w:rsid w:val="00B33C43"/>
    <w:rsid w:val="00B33DD3"/>
    <w:rsid w:val="00B33F1B"/>
    <w:rsid w:val="00B342D5"/>
    <w:rsid w:val="00B34476"/>
    <w:rsid w:val="00B34511"/>
    <w:rsid w:val="00B34DB4"/>
    <w:rsid w:val="00B34EE9"/>
    <w:rsid w:val="00B351A7"/>
    <w:rsid w:val="00B35345"/>
    <w:rsid w:val="00B354D3"/>
    <w:rsid w:val="00B35A01"/>
    <w:rsid w:val="00B3614D"/>
    <w:rsid w:val="00B36224"/>
    <w:rsid w:val="00B36721"/>
    <w:rsid w:val="00B3688D"/>
    <w:rsid w:val="00B36BDC"/>
    <w:rsid w:val="00B36E4F"/>
    <w:rsid w:val="00B36F1D"/>
    <w:rsid w:val="00B37A7A"/>
    <w:rsid w:val="00B4032A"/>
    <w:rsid w:val="00B40364"/>
    <w:rsid w:val="00B40739"/>
    <w:rsid w:val="00B4168A"/>
    <w:rsid w:val="00B417B3"/>
    <w:rsid w:val="00B41B0D"/>
    <w:rsid w:val="00B41D6C"/>
    <w:rsid w:val="00B4248F"/>
    <w:rsid w:val="00B43302"/>
    <w:rsid w:val="00B436B0"/>
    <w:rsid w:val="00B43F2B"/>
    <w:rsid w:val="00B43FD2"/>
    <w:rsid w:val="00B43FFE"/>
    <w:rsid w:val="00B443CA"/>
    <w:rsid w:val="00B44980"/>
    <w:rsid w:val="00B4585F"/>
    <w:rsid w:val="00B459CA"/>
    <w:rsid w:val="00B46B32"/>
    <w:rsid w:val="00B46D99"/>
    <w:rsid w:val="00B46FFE"/>
    <w:rsid w:val="00B470B4"/>
    <w:rsid w:val="00B471BC"/>
    <w:rsid w:val="00B475E9"/>
    <w:rsid w:val="00B47695"/>
    <w:rsid w:val="00B47FA2"/>
    <w:rsid w:val="00B50292"/>
    <w:rsid w:val="00B5034B"/>
    <w:rsid w:val="00B5058F"/>
    <w:rsid w:val="00B509AA"/>
    <w:rsid w:val="00B50BF7"/>
    <w:rsid w:val="00B51A1E"/>
    <w:rsid w:val="00B51BA3"/>
    <w:rsid w:val="00B51D62"/>
    <w:rsid w:val="00B51EAE"/>
    <w:rsid w:val="00B52A79"/>
    <w:rsid w:val="00B53F54"/>
    <w:rsid w:val="00B54673"/>
    <w:rsid w:val="00B5531C"/>
    <w:rsid w:val="00B558C9"/>
    <w:rsid w:val="00B5597A"/>
    <w:rsid w:val="00B55CC3"/>
    <w:rsid w:val="00B5613D"/>
    <w:rsid w:val="00B56453"/>
    <w:rsid w:val="00B564A4"/>
    <w:rsid w:val="00B57374"/>
    <w:rsid w:val="00B577EE"/>
    <w:rsid w:val="00B5785A"/>
    <w:rsid w:val="00B57C96"/>
    <w:rsid w:val="00B602BC"/>
    <w:rsid w:val="00B6036C"/>
    <w:rsid w:val="00B60385"/>
    <w:rsid w:val="00B60759"/>
    <w:rsid w:val="00B60D0F"/>
    <w:rsid w:val="00B62BC1"/>
    <w:rsid w:val="00B63115"/>
    <w:rsid w:val="00B63B4F"/>
    <w:rsid w:val="00B63D42"/>
    <w:rsid w:val="00B64934"/>
    <w:rsid w:val="00B64B35"/>
    <w:rsid w:val="00B652E5"/>
    <w:rsid w:val="00B65759"/>
    <w:rsid w:val="00B6589F"/>
    <w:rsid w:val="00B662F9"/>
    <w:rsid w:val="00B66DF0"/>
    <w:rsid w:val="00B674FE"/>
    <w:rsid w:val="00B67BCE"/>
    <w:rsid w:val="00B70099"/>
    <w:rsid w:val="00B71150"/>
    <w:rsid w:val="00B720A1"/>
    <w:rsid w:val="00B72603"/>
    <w:rsid w:val="00B73AD1"/>
    <w:rsid w:val="00B73BE5"/>
    <w:rsid w:val="00B73C1D"/>
    <w:rsid w:val="00B74527"/>
    <w:rsid w:val="00B749D3"/>
    <w:rsid w:val="00B751DB"/>
    <w:rsid w:val="00B75A59"/>
    <w:rsid w:val="00B7605F"/>
    <w:rsid w:val="00B7611A"/>
    <w:rsid w:val="00B765AA"/>
    <w:rsid w:val="00B769F7"/>
    <w:rsid w:val="00B76FB6"/>
    <w:rsid w:val="00B770D3"/>
    <w:rsid w:val="00B77147"/>
    <w:rsid w:val="00B77307"/>
    <w:rsid w:val="00B778D8"/>
    <w:rsid w:val="00B77A40"/>
    <w:rsid w:val="00B77CC1"/>
    <w:rsid w:val="00B77D36"/>
    <w:rsid w:val="00B77D38"/>
    <w:rsid w:val="00B77F16"/>
    <w:rsid w:val="00B80E02"/>
    <w:rsid w:val="00B82691"/>
    <w:rsid w:val="00B8286A"/>
    <w:rsid w:val="00B83567"/>
    <w:rsid w:val="00B83AFC"/>
    <w:rsid w:val="00B83F26"/>
    <w:rsid w:val="00B83F6B"/>
    <w:rsid w:val="00B84AB7"/>
    <w:rsid w:val="00B85156"/>
    <w:rsid w:val="00B85330"/>
    <w:rsid w:val="00B853C5"/>
    <w:rsid w:val="00B85932"/>
    <w:rsid w:val="00B85955"/>
    <w:rsid w:val="00B860C8"/>
    <w:rsid w:val="00B86325"/>
    <w:rsid w:val="00B86443"/>
    <w:rsid w:val="00B869FE"/>
    <w:rsid w:val="00B90032"/>
    <w:rsid w:val="00B900C1"/>
    <w:rsid w:val="00B9078D"/>
    <w:rsid w:val="00B90A08"/>
    <w:rsid w:val="00B9108F"/>
    <w:rsid w:val="00B910C1"/>
    <w:rsid w:val="00B91201"/>
    <w:rsid w:val="00B91396"/>
    <w:rsid w:val="00B917DE"/>
    <w:rsid w:val="00B91D2D"/>
    <w:rsid w:val="00B91F71"/>
    <w:rsid w:val="00B91F77"/>
    <w:rsid w:val="00B92AAF"/>
    <w:rsid w:val="00B92D4F"/>
    <w:rsid w:val="00B932B4"/>
    <w:rsid w:val="00B93470"/>
    <w:rsid w:val="00B93569"/>
    <w:rsid w:val="00B93B97"/>
    <w:rsid w:val="00B94412"/>
    <w:rsid w:val="00B94450"/>
    <w:rsid w:val="00B947CF"/>
    <w:rsid w:val="00B94BE2"/>
    <w:rsid w:val="00B94D82"/>
    <w:rsid w:val="00B950DD"/>
    <w:rsid w:val="00B95546"/>
    <w:rsid w:val="00B95950"/>
    <w:rsid w:val="00B96121"/>
    <w:rsid w:val="00B961DD"/>
    <w:rsid w:val="00B962B2"/>
    <w:rsid w:val="00B96952"/>
    <w:rsid w:val="00B96E11"/>
    <w:rsid w:val="00B975DC"/>
    <w:rsid w:val="00B9795B"/>
    <w:rsid w:val="00B97BD2"/>
    <w:rsid w:val="00B97DC8"/>
    <w:rsid w:val="00B97FF1"/>
    <w:rsid w:val="00BA03D4"/>
    <w:rsid w:val="00BA0D14"/>
    <w:rsid w:val="00BA14FC"/>
    <w:rsid w:val="00BA1C26"/>
    <w:rsid w:val="00BA33A6"/>
    <w:rsid w:val="00BA356A"/>
    <w:rsid w:val="00BA38F4"/>
    <w:rsid w:val="00BA4383"/>
    <w:rsid w:val="00BA4EB9"/>
    <w:rsid w:val="00BA4F82"/>
    <w:rsid w:val="00BA5501"/>
    <w:rsid w:val="00BA5CBB"/>
    <w:rsid w:val="00BA5CCA"/>
    <w:rsid w:val="00BA61B0"/>
    <w:rsid w:val="00BA63B0"/>
    <w:rsid w:val="00BA6858"/>
    <w:rsid w:val="00BA6EB7"/>
    <w:rsid w:val="00BA7952"/>
    <w:rsid w:val="00BB10D2"/>
    <w:rsid w:val="00BB147C"/>
    <w:rsid w:val="00BB18A3"/>
    <w:rsid w:val="00BB1A9C"/>
    <w:rsid w:val="00BB1AE2"/>
    <w:rsid w:val="00BB2210"/>
    <w:rsid w:val="00BB233C"/>
    <w:rsid w:val="00BB2F47"/>
    <w:rsid w:val="00BB33AE"/>
    <w:rsid w:val="00BB3671"/>
    <w:rsid w:val="00BB3BA9"/>
    <w:rsid w:val="00BB3CD1"/>
    <w:rsid w:val="00BB4019"/>
    <w:rsid w:val="00BB407F"/>
    <w:rsid w:val="00BB42AD"/>
    <w:rsid w:val="00BB44E3"/>
    <w:rsid w:val="00BB4B12"/>
    <w:rsid w:val="00BB4F61"/>
    <w:rsid w:val="00BB50DF"/>
    <w:rsid w:val="00BB56B9"/>
    <w:rsid w:val="00BB5AF5"/>
    <w:rsid w:val="00BB5C07"/>
    <w:rsid w:val="00BB5EE4"/>
    <w:rsid w:val="00BB6307"/>
    <w:rsid w:val="00BB6B5B"/>
    <w:rsid w:val="00BB6B9E"/>
    <w:rsid w:val="00BB6F12"/>
    <w:rsid w:val="00BB7268"/>
    <w:rsid w:val="00BB73FC"/>
    <w:rsid w:val="00BB7411"/>
    <w:rsid w:val="00BB77CA"/>
    <w:rsid w:val="00BB7A12"/>
    <w:rsid w:val="00BB7F2A"/>
    <w:rsid w:val="00BC0402"/>
    <w:rsid w:val="00BC082C"/>
    <w:rsid w:val="00BC13FF"/>
    <w:rsid w:val="00BC15FD"/>
    <w:rsid w:val="00BC207B"/>
    <w:rsid w:val="00BC272E"/>
    <w:rsid w:val="00BC2952"/>
    <w:rsid w:val="00BC2AAC"/>
    <w:rsid w:val="00BC3928"/>
    <w:rsid w:val="00BC39EE"/>
    <w:rsid w:val="00BC3AB9"/>
    <w:rsid w:val="00BC3F62"/>
    <w:rsid w:val="00BC40B2"/>
    <w:rsid w:val="00BC4844"/>
    <w:rsid w:val="00BC48AB"/>
    <w:rsid w:val="00BC4A3B"/>
    <w:rsid w:val="00BC4B41"/>
    <w:rsid w:val="00BC4F8A"/>
    <w:rsid w:val="00BC54E8"/>
    <w:rsid w:val="00BC56A4"/>
    <w:rsid w:val="00BC59DF"/>
    <w:rsid w:val="00BC6C18"/>
    <w:rsid w:val="00BC6DD8"/>
    <w:rsid w:val="00BC7495"/>
    <w:rsid w:val="00BC7956"/>
    <w:rsid w:val="00BC7D80"/>
    <w:rsid w:val="00BC7E4D"/>
    <w:rsid w:val="00BD014F"/>
    <w:rsid w:val="00BD0F9C"/>
    <w:rsid w:val="00BD1A59"/>
    <w:rsid w:val="00BD1A7D"/>
    <w:rsid w:val="00BD1D36"/>
    <w:rsid w:val="00BD219E"/>
    <w:rsid w:val="00BD24DD"/>
    <w:rsid w:val="00BD25DE"/>
    <w:rsid w:val="00BD2748"/>
    <w:rsid w:val="00BD2806"/>
    <w:rsid w:val="00BD294B"/>
    <w:rsid w:val="00BD307B"/>
    <w:rsid w:val="00BD327B"/>
    <w:rsid w:val="00BD32CA"/>
    <w:rsid w:val="00BD3D30"/>
    <w:rsid w:val="00BD4135"/>
    <w:rsid w:val="00BD4187"/>
    <w:rsid w:val="00BD492D"/>
    <w:rsid w:val="00BD5D57"/>
    <w:rsid w:val="00BD5F8A"/>
    <w:rsid w:val="00BD6179"/>
    <w:rsid w:val="00BD7983"/>
    <w:rsid w:val="00BD7A03"/>
    <w:rsid w:val="00BD7F4A"/>
    <w:rsid w:val="00BE014E"/>
    <w:rsid w:val="00BE085D"/>
    <w:rsid w:val="00BE086C"/>
    <w:rsid w:val="00BE09BA"/>
    <w:rsid w:val="00BE0BD2"/>
    <w:rsid w:val="00BE0D86"/>
    <w:rsid w:val="00BE16B7"/>
    <w:rsid w:val="00BE17E7"/>
    <w:rsid w:val="00BE18F3"/>
    <w:rsid w:val="00BE1AE1"/>
    <w:rsid w:val="00BE1F3B"/>
    <w:rsid w:val="00BE214E"/>
    <w:rsid w:val="00BE3276"/>
    <w:rsid w:val="00BE336F"/>
    <w:rsid w:val="00BE361A"/>
    <w:rsid w:val="00BE37D4"/>
    <w:rsid w:val="00BE40CD"/>
    <w:rsid w:val="00BE4512"/>
    <w:rsid w:val="00BE4B70"/>
    <w:rsid w:val="00BE4C1D"/>
    <w:rsid w:val="00BE52F6"/>
    <w:rsid w:val="00BE5C1E"/>
    <w:rsid w:val="00BE5C88"/>
    <w:rsid w:val="00BE5DFE"/>
    <w:rsid w:val="00BE5F9E"/>
    <w:rsid w:val="00BE6041"/>
    <w:rsid w:val="00BE6D41"/>
    <w:rsid w:val="00BE6DCA"/>
    <w:rsid w:val="00BE7E2D"/>
    <w:rsid w:val="00BF004B"/>
    <w:rsid w:val="00BF05B2"/>
    <w:rsid w:val="00BF09AA"/>
    <w:rsid w:val="00BF0C92"/>
    <w:rsid w:val="00BF2C13"/>
    <w:rsid w:val="00BF2C2E"/>
    <w:rsid w:val="00BF3368"/>
    <w:rsid w:val="00BF35FF"/>
    <w:rsid w:val="00BF393E"/>
    <w:rsid w:val="00BF3D64"/>
    <w:rsid w:val="00BF3EBB"/>
    <w:rsid w:val="00BF460E"/>
    <w:rsid w:val="00BF50D7"/>
    <w:rsid w:val="00BF5100"/>
    <w:rsid w:val="00BF5BBF"/>
    <w:rsid w:val="00BF6CF8"/>
    <w:rsid w:val="00BF7392"/>
    <w:rsid w:val="00BF7CE4"/>
    <w:rsid w:val="00BF7DAC"/>
    <w:rsid w:val="00BF7F1B"/>
    <w:rsid w:val="00C0012C"/>
    <w:rsid w:val="00C00A35"/>
    <w:rsid w:val="00C01207"/>
    <w:rsid w:val="00C01B15"/>
    <w:rsid w:val="00C01BBF"/>
    <w:rsid w:val="00C01F2D"/>
    <w:rsid w:val="00C03600"/>
    <w:rsid w:val="00C0374B"/>
    <w:rsid w:val="00C03B90"/>
    <w:rsid w:val="00C03C86"/>
    <w:rsid w:val="00C03F24"/>
    <w:rsid w:val="00C04257"/>
    <w:rsid w:val="00C04777"/>
    <w:rsid w:val="00C04CEF"/>
    <w:rsid w:val="00C04EBB"/>
    <w:rsid w:val="00C05B75"/>
    <w:rsid w:val="00C05BCB"/>
    <w:rsid w:val="00C06579"/>
    <w:rsid w:val="00C06C80"/>
    <w:rsid w:val="00C06EF6"/>
    <w:rsid w:val="00C0787C"/>
    <w:rsid w:val="00C07CC0"/>
    <w:rsid w:val="00C103BA"/>
    <w:rsid w:val="00C10550"/>
    <w:rsid w:val="00C107BD"/>
    <w:rsid w:val="00C10802"/>
    <w:rsid w:val="00C10EC5"/>
    <w:rsid w:val="00C10F3D"/>
    <w:rsid w:val="00C11A45"/>
    <w:rsid w:val="00C12AB2"/>
    <w:rsid w:val="00C135DF"/>
    <w:rsid w:val="00C138A9"/>
    <w:rsid w:val="00C13A46"/>
    <w:rsid w:val="00C13BEB"/>
    <w:rsid w:val="00C1405E"/>
    <w:rsid w:val="00C14183"/>
    <w:rsid w:val="00C142FF"/>
    <w:rsid w:val="00C145A0"/>
    <w:rsid w:val="00C14960"/>
    <w:rsid w:val="00C14DF4"/>
    <w:rsid w:val="00C14E11"/>
    <w:rsid w:val="00C153FD"/>
    <w:rsid w:val="00C15795"/>
    <w:rsid w:val="00C15C91"/>
    <w:rsid w:val="00C165C4"/>
    <w:rsid w:val="00C1663E"/>
    <w:rsid w:val="00C16710"/>
    <w:rsid w:val="00C1688B"/>
    <w:rsid w:val="00C16A41"/>
    <w:rsid w:val="00C16F12"/>
    <w:rsid w:val="00C16F69"/>
    <w:rsid w:val="00C17027"/>
    <w:rsid w:val="00C17120"/>
    <w:rsid w:val="00C2008E"/>
    <w:rsid w:val="00C2036B"/>
    <w:rsid w:val="00C20A26"/>
    <w:rsid w:val="00C20B3D"/>
    <w:rsid w:val="00C20BFA"/>
    <w:rsid w:val="00C20C55"/>
    <w:rsid w:val="00C20E0A"/>
    <w:rsid w:val="00C21031"/>
    <w:rsid w:val="00C215CA"/>
    <w:rsid w:val="00C21655"/>
    <w:rsid w:val="00C21828"/>
    <w:rsid w:val="00C218CD"/>
    <w:rsid w:val="00C21AD5"/>
    <w:rsid w:val="00C222E0"/>
    <w:rsid w:val="00C22B03"/>
    <w:rsid w:val="00C23453"/>
    <w:rsid w:val="00C23F2F"/>
    <w:rsid w:val="00C24686"/>
    <w:rsid w:val="00C24944"/>
    <w:rsid w:val="00C24D4A"/>
    <w:rsid w:val="00C252B1"/>
    <w:rsid w:val="00C25A20"/>
    <w:rsid w:val="00C2628F"/>
    <w:rsid w:val="00C2661A"/>
    <w:rsid w:val="00C2683B"/>
    <w:rsid w:val="00C268E0"/>
    <w:rsid w:val="00C26B12"/>
    <w:rsid w:val="00C26B1E"/>
    <w:rsid w:val="00C26D9C"/>
    <w:rsid w:val="00C27344"/>
    <w:rsid w:val="00C27996"/>
    <w:rsid w:val="00C27F2D"/>
    <w:rsid w:val="00C3011B"/>
    <w:rsid w:val="00C30757"/>
    <w:rsid w:val="00C307BE"/>
    <w:rsid w:val="00C30C33"/>
    <w:rsid w:val="00C30D9D"/>
    <w:rsid w:val="00C30DC0"/>
    <w:rsid w:val="00C30EE9"/>
    <w:rsid w:val="00C31147"/>
    <w:rsid w:val="00C316F6"/>
    <w:rsid w:val="00C31B0A"/>
    <w:rsid w:val="00C320D7"/>
    <w:rsid w:val="00C32478"/>
    <w:rsid w:val="00C324EA"/>
    <w:rsid w:val="00C3314A"/>
    <w:rsid w:val="00C334FD"/>
    <w:rsid w:val="00C3362C"/>
    <w:rsid w:val="00C339FD"/>
    <w:rsid w:val="00C33B4D"/>
    <w:rsid w:val="00C33EBE"/>
    <w:rsid w:val="00C34311"/>
    <w:rsid w:val="00C34394"/>
    <w:rsid w:val="00C3468F"/>
    <w:rsid w:val="00C34A25"/>
    <w:rsid w:val="00C35EC5"/>
    <w:rsid w:val="00C35F1A"/>
    <w:rsid w:val="00C366B4"/>
    <w:rsid w:val="00C368A1"/>
    <w:rsid w:val="00C36ACF"/>
    <w:rsid w:val="00C36F7C"/>
    <w:rsid w:val="00C378D2"/>
    <w:rsid w:val="00C37DC5"/>
    <w:rsid w:val="00C37EBF"/>
    <w:rsid w:val="00C40184"/>
    <w:rsid w:val="00C40459"/>
    <w:rsid w:val="00C40E1A"/>
    <w:rsid w:val="00C40E3C"/>
    <w:rsid w:val="00C40FAE"/>
    <w:rsid w:val="00C41048"/>
    <w:rsid w:val="00C415C0"/>
    <w:rsid w:val="00C41C8F"/>
    <w:rsid w:val="00C42264"/>
    <w:rsid w:val="00C42AD6"/>
    <w:rsid w:val="00C439CA"/>
    <w:rsid w:val="00C43E1C"/>
    <w:rsid w:val="00C440BE"/>
    <w:rsid w:val="00C4446E"/>
    <w:rsid w:val="00C44477"/>
    <w:rsid w:val="00C44A64"/>
    <w:rsid w:val="00C44B71"/>
    <w:rsid w:val="00C44FC9"/>
    <w:rsid w:val="00C4533F"/>
    <w:rsid w:val="00C4571E"/>
    <w:rsid w:val="00C45A26"/>
    <w:rsid w:val="00C45FCB"/>
    <w:rsid w:val="00C46271"/>
    <w:rsid w:val="00C46996"/>
    <w:rsid w:val="00C46DFD"/>
    <w:rsid w:val="00C47093"/>
    <w:rsid w:val="00C4767D"/>
    <w:rsid w:val="00C476AC"/>
    <w:rsid w:val="00C476E8"/>
    <w:rsid w:val="00C479A6"/>
    <w:rsid w:val="00C50355"/>
    <w:rsid w:val="00C51346"/>
    <w:rsid w:val="00C51B8A"/>
    <w:rsid w:val="00C51D28"/>
    <w:rsid w:val="00C51D2F"/>
    <w:rsid w:val="00C51D9E"/>
    <w:rsid w:val="00C52206"/>
    <w:rsid w:val="00C53669"/>
    <w:rsid w:val="00C53921"/>
    <w:rsid w:val="00C53AB7"/>
    <w:rsid w:val="00C54200"/>
    <w:rsid w:val="00C54326"/>
    <w:rsid w:val="00C54D9C"/>
    <w:rsid w:val="00C55429"/>
    <w:rsid w:val="00C55850"/>
    <w:rsid w:val="00C55929"/>
    <w:rsid w:val="00C55E2B"/>
    <w:rsid w:val="00C56DA6"/>
    <w:rsid w:val="00C570A2"/>
    <w:rsid w:val="00C5718C"/>
    <w:rsid w:val="00C5785F"/>
    <w:rsid w:val="00C57D0E"/>
    <w:rsid w:val="00C57ED2"/>
    <w:rsid w:val="00C601C6"/>
    <w:rsid w:val="00C60303"/>
    <w:rsid w:val="00C60907"/>
    <w:rsid w:val="00C60AB6"/>
    <w:rsid w:val="00C60CBB"/>
    <w:rsid w:val="00C611F2"/>
    <w:rsid w:val="00C617BC"/>
    <w:rsid w:val="00C61980"/>
    <w:rsid w:val="00C61BC6"/>
    <w:rsid w:val="00C61F21"/>
    <w:rsid w:val="00C62875"/>
    <w:rsid w:val="00C6310D"/>
    <w:rsid w:val="00C633B6"/>
    <w:rsid w:val="00C633C1"/>
    <w:rsid w:val="00C633FE"/>
    <w:rsid w:val="00C63631"/>
    <w:rsid w:val="00C63EFE"/>
    <w:rsid w:val="00C6477A"/>
    <w:rsid w:val="00C647B8"/>
    <w:rsid w:val="00C6481C"/>
    <w:rsid w:val="00C65130"/>
    <w:rsid w:val="00C66160"/>
    <w:rsid w:val="00C6671B"/>
    <w:rsid w:val="00C67192"/>
    <w:rsid w:val="00C67CC5"/>
    <w:rsid w:val="00C701C9"/>
    <w:rsid w:val="00C704B3"/>
    <w:rsid w:val="00C70FFD"/>
    <w:rsid w:val="00C726F4"/>
    <w:rsid w:val="00C72895"/>
    <w:rsid w:val="00C729FF"/>
    <w:rsid w:val="00C734E9"/>
    <w:rsid w:val="00C73694"/>
    <w:rsid w:val="00C736F0"/>
    <w:rsid w:val="00C73D58"/>
    <w:rsid w:val="00C745E5"/>
    <w:rsid w:val="00C749AE"/>
    <w:rsid w:val="00C74FF1"/>
    <w:rsid w:val="00C75058"/>
    <w:rsid w:val="00C75118"/>
    <w:rsid w:val="00C75193"/>
    <w:rsid w:val="00C753CF"/>
    <w:rsid w:val="00C75A57"/>
    <w:rsid w:val="00C767EB"/>
    <w:rsid w:val="00C7694D"/>
    <w:rsid w:val="00C76F9B"/>
    <w:rsid w:val="00C77893"/>
    <w:rsid w:val="00C779DE"/>
    <w:rsid w:val="00C77BF6"/>
    <w:rsid w:val="00C8011D"/>
    <w:rsid w:val="00C8026A"/>
    <w:rsid w:val="00C8132E"/>
    <w:rsid w:val="00C81F59"/>
    <w:rsid w:val="00C81FBB"/>
    <w:rsid w:val="00C82DBE"/>
    <w:rsid w:val="00C82EED"/>
    <w:rsid w:val="00C830F5"/>
    <w:rsid w:val="00C83120"/>
    <w:rsid w:val="00C8331E"/>
    <w:rsid w:val="00C83394"/>
    <w:rsid w:val="00C833E9"/>
    <w:rsid w:val="00C8359B"/>
    <w:rsid w:val="00C8397B"/>
    <w:rsid w:val="00C8475D"/>
    <w:rsid w:val="00C854E7"/>
    <w:rsid w:val="00C8557B"/>
    <w:rsid w:val="00C862F3"/>
    <w:rsid w:val="00C86744"/>
    <w:rsid w:val="00C87109"/>
    <w:rsid w:val="00C872E7"/>
    <w:rsid w:val="00C90DB9"/>
    <w:rsid w:val="00C90E56"/>
    <w:rsid w:val="00C90FD4"/>
    <w:rsid w:val="00C913FF"/>
    <w:rsid w:val="00C91B94"/>
    <w:rsid w:val="00C91DA2"/>
    <w:rsid w:val="00C9227C"/>
    <w:rsid w:val="00C9265A"/>
    <w:rsid w:val="00C9275C"/>
    <w:rsid w:val="00C927CC"/>
    <w:rsid w:val="00C93083"/>
    <w:rsid w:val="00C9398A"/>
    <w:rsid w:val="00C93BB9"/>
    <w:rsid w:val="00C946E0"/>
    <w:rsid w:val="00C94934"/>
    <w:rsid w:val="00C94A2F"/>
    <w:rsid w:val="00C94EE5"/>
    <w:rsid w:val="00C95C18"/>
    <w:rsid w:val="00C96315"/>
    <w:rsid w:val="00C96470"/>
    <w:rsid w:val="00C96842"/>
    <w:rsid w:val="00C96E09"/>
    <w:rsid w:val="00C97060"/>
    <w:rsid w:val="00C97FFC"/>
    <w:rsid w:val="00CA048C"/>
    <w:rsid w:val="00CA049B"/>
    <w:rsid w:val="00CA04AE"/>
    <w:rsid w:val="00CA04F7"/>
    <w:rsid w:val="00CA05FC"/>
    <w:rsid w:val="00CA0762"/>
    <w:rsid w:val="00CA090E"/>
    <w:rsid w:val="00CA1148"/>
    <w:rsid w:val="00CA1287"/>
    <w:rsid w:val="00CA14A1"/>
    <w:rsid w:val="00CA170E"/>
    <w:rsid w:val="00CA17D9"/>
    <w:rsid w:val="00CA196F"/>
    <w:rsid w:val="00CA1C67"/>
    <w:rsid w:val="00CA2BDA"/>
    <w:rsid w:val="00CA348E"/>
    <w:rsid w:val="00CA37E9"/>
    <w:rsid w:val="00CA3CE2"/>
    <w:rsid w:val="00CA4110"/>
    <w:rsid w:val="00CA4122"/>
    <w:rsid w:val="00CA45CC"/>
    <w:rsid w:val="00CA45DF"/>
    <w:rsid w:val="00CA4E33"/>
    <w:rsid w:val="00CA54B3"/>
    <w:rsid w:val="00CA6115"/>
    <w:rsid w:val="00CA6A4A"/>
    <w:rsid w:val="00CA6C38"/>
    <w:rsid w:val="00CA727A"/>
    <w:rsid w:val="00CA73FF"/>
    <w:rsid w:val="00CA78F4"/>
    <w:rsid w:val="00CA7B4B"/>
    <w:rsid w:val="00CA7FB1"/>
    <w:rsid w:val="00CB0A97"/>
    <w:rsid w:val="00CB0C53"/>
    <w:rsid w:val="00CB0F5E"/>
    <w:rsid w:val="00CB168C"/>
    <w:rsid w:val="00CB1814"/>
    <w:rsid w:val="00CB1913"/>
    <w:rsid w:val="00CB1BA4"/>
    <w:rsid w:val="00CB223F"/>
    <w:rsid w:val="00CB23F9"/>
    <w:rsid w:val="00CB2437"/>
    <w:rsid w:val="00CB2D55"/>
    <w:rsid w:val="00CB38BC"/>
    <w:rsid w:val="00CB40E9"/>
    <w:rsid w:val="00CB41F4"/>
    <w:rsid w:val="00CB4A85"/>
    <w:rsid w:val="00CB4DD8"/>
    <w:rsid w:val="00CB57DC"/>
    <w:rsid w:val="00CB5A81"/>
    <w:rsid w:val="00CB5F54"/>
    <w:rsid w:val="00CB653A"/>
    <w:rsid w:val="00CB6DBD"/>
    <w:rsid w:val="00CB7C37"/>
    <w:rsid w:val="00CB7D15"/>
    <w:rsid w:val="00CC0743"/>
    <w:rsid w:val="00CC0BD6"/>
    <w:rsid w:val="00CC0C62"/>
    <w:rsid w:val="00CC129A"/>
    <w:rsid w:val="00CC1AF2"/>
    <w:rsid w:val="00CC1CB2"/>
    <w:rsid w:val="00CC2043"/>
    <w:rsid w:val="00CC240F"/>
    <w:rsid w:val="00CC255F"/>
    <w:rsid w:val="00CC28A1"/>
    <w:rsid w:val="00CC2B49"/>
    <w:rsid w:val="00CC2CAB"/>
    <w:rsid w:val="00CC2E90"/>
    <w:rsid w:val="00CC3004"/>
    <w:rsid w:val="00CC32AC"/>
    <w:rsid w:val="00CC33F8"/>
    <w:rsid w:val="00CC35C5"/>
    <w:rsid w:val="00CC370E"/>
    <w:rsid w:val="00CC3AB0"/>
    <w:rsid w:val="00CC3CD1"/>
    <w:rsid w:val="00CC3D5A"/>
    <w:rsid w:val="00CC4080"/>
    <w:rsid w:val="00CC4284"/>
    <w:rsid w:val="00CC4631"/>
    <w:rsid w:val="00CC4703"/>
    <w:rsid w:val="00CC5DCD"/>
    <w:rsid w:val="00CC5E9D"/>
    <w:rsid w:val="00CC5FF8"/>
    <w:rsid w:val="00CC60E0"/>
    <w:rsid w:val="00CC63D6"/>
    <w:rsid w:val="00CC66C5"/>
    <w:rsid w:val="00CC7154"/>
    <w:rsid w:val="00CC7839"/>
    <w:rsid w:val="00CC7992"/>
    <w:rsid w:val="00CC7A65"/>
    <w:rsid w:val="00CD038F"/>
    <w:rsid w:val="00CD0585"/>
    <w:rsid w:val="00CD0BE7"/>
    <w:rsid w:val="00CD106F"/>
    <w:rsid w:val="00CD1247"/>
    <w:rsid w:val="00CD132D"/>
    <w:rsid w:val="00CD1605"/>
    <w:rsid w:val="00CD1841"/>
    <w:rsid w:val="00CD1AF2"/>
    <w:rsid w:val="00CD2374"/>
    <w:rsid w:val="00CD251B"/>
    <w:rsid w:val="00CD2564"/>
    <w:rsid w:val="00CD278D"/>
    <w:rsid w:val="00CD286F"/>
    <w:rsid w:val="00CD2B46"/>
    <w:rsid w:val="00CD511C"/>
    <w:rsid w:val="00CD5C5F"/>
    <w:rsid w:val="00CD5DEB"/>
    <w:rsid w:val="00CD5ED6"/>
    <w:rsid w:val="00CD613B"/>
    <w:rsid w:val="00CD6908"/>
    <w:rsid w:val="00CD6B50"/>
    <w:rsid w:val="00CD73FB"/>
    <w:rsid w:val="00CD751E"/>
    <w:rsid w:val="00CD7E04"/>
    <w:rsid w:val="00CD7EE6"/>
    <w:rsid w:val="00CE051B"/>
    <w:rsid w:val="00CE06D4"/>
    <w:rsid w:val="00CE0774"/>
    <w:rsid w:val="00CE0B2C"/>
    <w:rsid w:val="00CE128F"/>
    <w:rsid w:val="00CE1693"/>
    <w:rsid w:val="00CE181B"/>
    <w:rsid w:val="00CE2B59"/>
    <w:rsid w:val="00CE3A5B"/>
    <w:rsid w:val="00CE3AEC"/>
    <w:rsid w:val="00CE3F6D"/>
    <w:rsid w:val="00CE4626"/>
    <w:rsid w:val="00CE4976"/>
    <w:rsid w:val="00CE4E8A"/>
    <w:rsid w:val="00CE4FDC"/>
    <w:rsid w:val="00CE5565"/>
    <w:rsid w:val="00CE5A32"/>
    <w:rsid w:val="00CE5A51"/>
    <w:rsid w:val="00CE5BF4"/>
    <w:rsid w:val="00CE5CD5"/>
    <w:rsid w:val="00CE5D61"/>
    <w:rsid w:val="00CE6FC0"/>
    <w:rsid w:val="00CE70B1"/>
    <w:rsid w:val="00CF0693"/>
    <w:rsid w:val="00CF0738"/>
    <w:rsid w:val="00CF0B02"/>
    <w:rsid w:val="00CF0C18"/>
    <w:rsid w:val="00CF1B18"/>
    <w:rsid w:val="00CF1B51"/>
    <w:rsid w:val="00CF2757"/>
    <w:rsid w:val="00CF321D"/>
    <w:rsid w:val="00CF4A16"/>
    <w:rsid w:val="00CF4CF1"/>
    <w:rsid w:val="00CF4F17"/>
    <w:rsid w:val="00CF5B2F"/>
    <w:rsid w:val="00CF5D64"/>
    <w:rsid w:val="00CF6188"/>
    <w:rsid w:val="00CF65C6"/>
    <w:rsid w:val="00CF669A"/>
    <w:rsid w:val="00CF7286"/>
    <w:rsid w:val="00CF72AB"/>
    <w:rsid w:val="00CF7347"/>
    <w:rsid w:val="00CF7A69"/>
    <w:rsid w:val="00CF7BCE"/>
    <w:rsid w:val="00CF7BED"/>
    <w:rsid w:val="00CF7E8B"/>
    <w:rsid w:val="00CF7F4E"/>
    <w:rsid w:val="00CF7FE7"/>
    <w:rsid w:val="00D0004A"/>
    <w:rsid w:val="00D0016D"/>
    <w:rsid w:val="00D015CD"/>
    <w:rsid w:val="00D01DD7"/>
    <w:rsid w:val="00D0216E"/>
    <w:rsid w:val="00D02EBA"/>
    <w:rsid w:val="00D02F73"/>
    <w:rsid w:val="00D031D3"/>
    <w:rsid w:val="00D032A6"/>
    <w:rsid w:val="00D0355B"/>
    <w:rsid w:val="00D044C3"/>
    <w:rsid w:val="00D0495C"/>
    <w:rsid w:val="00D04B21"/>
    <w:rsid w:val="00D04CE0"/>
    <w:rsid w:val="00D05987"/>
    <w:rsid w:val="00D064BF"/>
    <w:rsid w:val="00D0655E"/>
    <w:rsid w:val="00D0719A"/>
    <w:rsid w:val="00D0737B"/>
    <w:rsid w:val="00D07DA4"/>
    <w:rsid w:val="00D102EA"/>
    <w:rsid w:val="00D1097C"/>
    <w:rsid w:val="00D10E5F"/>
    <w:rsid w:val="00D111B7"/>
    <w:rsid w:val="00D11605"/>
    <w:rsid w:val="00D11799"/>
    <w:rsid w:val="00D11DC8"/>
    <w:rsid w:val="00D12C8A"/>
    <w:rsid w:val="00D12D2F"/>
    <w:rsid w:val="00D1345A"/>
    <w:rsid w:val="00D135C5"/>
    <w:rsid w:val="00D13E7E"/>
    <w:rsid w:val="00D14E74"/>
    <w:rsid w:val="00D156D9"/>
    <w:rsid w:val="00D15735"/>
    <w:rsid w:val="00D15746"/>
    <w:rsid w:val="00D161DE"/>
    <w:rsid w:val="00D16522"/>
    <w:rsid w:val="00D174AF"/>
    <w:rsid w:val="00D175BF"/>
    <w:rsid w:val="00D17DA3"/>
    <w:rsid w:val="00D17EB8"/>
    <w:rsid w:val="00D17F4B"/>
    <w:rsid w:val="00D20076"/>
    <w:rsid w:val="00D200CB"/>
    <w:rsid w:val="00D2019D"/>
    <w:rsid w:val="00D20680"/>
    <w:rsid w:val="00D2084F"/>
    <w:rsid w:val="00D20BF9"/>
    <w:rsid w:val="00D20C35"/>
    <w:rsid w:val="00D20D78"/>
    <w:rsid w:val="00D20FE4"/>
    <w:rsid w:val="00D2120C"/>
    <w:rsid w:val="00D214E0"/>
    <w:rsid w:val="00D21CCF"/>
    <w:rsid w:val="00D21F7C"/>
    <w:rsid w:val="00D23B6D"/>
    <w:rsid w:val="00D23CC3"/>
    <w:rsid w:val="00D24421"/>
    <w:rsid w:val="00D24CC2"/>
    <w:rsid w:val="00D24DB0"/>
    <w:rsid w:val="00D2501D"/>
    <w:rsid w:val="00D253B6"/>
    <w:rsid w:val="00D25789"/>
    <w:rsid w:val="00D259DF"/>
    <w:rsid w:val="00D25AA2"/>
    <w:rsid w:val="00D26292"/>
    <w:rsid w:val="00D2689C"/>
    <w:rsid w:val="00D26A53"/>
    <w:rsid w:val="00D26A80"/>
    <w:rsid w:val="00D276E8"/>
    <w:rsid w:val="00D276E9"/>
    <w:rsid w:val="00D279E0"/>
    <w:rsid w:val="00D27CD7"/>
    <w:rsid w:val="00D27E0F"/>
    <w:rsid w:val="00D27F15"/>
    <w:rsid w:val="00D300E0"/>
    <w:rsid w:val="00D30C56"/>
    <w:rsid w:val="00D3119F"/>
    <w:rsid w:val="00D3138C"/>
    <w:rsid w:val="00D31B66"/>
    <w:rsid w:val="00D325DD"/>
    <w:rsid w:val="00D32636"/>
    <w:rsid w:val="00D32A62"/>
    <w:rsid w:val="00D32C84"/>
    <w:rsid w:val="00D32EA2"/>
    <w:rsid w:val="00D32F99"/>
    <w:rsid w:val="00D3303F"/>
    <w:rsid w:val="00D33584"/>
    <w:rsid w:val="00D33913"/>
    <w:rsid w:val="00D33AFC"/>
    <w:rsid w:val="00D34151"/>
    <w:rsid w:val="00D3545E"/>
    <w:rsid w:val="00D35BE3"/>
    <w:rsid w:val="00D35F5F"/>
    <w:rsid w:val="00D36085"/>
    <w:rsid w:val="00D36A03"/>
    <w:rsid w:val="00D36B89"/>
    <w:rsid w:val="00D373A6"/>
    <w:rsid w:val="00D3797D"/>
    <w:rsid w:val="00D37E98"/>
    <w:rsid w:val="00D37E9E"/>
    <w:rsid w:val="00D40091"/>
    <w:rsid w:val="00D40707"/>
    <w:rsid w:val="00D40B77"/>
    <w:rsid w:val="00D411F7"/>
    <w:rsid w:val="00D414CC"/>
    <w:rsid w:val="00D4170C"/>
    <w:rsid w:val="00D41CA6"/>
    <w:rsid w:val="00D439E1"/>
    <w:rsid w:val="00D43B89"/>
    <w:rsid w:val="00D43CC5"/>
    <w:rsid w:val="00D44032"/>
    <w:rsid w:val="00D4423E"/>
    <w:rsid w:val="00D44494"/>
    <w:rsid w:val="00D44570"/>
    <w:rsid w:val="00D447C1"/>
    <w:rsid w:val="00D44B22"/>
    <w:rsid w:val="00D44C8C"/>
    <w:rsid w:val="00D44DBB"/>
    <w:rsid w:val="00D452A1"/>
    <w:rsid w:val="00D4551D"/>
    <w:rsid w:val="00D45681"/>
    <w:rsid w:val="00D456F3"/>
    <w:rsid w:val="00D45F3A"/>
    <w:rsid w:val="00D464F4"/>
    <w:rsid w:val="00D46CCA"/>
    <w:rsid w:val="00D46D54"/>
    <w:rsid w:val="00D46F3A"/>
    <w:rsid w:val="00D471CB"/>
    <w:rsid w:val="00D47207"/>
    <w:rsid w:val="00D47328"/>
    <w:rsid w:val="00D4732C"/>
    <w:rsid w:val="00D479EF"/>
    <w:rsid w:val="00D47A97"/>
    <w:rsid w:val="00D50B25"/>
    <w:rsid w:val="00D50BDC"/>
    <w:rsid w:val="00D50C0A"/>
    <w:rsid w:val="00D50DA1"/>
    <w:rsid w:val="00D50E88"/>
    <w:rsid w:val="00D50FA7"/>
    <w:rsid w:val="00D510B4"/>
    <w:rsid w:val="00D52821"/>
    <w:rsid w:val="00D52834"/>
    <w:rsid w:val="00D52A03"/>
    <w:rsid w:val="00D52C7C"/>
    <w:rsid w:val="00D52DE7"/>
    <w:rsid w:val="00D530CB"/>
    <w:rsid w:val="00D53382"/>
    <w:rsid w:val="00D539FA"/>
    <w:rsid w:val="00D53A0D"/>
    <w:rsid w:val="00D543CE"/>
    <w:rsid w:val="00D54B61"/>
    <w:rsid w:val="00D55114"/>
    <w:rsid w:val="00D55CFF"/>
    <w:rsid w:val="00D55D82"/>
    <w:rsid w:val="00D560D1"/>
    <w:rsid w:val="00D56D2E"/>
    <w:rsid w:val="00D5770C"/>
    <w:rsid w:val="00D579C5"/>
    <w:rsid w:val="00D606E1"/>
    <w:rsid w:val="00D61052"/>
    <w:rsid w:val="00D61064"/>
    <w:rsid w:val="00D61396"/>
    <w:rsid w:val="00D61A08"/>
    <w:rsid w:val="00D62854"/>
    <w:rsid w:val="00D62A26"/>
    <w:rsid w:val="00D62D36"/>
    <w:rsid w:val="00D63441"/>
    <w:rsid w:val="00D63A23"/>
    <w:rsid w:val="00D63B18"/>
    <w:rsid w:val="00D63D7E"/>
    <w:rsid w:val="00D641F7"/>
    <w:rsid w:val="00D65964"/>
    <w:rsid w:val="00D65C89"/>
    <w:rsid w:val="00D663B2"/>
    <w:rsid w:val="00D6664E"/>
    <w:rsid w:val="00D66A86"/>
    <w:rsid w:val="00D66AA8"/>
    <w:rsid w:val="00D670B7"/>
    <w:rsid w:val="00D671E5"/>
    <w:rsid w:val="00D679DD"/>
    <w:rsid w:val="00D67AD0"/>
    <w:rsid w:val="00D67CC9"/>
    <w:rsid w:val="00D701FD"/>
    <w:rsid w:val="00D706FC"/>
    <w:rsid w:val="00D71E08"/>
    <w:rsid w:val="00D7211F"/>
    <w:rsid w:val="00D7235B"/>
    <w:rsid w:val="00D72621"/>
    <w:rsid w:val="00D73C0C"/>
    <w:rsid w:val="00D73DA3"/>
    <w:rsid w:val="00D73F31"/>
    <w:rsid w:val="00D7404A"/>
    <w:rsid w:val="00D740A1"/>
    <w:rsid w:val="00D747B7"/>
    <w:rsid w:val="00D74869"/>
    <w:rsid w:val="00D74F27"/>
    <w:rsid w:val="00D75504"/>
    <w:rsid w:val="00D75B71"/>
    <w:rsid w:val="00D76099"/>
    <w:rsid w:val="00D76303"/>
    <w:rsid w:val="00D76344"/>
    <w:rsid w:val="00D76485"/>
    <w:rsid w:val="00D778E8"/>
    <w:rsid w:val="00D77F1A"/>
    <w:rsid w:val="00D77FF5"/>
    <w:rsid w:val="00D80363"/>
    <w:rsid w:val="00D80601"/>
    <w:rsid w:val="00D80897"/>
    <w:rsid w:val="00D8093A"/>
    <w:rsid w:val="00D810BD"/>
    <w:rsid w:val="00D811C8"/>
    <w:rsid w:val="00D81307"/>
    <w:rsid w:val="00D81458"/>
    <w:rsid w:val="00D81C24"/>
    <w:rsid w:val="00D81FE1"/>
    <w:rsid w:val="00D820E2"/>
    <w:rsid w:val="00D82257"/>
    <w:rsid w:val="00D82A26"/>
    <w:rsid w:val="00D82B73"/>
    <w:rsid w:val="00D83009"/>
    <w:rsid w:val="00D835AE"/>
    <w:rsid w:val="00D835DB"/>
    <w:rsid w:val="00D83BBF"/>
    <w:rsid w:val="00D83BE1"/>
    <w:rsid w:val="00D83E74"/>
    <w:rsid w:val="00D83EFA"/>
    <w:rsid w:val="00D84378"/>
    <w:rsid w:val="00D84385"/>
    <w:rsid w:val="00D8446C"/>
    <w:rsid w:val="00D84654"/>
    <w:rsid w:val="00D8478F"/>
    <w:rsid w:val="00D84AD5"/>
    <w:rsid w:val="00D8505B"/>
    <w:rsid w:val="00D8519A"/>
    <w:rsid w:val="00D858A9"/>
    <w:rsid w:val="00D85ADC"/>
    <w:rsid w:val="00D85D8F"/>
    <w:rsid w:val="00D85EF1"/>
    <w:rsid w:val="00D861CE"/>
    <w:rsid w:val="00D87375"/>
    <w:rsid w:val="00D8739F"/>
    <w:rsid w:val="00D87B2C"/>
    <w:rsid w:val="00D90A1B"/>
    <w:rsid w:val="00D90C6D"/>
    <w:rsid w:val="00D90C73"/>
    <w:rsid w:val="00D90CEE"/>
    <w:rsid w:val="00D90D9B"/>
    <w:rsid w:val="00D90ED5"/>
    <w:rsid w:val="00D91309"/>
    <w:rsid w:val="00D914D3"/>
    <w:rsid w:val="00D914D7"/>
    <w:rsid w:val="00D916F8"/>
    <w:rsid w:val="00D92C6F"/>
    <w:rsid w:val="00D934B1"/>
    <w:rsid w:val="00D93B0A"/>
    <w:rsid w:val="00D9496D"/>
    <w:rsid w:val="00D94B03"/>
    <w:rsid w:val="00D94B8C"/>
    <w:rsid w:val="00D94DAE"/>
    <w:rsid w:val="00D94E47"/>
    <w:rsid w:val="00D94FB2"/>
    <w:rsid w:val="00D9532D"/>
    <w:rsid w:val="00D95A09"/>
    <w:rsid w:val="00D96460"/>
    <w:rsid w:val="00D96AFC"/>
    <w:rsid w:val="00D96E4C"/>
    <w:rsid w:val="00D96ECC"/>
    <w:rsid w:val="00D97211"/>
    <w:rsid w:val="00D9771F"/>
    <w:rsid w:val="00D97D0E"/>
    <w:rsid w:val="00DA0640"/>
    <w:rsid w:val="00DA087C"/>
    <w:rsid w:val="00DA0B49"/>
    <w:rsid w:val="00DA0BAD"/>
    <w:rsid w:val="00DA14F4"/>
    <w:rsid w:val="00DA1EA1"/>
    <w:rsid w:val="00DA29EB"/>
    <w:rsid w:val="00DA36D1"/>
    <w:rsid w:val="00DA3B94"/>
    <w:rsid w:val="00DA3C46"/>
    <w:rsid w:val="00DA3E2A"/>
    <w:rsid w:val="00DA3EF5"/>
    <w:rsid w:val="00DA4191"/>
    <w:rsid w:val="00DA4438"/>
    <w:rsid w:val="00DA44EA"/>
    <w:rsid w:val="00DA49EC"/>
    <w:rsid w:val="00DA4C77"/>
    <w:rsid w:val="00DA4E26"/>
    <w:rsid w:val="00DA5000"/>
    <w:rsid w:val="00DA56B8"/>
    <w:rsid w:val="00DA58AC"/>
    <w:rsid w:val="00DA5B23"/>
    <w:rsid w:val="00DA6026"/>
    <w:rsid w:val="00DA670D"/>
    <w:rsid w:val="00DA7423"/>
    <w:rsid w:val="00DA75A3"/>
    <w:rsid w:val="00DB024C"/>
    <w:rsid w:val="00DB034B"/>
    <w:rsid w:val="00DB03F0"/>
    <w:rsid w:val="00DB0A96"/>
    <w:rsid w:val="00DB0C96"/>
    <w:rsid w:val="00DB10F8"/>
    <w:rsid w:val="00DB1273"/>
    <w:rsid w:val="00DB1974"/>
    <w:rsid w:val="00DB1A5D"/>
    <w:rsid w:val="00DB1B73"/>
    <w:rsid w:val="00DB1BEC"/>
    <w:rsid w:val="00DB1D35"/>
    <w:rsid w:val="00DB1FD2"/>
    <w:rsid w:val="00DB204A"/>
    <w:rsid w:val="00DB25FD"/>
    <w:rsid w:val="00DB2801"/>
    <w:rsid w:val="00DB2A3A"/>
    <w:rsid w:val="00DB2C22"/>
    <w:rsid w:val="00DB321D"/>
    <w:rsid w:val="00DB32C3"/>
    <w:rsid w:val="00DB4737"/>
    <w:rsid w:val="00DB4EAC"/>
    <w:rsid w:val="00DB5116"/>
    <w:rsid w:val="00DB5146"/>
    <w:rsid w:val="00DB5B5F"/>
    <w:rsid w:val="00DB629E"/>
    <w:rsid w:val="00DB62C3"/>
    <w:rsid w:val="00DB65C7"/>
    <w:rsid w:val="00DB6684"/>
    <w:rsid w:val="00DB6E2F"/>
    <w:rsid w:val="00DB6FE3"/>
    <w:rsid w:val="00DB759F"/>
    <w:rsid w:val="00DB7722"/>
    <w:rsid w:val="00DB7A74"/>
    <w:rsid w:val="00DB7A92"/>
    <w:rsid w:val="00DC050B"/>
    <w:rsid w:val="00DC07C2"/>
    <w:rsid w:val="00DC0807"/>
    <w:rsid w:val="00DC09E7"/>
    <w:rsid w:val="00DC0DE4"/>
    <w:rsid w:val="00DC0E71"/>
    <w:rsid w:val="00DC10BE"/>
    <w:rsid w:val="00DC1170"/>
    <w:rsid w:val="00DC1334"/>
    <w:rsid w:val="00DC1C00"/>
    <w:rsid w:val="00DC1EAA"/>
    <w:rsid w:val="00DC26B9"/>
    <w:rsid w:val="00DC2D06"/>
    <w:rsid w:val="00DC35C9"/>
    <w:rsid w:val="00DC4212"/>
    <w:rsid w:val="00DC4299"/>
    <w:rsid w:val="00DC49EA"/>
    <w:rsid w:val="00DC4DEE"/>
    <w:rsid w:val="00DC50A0"/>
    <w:rsid w:val="00DC5488"/>
    <w:rsid w:val="00DC5EB2"/>
    <w:rsid w:val="00DC6004"/>
    <w:rsid w:val="00DC633D"/>
    <w:rsid w:val="00DC695D"/>
    <w:rsid w:val="00DC6F52"/>
    <w:rsid w:val="00DC70D1"/>
    <w:rsid w:val="00DC757A"/>
    <w:rsid w:val="00DC780E"/>
    <w:rsid w:val="00DC7FCB"/>
    <w:rsid w:val="00DD04D7"/>
    <w:rsid w:val="00DD081B"/>
    <w:rsid w:val="00DD0D1E"/>
    <w:rsid w:val="00DD0D99"/>
    <w:rsid w:val="00DD11C2"/>
    <w:rsid w:val="00DD1EBB"/>
    <w:rsid w:val="00DD2249"/>
    <w:rsid w:val="00DD2699"/>
    <w:rsid w:val="00DD290A"/>
    <w:rsid w:val="00DD2DAA"/>
    <w:rsid w:val="00DD33C4"/>
    <w:rsid w:val="00DD49EA"/>
    <w:rsid w:val="00DD4C5A"/>
    <w:rsid w:val="00DD4F3C"/>
    <w:rsid w:val="00DD5039"/>
    <w:rsid w:val="00DD5379"/>
    <w:rsid w:val="00DD563A"/>
    <w:rsid w:val="00DD56B1"/>
    <w:rsid w:val="00DD581D"/>
    <w:rsid w:val="00DD5E07"/>
    <w:rsid w:val="00DD6820"/>
    <w:rsid w:val="00DD68DF"/>
    <w:rsid w:val="00DD7082"/>
    <w:rsid w:val="00DD70BC"/>
    <w:rsid w:val="00DD72A6"/>
    <w:rsid w:val="00DD760F"/>
    <w:rsid w:val="00DE05BE"/>
    <w:rsid w:val="00DE078B"/>
    <w:rsid w:val="00DE0D77"/>
    <w:rsid w:val="00DE1094"/>
    <w:rsid w:val="00DE1983"/>
    <w:rsid w:val="00DE1C2C"/>
    <w:rsid w:val="00DE1C5F"/>
    <w:rsid w:val="00DE21D5"/>
    <w:rsid w:val="00DE24E0"/>
    <w:rsid w:val="00DE2A3E"/>
    <w:rsid w:val="00DE2D4A"/>
    <w:rsid w:val="00DE2F29"/>
    <w:rsid w:val="00DE3054"/>
    <w:rsid w:val="00DE3128"/>
    <w:rsid w:val="00DE3195"/>
    <w:rsid w:val="00DE32BD"/>
    <w:rsid w:val="00DE34A9"/>
    <w:rsid w:val="00DE3C46"/>
    <w:rsid w:val="00DE42C9"/>
    <w:rsid w:val="00DE4306"/>
    <w:rsid w:val="00DE4717"/>
    <w:rsid w:val="00DE47D0"/>
    <w:rsid w:val="00DE4CE9"/>
    <w:rsid w:val="00DE566E"/>
    <w:rsid w:val="00DE56B8"/>
    <w:rsid w:val="00DE5A8E"/>
    <w:rsid w:val="00DE613F"/>
    <w:rsid w:val="00DE62EF"/>
    <w:rsid w:val="00DE65C5"/>
    <w:rsid w:val="00DE6B8A"/>
    <w:rsid w:val="00DE6E62"/>
    <w:rsid w:val="00DE7158"/>
    <w:rsid w:val="00DE723C"/>
    <w:rsid w:val="00DE7450"/>
    <w:rsid w:val="00DF0314"/>
    <w:rsid w:val="00DF09DF"/>
    <w:rsid w:val="00DF0CE5"/>
    <w:rsid w:val="00DF0DD1"/>
    <w:rsid w:val="00DF1BE9"/>
    <w:rsid w:val="00DF20BA"/>
    <w:rsid w:val="00DF2852"/>
    <w:rsid w:val="00DF311F"/>
    <w:rsid w:val="00DF47EF"/>
    <w:rsid w:val="00DF48B8"/>
    <w:rsid w:val="00DF4EA2"/>
    <w:rsid w:val="00DF50E9"/>
    <w:rsid w:val="00DF51FD"/>
    <w:rsid w:val="00DF566E"/>
    <w:rsid w:val="00DF5F5D"/>
    <w:rsid w:val="00DF6721"/>
    <w:rsid w:val="00DF673D"/>
    <w:rsid w:val="00DF6771"/>
    <w:rsid w:val="00DF6D5C"/>
    <w:rsid w:val="00DF6E32"/>
    <w:rsid w:val="00DF760F"/>
    <w:rsid w:val="00DF7AAD"/>
    <w:rsid w:val="00DF7B9D"/>
    <w:rsid w:val="00DF7D2D"/>
    <w:rsid w:val="00E005ED"/>
    <w:rsid w:val="00E01510"/>
    <w:rsid w:val="00E01608"/>
    <w:rsid w:val="00E016E0"/>
    <w:rsid w:val="00E0182A"/>
    <w:rsid w:val="00E01D0C"/>
    <w:rsid w:val="00E02AD5"/>
    <w:rsid w:val="00E02D52"/>
    <w:rsid w:val="00E03116"/>
    <w:rsid w:val="00E03550"/>
    <w:rsid w:val="00E037B3"/>
    <w:rsid w:val="00E038B1"/>
    <w:rsid w:val="00E03B5C"/>
    <w:rsid w:val="00E03C10"/>
    <w:rsid w:val="00E03E2D"/>
    <w:rsid w:val="00E040C0"/>
    <w:rsid w:val="00E04337"/>
    <w:rsid w:val="00E047D8"/>
    <w:rsid w:val="00E04872"/>
    <w:rsid w:val="00E048E2"/>
    <w:rsid w:val="00E0497C"/>
    <w:rsid w:val="00E04A89"/>
    <w:rsid w:val="00E051D5"/>
    <w:rsid w:val="00E0575A"/>
    <w:rsid w:val="00E0598C"/>
    <w:rsid w:val="00E05AFC"/>
    <w:rsid w:val="00E05CAC"/>
    <w:rsid w:val="00E05EDA"/>
    <w:rsid w:val="00E06C8A"/>
    <w:rsid w:val="00E07052"/>
    <w:rsid w:val="00E074B4"/>
    <w:rsid w:val="00E07707"/>
    <w:rsid w:val="00E07FBD"/>
    <w:rsid w:val="00E1003C"/>
    <w:rsid w:val="00E10488"/>
    <w:rsid w:val="00E10F4D"/>
    <w:rsid w:val="00E1107B"/>
    <w:rsid w:val="00E111D0"/>
    <w:rsid w:val="00E11E16"/>
    <w:rsid w:val="00E11F98"/>
    <w:rsid w:val="00E1211C"/>
    <w:rsid w:val="00E1215F"/>
    <w:rsid w:val="00E124EF"/>
    <w:rsid w:val="00E13B03"/>
    <w:rsid w:val="00E13D26"/>
    <w:rsid w:val="00E13DDE"/>
    <w:rsid w:val="00E13FDF"/>
    <w:rsid w:val="00E14796"/>
    <w:rsid w:val="00E14B45"/>
    <w:rsid w:val="00E15330"/>
    <w:rsid w:val="00E157F9"/>
    <w:rsid w:val="00E15A06"/>
    <w:rsid w:val="00E166E0"/>
    <w:rsid w:val="00E16EE3"/>
    <w:rsid w:val="00E1728B"/>
    <w:rsid w:val="00E17358"/>
    <w:rsid w:val="00E17DD4"/>
    <w:rsid w:val="00E20E9F"/>
    <w:rsid w:val="00E218E1"/>
    <w:rsid w:val="00E219CC"/>
    <w:rsid w:val="00E21CF7"/>
    <w:rsid w:val="00E21F64"/>
    <w:rsid w:val="00E223B1"/>
    <w:rsid w:val="00E22BA6"/>
    <w:rsid w:val="00E24039"/>
    <w:rsid w:val="00E2423D"/>
    <w:rsid w:val="00E2427E"/>
    <w:rsid w:val="00E24551"/>
    <w:rsid w:val="00E24B59"/>
    <w:rsid w:val="00E25C83"/>
    <w:rsid w:val="00E263DD"/>
    <w:rsid w:val="00E26736"/>
    <w:rsid w:val="00E268CE"/>
    <w:rsid w:val="00E26D4A"/>
    <w:rsid w:val="00E27A4F"/>
    <w:rsid w:val="00E27B55"/>
    <w:rsid w:val="00E3042E"/>
    <w:rsid w:val="00E30501"/>
    <w:rsid w:val="00E3051E"/>
    <w:rsid w:val="00E305DF"/>
    <w:rsid w:val="00E3087A"/>
    <w:rsid w:val="00E308A1"/>
    <w:rsid w:val="00E30CE4"/>
    <w:rsid w:val="00E30DD9"/>
    <w:rsid w:val="00E310F8"/>
    <w:rsid w:val="00E318A0"/>
    <w:rsid w:val="00E319DD"/>
    <w:rsid w:val="00E31E4B"/>
    <w:rsid w:val="00E3210A"/>
    <w:rsid w:val="00E32195"/>
    <w:rsid w:val="00E3282E"/>
    <w:rsid w:val="00E32B40"/>
    <w:rsid w:val="00E34877"/>
    <w:rsid w:val="00E34C11"/>
    <w:rsid w:val="00E34F6D"/>
    <w:rsid w:val="00E35512"/>
    <w:rsid w:val="00E359BA"/>
    <w:rsid w:val="00E35E61"/>
    <w:rsid w:val="00E36328"/>
    <w:rsid w:val="00E36C1A"/>
    <w:rsid w:val="00E36D32"/>
    <w:rsid w:val="00E36D6B"/>
    <w:rsid w:val="00E37667"/>
    <w:rsid w:val="00E377E6"/>
    <w:rsid w:val="00E37D1C"/>
    <w:rsid w:val="00E37FB0"/>
    <w:rsid w:val="00E39E22"/>
    <w:rsid w:val="00E40883"/>
    <w:rsid w:val="00E411F2"/>
    <w:rsid w:val="00E41583"/>
    <w:rsid w:val="00E41665"/>
    <w:rsid w:val="00E418E7"/>
    <w:rsid w:val="00E41BAE"/>
    <w:rsid w:val="00E4224B"/>
    <w:rsid w:val="00E424D9"/>
    <w:rsid w:val="00E42BB8"/>
    <w:rsid w:val="00E42F8C"/>
    <w:rsid w:val="00E43B98"/>
    <w:rsid w:val="00E4487D"/>
    <w:rsid w:val="00E454D4"/>
    <w:rsid w:val="00E458E8"/>
    <w:rsid w:val="00E4598B"/>
    <w:rsid w:val="00E45D9D"/>
    <w:rsid w:val="00E45EAF"/>
    <w:rsid w:val="00E45F19"/>
    <w:rsid w:val="00E45F70"/>
    <w:rsid w:val="00E47A18"/>
    <w:rsid w:val="00E47BD2"/>
    <w:rsid w:val="00E47D31"/>
    <w:rsid w:val="00E50436"/>
    <w:rsid w:val="00E50891"/>
    <w:rsid w:val="00E509D3"/>
    <w:rsid w:val="00E50A68"/>
    <w:rsid w:val="00E50CDF"/>
    <w:rsid w:val="00E50E68"/>
    <w:rsid w:val="00E50EEE"/>
    <w:rsid w:val="00E511DC"/>
    <w:rsid w:val="00E5165C"/>
    <w:rsid w:val="00E51E25"/>
    <w:rsid w:val="00E51F27"/>
    <w:rsid w:val="00E520AA"/>
    <w:rsid w:val="00E53A96"/>
    <w:rsid w:val="00E53C0B"/>
    <w:rsid w:val="00E53D66"/>
    <w:rsid w:val="00E540BB"/>
    <w:rsid w:val="00E542E8"/>
    <w:rsid w:val="00E547A6"/>
    <w:rsid w:val="00E54884"/>
    <w:rsid w:val="00E54D79"/>
    <w:rsid w:val="00E54F5F"/>
    <w:rsid w:val="00E55685"/>
    <w:rsid w:val="00E55A17"/>
    <w:rsid w:val="00E56A2B"/>
    <w:rsid w:val="00E56DC3"/>
    <w:rsid w:val="00E56F40"/>
    <w:rsid w:val="00E5700F"/>
    <w:rsid w:val="00E572D0"/>
    <w:rsid w:val="00E57316"/>
    <w:rsid w:val="00E57492"/>
    <w:rsid w:val="00E57B70"/>
    <w:rsid w:val="00E57CE9"/>
    <w:rsid w:val="00E60A7F"/>
    <w:rsid w:val="00E60CCE"/>
    <w:rsid w:val="00E60EF8"/>
    <w:rsid w:val="00E619F9"/>
    <w:rsid w:val="00E61D71"/>
    <w:rsid w:val="00E61E12"/>
    <w:rsid w:val="00E620D2"/>
    <w:rsid w:val="00E63324"/>
    <w:rsid w:val="00E634A5"/>
    <w:rsid w:val="00E63B29"/>
    <w:rsid w:val="00E63C88"/>
    <w:rsid w:val="00E64518"/>
    <w:rsid w:val="00E64C6C"/>
    <w:rsid w:val="00E65356"/>
    <w:rsid w:val="00E656C3"/>
    <w:rsid w:val="00E65AEE"/>
    <w:rsid w:val="00E66399"/>
    <w:rsid w:val="00E665A6"/>
    <w:rsid w:val="00E669BC"/>
    <w:rsid w:val="00E66A29"/>
    <w:rsid w:val="00E67C3A"/>
    <w:rsid w:val="00E706C2"/>
    <w:rsid w:val="00E70935"/>
    <w:rsid w:val="00E71281"/>
    <w:rsid w:val="00E713C0"/>
    <w:rsid w:val="00E71A63"/>
    <w:rsid w:val="00E72381"/>
    <w:rsid w:val="00E7299C"/>
    <w:rsid w:val="00E72CA3"/>
    <w:rsid w:val="00E72D81"/>
    <w:rsid w:val="00E72FD1"/>
    <w:rsid w:val="00E73208"/>
    <w:rsid w:val="00E735A8"/>
    <w:rsid w:val="00E73607"/>
    <w:rsid w:val="00E7373E"/>
    <w:rsid w:val="00E737D2"/>
    <w:rsid w:val="00E7380D"/>
    <w:rsid w:val="00E739AF"/>
    <w:rsid w:val="00E74675"/>
    <w:rsid w:val="00E74CF8"/>
    <w:rsid w:val="00E751C7"/>
    <w:rsid w:val="00E75DEF"/>
    <w:rsid w:val="00E7622F"/>
    <w:rsid w:val="00E7631D"/>
    <w:rsid w:val="00E769D5"/>
    <w:rsid w:val="00E76BCB"/>
    <w:rsid w:val="00E76E9A"/>
    <w:rsid w:val="00E7711E"/>
    <w:rsid w:val="00E7712A"/>
    <w:rsid w:val="00E773FE"/>
    <w:rsid w:val="00E802DD"/>
    <w:rsid w:val="00E80D5D"/>
    <w:rsid w:val="00E80E8A"/>
    <w:rsid w:val="00E80EDB"/>
    <w:rsid w:val="00E811C1"/>
    <w:rsid w:val="00E8139B"/>
    <w:rsid w:val="00E81571"/>
    <w:rsid w:val="00E824E2"/>
    <w:rsid w:val="00E825C5"/>
    <w:rsid w:val="00E8263E"/>
    <w:rsid w:val="00E828A5"/>
    <w:rsid w:val="00E82B6A"/>
    <w:rsid w:val="00E82DE7"/>
    <w:rsid w:val="00E8339C"/>
    <w:rsid w:val="00E83C88"/>
    <w:rsid w:val="00E83E1E"/>
    <w:rsid w:val="00E83F8B"/>
    <w:rsid w:val="00E8413D"/>
    <w:rsid w:val="00E847F3"/>
    <w:rsid w:val="00E84802"/>
    <w:rsid w:val="00E84D1B"/>
    <w:rsid w:val="00E8603F"/>
    <w:rsid w:val="00E86A49"/>
    <w:rsid w:val="00E8712F"/>
    <w:rsid w:val="00E876CE"/>
    <w:rsid w:val="00E877C6"/>
    <w:rsid w:val="00E8794B"/>
    <w:rsid w:val="00E879A1"/>
    <w:rsid w:val="00E9094F"/>
    <w:rsid w:val="00E90D24"/>
    <w:rsid w:val="00E91285"/>
    <w:rsid w:val="00E913A1"/>
    <w:rsid w:val="00E91E5C"/>
    <w:rsid w:val="00E9249D"/>
    <w:rsid w:val="00E92D4F"/>
    <w:rsid w:val="00E92ECB"/>
    <w:rsid w:val="00E931CA"/>
    <w:rsid w:val="00E9373E"/>
    <w:rsid w:val="00E93B16"/>
    <w:rsid w:val="00E93DBE"/>
    <w:rsid w:val="00E93FAF"/>
    <w:rsid w:val="00E946A0"/>
    <w:rsid w:val="00E9487B"/>
    <w:rsid w:val="00E95092"/>
    <w:rsid w:val="00E9537D"/>
    <w:rsid w:val="00E95C13"/>
    <w:rsid w:val="00E97094"/>
    <w:rsid w:val="00E973B1"/>
    <w:rsid w:val="00E97C35"/>
    <w:rsid w:val="00EA0057"/>
    <w:rsid w:val="00EA0581"/>
    <w:rsid w:val="00EA0B5D"/>
    <w:rsid w:val="00EA0D2D"/>
    <w:rsid w:val="00EA0D60"/>
    <w:rsid w:val="00EA0DEB"/>
    <w:rsid w:val="00EA0EB6"/>
    <w:rsid w:val="00EA1302"/>
    <w:rsid w:val="00EA1940"/>
    <w:rsid w:val="00EA1EFC"/>
    <w:rsid w:val="00EA260A"/>
    <w:rsid w:val="00EA2A38"/>
    <w:rsid w:val="00EA2DE2"/>
    <w:rsid w:val="00EA2FD0"/>
    <w:rsid w:val="00EA30C9"/>
    <w:rsid w:val="00EA3B4E"/>
    <w:rsid w:val="00EA3FE2"/>
    <w:rsid w:val="00EA4059"/>
    <w:rsid w:val="00EA45B3"/>
    <w:rsid w:val="00EA4B5B"/>
    <w:rsid w:val="00EA59CB"/>
    <w:rsid w:val="00EA5DC4"/>
    <w:rsid w:val="00EA6172"/>
    <w:rsid w:val="00EA6438"/>
    <w:rsid w:val="00EA65A4"/>
    <w:rsid w:val="00EA6CFC"/>
    <w:rsid w:val="00EA6D7E"/>
    <w:rsid w:val="00EA731D"/>
    <w:rsid w:val="00EA75A9"/>
    <w:rsid w:val="00EA7F29"/>
    <w:rsid w:val="00EB0550"/>
    <w:rsid w:val="00EB1188"/>
    <w:rsid w:val="00EB18EF"/>
    <w:rsid w:val="00EB1908"/>
    <w:rsid w:val="00EB1ABB"/>
    <w:rsid w:val="00EB1F2E"/>
    <w:rsid w:val="00EB1FA5"/>
    <w:rsid w:val="00EB238A"/>
    <w:rsid w:val="00EB28AA"/>
    <w:rsid w:val="00EB29CE"/>
    <w:rsid w:val="00EB359A"/>
    <w:rsid w:val="00EB3740"/>
    <w:rsid w:val="00EB37E5"/>
    <w:rsid w:val="00EB4194"/>
    <w:rsid w:val="00EB458B"/>
    <w:rsid w:val="00EB4617"/>
    <w:rsid w:val="00EB47A8"/>
    <w:rsid w:val="00EB480D"/>
    <w:rsid w:val="00EB50F0"/>
    <w:rsid w:val="00EB53FC"/>
    <w:rsid w:val="00EB55CC"/>
    <w:rsid w:val="00EB590D"/>
    <w:rsid w:val="00EB5DFB"/>
    <w:rsid w:val="00EB680D"/>
    <w:rsid w:val="00EB6DC4"/>
    <w:rsid w:val="00EB7B05"/>
    <w:rsid w:val="00EB7B2F"/>
    <w:rsid w:val="00EC04DA"/>
    <w:rsid w:val="00EC0B4F"/>
    <w:rsid w:val="00EC1138"/>
    <w:rsid w:val="00EC13C3"/>
    <w:rsid w:val="00EC42C1"/>
    <w:rsid w:val="00EC48C8"/>
    <w:rsid w:val="00EC49DF"/>
    <w:rsid w:val="00EC4C65"/>
    <w:rsid w:val="00EC4E48"/>
    <w:rsid w:val="00EC5B16"/>
    <w:rsid w:val="00EC5FA9"/>
    <w:rsid w:val="00EC6257"/>
    <w:rsid w:val="00EC6689"/>
    <w:rsid w:val="00EC6798"/>
    <w:rsid w:val="00EC68DA"/>
    <w:rsid w:val="00EC7532"/>
    <w:rsid w:val="00EC76A0"/>
    <w:rsid w:val="00EC7776"/>
    <w:rsid w:val="00EC78C1"/>
    <w:rsid w:val="00ED0243"/>
    <w:rsid w:val="00ED0A72"/>
    <w:rsid w:val="00ED0CD8"/>
    <w:rsid w:val="00ED1200"/>
    <w:rsid w:val="00ED18C0"/>
    <w:rsid w:val="00ED1DA4"/>
    <w:rsid w:val="00ED1F14"/>
    <w:rsid w:val="00ED2423"/>
    <w:rsid w:val="00ED27F7"/>
    <w:rsid w:val="00ED2FA2"/>
    <w:rsid w:val="00ED33E4"/>
    <w:rsid w:val="00ED3471"/>
    <w:rsid w:val="00ED353E"/>
    <w:rsid w:val="00ED35A7"/>
    <w:rsid w:val="00ED3687"/>
    <w:rsid w:val="00ED3ABF"/>
    <w:rsid w:val="00ED3FF4"/>
    <w:rsid w:val="00ED40F3"/>
    <w:rsid w:val="00ED469D"/>
    <w:rsid w:val="00ED47F8"/>
    <w:rsid w:val="00ED5068"/>
    <w:rsid w:val="00ED5C92"/>
    <w:rsid w:val="00ED6354"/>
    <w:rsid w:val="00ED6BB7"/>
    <w:rsid w:val="00ED6EC3"/>
    <w:rsid w:val="00ED70AA"/>
    <w:rsid w:val="00ED7A52"/>
    <w:rsid w:val="00ED7D50"/>
    <w:rsid w:val="00ED7EC9"/>
    <w:rsid w:val="00EE001B"/>
    <w:rsid w:val="00EE02EF"/>
    <w:rsid w:val="00EE0373"/>
    <w:rsid w:val="00EE061D"/>
    <w:rsid w:val="00EE0F00"/>
    <w:rsid w:val="00EE0F67"/>
    <w:rsid w:val="00EE13FE"/>
    <w:rsid w:val="00EE1AF8"/>
    <w:rsid w:val="00EE23D8"/>
    <w:rsid w:val="00EE273C"/>
    <w:rsid w:val="00EE2E96"/>
    <w:rsid w:val="00EE3D75"/>
    <w:rsid w:val="00EE3F9D"/>
    <w:rsid w:val="00EE50FD"/>
    <w:rsid w:val="00EE52C0"/>
    <w:rsid w:val="00EE53A8"/>
    <w:rsid w:val="00EE5423"/>
    <w:rsid w:val="00EE70BD"/>
    <w:rsid w:val="00EE71AF"/>
    <w:rsid w:val="00EE73CB"/>
    <w:rsid w:val="00EE7480"/>
    <w:rsid w:val="00EE784A"/>
    <w:rsid w:val="00EE7C6A"/>
    <w:rsid w:val="00EF0734"/>
    <w:rsid w:val="00EF09E2"/>
    <w:rsid w:val="00EF0A50"/>
    <w:rsid w:val="00EF0B4A"/>
    <w:rsid w:val="00EF1604"/>
    <w:rsid w:val="00EF194D"/>
    <w:rsid w:val="00EF1C29"/>
    <w:rsid w:val="00EF2130"/>
    <w:rsid w:val="00EF24C5"/>
    <w:rsid w:val="00EF27CA"/>
    <w:rsid w:val="00EF2D33"/>
    <w:rsid w:val="00EF2E78"/>
    <w:rsid w:val="00EF3727"/>
    <w:rsid w:val="00EF393E"/>
    <w:rsid w:val="00EF48C2"/>
    <w:rsid w:val="00EF4B01"/>
    <w:rsid w:val="00EF4C31"/>
    <w:rsid w:val="00EF5020"/>
    <w:rsid w:val="00EF628E"/>
    <w:rsid w:val="00EF6A73"/>
    <w:rsid w:val="00EF6A9C"/>
    <w:rsid w:val="00EF6BF0"/>
    <w:rsid w:val="00EF6E20"/>
    <w:rsid w:val="00EF746D"/>
    <w:rsid w:val="00EF7573"/>
    <w:rsid w:val="00F0074C"/>
    <w:rsid w:val="00F01492"/>
    <w:rsid w:val="00F01548"/>
    <w:rsid w:val="00F01589"/>
    <w:rsid w:val="00F01BC9"/>
    <w:rsid w:val="00F0289C"/>
    <w:rsid w:val="00F02DC3"/>
    <w:rsid w:val="00F02DFE"/>
    <w:rsid w:val="00F03177"/>
    <w:rsid w:val="00F0355A"/>
    <w:rsid w:val="00F04254"/>
    <w:rsid w:val="00F04829"/>
    <w:rsid w:val="00F049B3"/>
    <w:rsid w:val="00F04B97"/>
    <w:rsid w:val="00F0546C"/>
    <w:rsid w:val="00F055E1"/>
    <w:rsid w:val="00F059A4"/>
    <w:rsid w:val="00F05A2C"/>
    <w:rsid w:val="00F05B4A"/>
    <w:rsid w:val="00F073D8"/>
    <w:rsid w:val="00F07585"/>
    <w:rsid w:val="00F0786E"/>
    <w:rsid w:val="00F07DE6"/>
    <w:rsid w:val="00F07E71"/>
    <w:rsid w:val="00F07E8A"/>
    <w:rsid w:val="00F101A0"/>
    <w:rsid w:val="00F101F8"/>
    <w:rsid w:val="00F10241"/>
    <w:rsid w:val="00F10267"/>
    <w:rsid w:val="00F10347"/>
    <w:rsid w:val="00F113CE"/>
    <w:rsid w:val="00F114DC"/>
    <w:rsid w:val="00F116C2"/>
    <w:rsid w:val="00F11CC1"/>
    <w:rsid w:val="00F12040"/>
    <w:rsid w:val="00F12B4A"/>
    <w:rsid w:val="00F13280"/>
    <w:rsid w:val="00F139AB"/>
    <w:rsid w:val="00F13A32"/>
    <w:rsid w:val="00F13B68"/>
    <w:rsid w:val="00F13C92"/>
    <w:rsid w:val="00F1402B"/>
    <w:rsid w:val="00F1411C"/>
    <w:rsid w:val="00F143C3"/>
    <w:rsid w:val="00F14746"/>
    <w:rsid w:val="00F14AA1"/>
    <w:rsid w:val="00F15468"/>
    <w:rsid w:val="00F156CF"/>
    <w:rsid w:val="00F158D4"/>
    <w:rsid w:val="00F15B45"/>
    <w:rsid w:val="00F164CE"/>
    <w:rsid w:val="00F16D53"/>
    <w:rsid w:val="00F174F0"/>
    <w:rsid w:val="00F17500"/>
    <w:rsid w:val="00F17987"/>
    <w:rsid w:val="00F17A56"/>
    <w:rsid w:val="00F17D77"/>
    <w:rsid w:val="00F20857"/>
    <w:rsid w:val="00F20B70"/>
    <w:rsid w:val="00F22200"/>
    <w:rsid w:val="00F227BA"/>
    <w:rsid w:val="00F230E0"/>
    <w:rsid w:val="00F2311C"/>
    <w:rsid w:val="00F23338"/>
    <w:rsid w:val="00F23F4A"/>
    <w:rsid w:val="00F240BA"/>
    <w:rsid w:val="00F2442D"/>
    <w:rsid w:val="00F2482A"/>
    <w:rsid w:val="00F252FE"/>
    <w:rsid w:val="00F256BA"/>
    <w:rsid w:val="00F25DF4"/>
    <w:rsid w:val="00F25E2D"/>
    <w:rsid w:val="00F262A6"/>
    <w:rsid w:val="00F267D8"/>
    <w:rsid w:val="00F26875"/>
    <w:rsid w:val="00F26A14"/>
    <w:rsid w:val="00F275F3"/>
    <w:rsid w:val="00F27992"/>
    <w:rsid w:val="00F300B9"/>
    <w:rsid w:val="00F3095F"/>
    <w:rsid w:val="00F30FF5"/>
    <w:rsid w:val="00F315C4"/>
    <w:rsid w:val="00F315E8"/>
    <w:rsid w:val="00F3197E"/>
    <w:rsid w:val="00F31AC8"/>
    <w:rsid w:val="00F31D22"/>
    <w:rsid w:val="00F31D38"/>
    <w:rsid w:val="00F31F04"/>
    <w:rsid w:val="00F32026"/>
    <w:rsid w:val="00F32571"/>
    <w:rsid w:val="00F3277B"/>
    <w:rsid w:val="00F327C8"/>
    <w:rsid w:val="00F32C23"/>
    <w:rsid w:val="00F32CB1"/>
    <w:rsid w:val="00F334D9"/>
    <w:rsid w:val="00F33789"/>
    <w:rsid w:val="00F338D5"/>
    <w:rsid w:val="00F34DA5"/>
    <w:rsid w:val="00F34FC0"/>
    <w:rsid w:val="00F35449"/>
    <w:rsid w:val="00F359CE"/>
    <w:rsid w:val="00F36132"/>
    <w:rsid w:val="00F3630B"/>
    <w:rsid w:val="00F37058"/>
    <w:rsid w:val="00F3715E"/>
    <w:rsid w:val="00F37463"/>
    <w:rsid w:val="00F3751B"/>
    <w:rsid w:val="00F37A67"/>
    <w:rsid w:val="00F37EA1"/>
    <w:rsid w:val="00F4003F"/>
    <w:rsid w:val="00F40C84"/>
    <w:rsid w:val="00F40DC8"/>
    <w:rsid w:val="00F41333"/>
    <w:rsid w:val="00F41649"/>
    <w:rsid w:val="00F41722"/>
    <w:rsid w:val="00F421BD"/>
    <w:rsid w:val="00F423BF"/>
    <w:rsid w:val="00F42B3C"/>
    <w:rsid w:val="00F42FC1"/>
    <w:rsid w:val="00F43986"/>
    <w:rsid w:val="00F43A82"/>
    <w:rsid w:val="00F43D44"/>
    <w:rsid w:val="00F44059"/>
    <w:rsid w:val="00F44CCE"/>
    <w:rsid w:val="00F44D84"/>
    <w:rsid w:val="00F44EAA"/>
    <w:rsid w:val="00F45600"/>
    <w:rsid w:val="00F45941"/>
    <w:rsid w:val="00F45ABB"/>
    <w:rsid w:val="00F45FD4"/>
    <w:rsid w:val="00F461C9"/>
    <w:rsid w:val="00F4666C"/>
    <w:rsid w:val="00F46AFC"/>
    <w:rsid w:val="00F47130"/>
    <w:rsid w:val="00F47899"/>
    <w:rsid w:val="00F47F87"/>
    <w:rsid w:val="00F508EE"/>
    <w:rsid w:val="00F5146E"/>
    <w:rsid w:val="00F51CC9"/>
    <w:rsid w:val="00F5286D"/>
    <w:rsid w:val="00F52A3B"/>
    <w:rsid w:val="00F52DE6"/>
    <w:rsid w:val="00F52E8A"/>
    <w:rsid w:val="00F5319D"/>
    <w:rsid w:val="00F53937"/>
    <w:rsid w:val="00F53B5D"/>
    <w:rsid w:val="00F53BA3"/>
    <w:rsid w:val="00F54257"/>
    <w:rsid w:val="00F54636"/>
    <w:rsid w:val="00F54755"/>
    <w:rsid w:val="00F54CA1"/>
    <w:rsid w:val="00F55008"/>
    <w:rsid w:val="00F55335"/>
    <w:rsid w:val="00F560F7"/>
    <w:rsid w:val="00F56297"/>
    <w:rsid w:val="00F56562"/>
    <w:rsid w:val="00F56BB3"/>
    <w:rsid w:val="00F56CF7"/>
    <w:rsid w:val="00F56DAB"/>
    <w:rsid w:val="00F5733B"/>
    <w:rsid w:val="00F575A0"/>
    <w:rsid w:val="00F575DD"/>
    <w:rsid w:val="00F57DB1"/>
    <w:rsid w:val="00F603B3"/>
    <w:rsid w:val="00F6076D"/>
    <w:rsid w:val="00F6077E"/>
    <w:rsid w:val="00F60ECA"/>
    <w:rsid w:val="00F61394"/>
    <w:rsid w:val="00F6160B"/>
    <w:rsid w:val="00F617AE"/>
    <w:rsid w:val="00F61B2B"/>
    <w:rsid w:val="00F61FF0"/>
    <w:rsid w:val="00F629BC"/>
    <w:rsid w:val="00F62F01"/>
    <w:rsid w:val="00F63238"/>
    <w:rsid w:val="00F63603"/>
    <w:rsid w:val="00F63BC6"/>
    <w:rsid w:val="00F64182"/>
    <w:rsid w:val="00F646BE"/>
    <w:rsid w:val="00F64943"/>
    <w:rsid w:val="00F650CA"/>
    <w:rsid w:val="00F65128"/>
    <w:rsid w:val="00F6621F"/>
    <w:rsid w:val="00F668D4"/>
    <w:rsid w:val="00F668F9"/>
    <w:rsid w:val="00F67155"/>
    <w:rsid w:val="00F67DF8"/>
    <w:rsid w:val="00F67E46"/>
    <w:rsid w:val="00F701BD"/>
    <w:rsid w:val="00F703CB"/>
    <w:rsid w:val="00F70EB0"/>
    <w:rsid w:val="00F7132D"/>
    <w:rsid w:val="00F71425"/>
    <w:rsid w:val="00F71616"/>
    <w:rsid w:val="00F71634"/>
    <w:rsid w:val="00F724A9"/>
    <w:rsid w:val="00F727AC"/>
    <w:rsid w:val="00F7344B"/>
    <w:rsid w:val="00F73575"/>
    <w:rsid w:val="00F73BAD"/>
    <w:rsid w:val="00F73EEF"/>
    <w:rsid w:val="00F73FEC"/>
    <w:rsid w:val="00F741DA"/>
    <w:rsid w:val="00F748B4"/>
    <w:rsid w:val="00F74AD1"/>
    <w:rsid w:val="00F74C9D"/>
    <w:rsid w:val="00F74CBB"/>
    <w:rsid w:val="00F74DE1"/>
    <w:rsid w:val="00F74DE7"/>
    <w:rsid w:val="00F75577"/>
    <w:rsid w:val="00F7610E"/>
    <w:rsid w:val="00F76298"/>
    <w:rsid w:val="00F763E7"/>
    <w:rsid w:val="00F768F0"/>
    <w:rsid w:val="00F76BD3"/>
    <w:rsid w:val="00F77267"/>
    <w:rsid w:val="00F7726A"/>
    <w:rsid w:val="00F777FE"/>
    <w:rsid w:val="00F77AED"/>
    <w:rsid w:val="00F801E0"/>
    <w:rsid w:val="00F80796"/>
    <w:rsid w:val="00F809F1"/>
    <w:rsid w:val="00F80DDF"/>
    <w:rsid w:val="00F81A4D"/>
    <w:rsid w:val="00F81D13"/>
    <w:rsid w:val="00F82A35"/>
    <w:rsid w:val="00F841FA"/>
    <w:rsid w:val="00F84531"/>
    <w:rsid w:val="00F84F55"/>
    <w:rsid w:val="00F85388"/>
    <w:rsid w:val="00F85B25"/>
    <w:rsid w:val="00F8610D"/>
    <w:rsid w:val="00F8630E"/>
    <w:rsid w:val="00F8725C"/>
    <w:rsid w:val="00F87563"/>
    <w:rsid w:val="00F876D1"/>
    <w:rsid w:val="00F8783E"/>
    <w:rsid w:val="00F87A2F"/>
    <w:rsid w:val="00F87A84"/>
    <w:rsid w:val="00F90818"/>
    <w:rsid w:val="00F90D85"/>
    <w:rsid w:val="00F90EDF"/>
    <w:rsid w:val="00F910B8"/>
    <w:rsid w:val="00F918B1"/>
    <w:rsid w:val="00F91B86"/>
    <w:rsid w:val="00F91D4D"/>
    <w:rsid w:val="00F91F37"/>
    <w:rsid w:val="00F91F8B"/>
    <w:rsid w:val="00F922E1"/>
    <w:rsid w:val="00F92373"/>
    <w:rsid w:val="00F92575"/>
    <w:rsid w:val="00F93161"/>
    <w:rsid w:val="00F93E43"/>
    <w:rsid w:val="00F946C2"/>
    <w:rsid w:val="00F94A37"/>
    <w:rsid w:val="00F94B74"/>
    <w:rsid w:val="00F94C8D"/>
    <w:rsid w:val="00F94D4D"/>
    <w:rsid w:val="00F95B94"/>
    <w:rsid w:val="00F95DB4"/>
    <w:rsid w:val="00F95ED4"/>
    <w:rsid w:val="00F96558"/>
    <w:rsid w:val="00F96EFA"/>
    <w:rsid w:val="00F97502"/>
    <w:rsid w:val="00F9778A"/>
    <w:rsid w:val="00F979A2"/>
    <w:rsid w:val="00F97A46"/>
    <w:rsid w:val="00F97C3C"/>
    <w:rsid w:val="00F97DBE"/>
    <w:rsid w:val="00FA03EC"/>
    <w:rsid w:val="00FA0CE0"/>
    <w:rsid w:val="00FA0DB4"/>
    <w:rsid w:val="00FA1371"/>
    <w:rsid w:val="00FA1395"/>
    <w:rsid w:val="00FA2050"/>
    <w:rsid w:val="00FA2C9F"/>
    <w:rsid w:val="00FA2E62"/>
    <w:rsid w:val="00FA31E9"/>
    <w:rsid w:val="00FA39F6"/>
    <w:rsid w:val="00FA3AD3"/>
    <w:rsid w:val="00FA3BDE"/>
    <w:rsid w:val="00FA3C17"/>
    <w:rsid w:val="00FA3C94"/>
    <w:rsid w:val="00FA40B9"/>
    <w:rsid w:val="00FA47C7"/>
    <w:rsid w:val="00FA4A83"/>
    <w:rsid w:val="00FA55CB"/>
    <w:rsid w:val="00FA588D"/>
    <w:rsid w:val="00FA59BB"/>
    <w:rsid w:val="00FA657B"/>
    <w:rsid w:val="00FA6DCF"/>
    <w:rsid w:val="00FA6E4B"/>
    <w:rsid w:val="00FA71CD"/>
    <w:rsid w:val="00FA73A6"/>
    <w:rsid w:val="00FA7748"/>
    <w:rsid w:val="00FA7DD9"/>
    <w:rsid w:val="00FB0A39"/>
    <w:rsid w:val="00FB0E71"/>
    <w:rsid w:val="00FB131C"/>
    <w:rsid w:val="00FB2074"/>
    <w:rsid w:val="00FB2086"/>
    <w:rsid w:val="00FB2199"/>
    <w:rsid w:val="00FB2D06"/>
    <w:rsid w:val="00FB3053"/>
    <w:rsid w:val="00FB378E"/>
    <w:rsid w:val="00FB37F0"/>
    <w:rsid w:val="00FB4043"/>
    <w:rsid w:val="00FB46B9"/>
    <w:rsid w:val="00FB50B2"/>
    <w:rsid w:val="00FB54C6"/>
    <w:rsid w:val="00FB55E9"/>
    <w:rsid w:val="00FB58C7"/>
    <w:rsid w:val="00FB5F54"/>
    <w:rsid w:val="00FB6528"/>
    <w:rsid w:val="00FB69D9"/>
    <w:rsid w:val="00FB69E8"/>
    <w:rsid w:val="00FB7742"/>
    <w:rsid w:val="00FB7CAA"/>
    <w:rsid w:val="00FB7FC0"/>
    <w:rsid w:val="00FC0020"/>
    <w:rsid w:val="00FC0795"/>
    <w:rsid w:val="00FC0F1F"/>
    <w:rsid w:val="00FC0FA6"/>
    <w:rsid w:val="00FC26DD"/>
    <w:rsid w:val="00FC3374"/>
    <w:rsid w:val="00FC3EDD"/>
    <w:rsid w:val="00FC4154"/>
    <w:rsid w:val="00FC41AA"/>
    <w:rsid w:val="00FC421F"/>
    <w:rsid w:val="00FC4D8C"/>
    <w:rsid w:val="00FC53A7"/>
    <w:rsid w:val="00FC53FE"/>
    <w:rsid w:val="00FC58BA"/>
    <w:rsid w:val="00FC59A3"/>
    <w:rsid w:val="00FC628B"/>
    <w:rsid w:val="00FC64A5"/>
    <w:rsid w:val="00FC679B"/>
    <w:rsid w:val="00FC6F78"/>
    <w:rsid w:val="00FC717B"/>
    <w:rsid w:val="00FC7C6E"/>
    <w:rsid w:val="00FC7F1B"/>
    <w:rsid w:val="00FD063C"/>
    <w:rsid w:val="00FD0A6A"/>
    <w:rsid w:val="00FD1832"/>
    <w:rsid w:val="00FD185C"/>
    <w:rsid w:val="00FD1B13"/>
    <w:rsid w:val="00FD20CD"/>
    <w:rsid w:val="00FD2EC7"/>
    <w:rsid w:val="00FD3997"/>
    <w:rsid w:val="00FD3F15"/>
    <w:rsid w:val="00FD4456"/>
    <w:rsid w:val="00FD4D99"/>
    <w:rsid w:val="00FD5262"/>
    <w:rsid w:val="00FD5344"/>
    <w:rsid w:val="00FD5546"/>
    <w:rsid w:val="00FD5B41"/>
    <w:rsid w:val="00FD5CA2"/>
    <w:rsid w:val="00FD60EF"/>
    <w:rsid w:val="00FD67AC"/>
    <w:rsid w:val="00FD6D48"/>
    <w:rsid w:val="00FD750A"/>
    <w:rsid w:val="00FD7873"/>
    <w:rsid w:val="00FD7EAA"/>
    <w:rsid w:val="00FE01EA"/>
    <w:rsid w:val="00FE07DA"/>
    <w:rsid w:val="00FE08F9"/>
    <w:rsid w:val="00FE15B1"/>
    <w:rsid w:val="00FE176A"/>
    <w:rsid w:val="00FE18FE"/>
    <w:rsid w:val="00FE1A5D"/>
    <w:rsid w:val="00FE1FEB"/>
    <w:rsid w:val="00FE2081"/>
    <w:rsid w:val="00FE221D"/>
    <w:rsid w:val="00FE23D6"/>
    <w:rsid w:val="00FE2A3D"/>
    <w:rsid w:val="00FE3AF0"/>
    <w:rsid w:val="00FE48F2"/>
    <w:rsid w:val="00FE4A5E"/>
    <w:rsid w:val="00FE4BA7"/>
    <w:rsid w:val="00FE4CC5"/>
    <w:rsid w:val="00FE532E"/>
    <w:rsid w:val="00FE550B"/>
    <w:rsid w:val="00FE5E4B"/>
    <w:rsid w:val="00FE649C"/>
    <w:rsid w:val="00FE66ED"/>
    <w:rsid w:val="00FE67A7"/>
    <w:rsid w:val="00FE6CBE"/>
    <w:rsid w:val="00FE74B2"/>
    <w:rsid w:val="00FE774A"/>
    <w:rsid w:val="00FF01DD"/>
    <w:rsid w:val="00FF0D88"/>
    <w:rsid w:val="00FF0EE0"/>
    <w:rsid w:val="00FF1D7B"/>
    <w:rsid w:val="00FF1E0B"/>
    <w:rsid w:val="00FF1E77"/>
    <w:rsid w:val="00FF2273"/>
    <w:rsid w:val="00FF28D0"/>
    <w:rsid w:val="00FF29A9"/>
    <w:rsid w:val="00FF2D33"/>
    <w:rsid w:val="00FF2D71"/>
    <w:rsid w:val="00FF2E72"/>
    <w:rsid w:val="00FF30D7"/>
    <w:rsid w:val="00FF3255"/>
    <w:rsid w:val="00FF336E"/>
    <w:rsid w:val="00FF3726"/>
    <w:rsid w:val="00FF3DA1"/>
    <w:rsid w:val="00FF3F0A"/>
    <w:rsid w:val="00FF422C"/>
    <w:rsid w:val="00FF42E6"/>
    <w:rsid w:val="00FF4919"/>
    <w:rsid w:val="00FF49D5"/>
    <w:rsid w:val="00FF4B6A"/>
    <w:rsid w:val="00FF4E14"/>
    <w:rsid w:val="00FF4F66"/>
    <w:rsid w:val="00FF5441"/>
    <w:rsid w:val="00FF56D6"/>
    <w:rsid w:val="00FF5856"/>
    <w:rsid w:val="00FF5A39"/>
    <w:rsid w:val="00FF5E3A"/>
    <w:rsid w:val="00FF6187"/>
    <w:rsid w:val="00FF779A"/>
    <w:rsid w:val="00FF7CF5"/>
    <w:rsid w:val="00FF7D04"/>
    <w:rsid w:val="057B380E"/>
    <w:rsid w:val="05F6D639"/>
    <w:rsid w:val="06675386"/>
    <w:rsid w:val="089EA682"/>
    <w:rsid w:val="0B0C6582"/>
    <w:rsid w:val="0EE97C4C"/>
    <w:rsid w:val="0F4FE000"/>
    <w:rsid w:val="10BF4C76"/>
    <w:rsid w:val="11D078F8"/>
    <w:rsid w:val="122831E5"/>
    <w:rsid w:val="1370FB69"/>
    <w:rsid w:val="13C9BC17"/>
    <w:rsid w:val="13E4A176"/>
    <w:rsid w:val="14441C6F"/>
    <w:rsid w:val="1787E003"/>
    <w:rsid w:val="17917E59"/>
    <w:rsid w:val="17B8D746"/>
    <w:rsid w:val="186BF093"/>
    <w:rsid w:val="18D60026"/>
    <w:rsid w:val="19AC7833"/>
    <w:rsid w:val="1A1CDF90"/>
    <w:rsid w:val="1C13EFE4"/>
    <w:rsid w:val="1C5FC140"/>
    <w:rsid w:val="1CA4EB29"/>
    <w:rsid w:val="1F1E1783"/>
    <w:rsid w:val="1FF09552"/>
    <w:rsid w:val="2200FB42"/>
    <w:rsid w:val="223D16A9"/>
    <w:rsid w:val="24AEFFCB"/>
    <w:rsid w:val="251EFA3C"/>
    <w:rsid w:val="27F27C9E"/>
    <w:rsid w:val="2885FA11"/>
    <w:rsid w:val="29263219"/>
    <w:rsid w:val="29A4ADAC"/>
    <w:rsid w:val="2AF9A3CF"/>
    <w:rsid w:val="2BB8496C"/>
    <w:rsid w:val="2BE78F5C"/>
    <w:rsid w:val="2C0B2850"/>
    <w:rsid w:val="306B5577"/>
    <w:rsid w:val="31921498"/>
    <w:rsid w:val="348ED9A9"/>
    <w:rsid w:val="369CD2BB"/>
    <w:rsid w:val="3757229E"/>
    <w:rsid w:val="379A8C9B"/>
    <w:rsid w:val="37B02828"/>
    <w:rsid w:val="3CEE4453"/>
    <w:rsid w:val="3FFA6E39"/>
    <w:rsid w:val="403E14DB"/>
    <w:rsid w:val="4455EA10"/>
    <w:rsid w:val="44F136DC"/>
    <w:rsid w:val="4521CACB"/>
    <w:rsid w:val="4710A5C4"/>
    <w:rsid w:val="479515AE"/>
    <w:rsid w:val="48BFB9C9"/>
    <w:rsid w:val="4AD929E7"/>
    <w:rsid w:val="4D3E1476"/>
    <w:rsid w:val="4E97A5C4"/>
    <w:rsid w:val="4F29091E"/>
    <w:rsid w:val="5483A598"/>
    <w:rsid w:val="54FF3650"/>
    <w:rsid w:val="581EF451"/>
    <w:rsid w:val="5FBEE4D5"/>
    <w:rsid w:val="61B94F6B"/>
    <w:rsid w:val="61C89204"/>
    <w:rsid w:val="6242A62B"/>
    <w:rsid w:val="63FC311B"/>
    <w:rsid w:val="6563E0BD"/>
    <w:rsid w:val="68D264C5"/>
    <w:rsid w:val="6C8B1B72"/>
    <w:rsid w:val="6EF0566F"/>
    <w:rsid w:val="6F8A498F"/>
    <w:rsid w:val="70DB7E6C"/>
    <w:rsid w:val="728DBED7"/>
    <w:rsid w:val="73B811AD"/>
    <w:rsid w:val="7590AEE0"/>
    <w:rsid w:val="76981CF2"/>
    <w:rsid w:val="7AC0271E"/>
    <w:rsid w:val="7B5F9CB0"/>
    <w:rsid w:val="7D93A169"/>
    <w:rsid w:val="7EC88C85"/>
    <w:rsid w:val="7ED447D6"/>
    <w:rsid w:val="7F7D013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29F"/>
    <w:pPr>
      <w:spacing w:after="0" w:line="240" w:lineRule="atLeast"/>
    </w:pPr>
    <w:rPr>
      <w:rFonts w:ascii="Verdana" w:eastAsia="Times New Roman" w:hAnsi="Verdana" w:cs="Times New Roman"/>
      <w:sz w:val="18"/>
      <w:szCs w:val="24"/>
      <w:lang w:eastAsia="bg-BG"/>
    </w:rPr>
  </w:style>
  <w:style w:type="paragraph" w:styleId="Heading1">
    <w:name w:val="heading 1"/>
    <w:basedOn w:val="Normal"/>
    <w:next w:val="Normal"/>
    <w:link w:val="Heading1Char"/>
    <w:qFormat/>
    <w:rsid w:val="00A028AD"/>
    <w:pPr>
      <w:keepNext/>
      <w:spacing w:after="720" w:line="300" w:lineRule="atLeast"/>
      <w:ind w:left="432" w:hanging="432"/>
      <w:outlineLvl w:val="0"/>
    </w:pPr>
    <w:rPr>
      <w:rFonts w:eastAsia="Calibri" w:cs="Arial"/>
      <w:bCs/>
      <w:kern w:val="32"/>
      <w:sz w:val="24"/>
      <w:szCs w:val="32"/>
    </w:rPr>
  </w:style>
  <w:style w:type="paragraph" w:styleId="Heading2">
    <w:name w:val="heading 2"/>
    <w:basedOn w:val="Normal"/>
    <w:next w:val="Normal"/>
    <w:link w:val="Heading2Char"/>
    <w:qFormat/>
    <w:rsid w:val="00FF3726"/>
    <w:pPr>
      <w:keepNext/>
      <w:ind w:left="576" w:hanging="576"/>
      <w:outlineLvl w:val="1"/>
    </w:pPr>
    <w:rPr>
      <w:rFonts w:cs="Arial"/>
      <w:b/>
      <w:bCs/>
      <w:iCs/>
      <w:szCs w:val="28"/>
    </w:rPr>
  </w:style>
  <w:style w:type="paragraph" w:styleId="Heading3">
    <w:name w:val="heading 3"/>
    <w:basedOn w:val="Normal"/>
    <w:next w:val="Normal"/>
    <w:link w:val="Heading3Char"/>
    <w:qFormat/>
    <w:rsid w:val="00FF3726"/>
    <w:pPr>
      <w:keepNext/>
      <w:ind w:left="720" w:hanging="720"/>
      <w:outlineLvl w:val="2"/>
    </w:pPr>
    <w:rPr>
      <w:rFonts w:cs="Arial"/>
      <w:bCs/>
      <w:i/>
      <w:szCs w:val="26"/>
    </w:rPr>
  </w:style>
  <w:style w:type="paragraph" w:styleId="Heading4">
    <w:name w:val="heading 4"/>
    <w:basedOn w:val="Normal"/>
    <w:next w:val="Normal"/>
    <w:link w:val="Heading4Char"/>
    <w:qFormat/>
    <w:rsid w:val="007C6CCB"/>
    <w:pPr>
      <w:keepNext/>
      <w:ind w:left="5258" w:hanging="864"/>
      <w:outlineLvl w:val="3"/>
    </w:pPr>
    <w:rPr>
      <w:bCs/>
      <w:szCs w:val="28"/>
    </w:rPr>
  </w:style>
  <w:style w:type="paragraph" w:styleId="Heading5">
    <w:name w:val="heading 5"/>
    <w:basedOn w:val="Normal"/>
    <w:next w:val="Normal"/>
    <w:link w:val="Heading5Char"/>
    <w:qFormat/>
    <w:rsid w:val="00FF3726"/>
    <w:pPr>
      <w:ind w:left="1008" w:hanging="1008"/>
      <w:outlineLvl w:val="4"/>
    </w:pPr>
    <w:rPr>
      <w:bCs/>
      <w:iCs/>
      <w:szCs w:val="26"/>
    </w:rPr>
  </w:style>
  <w:style w:type="paragraph" w:styleId="Heading6">
    <w:name w:val="heading 6"/>
    <w:basedOn w:val="Normal"/>
    <w:next w:val="Normal"/>
    <w:link w:val="Heading6Char"/>
    <w:qFormat/>
    <w:rsid w:val="00FF3726"/>
    <w:pPr>
      <w:pageBreakBefore/>
      <w:spacing w:after="720" w:line="300" w:lineRule="atLeast"/>
      <w:ind w:left="1152" w:hanging="1152"/>
      <w:outlineLvl w:val="5"/>
    </w:pPr>
    <w:rPr>
      <w:bCs/>
      <w:sz w:val="24"/>
      <w:szCs w:val="22"/>
    </w:rPr>
  </w:style>
  <w:style w:type="paragraph" w:styleId="Heading7">
    <w:name w:val="heading 7"/>
    <w:basedOn w:val="Normal"/>
    <w:next w:val="Normal"/>
    <w:link w:val="Heading7Char"/>
    <w:qFormat/>
    <w:rsid w:val="00FF3726"/>
    <w:pPr>
      <w:pageBreakBefore/>
      <w:spacing w:after="720" w:line="300" w:lineRule="atLeast"/>
      <w:ind w:left="1296" w:hanging="1296"/>
      <w:outlineLvl w:val="6"/>
    </w:pPr>
    <w:rPr>
      <w:sz w:val="24"/>
    </w:rPr>
  </w:style>
  <w:style w:type="paragraph" w:styleId="Heading8">
    <w:name w:val="heading 8"/>
    <w:basedOn w:val="Normal"/>
    <w:next w:val="Normal"/>
    <w:link w:val="Heading8Char"/>
    <w:uiPriority w:val="9"/>
    <w:semiHidden/>
    <w:unhideWhenUsed/>
    <w:qFormat/>
    <w:rsid w:val="00EA7F29"/>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F29"/>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8AD"/>
    <w:rPr>
      <w:rFonts w:ascii="Verdana" w:eastAsia="Calibri" w:hAnsi="Verdana" w:cs="Arial"/>
      <w:bCs/>
      <w:kern w:val="32"/>
      <w:sz w:val="24"/>
      <w:szCs w:val="32"/>
      <w:lang w:eastAsia="bg-BG"/>
    </w:rPr>
  </w:style>
  <w:style w:type="character" w:customStyle="1" w:styleId="Heading2Char">
    <w:name w:val="Heading 2 Char"/>
    <w:basedOn w:val="DefaultParagraphFont"/>
    <w:link w:val="Heading2"/>
    <w:rsid w:val="00FF3726"/>
    <w:rPr>
      <w:rFonts w:ascii="Verdana" w:eastAsia="Times New Roman" w:hAnsi="Verdana" w:cs="Arial"/>
      <w:b/>
      <w:bCs/>
      <w:iCs/>
      <w:sz w:val="18"/>
      <w:szCs w:val="28"/>
      <w:lang w:eastAsia="bg-BG"/>
    </w:rPr>
  </w:style>
  <w:style w:type="character" w:customStyle="1" w:styleId="Heading3Char">
    <w:name w:val="Heading 3 Char"/>
    <w:basedOn w:val="DefaultParagraphFont"/>
    <w:link w:val="Heading3"/>
    <w:rsid w:val="00FF3726"/>
    <w:rPr>
      <w:rFonts w:ascii="Verdana" w:eastAsia="Times New Roman" w:hAnsi="Verdana" w:cs="Arial"/>
      <w:bCs/>
      <w:i/>
      <w:sz w:val="18"/>
      <w:szCs w:val="26"/>
      <w:lang w:eastAsia="bg-BG"/>
    </w:rPr>
  </w:style>
  <w:style w:type="character" w:customStyle="1" w:styleId="Heading4Char">
    <w:name w:val="Heading 4 Char"/>
    <w:basedOn w:val="DefaultParagraphFont"/>
    <w:link w:val="Heading4"/>
    <w:rsid w:val="00FF3726"/>
    <w:rPr>
      <w:rFonts w:ascii="Verdana" w:eastAsia="Times New Roman" w:hAnsi="Verdana" w:cs="Times New Roman"/>
      <w:bCs/>
      <w:sz w:val="18"/>
      <w:szCs w:val="28"/>
      <w:lang w:eastAsia="bg-BG"/>
    </w:rPr>
  </w:style>
  <w:style w:type="character" w:customStyle="1" w:styleId="Heading5Char">
    <w:name w:val="Heading 5 Char"/>
    <w:basedOn w:val="DefaultParagraphFont"/>
    <w:link w:val="Heading5"/>
    <w:rsid w:val="00FF3726"/>
    <w:rPr>
      <w:rFonts w:ascii="Verdana" w:eastAsia="Times New Roman" w:hAnsi="Verdana" w:cs="Times New Roman"/>
      <w:bCs/>
      <w:iCs/>
      <w:sz w:val="18"/>
      <w:szCs w:val="26"/>
      <w:lang w:eastAsia="bg-BG"/>
    </w:rPr>
  </w:style>
  <w:style w:type="character" w:customStyle="1" w:styleId="Heading6Char">
    <w:name w:val="Heading 6 Char"/>
    <w:basedOn w:val="DefaultParagraphFont"/>
    <w:link w:val="Heading6"/>
    <w:rsid w:val="00FF3726"/>
    <w:rPr>
      <w:rFonts w:ascii="Verdana" w:eastAsia="Times New Roman" w:hAnsi="Verdana" w:cs="Times New Roman"/>
      <w:bCs/>
      <w:sz w:val="24"/>
      <w:lang w:eastAsia="bg-BG"/>
    </w:rPr>
  </w:style>
  <w:style w:type="character" w:customStyle="1" w:styleId="Heading7Char">
    <w:name w:val="Heading 7 Char"/>
    <w:basedOn w:val="DefaultParagraphFont"/>
    <w:link w:val="Heading7"/>
    <w:rsid w:val="00FF3726"/>
    <w:rPr>
      <w:rFonts w:ascii="Verdana" w:eastAsia="Times New Roman" w:hAnsi="Verdana" w:cs="Times New Roman"/>
      <w:sz w:val="24"/>
      <w:szCs w:val="24"/>
      <w:lang w:eastAsia="bg-BG"/>
    </w:rPr>
  </w:style>
  <w:style w:type="paragraph" w:styleId="Header">
    <w:name w:val="header"/>
    <w:basedOn w:val="Normal"/>
    <w:link w:val="HeaderChar"/>
    <w:rsid w:val="00FF3726"/>
    <w:pPr>
      <w:tabs>
        <w:tab w:val="center" w:pos="4536"/>
        <w:tab w:val="right" w:pos="9072"/>
      </w:tabs>
    </w:pPr>
  </w:style>
  <w:style w:type="character" w:customStyle="1" w:styleId="HeaderChar">
    <w:name w:val="Header Char"/>
    <w:basedOn w:val="DefaultParagraphFont"/>
    <w:link w:val="Header"/>
    <w:rsid w:val="00FF3726"/>
    <w:rPr>
      <w:rFonts w:ascii="Verdana" w:eastAsia="Times New Roman" w:hAnsi="Verdana" w:cs="Times New Roman"/>
      <w:sz w:val="18"/>
      <w:szCs w:val="24"/>
      <w:lang w:eastAsia="bg-BG"/>
    </w:rPr>
  </w:style>
  <w:style w:type="paragraph" w:styleId="Footer">
    <w:name w:val="footer"/>
    <w:basedOn w:val="Normal"/>
    <w:link w:val="FooterChar"/>
    <w:uiPriority w:val="99"/>
    <w:rsid w:val="00FF3726"/>
    <w:pPr>
      <w:tabs>
        <w:tab w:val="center" w:pos="4536"/>
        <w:tab w:val="right" w:pos="9072"/>
      </w:tabs>
    </w:pPr>
  </w:style>
  <w:style w:type="character" w:customStyle="1" w:styleId="FooterChar">
    <w:name w:val="Footer Char"/>
    <w:basedOn w:val="DefaultParagraphFont"/>
    <w:link w:val="Footer"/>
    <w:uiPriority w:val="99"/>
    <w:rsid w:val="00FF3726"/>
    <w:rPr>
      <w:rFonts w:ascii="Verdana" w:eastAsia="Times New Roman" w:hAnsi="Verdana" w:cs="Times New Roman"/>
      <w:sz w:val="18"/>
      <w:szCs w:val="24"/>
      <w:lang w:eastAsia="bg-BG"/>
    </w:rPr>
  </w:style>
  <w:style w:type="table" w:styleId="TableGrid">
    <w:name w:val="Table Grid"/>
    <w:basedOn w:val="TableNormal"/>
    <w:rsid w:val="00FF3726"/>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Normal"/>
    <w:rsid w:val="00FF3726"/>
    <w:pPr>
      <w:numPr>
        <w:numId w:val="1"/>
      </w:numPr>
    </w:pPr>
    <w:rPr>
      <w:lang w:val="en-US"/>
    </w:rPr>
  </w:style>
  <w:style w:type="paragraph" w:customStyle="1" w:styleId="Indentedenumerationwithtext">
    <w:name w:val="Indented enumeration with text"/>
    <w:basedOn w:val="Normal"/>
    <w:rsid w:val="00FF3726"/>
    <w:pPr>
      <w:numPr>
        <w:numId w:val="2"/>
      </w:numPr>
    </w:pPr>
  </w:style>
  <w:style w:type="paragraph" w:styleId="TOC1">
    <w:name w:val="toc 1"/>
    <w:basedOn w:val="Normal"/>
    <w:next w:val="Normal"/>
    <w:autoRedefine/>
    <w:uiPriority w:val="39"/>
    <w:rsid w:val="0078683B"/>
    <w:pPr>
      <w:tabs>
        <w:tab w:val="left" w:pos="539"/>
        <w:tab w:val="right" w:leader="dot" w:pos="8070"/>
      </w:tabs>
      <w:spacing w:before="240"/>
    </w:pPr>
    <w:rPr>
      <w:b/>
    </w:rPr>
  </w:style>
  <w:style w:type="paragraph" w:customStyle="1" w:styleId="Headingnotnumbered">
    <w:name w:val="Heading not numbered"/>
    <w:basedOn w:val="Heading1"/>
    <w:next w:val="Normal"/>
    <w:rsid w:val="00FF3726"/>
    <w:pPr>
      <w:ind w:firstLine="0"/>
    </w:pPr>
    <w:rPr>
      <w:lang w:val="en-US"/>
    </w:rPr>
  </w:style>
  <w:style w:type="character" w:styleId="Hyperlink">
    <w:name w:val="Hyperlink"/>
    <w:uiPriority w:val="99"/>
    <w:rsid w:val="00FF3726"/>
    <w:rPr>
      <w:color w:val="0000FF"/>
      <w:u w:val="single"/>
    </w:rPr>
  </w:style>
  <w:style w:type="paragraph" w:customStyle="1" w:styleId="Bulletswithtext">
    <w:name w:val="Bullets with text"/>
    <w:basedOn w:val="Normal"/>
    <w:rsid w:val="00FF3726"/>
    <w:pPr>
      <w:numPr>
        <w:numId w:val="3"/>
      </w:numPr>
    </w:pPr>
    <w:rPr>
      <w:lang w:val="en-US"/>
    </w:rPr>
  </w:style>
  <w:style w:type="paragraph" w:customStyle="1" w:styleId="appendix">
    <w:name w:val="appendix"/>
    <w:basedOn w:val="Heading6"/>
    <w:next w:val="Normal"/>
    <w:rsid w:val="00FF3726"/>
    <w:pPr>
      <w:numPr>
        <w:numId w:val="5"/>
      </w:numPr>
      <w:tabs>
        <w:tab w:val="clear" w:pos="936"/>
        <w:tab w:val="num" w:pos="0"/>
      </w:tabs>
      <w:ind w:left="0"/>
    </w:pPr>
  </w:style>
  <w:style w:type="paragraph" w:styleId="TOC6">
    <w:name w:val="toc 6"/>
    <w:basedOn w:val="Normal"/>
    <w:next w:val="Normal"/>
    <w:autoRedefine/>
    <w:uiPriority w:val="39"/>
    <w:rsid w:val="00B47FA2"/>
    <w:pPr>
      <w:tabs>
        <w:tab w:val="left" w:pos="7938"/>
      </w:tabs>
      <w:spacing w:before="240"/>
      <w:ind w:left="-1134" w:firstLine="1134"/>
      <w:jc w:val="both"/>
    </w:pPr>
    <w:rPr>
      <w:b/>
    </w:rPr>
  </w:style>
  <w:style w:type="paragraph" w:styleId="TOC7">
    <w:name w:val="toc 7"/>
    <w:basedOn w:val="Normal"/>
    <w:next w:val="Normal"/>
    <w:autoRedefine/>
    <w:uiPriority w:val="39"/>
    <w:rsid w:val="00B47FA2"/>
    <w:pPr>
      <w:tabs>
        <w:tab w:val="left" w:pos="1276"/>
        <w:tab w:val="left" w:pos="1760"/>
        <w:tab w:val="right" w:pos="8080"/>
      </w:tabs>
      <w:spacing w:before="240"/>
      <w:jc w:val="both"/>
    </w:pPr>
    <w:rPr>
      <w:b/>
    </w:rPr>
  </w:style>
  <w:style w:type="paragraph" w:customStyle="1" w:styleId="colofone">
    <w:name w:val="colofone"/>
    <w:basedOn w:val="Heading1"/>
    <w:next w:val="Normal"/>
    <w:rsid w:val="00FF3726"/>
    <w:pPr>
      <w:ind w:firstLine="0"/>
    </w:pPr>
    <w:rPr>
      <w:lang w:val="en-US"/>
    </w:rPr>
  </w:style>
  <w:style w:type="paragraph" w:styleId="Caption">
    <w:name w:val="caption"/>
    <w:basedOn w:val="Normal"/>
    <w:next w:val="Normal"/>
    <w:qFormat/>
    <w:rsid w:val="00FF3726"/>
    <w:rPr>
      <w:b/>
      <w:bCs/>
      <w:sz w:val="20"/>
      <w:szCs w:val="20"/>
    </w:rPr>
  </w:style>
  <w:style w:type="character" w:styleId="FootnoteReference">
    <w:name w:val="footnote reference"/>
    <w:basedOn w:val="ListParagraphChar"/>
    <w:uiPriority w:val="99"/>
    <w:rsid w:val="00252E21"/>
    <w:rPr>
      <w:rFonts w:ascii="Calibri" w:eastAsia="Calibri" w:hAnsi="Calibri" w:cs="Calibri"/>
      <w:sz w:val="13"/>
      <w:vertAlign w:val="superscript"/>
      <w:lang w:eastAsia="nl-NL"/>
    </w:rPr>
  </w:style>
  <w:style w:type="paragraph" w:styleId="FootnoteText">
    <w:name w:val="footnote text"/>
    <w:basedOn w:val="Normal"/>
    <w:link w:val="FootnoteTextChar"/>
    <w:uiPriority w:val="99"/>
    <w:rsid w:val="00FF3726"/>
    <w:pPr>
      <w:framePr w:wrap="notBeside" w:vAnchor="text" w:hAnchor="text" w:y="1"/>
      <w:spacing w:line="180" w:lineRule="atLeast"/>
    </w:pPr>
    <w:rPr>
      <w:sz w:val="13"/>
      <w:szCs w:val="20"/>
    </w:rPr>
  </w:style>
  <w:style w:type="character" w:customStyle="1" w:styleId="FootnoteTextChar">
    <w:name w:val="Footnote Text Char"/>
    <w:basedOn w:val="DefaultParagraphFont"/>
    <w:link w:val="FootnoteText"/>
    <w:uiPriority w:val="99"/>
    <w:rsid w:val="00FF3726"/>
    <w:rPr>
      <w:rFonts w:ascii="Verdana" w:eastAsia="Times New Roman" w:hAnsi="Verdana" w:cs="Times New Roman"/>
      <w:sz w:val="13"/>
      <w:szCs w:val="20"/>
      <w:lang w:eastAsia="bg-BG"/>
    </w:rPr>
  </w:style>
  <w:style w:type="paragraph" w:styleId="TOC2">
    <w:name w:val="toc 2"/>
    <w:basedOn w:val="Normal"/>
    <w:next w:val="Normal"/>
    <w:autoRedefine/>
    <w:uiPriority w:val="39"/>
    <w:rsid w:val="0078683B"/>
    <w:pPr>
      <w:tabs>
        <w:tab w:val="left" w:pos="880"/>
        <w:tab w:val="right" w:pos="8097"/>
      </w:tabs>
    </w:pPr>
  </w:style>
  <w:style w:type="paragraph" w:styleId="TOC3">
    <w:name w:val="toc 3"/>
    <w:basedOn w:val="Normal"/>
    <w:next w:val="Normal"/>
    <w:autoRedefine/>
    <w:uiPriority w:val="39"/>
    <w:rsid w:val="001F3AE1"/>
    <w:pPr>
      <w:tabs>
        <w:tab w:val="left" w:pos="1540"/>
        <w:tab w:val="right" w:pos="8070"/>
      </w:tabs>
      <w:ind w:left="360"/>
    </w:pPr>
  </w:style>
  <w:style w:type="paragraph" w:styleId="BalloonText">
    <w:name w:val="Balloon Text"/>
    <w:basedOn w:val="Normal"/>
    <w:link w:val="BalloonTextChar"/>
    <w:rsid w:val="00FF372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3726"/>
    <w:rPr>
      <w:rFonts w:ascii="Tahoma" w:eastAsia="Times New Roman" w:hAnsi="Tahoma" w:cs="Tahoma"/>
      <w:sz w:val="16"/>
      <w:szCs w:val="16"/>
      <w:lang w:eastAsia="bg-BG"/>
    </w:rPr>
  </w:style>
  <w:style w:type="character" w:styleId="CommentReference">
    <w:name w:val="annotation reference"/>
    <w:uiPriority w:val="99"/>
    <w:rsid w:val="00FF3726"/>
    <w:rPr>
      <w:sz w:val="16"/>
      <w:szCs w:val="16"/>
    </w:rPr>
  </w:style>
  <w:style w:type="paragraph" w:styleId="CommentText">
    <w:name w:val="annotation text"/>
    <w:basedOn w:val="Normal"/>
    <w:link w:val="CommentTextChar"/>
    <w:uiPriority w:val="99"/>
    <w:rsid w:val="00FF3726"/>
    <w:rPr>
      <w:sz w:val="20"/>
      <w:szCs w:val="20"/>
    </w:rPr>
  </w:style>
  <w:style w:type="character" w:customStyle="1" w:styleId="CommentTextChar">
    <w:name w:val="Comment Text Char"/>
    <w:basedOn w:val="DefaultParagraphFont"/>
    <w:link w:val="CommentText"/>
    <w:uiPriority w:val="99"/>
    <w:rsid w:val="00FF3726"/>
    <w:rPr>
      <w:rFonts w:ascii="Verdana" w:eastAsia="Times New Roman" w:hAnsi="Verdana" w:cs="Times New Roman"/>
      <w:sz w:val="20"/>
      <w:szCs w:val="20"/>
      <w:lang w:eastAsia="bg-BG"/>
    </w:rPr>
  </w:style>
  <w:style w:type="paragraph" w:styleId="CommentSubject">
    <w:name w:val="annotation subject"/>
    <w:basedOn w:val="CommentText"/>
    <w:next w:val="CommentText"/>
    <w:link w:val="CommentSubjectChar"/>
    <w:rsid w:val="00FF3726"/>
    <w:rPr>
      <w:b/>
      <w:bCs/>
    </w:rPr>
  </w:style>
  <w:style w:type="character" w:customStyle="1" w:styleId="CommentSubjectChar">
    <w:name w:val="Comment Subject Char"/>
    <w:basedOn w:val="CommentTextChar"/>
    <w:link w:val="CommentSubject"/>
    <w:rsid w:val="00FF3726"/>
    <w:rPr>
      <w:rFonts w:ascii="Verdana" w:eastAsia="Times New Roman" w:hAnsi="Verdana" w:cs="Times New Roman"/>
      <w:b/>
      <w:bCs/>
      <w:sz w:val="20"/>
      <w:szCs w:val="20"/>
      <w:lang w:eastAsia="bg-BG"/>
    </w:rPr>
  </w:style>
  <w:style w:type="paragraph" w:styleId="ListParagraph">
    <w:name w:val="List Paragraph"/>
    <w:aliases w:val="3,Bullet 1,Bullet Points,Dot pt,F5 List Paragraph,Indicator Text,Issue Action POC,List Paragraph Char Char Char,List Paragraph1,List Paragraph2,MAIN CONTENT,Normal numbered,Numbered Para 1,POCG Table Text,Bullet,No Spacing1,Bullet List,列出"/>
    <w:basedOn w:val="Normal"/>
    <w:link w:val="ListParagraphChar"/>
    <w:uiPriority w:val="34"/>
    <w:qFormat/>
    <w:rsid w:val="00FF3726"/>
    <w:pPr>
      <w:spacing w:line="240" w:lineRule="auto"/>
      <w:ind w:left="720"/>
    </w:pPr>
    <w:rPr>
      <w:rFonts w:ascii="Calibri" w:eastAsia="Calibri" w:hAnsi="Calibri" w:cs="Calibri"/>
      <w:sz w:val="22"/>
      <w:szCs w:val="22"/>
      <w:lang w:eastAsia="nl-NL"/>
    </w:rPr>
  </w:style>
  <w:style w:type="paragraph" w:styleId="NoSpacing">
    <w:name w:val="No Spacing"/>
    <w:link w:val="NoSpacingChar"/>
    <w:uiPriority w:val="1"/>
    <w:qFormat/>
    <w:rsid w:val="00FF3726"/>
    <w:pPr>
      <w:spacing w:after="0" w:line="240" w:lineRule="auto"/>
    </w:pPr>
    <w:rPr>
      <w:rFonts w:ascii="Verdana" w:eastAsia="Times New Roman" w:hAnsi="Verdana" w:cs="Times New Roman"/>
      <w:sz w:val="18"/>
      <w:szCs w:val="24"/>
      <w:lang w:eastAsia="bg-BG"/>
    </w:rPr>
  </w:style>
  <w:style w:type="character" w:styleId="FollowedHyperlink">
    <w:name w:val="FollowedHyperlink"/>
    <w:rsid w:val="00FF3726"/>
    <w:rPr>
      <w:color w:val="800080"/>
      <w:u w:val="single"/>
    </w:rPr>
  </w:style>
  <w:style w:type="paragraph" w:customStyle="1" w:styleId="Default">
    <w:name w:val="Default"/>
    <w:rsid w:val="00FF3726"/>
    <w:pPr>
      <w:autoSpaceDE w:val="0"/>
      <w:autoSpaceDN w:val="0"/>
      <w:adjustRightInd w:val="0"/>
      <w:spacing w:after="0" w:line="240" w:lineRule="auto"/>
    </w:pPr>
    <w:rPr>
      <w:rFonts w:ascii="Verdana" w:eastAsia="Calibri" w:hAnsi="Verdana" w:cs="Verdana"/>
      <w:color w:val="000000"/>
      <w:sz w:val="24"/>
      <w:szCs w:val="24"/>
      <w:lang w:eastAsia="nl-NL"/>
    </w:rPr>
  </w:style>
  <w:style w:type="paragraph" w:styleId="Revision">
    <w:name w:val="Revision"/>
    <w:hidden/>
    <w:uiPriority w:val="99"/>
    <w:semiHidden/>
    <w:rsid w:val="00FF3726"/>
    <w:pPr>
      <w:spacing w:after="0" w:line="240" w:lineRule="auto"/>
    </w:pPr>
    <w:rPr>
      <w:rFonts w:ascii="Verdana" w:eastAsia="Times New Roman" w:hAnsi="Verdana" w:cs="Times New Roman"/>
      <w:sz w:val="18"/>
      <w:szCs w:val="24"/>
      <w:lang w:eastAsia="bg-BG"/>
    </w:rPr>
  </w:style>
  <w:style w:type="paragraph" w:styleId="NormalWeb">
    <w:name w:val="Normal (Web)"/>
    <w:basedOn w:val="Normal"/>
    <w:uiPriority w:val="99"/>
    <w:unhideWhenUsed/>
    <w:rsid w:val="00FF3726"/>
    <w:pPr>
      <w:spacing w:before="100" w:beforeAutospacing="1" w:after="100" w:afterAutospacing="1" w:line="240" w:lineRule="auto"/>
    </w:pPr>
    <w:rPr>
      <w:rFonts w:ascii="Times New Roman" w:hAnsi="Times New Roman"/>
      <w:sz w:val="24"/>
      <w:lang w:eastAsia="nl-NL"/>
    </w:rPr>
  </w:style>
  <w:style w:type="character" w:styleId="Strong">
    <w:name w:val="Strong"/>
    <w:basedOn w:val="DefaultParagraphFont"/>
    <w:qFormat/>
    <w:rsid w:val="00FF3726"/>
    <w:rPr>
      <w:b/>
      <w:bCs/>
    </w:rPr>
  </w:style>
  <w:style w:type="paragraph" w:styleId="Subtitle">
    <w:name w:val="Subtitle"/>
    <w:basedOn w:val="Normal"/>
    <w:next w:val="Normal"/>
    <w:link w:val="SubtitleChar"/>
    <w:qFormat/>
    <w:rsid w:val="00FF372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F3726"/>
    <w:rPr>
      <w:rFonts w:asciiTheme="majorHAnsi" w:eastAsiaTheme="majorEastAsia" w:hAnsiTheme="majorHAnsi" w:cstheme="majorBidi"/>
      <w:i/>
      <w:iCs/>
      <w:color w:val="4F81BD" w:themeColor="accent1"/>
      <w:spacing w:val="15"/>
      <w:sz w:val="24"/>
      <w:szCs w:val="24"/>
      <w:lang w:eastAsia="bg-BG"/>
    </w:rPr>
  </w:style>
  <w:style w:type="character" w:customStyle="1" w:styleId="NoSpacingChar">
    <w:name w:val="No Spacing Char"/>
    <w:basedOn w:val="DefaultParagraphFont"/>
    <w:link w:val="NoSpacing"/>
    <w:uiPriority w:val="1"/>
    <w:rsid w:val="00FF3726"/>
    <w:rPr>
      <w:rFonts w:ascii="Verdana" w:eastAsia="Times New Roman" w:hAnsi="Verdana" w:cs="Times New Roman"/>
      <w:sz w:val="18"/>
      <w:szCs w:val="24"/>
      <w:lang w:eastAsia="bg-BG"/>
    </w:rPr>
  </w:style>
  <w:style w:type="paragraph" w:styleId="TOC4">
    <w:name w:val="toc 4"/>
    <w:basedOn w:val="Normal"/>
    <w:next w:val="Normal"/>
    <w:autoRedefine/>
    <w:uiPriority w:val="39"/>
    <w:rsid w:val="009C3E28"/>
    <w:pPr>
      <w:tabs>
        <w:tab w:val="left" w:pos="1540"/>
        <w:tab w:val="right" w:pos="8070"/>
      </w:tabs>
      <w:ind w:left="539"/>
    </w:pPr>
  </w:style>
  <w:style w:type="paragraph" w:styleId="EndnoteText">
    <w:name w:val="endnote text"/>
    <w:basedOn w:val="Normal"/>
    <w:link w:val="EndnoteTextChar"/>
    <w:rsid w:val="00FF3726"/>
    <w:pPr>
      <w:spacing w:line="240" w:lineRule="auto"/>
    </w:pPr>
    <w:rPr>
      <w:sz w:val="20"/>
      <w:szCs w:val="20"/>
    </w:rPr>
  </w:style>
  <w:style w:type="character" w:customStyle="1" w:styleId="EndnoteTextChar">
    <w:name w:val="Endnote Text Char"/>
    <w:basedOn w:val="DefaultParagraphFont"/>
    <w:link w:val="EndnoteText"/>
    <w:rsid w:val="00FF3726"/>
    <w:rPr>
      <w:rFonts w:ascii="Verdana" w:eastAsia="Times New Roman" w:hAnsi="Verdana" w:cs="Times New Roman"/>
      <w:sz w:val="20"/>
      <w:szCs w:val="20"/>
      <w:lang w:eastAsia="bg-BG"/>
    </w:rPr>
  </w:style>
  <w:style w:type="character" w:styleId="EndnoteReference">
    <w:name w:val="endnote reference"/>
    <w:basedOn w:val="DefaultParagraphFont"/>
    <w:rsid w:val="00FF3726"/>
    <w:rPr>
      <w:vertAlign w:val="superscript"/>
    </w:rPr>
  </w:style>
  <w:style w:type="character" w:customStyle="1" w:styleId="normaltextrun">
    <w:name w:val="normaltextrun"/>
    <w:basedOn w:val="DefaultParagraphFont"/>
    <w:rsid w:val="00FF3726"/>
  </w:style>
  <w:style w:type="character" w:customStyle="1" w:styleId="st">
    <w:name w:val="st"/>
    <w:basedOn w:val="DefaultParagraphFont"/>
    <w:rsid w:val="009F3E13"/>
  </w:style>
  <w:style w:type="character" w:customStyle="1" w:styleId="Huisstijl-GegevenCharChar">
    <w:name w:val="Huisstijl-Gegeven Char Char"/>
    <w:basedOn w:val="DefaultParagraphFont"/>
    <w:link w:val="Huisstijl-Gegeven"/>
    <w:locked/>
    <w:rsid w:val="00BC7495"/>
    <w:rPr>
      <w:rFonts w:ascii="Verdana" w:hAnsi="Verdana"/>
      <w:noProof/>
      <w:sz w:val="13"/>
      <w:szCs w:val="24"/>
      <w:lang w:eastAsia="nl-NL"/>
    </w:rPr>
  </w:style>
  <w:style w:type="paragraph" w:customStyle="1" w:styleId="Huisstijl-Gegeven">
    <w:name w:val="Huisstijl-Gegeven"/>
    <w:basedOn w:val="Normal"/>
    <w:link w:val="Huisstijl-GegevenCharChar"/>
    <w:rsid w:val="00BC7495"/>
    <w:pPr>
      <w:spacing w:after="92" w:line="180" w:lineRule="exact"/>
    </w:pPr>
    <w:rPr>
      <w:rFonts w:eastAsiaTheme="minorHAnsi" w:cstheme="minorBidi"/>
      <w:noProof/>
      <w:sz w:val="13"/>
      <w:lang w:eastAsia="nl-NL"/>
    </w:rPr>
  </w:style>
  <w:style w:type="character" w:styleId="Emphasis">
    <w:name w:val="Emphasis"/>
    <w:basedOn w:val="DefaultParagraphFont"/>
    <w:uiPriority w:val="20"/>
    <w:qFormat/>
    <w:rsid w:val="00820000"/>
    <w:rPr>
      <w:i/>
      <w:iCs/>
    </w:rPr>
  </w:style>
  <w:style w:type="character" w:customStyle="1" w:styleId="ListParagraphChar">
    <w:name w:val="List Paragraph Char"/>
    <w:aliases w:val="3 Char,Bullet 1 Char,Bullet Points Char,Dot pt Char,F5 List Paragraph Char,Indicator Text Char,Issue Action POC Char,List Paragraph Char Char Char Char,List Paragraph1 Char,List Paragraph2 Char,MAIN CONTENT Char,Normal numbered Char"/>
    <w:basedOn w:val="DefaultParagraphFont"/>
    <w:link w:val="ListParagraph"/>
    <w:uiPriority w:val="34"/>
    <w:qFormat/>
    <w:locked/>
    <w:rsid w:val="00820000"/>
    <w:rPr>
      <w:rFonts w:ascii="Calibri" w:eastAsia="Calibri" w:hAnsi="Calibri" w:cs="Calibri"/>
      <w:lang w:eastAsia="nl-NL"/>
    </w:rPr>
  </w:style>
  <w:style w:type="character" w:customStyle="1" w:styleId="Heading8Char">
    <w:name w:val="Heading 8 Char"/>
    <w:basedOn w:val="DefaultParagraphFont"/>
    <w:link w:val="Heading8"/>
    <w:uiPriority w:val="9"/>
    <w:semiHidden/>
    <w:rsid w:val="00EA7F29"/>
    <w:rPr>
      <w:rFonts w:asciiTheme="majorHAnsi" w:eastAsiaTheme="majorEastAsia" w:hAnsiTheme="majorHAnsi" w:cstheme="majorBidi"/>
      <w:color w:val="272727" w:themeColor="text1" w:themeTint="D8"/>
      <w:sz w:val="21"/>
      <w:szCs w:val="21"/>
      <w:lang w:eastAsia="bg-BG"/>
    </w:rPr>
  </w:style>
  <w:style w:type="character" w:customStyle="1" w:styleId="Heading9Char">
    <w:name w:val="Heading 9 Char"/>
    <w:basedOn w:val="DefaultParagraphFont"/>
    <w:link w:val="Heading9"/>
    <w:uiPriority w:val="9"/>
    <w:semiHidden/>
    <w:rsid w:val="00EA7F29"/>
    <w:rPr>
      <w:rFonts w:asciiTheme="majorHAnsi" w:eastAsiaTheme="majorEastAsia" w:hAnsiTheme="majorHAnsi" w:cstheme="majorBidi"/>
      <w:i/>
      <w:iCs/>
      <w:color w:val="272727" w:themeColor="text1" w:themeTint="D8"/>
      <w:sz w:val="21"/>
      <w:szCs w:val="21"/>
      <w:lang w:eastAsia="bg-BG"/>
    </w:rPr>
  </w:style>
  <w:style w:type="character" w:customStyle="1" w:styleId="m-listlabel">
    <w:name w:val="m-list__label"/>
    <w:basedOn w:val="DefaultParagraphFont"/>
    <w:rsid w:val="00FA3AD3"/>
  </w:style>
  <w:style w:type="character" w:customStyle="1" w:styleId="h-visually-hidden">
    <w:name w:val="h-visually-hidden"/>
    <w:basedOn w:val="DefaultParagraphFont"/>
    <w:rsid w:val="00FA3AD3"/>
  </w:style>
  <w:style w:type="paragraph" w:styleId="TOCHeading">
    <w:name w:val="TOC Heading"/>
    <w:basedOn w:val="Heading1"/>
    <w:next w:val="Normal"/>
    <w:uiPriority w:val="39"/>
    <w:unhideWhenUsed/>
    <w:qFormat/>
    <w:rsid w:val="00B40364"/>
    <w:pPr>
      <w:keepLines/>
      <w:spacing w:before="240" w:after="0" w:line="259" w:lineRule="auto"/>
      <w:ind w:left="0" w:firstLine="0"/>
      <w:outlineLvl w:val="9"/>
    </w:pPr>
    <w:rPr>
      <w:rFonts w:asciiTheme="majorHAnsi" w:eastAsiaTheme="majorEastAsia" w:hAnsiTheme="majorHAnsi" w:cstheme="majorBidi"/>
      <w:bCs w:val="0"/>
      <w:color w:val="365F91" w:themeColor="accent1" w:themeShade="BF"/>
      <w:kern w:val="0"/>
      <w:sz w:val="32"/>
      <w:lang w:val="en-US" w:eastAsia="en-US"/>
    </w:rPr>
  </w:style>
  <w:style w:type="paragraph" w:customStyle="1" w:styleId="Standaardcursief">
    <w:name w:val="Standaard cursief"/>
    <w:basedOn w:val="Normal"/>
    <w:next w:val="Normal"/>
    <w:uiPriority w:val="5"/>
    <w:qFormat/>
    <w:rsid w:val="0030293F"/>
    <w:pPr>
      <w:autoSpaceDN w:val="0"/>
      <w:spacing w:line="240" w:lineRule="exact"/>
      <w:textAlignment w:val="baseline"/>
    </w:pPr>
    <w:rPr>
      <w:rFonts w:eastAsia="DejaVu Sans" w:cs="Lohit Hindi"/>
      <w:i/>
      <w:color w:val="00000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8365">
      <w:bodyDiv w:val="1"/>
      <w:marLeft w:val="0"/>
      <w:marRight w:val="0"/>
      <w:marTop w:val="0"/>
      <w:marBottom w:val="0"/>
      <w:divBdr>
        <w:top w:val="none" w:sz="0" w:space="0" w:color="auto"/>
        <w:left w:val="none" w:sz="0" w:space="0" w:color="auto"/>
        <w:bottom w:val="none" w:sz="0" w:space="0" w:color="auto"/>
        <w:right w:val="none" w:sz="0" w:space="0" w:color="auto"/>
      </w:divBdr>
    </w:div>
    <w:div w:id="11105353">
      <w:bodyDiv w:val="1"/>
      <w:marLeft w:val="0"/>
      <w:marRight w:val="0"/>
      <w:marTop w:val="0"/>
      <w:marBottom w:val="0"/>
      <w:divBdr>
        <w:top w:val="none" w:sz="0" w:space="0" w:color="auto"/>
        <w:left w:val="none" w:sz="0" w:space="0" w:color="auto"/>
        <w:bottom w:val="none" w:sz="0" w:space="0" w:color="auto"/>
        <w:right w:val="none" w:sz="0" w:space="0" w:color="auto"/>
      </w:divBdr>
    </w:div>
    <w:div w:id="23991414">
      <w:bodyDiv w:val="1"/>
      <w:marLeft w:val="0"/>
      <w:marRight w:val="0"/>
      <w:marTop w:val="0"/>
      <w:marBottom w:val="0"/>
      <w:divBdr>
        <w:top w:val="none" w:sz="0" w:space="0" w:color="auto"/>
        <w:left w:val="none" w:sz="0" w:space="0" w:color="auto"/>
        <w:bottom w:val="none" w:sz="0" w:space="0" w:color="auto"/>
        <w:right w:val="none" w:sz="0" w:space="0" w:color="auto"/>
      </w:divBdr>
    </w:div>
    <w:div w:id="28845772">
      <w:bodyDiv w:val="1"/>
      <w:marLeft w:val="0"/>
      <w:marRight w:val="0"/>
      <w:marTop w:val="0"/>
      <w:marBottom w:val="0"/>
      <w:divBdr>
        <w:top w:val="none" w:sz="0" w:space="0" w:color="auto"/>
        <w:left w:val="none" w:sz="0" w:space="0" w:color="auto"/>
        <w:bottom w:val="none" w:sz="0" w:space="0" w:color="auto"/>
        <w:right w:val="none" w:sz="0" w:space="0" w:color="auto"/>
      </w:divBdr>
    </w:div>
    <w:div w:id="36976172">
      <w:bodyDiv w:val="1"/>
      <w:marLeft w:val="0"/>
      <w:marRight w:val="0"/>
      <w:marTop w:val="0"/>
      <w:marBottom w:val="0"/>
      <w:divBdr>
        <w:top w:val="none" w:sz="0" w:space="0" w:color="auto"/>
        <w:left w:val="none" w:sz="0" w:space="0" w:color="auto"/>
        <w:bottom w:val="none" w:sz="0" w:space="0" w:color="auto"/>
        <w:right w:val="none" w:sz="0" w:space="0" w:color="auto"/>
      </w:divBdr>
    </w:div>
    <w:div w:id="37165232">
      <w:bodyDiv w:val="1"/>
      <w:marLeft w:val="0"/>
      <w:marRight w:val="0"/>
      <w:marTop w:val="0"/>
      <w:marBottom w:val="0"/>
      <w:divBdr>
        <w:top w:val="none" w:sz="0" w:space="0" w:color="auto"/>
        <w:left w:val="none" w:sz="0" w:space="0" w:color="auto"/>
        <w:bottom w:val="none" w:sz="0" w:space="0" w:color="auto"/>
        <w:right w:val="none" w:sz="0" w:space="0" w:color="auto"/>
      </w:divBdr>
    </w:div>
    <w:div w:id="49115095">
      <w:bodyDiv w:val="1"/>
      <w:marLeft w:val="0"/>
      <w:marRight w:val="0"/>
      <w:marTop w:val="0"/>
      <w:marBottom w:val="0"/>
      <w:divBdr>
        <w:top w:val="none" w:sz="0" w:space="0" w:color="auto"/>
        <w:left w:val="none" w:sz="0" w:space="0" w:color="auto"/>
        <w:bottom w:val="none" w:sz="0" w:space="0" w:color="auto"/>
        <w:right w:val="none" w:sz="0" w:space="0" w:color="auto"/>
      </w:divBdr>
    </w:div>
    <w:div w:id="66608489">
      <w:bodyDiv w:val="1"/>
      <w:marLeft w:val="0"/>
      <w:marRight w:val="0"/>
      <w:marTop w:val="0"/>
      <w:marBottom w:val="0"/>
      <w:divBdr>
        <w:top w:val="none" w:sz="0" w:space="0" w:color="auto"/>
        <w:left w:val="none" w:sz="0" w:space="0" w:color="auto"/>
        <w:bottom w:val="none" w:sz="0" w:space="0" w:color="auto"/>
        <w:right w:val="none" w:sz="0" w:space="0" w:color="auto"/>
      </w:divBdr>
    </w:div>
    <w:div w:id="78262386">
      <w:bodyDiv w:val="1"/>
      <w:marLeft w:val="0"/>
      <w:marRight w:val="0"/>
      <w:marTop w:val="0"/>
      <w:marBottom w:val="0"/>
      <w:divBdr>
        <w:top w:val="none" w:sz="0" w:space="0" w:color="auto"/>
        <w:left w:val="none" w:sz="0" w:space="0" w:color="auto"/>
        <w:bottom w:val="none" w:sz="0" w:space="0" w:color="auto"/>
        <w:right w:val="none" w:sz="0" w:space="0" w:color="auto"/>
      </w:divBdr>
    </w:div>
    <w:div w:id="103809794">
      <w:bodyDiv w:val="1"/>
      <w:marLeft w:val="0"/>
      <w:marRight w:val="0"/>
      <w:marTop w:val="0"/>
      <w:marBottom w:val="0"/>
      <w:divBdr>
        <w:top w:val="none" w:sz="0" w:space="0" w:color="auto"/>
        <w:left w:val="none" w:sz="0" w:space="0" w:color="auto"/>
        <w:bottom w:val="none" w:sz="0" w:space="0" w:color="auto"/>
        <w:right w:val="none" w:sz="0" w:space="0" w:color="auto"/>
      </w:divBdr>
    </w:div>
    <w:div w:id="112797053">
      <w:bodyDiv w:val="1"/>
      <w:marLeft w:val="0"/>
      <w:marRight w:val="0"/>
      <w:marTop w:val="0"/>
      <w:marBottom w:val="0"/>
      <w:divBdr>
        <w:top w:val="none" w:sz="0" w:space="0" w:color="auto"/>
        <w:left w:val="none" w:sz="0" w:space="0" w:color="auto"/>
        <w:bottom w:val="none" w:sz="0" w:space="0" w:color="auto"/>
        <w:right w:val="none" w:sz="0" w:space="0" w:color="auto"/>
      </w:divBdr>
    </w:div>
    <w:div w:id="143595485">
      <w:bodyDiv w:val="1"/>
      <w:marLeft w:val="0"/>
      <w:marRight w:val="0"/>
      <w:marTop w:val="0"/>
      <w:marBottom w:val="0"/>
      <w:divBdr>
        <w:top w:val="none" w:sz="0" w:space="0" w:color="auto"/>
        <w:left w:val="none" w:sz="0" w:space="0" w:color="auto"/>
        <w:bottom w:val="none" w:sz="0" w:space="0" w:color="auto"/>
        <w:right w:val="none" w:sz="0" w:space="0" w:color="auto"/>
      </w:divBdr>
    </w:div>
    <w:div w:id="156070470">
      <w:bodyDiv w:val="1"/>
      <w:marLeft w:val="0"/>
      <w:marRight w:val="0"/>
      <w:marTop w:val="0"/>
      <w:marBottom w:val="0"/>
      <w:divBdr>
        <w:top w:val="none" w:sz="0" w:space="0" w:color="auto"/>
        <w:left w:val="none" w:sz="0" w:space="0" w:color="auto"/>
        <w:bottom w:val="none" w:sz="0" w:space="0" w:color="auto"/>
        <w:right w:val="none" w:sz="0" w:space="0" w:color="auto"/>
      </w:divBdr>
    </w:div>
    <w:div w:id="175929945">
      <w:bodyDiv w:val="1"/>
      <w:marLeft w:val="0"/>
      <w:marRight w:val="0"/>
      <w:marTop w:val="0"/>
      <w:marBottom w:val="0"/>
      <w:divBdr>
        <w:top w:val="none" w:sz="0" w:space="0" w:color="auto"/>
        <w:left w:val="none" w:sz="0" w:space="0" w:color="auto"/>
        <w:bottom w:val="none" w:sz="0" w:space="0" w:color="auto"/>
        <w:right w:val="none" w:sz="0" w:space="0" w:color="auto"/>
      </w:divBdr>
    </w:div>
    <w:div w:id="195823648">
      <w:bodyDiv w:val="1"/>
      <w:marLeft w:val="0"/>
      <w:marRight w:val="0"/>
      <w:marTop w:val="0"/>
      <w:marBottom w:val="0"/>
      <w:divBdr>
        <w:top w:val="none" w:sz="0" w:space="0" w:color="auto"/>
        <w:left w:val="none" w:sz="0" w:space="0" w:color="auto"/>
        <w:bottom w:val="none" w:sz="0" w:space="0" w:color="auto"/>
        <w:right w:val="none" w:sz="0" w:space="0" w:color="auto"/>
      </w:divBdr>
    </w:div>
    <w:div w:id="207912494">
      <w:bodyDiv w:val="1"/>
      <w:marLeft w:val="0"/>
      <w:marRight w:val="0"/>
      <w:marTop w:val="0"/>
      <w:marBottom w:val="0"/>
      <w:divBdr>
        <w:top w:val="none" w:sz="0" w:space="0" w:color="auto"/>
        <w:left w:val="none" w:sz="0" w:space="0" w:color="auto"/>
        <w:bottom w:val="none" w:sz="0" w:space="0" w:color="auto"/>
        <w:right w:val="none" w:sz="0" w:space="0" w:color="auto"/>
      </w:divBdr>
    </w:div>
    <w:div w:id="255486457">
      <w:bodyDiv w:val="1"/>
      <w:marLeft w:val="0"/>
      <w:marRight w:val="0"/>
      <w:marTop w:val="0"/>
      <w:marBottom w:val="0"/>
      <w:divBdr>
        <w:top w:val="none" w:sz="0" w:space="0" w:color="auto"/>
        <w:left w:val="none" w:sz="0" w:space="0" w:color="auto"/>
        <w:bottom w:val="none" w:sz="0" w:space="0" w:color="auto"/>
        <w:right w:val="none" w:sz="0" w:space="0" w:color="auto"/>
      </w:divBdr>
    </w:div>
    <w:div w:id="266281647">
      <w:bodyDiv w:val="1"/>
      <w:marLeft w:val="0"/>
      <w:marRight w:val="0"/>
      <w:marTop w:val="0"/>
      <w:marBottom w:val="0"/>
      <w:divBdr>
        <w:top w:val="none" w:sz="0" w:space="0" w:color="auto"/>
        <w:left w:val="none" w:sz="0" w:space="0" w:color="auto"/>
        <w:bottom w:val="none" w:sz="0" w:space="0" w:color="auto"/>
        <w:right w:val="none" w:sz="0" w:space="0" w:color="auto"/>
      </w:divBdr>
    </w:div>
    <w:div w:id="287443417">
      <w:bodyDiv w:val="1"/>
      <w:marLeft w:val="0"/>
      <w:marRight w:val="0"/>
      <w:marTop w:val="0"/>
      <w:marBottom w:val="0"/>
      <w:divBdr>
        <w:top w:val="none" w:sz="0" w:space="0" w:color="auto"/>
        <w:left w:val="none" w:sz="0" w:space="0" w:color="auto"/>
        <w:bottom w:val="none" w:sz="0" w:space="0" w:color="auto"/>
        <w:right w:val="none" w:sz="0" w:space="0" w:color="auto"/>
      </w:divBdr>
    </w:div>
    <w:div w:id="306478054">
      <w:bodyDiv w:val="1"/>
      <w:marLeft w:val="0"/>
      <w:marRight w:val="0"/>
      <w:marTop w:val="0"/>
      <w:marBottom w:val="0"/>
      <w:divBdr>
        <w:top w:val="none" w:sz="0" w:space="0" w:color="auto"/>
        <w:left w:val="none" w:sz="0" w:space="0" w:color="auto"/>
        <w:bottom w:val="none" w:sz="0" w:space="0" w:color="auto"/>
        <w:right w:val="none" w:sz="0" w:space="0" w:color="auto"/>
      </w:divBdr>
    </w:div>
    <w:div w:id="326443017">
      <w:bodyDiv w:val="1"/>
      <w:marLeft w:val="0"/>
      <w:marRight w:val="0"/>
      <w:marTop w:val="0"/>
      <w:marBottom w:val="0"/>
      <w:divBdr>
        <w:top w:val="none" w:sz="0" w:space="0" w:color="auto"/>
        <w:left w:val="none" w:sz="0" w:space="0" w:color="auto"/>
        <w:bottom w:val="none" w:sz="0" w:space="0" w:color="auto"/>
        <w:right w:val="none" w:sz="0" w:space="0" w:color="auto"/>
      </w:divBdr>
    </w:div>
    <w:div w:id="332727935">
      <w:bodyDiv w:val="1"/>
      <w:marLeft w:val="0"/>
      <w:marRight w:val="0"/>
      <w:marTop w:val="0"/>
      <w:marBottom w:val="0"/>
      <w:divBdr>
        <w:top w:val="none" w:sz="0" w:space="0" w:color="auto"/>
        <w:left w:val="none" w:sz="0" w:space="0" w:color="auto"/>
        <w:bottom w:val="none" w:sz="0" w:space="0" w:color="auto"/>
        <w:right w:val="none" w:sz="0" w:space="0" w:color="auto"/>
      </w:divBdr>
    </w:div>
    <w:div w:id="335303563">
      <w:bodyDiv w:val="1"/>
      <w:marLeft w:val="0"/>
      <w:marRight w:val="0"/>
      <w:marTop w:val="0"/>
      <w:marBottom w:val="0"/>
      <w:divBdr>
        <w:top w:val="none" w:sz="0" w:space="0" w:color="auto"/>
        <w:left w:val="none" w:sz="0" w:space="0" w:color="auto"/>
        <w:bottom w:val="none" w:sz="0" w:space="0" w:color="auto"/>
        <w:right w:val="none" w:sz="0" w:space="0" w:color="auto"/>
      </w:divBdr>
    </w:div>
    <w:div w:id="337194625">
      <w:bodyDiv w:val="1"/>
      <w:marLeft w:val="0"/>
      <w:marRight w:val="0"/>
      <w:marTop w:val="0"/>
      <w:marBottom w:val="0"/>
      <w:divBdr>
        <w:top w:val="none" w:sz="0" w:space="0" w:color="auto"/>
        <w:left w:val="none" w:sz="0" w:space="0" w:color="auto"/>
        <w:bottom w:val="none" w:sz="0" w:space="0" w:color="auto"/>
        <w:right w:val="none" w:sz="0" w:space="0" w:color="auto"/>
      </w:divBdr>
    </w:div>
    <w:div w:id="342823421">
      <w:bodyDiv w:val="1"/>
      <w:marLeft w:val="0"/>
      <w:marRight w:val="0"/>
      <w:marTop w:val="0"/>
      <w:marBottom w:val="0"/>
      <w:divBdr>
        <w:top w:val="none" w:sz="0" w:space="0" w:color="auto"/>
        <w:left w:val="none" w:sz="0" w:space="0" w:color="auto"/>
        <w:bottom w:val="none" w:sz="0" w:space="0" w:color="auto"/>
        <w:right w:val="none" w:sz="0" w:space="0" w:color="auto"/>
      </w:divBdr>
    </w:div>
    <w:div w:id="362560102">
      <w:bodyDiv w:val="1"/>
      <w:marLeft w:val="0"/>
      <w:marRight w:val="0"/>
      <w:marTop w:val="0"/>
      <w:marBottom w:val="0"/>
      <w:divBdr>
        <w:top w:val="none" w:sz="0" w:space="0" w:color="auto"/>
        <w:left w:val="none" w:sz="0" w:space="0" w:color="auto"/>
        <w:bottom w:val="none" w:sz="0" w:space="0" w:color="auto"/>
        <w:right w:val="none" w:sz="0" w:space="0" w:color="auto"/>
      </w:divBdr>
    </w:div>
    <w:div w:id="373238259">
      <w:bodyDiv w:val="1"/>
      <w:marLeft w:val="0"/>
      <w:marRight w:val="0"/>
      <w:marTop w:val="0"/>
      <w:marBottom w:val="0"/>
      <w:divBdr>
        <w:top w:val="none" w:sz="0" w:space="0" w:color="auto"/>
        <w:left w:val="none" w:sz="0" w:space="0" w:color="auto"/>
        <w:bottom w:val="none" w:sz="0" w:space="0" w:color="auto"/>
        <w:right w:val="none" w:sz="0" w:space="0" w:color="auto"/>
      </w:divBdr>
      <w:divsChild>
        <w:div w:id="1709720137">
          <w:marLeft w:val="0"/>
          <w:marRight w:val="0"/>
          <w:marTop w:val="0"/>
          <w:marBottom w:val="0"/>
          <w:divBdr>
            <w:top w:val="none" w:sz="0" w:space="0" w:color="auto"/>
            <w:left w:val="none" w:sz="0" w:space="0" w:color="auto"/>
            <w:bottom w:val="none" w:sz="0" w:space="0" w:color="auto"/>
            <w:right w:val="none" w:sz="0" w:space="0" w:color="auto"/>
          </w:divBdr>
        </w:div>
      </w:divsChild>
    </w:div>
    <w:div w:id="386804585">
      <w:bodyDiv w:val="1"/>
      <w:marLeft w:val="0"/>
      <w:marRight w:val="0"/>
      <w:marTop w:val="0"/>
      <w:marBottom w:val="0"/>
      <w:divBdr>
        <w:top w:val="none" w:sz="0" w:space="0" w:color="auto"/>
        <w:left w:val="none" w:sz="0" w:space="0" w:color="auto"/>
        <w:bottom w:val="none" w:sz="0" w:space="0" w:color="auto"/>
        <w:right w:val="none" w:sz="0" w:space="0" w:color="auto"/>
      </w:divBdr>
    </w:div>
    <w:div w:id="410541938">
      <w:bodyDiv w:val="1"/>
      <w:marLeft w:val="0"/>
      <w:marRight w:val="0"/>
      <w:marTop w:val="0"/>
      <w:marBottom w:val="0"/>
      <w:divBdr>
        <w:top w:val="none" w:sz="0" w:space="0" w:color="auto"/>
        <w:left w:val="none" w:sz="0" w:space="0" w:color="auto"/>
        <w:bottom w:val="none" w:sz="0" w:space="0" w:color="auto"/>
        <w:right w:val="none" w:sz="0" w:space="0" w:color="auto"/>
      </w:divBdr>
    </w:div>
    <w:div w:id="417750152">
      <w:bodyDiv w:val="1"/>
      <w:marLeft w:val="0"/>
      <w:marRight w:val="0"/>
      <w:marTop w:val="0"/>
      <w:marBottom w:val="0"/>
      <w:divBdr>
        <w:top w:val="none" w:sz="0" w:space="0" w:color="auto"/>
        <w:left w:val="none" w:sz="0" w:space="0" w:color="auto"/>
        <w:bottom w:val="none" w:sz="0" w:space="0" w:color="auto"/>
        <w:right w:val="none" w:sz="0" w:space="0" w:color="auto"/>
      </w:divBdr>
    </w:div>
    <w:div w:id="419958166">
      <w:bodyDiv w:val="1"/>
      <w:marLeft w:val="0"/>
      <w:marRight w:val="0"/>
      <w:marTop w:val="0"/>
      <w:marBottom w:val="0"/>
      <w:divBdr>
        <w:top w:val="none" w:sz="0" w:space="0" w:color="auto"/>
        <w:left w:val="none" w:sz="0" w:space="0" w:color="auto"/>
        <w:bottom w:val="none" w:sz="0" w:space="0" w:color="auto"/>
        <w:right w:val="none" w:sz="0" w:space="0" w:color="auto"/>
      </w:divBdr>
    </w:div>
    <w:div w:id="433090846">
      <w:bodyDiv w:val="1"/>
      <w:marLeft w:val="0"/>
      <w:marRight w:val="0"/>
      <w:marTop w:val="0"/>
      <w:marBottom w:val="0"/>
      <w:divBdr>
        <w:top w:val="none" w:sz="0" w:space="0" w:color="auto"/>
        <w:left w:val="none" w:sz="0" w:space="0" w:color="auto"/>
        <w:bottom w:val="none" w:sz="0" w:space="0" w:color="auto"/>
        <w:right w:val="none" w:sz="0" w:space="0" w:color="auto"/>
      </w:divBdr>
    </w:div>
    <w:div w:id="433132664">
      <w:bodyDiv w:val="1"/>
      <w:marLeft w:val="0"/>
      <w:marRight w:val="0"/>
      <w:marTop w:val="0"/>
      <w:marBottom w:val="0"/>
      <w:divBdr>
        <w:top w:val="none" w:sz="0" w:space="0" w:color="auto"/>
        <w:left w:val="none" w:sz="0" w:space="0" w:color="auto"/>
        <w:bottom w:val="none" w:sz="0" w:space="0" w:color="auto"/>
        <w:right w:val="none" w:sz="0" w:space="0" w:color="auto"/>
      </w:divBdr>
    </w:div>
    <w:div w:id="450635854">
      <w:bodyDiv w:val="1"/>
      <w:marLeft w:val="0"/>
      <w:marRight w:val="0"/>
      <w:marTop w:val="0"/>
      <w:marBottom w:val="0"/>
      <w:divBdr>
        <w:top w:val="none" w:sz="0" w:space="0" w:color="auto"/>
        <w:left w:val="none" w:sz="0" w:space="0" w:color="auto"/>
        <w:bottom w:val="none" w:sz="0" w:space="0" w:color="auto"/>
        <w:right w:val="none" w:sz="0" w:space="0" w:color="auto"/>
      </w:divBdr>
    </w:div>
    <w:div w:id="451825092">
      <w:bodyDiv w:val="1"/>
      <w:marLeft w:val="0"/>
      <w:marRight w:val="0"/>
      <w:marTop w:val="0"/>
      <w:marBottom w:val="0"/>
      <w:divBdr>
        <w:top w:val="none" w:sz="0" w:space="0" w:color="auto"/>
        <w:left w:val="none" w:sz="0" w:space="0" w:color="auto"/>
        <w:bottom w:val="none" w:sz="0" w:space="0" w:color="auto"/>
        <w:right w:val="none" w:sz="0" w:space="0" w:color="auto"/>
      </w:divBdr>
    </w:div>
    <w:div w:id="454249931">
      <w:bodyDiv w:val="1"/>
      <w:marLeft w:val="0"/>
      <w:marRight w:val="0"/>
      <w:marTop w:val="0"/>
      <w:marBottom w:val="0"/>
      <w:divBdr>
        <w:top w:val="none" w:sz="0" w:space="0" w:color="auto"/>
        <w:left w:val="none" w:sz="0" w:space="0" w:color="auto"/>
        <w:bottom w:val="none" w:sz="0" w:space="0" w:color="auto"/>
        <w:right w:val="none" w:sz="0" w:space="0" w:color="auto"/>
      </w:divBdr>
    </w:div>
    <w:div w:id="457529321">
      <w:bodyDiv w:val="1"/>
      <w:marLeft w:val="0"/>
      <w:marRight w:val="0"/>
      <w:marTop w:val="0"/>
      <w:marBottom w:val="0"/>
      <w:divBdr>
        <w:top w:val="none" w:sz="0" w:space="0" w:color="auto"/>
        <w:left w:val="none" w:sz="0" w:space="0" w:color="auto"/>
        <w:bottom w:val="none" w:sz="0" w:space="0" w:color="auto"/>
        <w:right w:val="none" w:sz="0" w:space="0" w:color="auto"/>
      </w:divBdr>
    </w:div>
    <w:div w:id="498933605">
      <w:bodyDiv w:val="1"/>
      <w:marLeft w:val="0"/>
      <w:marRight w:val="0"/>
      <w:marTop w:val="0"/>
      <w:marBottom w:val="0"/>
      <w:divBdr>
        <w:top w:val="none" w:sz="0" w:space="0" w:color="auto"/>
        <w:left w:val="none" w:sz="0" w:space="0" w:color="auto"/>
        <w:bottom w:val="none" w:sz="0" w:space="0" w:color="auto"/>
        <w:right w:val="none" w:sz="0" w:space="0" w:color="auto"/>
      </w:divBdr>
    </w:div>
    <w:div w:id="509221253">
      <w:bodyDiv w:val="1"/>
      <w:marLeft w:val="0"/>
      <w:marRight w:val="0"/>
      <w:marTop w:val="0"/>
      <w:marBottom w:val="0"/>
      <w:divBdr>
        <w:top w:val="none" w:sz="0" w:space="0" w:color="auto"/>
        <w:left w:val="none" w:sz="0" w:space="0" w:color="auto"/>
        <w:bottom w:val="none" w:sz="0" w:space="0" w:color="auto"/>
        <w:right w:val="none" w:sz="0" w:space="0" w:color="auto"/>
      </w:divBdr>
    </w:div>
    <w:div w:id="517545140">
      <w:bodyDiv w:val="1"/>
      <w:marLeft w:val="0"/>
      <w:marRight w:val="0"/>
      <w:marTop w:val="0"/>
      <w:marBottom w:val="0"/>
      <w:divBdr>
        <w:top w:val="none" w:sz="0" w:space="0" w:color="auto"/>
        <w:left w:val="none" w:sz="0" w:space="0" w:color="auto"/>
        <w:bottom w:val="none" w:sz="0" w:space="0" w:color="auto"/>
        <w:right w:val="none" w:sz="0" w:space="0" w:color="auto"/>
      </w:divBdr>
    </w:div>
    <w:div w:id="523594671">
      <w:bodyDiv w:val="1"/>
      <w:marLeft w:val="0"/>
      <w:marRight w:val="0"/>
      <w:marTop w:val="0"/>
      <w:marBottom w:val="0"/>
      <w:divBdr>
        <w:top w:val="none" w:sz="0" w:space="0" w:color="auto"/>
        <w:left w:val="none" w:sz="0" w:space="0" w:color="auto"/>
        <w:bottom w:val="none" w:sz="0" w:space="0" w:color="auto"/>
        <w:right w:val="none" w:sz="0" w:space="0" w:color="auto"/>
      </w:divBdr>
    </w:div>
    <w:div w:id="526061315">
      <w:bodyDiv w:val="1"/>
      <w:marLeft w:val="0"/>
      <w:marRight w:val="0"/>
      <w:marTop w:val="0"/>
      <w:marBottom w:val="0"/>
      <w:divBdr>
        <w:top w:val="none" w:sz="0" w:space="0" w:color="auto"/>
        <w:left w:val="none" w:sz="0" w:space="0" w:color="auto"/>
        <w:bottom w:val="none" w:sz="0" w:space="0" w:color="auto"/>
        <w:right w:val="none" w:sz="0" w:space="0" w:color="auto"/>
      </w:divBdr>
    </w:div>
    <w:div w:id="529494199">
      <w:bodyDiv w:val="1"/>
      <w:marLeft w:val="0"/>
      <w:marRight w:val="0"/>
      <w:marTop w:val="0"/>
      <w:marBottom w:val="0"/>
      <w:divBdr>
        <w:top w:val="none" w:sz="0" w:space="0" w:color="auto"/>
        <w:left w:val="none" w:sz="0" w:space="0" w:color="auto"/>
        <w:bottom w:val="none" w:sz="0" w:space="0" w:color="auto"/>
        <w:right w:val="none" w:sz="0" w:space="0" w:color="auto"/>
      </w:divBdr>
    </w:div>
    <w:div w:id="532765953">
      <w:bodyDiv w:val="1"/>
      <w:marLeft w:val="0"/>
      <w:marRight w:val="0"/>
      <w:marTop w:val="0"/>
      <w:marBottom w:val="0"/>
      <w:divBdr>
        <w:top w:val="none" w:sz="0" w:space="0" w:color="auto"/>
        <w:left w:val="none" w:sz="0" w:space="0" w:color="auto"/>
        <w:bottom w:val="none" w:sz="0" w:space="0" w:color="auto"/>
        <w:right w:val="none" w:sz="0" w:space="0" w:color="auto"/>
      </w:divBdr>
    </w:div>
    <w:div w:id="552497982">
      <w:bodyDiv w:val="1"/>
      <w:marLeft w:val="0"/>
      <w:marRight w:val="0"/>
      <w:marTop w:val="0"/>
      <w:marBottom w:val="0"/>
      <w:divBdr>
        <w:top w:val="none" w:sz="0" w:space="0" w:color="auto"/>
        <w:left w:val="none" w:sz="0" w:space="0" w:color="auto"/>
        <w:bottom w:val="none" w:sz="0" w:space="0" w:color="auto"/>
        <w:right w:val="none" w:sz="0" w:space="0" w:color="auto"/>
      </w:divBdr>
    </w:div>
    <w:div w:id="567419148">
      <w:bodyDiv w:val="1"/>
      <w:marLeft w:val="0"/>
      <w:marRight w:val="0"/>
      <w:marTop w:val="0"/>
      <w:marBottom w:val="0"/>
      <w:divBdr>
        <w:top w:val="none" w:sz="0" w:space="0" w:color="auto"/>
        <w:left w:val="none" w:sz="0" w:space="0" w:color="auto"/>
        <w:bottom w:val="none" w:sz="0" w:space="0" w:color="auto"/>
        <w:right w:val="none" w:sz="0" w:space="0" w:color="auto"/>
      </w:divBdr>
    </w:div>
    <w:div w:id="569311933">
      <w:bodyDiv w:val="1"/>
      <w:marLeft w:val="0"/>
      <w:marRight w:val="0"/>
      <w:marTop w:val="0"/>
      <w:marBottom w:val="0"/>
      <w:divBdr>
        <w:top w:val="none" w:sz="0" w:space="0" w:color="auto"/>
        <w:left w:val="none" w:sz="0" w:space="0" w:color="auto"/>
        <w:bottom w:val="none" w:sz="0" w:space="0" w:color="auto"/>
        <w:right w:val="none" w:sz="0" w:space="0" w:color="auto"/>
      </w:divBdr>
    </w:div>
    <w:div w:id="569969068">
      <w:bodyDiv w:val="1"/>
      <w:marLeft w:val="0"/>
      <w:marRight w:val="0"/>
      <w:marTop w:val="0"/>
      <w:marBottom w:val="0"/>
      <w:divBdr>
        <w:top w:val="none" w:sz="0" w:space="0" w:color="auto"/>
        <w:left w:val="none" w:sz="0" w:space="0" w:color="auto"/>
        <w:bottom w:val="none" w:sz="0" w:space="0" w:color="auto"/>
        <w:right w:val="none" w:sz="0" w:space="0" w:color="auto"/>
      </w:divBdr>
    </w:div>
    <w:div w:id="583302669">
      <w:bodyDiv w:val="1"/>
      <w:marLeft w:val="0"/>
      <w:marRight w:val="0"/>
      <w:marTop w:val="0"/>
      <w:marBottom w:val="0"/>
      <w:divBdr>
        <w:top w:val="none" w:sz="0" w:space="0" w:color="auto"/>
        <w:left w:val="none" w:sz="0" w:space="0" w:color="auto"/>
        <w:bottom w:val="none" w:sz="0" w:space="0" w:color="auto"/>
        <w:right w:val="none" w:sz="0" w:space="0" w:color="auto"/>
      </w:divBdr>
    </w:div>
    <w:div w:id="590044516">
      <w:bodyDiv w:val="1"/>
      <w:marLeft w:val="0"/>
      <w:marRight w:val="0"/>
      <w:marTop w:val="0"/>
      <w:marBottom w:val="0"/>
      <w:divBdr>
        <w:top w:val="none" w:sz="0" w:space="0" w:color="auto"/>
        <w:left w:val="none" w:sz="0" w:space="0" w:color="auto"/>
        <w:bottom w:val="none" w:sz="0" w:space="0" w:color="auto"/>
        <w:right w:val="none" w:sz="0" w:space="0" w:color="auto"/>
      </w:divBdr>
    </w:div>
    <w:div w:id="593787345">
      <w:bodyDiv w:val="1"/>
      <w:marLeft w:val="0"/>
      <w:marRight w:val="0"/>
      <w:marTop w:val="0"/>
      <w:marBottom w:val="0"/>
      <w:divBdr>
        <w:top w:val="none" w:sz="0" w:space="0" w:color="auto"/>
        <w:left w:val="none" w:sz="0" w:space="0" w:color="auto"/>
        <w:bottom w:val="none" w:sz="0" w:space="0" w:color="auto"/>
        <w:right w:val="none" w:sz="0" w:space="0" w:color="auto"/>
      </w:divBdr>
    </w:div>
    <w:div w:id="606080041">
      <w:bodyDiv w:val="1"/>
      <w:marLeft w:val="0"/>
      <w:marRight w:val="0"/>
      <w:marTop w:val="0"/>
      <w:marBottom w:val="0"/>
      <w:divBdr>
        <w:top w:val="none" w:sz="0" w:space="0" w:color="auto"/>
        <w:left w:val="none" w:sz="0" w:space="0" w:color="auto"/>
        <w:bottom w:val="none" w:sz="0" w:space="0" w:color="auto"/>
        <w:right w:val="none" w:sz="0" w:space="0" w:color="auto"/>
      </w:divBdr>
    </w:div>
    <w:div w:id="613364723">
      <w:bodyDiv w:val="1"/>
      <w:marLeft w:val="0"/>
      <w:marRight w:val="0"/>
      <w:marTop w:val="0"/>
      <w:marBottom w:val="0"/>
      <w:divBdr>
        <w:top w:val="none" w:sz="0" w:space="0" w:color="auto"/>
        <w:left w:val="none" w:sz="0" w:space="0" w:color="auto"/>
        <w:bottom w:val="none" w:sz="0" w:space="0" w:color="auto"/>
        <w:right w:val="none" w:sz="0" w:space="0" w:color="auto"/>
      </w:divBdr>
    </w:div>
    <w:div w:id="640958470">
      <w:bodyDiv w:val="1"/>
      <w:marLeft w:val="0"/>
      <w:marRight w:val="0"/>
      <w:marTop w:val="0"/>
      <w:marBottom w:val="0"/>
      <w:divBdr>
        <w:top w:val="none" w:sz="0" w:space="0" w:color="auto"/>
        <w:left w:val="none" w:sz="0" w:space="0" w:color="auto"/>
        <w:bottom w:val="none" w:sz="0" w:space="0" w:color="auto"/>
        <w:right w:val="none" w:sz="0" w:space="0" w:color="auto"/>
      </w:divBdr>
    </w:div>
    <w:div w:id="656616381">
      <w:bodyDiv w:val="1"/>
      <w:marLeft w:val="0"/>
      <w:marRight w:val="0"/>
      <w:marTop w:val="0"/>
      <w:marBottom w:val="0"/>
      <w:divBdr>
        <w:top w:val="none" w:sz="0" w:space="0" w:color="auto"/>
        <w:left w:val="none" w:sz="0" w:space="0" w:color="auto"/>
        <w:bottom w:val="none" w:sz="0" w:space="0" w:color="auto"/>
        <w:right w:val="none" w:sz="0" w:space="0" w:color="auto"/>
      </w:divBdr>
    </w:div>
    <w:div w:id="657077126">
      <w:bodyDiv w:val="1"/>
      <w:marLeft w:val="0"/>
      <w:marRight w:val="0"/>
      <w:marTop w:val="0"/>
      <w:marBottom w:val="0"/>
      <w:divBdr>
        <w:top w:val="none" w:sz="0" w:space="0" w:color="auto"/>
        <w:left w:val="none" w:sz="0" w:space="0" w:color="auto"/>
        <w:bottom w:val="none" w:sz="0" w:space="0" w:color="auto"/>
        <w:right w:val="none" w:sz="0" w:space="0" w:color="auto"/>
      </w:divBdr>
    </w:div>
    <w:div w:id="665479823">
      <w:bodyDiv w:val="1"/>
      <w:marLeft w:val="0"/>
      <w:marRight w:val="0"/>
      <w:marTop w:val="0"/>
      <w:marBottom w:val="0"/>
      <w:divBdr>
        <w:top w:val="none" w:sz="0" w:space="0" w:color="auto"/>
        <w:left w:val="none" w:sz="0" w:space="0" w:color="auto"/>
        <w:bottom w:val="none" w:sz="0" w:space="0" w:color="auto"/>
        <w:right w:val="none" w:sz="0" w:space="0" w:color="auto"/>
      </w:divBdr>
    </w:div>
    <w:div w:id="670643772">
      <w:bodyDiv w:val="1"/>
      <w:marLeft w:val="0"/>
      <w:marRight w:val="0"/>
      <w:marTop w:val="0"/>
      <w:marBottom w:val="0"/>
      <w:divBdr>
        <w:top w:val="none" w:sz="0" w:space="0" w:color="auto"/>
        <w:left w:val="none" w:sz="0" w:space="0" w:color="auto"/>
        <w:bottom w:val="none" w:sz="0" w:space="0" w:color="auto"/>
        <w:right w:val="none" w:sz="0" w:space="0" w:color="auto"/>
      </w:divBdr>
    </w:div>
    <w:div w:id="672492840">
      <w:bodyDiv w:val="1"/>
      <w:marLeft w:val="0"/>
      <w:marRight w:val="0"/>
      <w:marTop w:val="0"/>
      <w:marBottom w:val="0"/>
      <w:divBdr>
        <w:top w:val="none" w:sz="0" w:space="0" w:color="auto"/>
        <w:left w:val="none" w:sz="0" w:space="0" w:color="auto"/>
        <w:bottom w:val="none" w:sz="0" w:space="0" w:color="auto"/>
        <w:right w:val="none" w:sz="0" w:space="0" w:color="auto"/>
      </w:divBdr>
    </w:div>
    <w:div w:id="707411955">
      <w:bodyDiv w:val="1"/>
      <w:marLeft w:val="0"/>
      <w:marRight w:val="0"/>
      <w:marTop w:val="0"/>
      <w:marBottom w:val="0"/>
      <w:divBdr>
        <w:top w:val="none" w:sz="0" w:space="0" w:color="auto"/>
        <w:left w:val="none" w:sz="0" w:space="0" w:color="auto"/>
        <w:bottom w:val="none" w:sz="0" w:space="0" w:color="auto"/>
        <w:right w:val="none" w:sz="0" w:space="0" w:color="auto"/>
      </w:divBdr>
    </w:div>
    <w:div w:id="745493342">
      <w:bodyDiv w:val="1"/>
      <w:marLeft w:val="0"/>
      <w:marRight w:val="0"/>
      <w:marTop w:val="0"/>
      <w:marBottom w:val="0"/>
      <w:divBdr>
        <w:top w:val="none" w:sz="0" w:space="0" w:color="auto"/>
        <w:left w:val="none" w:sz="0" w:space="0" w:color="auto"/>
        <w:bottom w:val="none" w:sz="0" w:space="0" w:color="auto"/>
        <w:right w:val="none" w:sz="0" w:space="0" w:color="auto"/>
      </w:divBdr>
    </w:div>
    <w:div w:id="757562576">
      <w:bodyDiv w:val="1"/>
      <w:marLeft w:val="0"/>
      <w:marRight w:val="0"/>
      <w:marTop w:val="0"/>
      <w:marBottom w:val="0"/>
      <w:divBdr>
        <w:top w:val="none" w:sz="0" w:space="0" w:color="auto"/>
        <w:left w:val="none" w:sz="0" w:space="0" w:color="auto"/>
        <w:bottom w:val="none" w:sz="0" w:space="0" w:color="auto"/>
        <w:right w:val="none" w:sz="0" w:space="0" w:color="auto"/>
      </w:divBdr>
    </w:div>
    <w:div w:id="769156181">
      <w:bodyDiv w:val="1"/>
      <w:marLeft w:val="0"/>
      <w:marRight w:val="0"/>
      <w:marTop w:val="0"/>
      <w:marBottom w:val="0"/>
      <w:divBdr>
        <w:top w:val="none" w:sz="0" w:space="0" w:color="auto"/>
        <w:left w:val="none" w:sz="0" w:space="0" w:color="auto"/>
        <w:bottom w:val="none" w:sz="0" w:space="0" w:color="auto"/>
        <w:right w:val="none" w:sz="0" w:space="0" w:color="auto"/>
      </w:divBdr>
    </w:div>
    <w:div w:id="772673638">
      <w:bodyDiv w:val="1"/>
      <w:marLeft w:val="0"/>
      <w:marRight w:val="0"/>
      <w:marTop w:val="0"/>
      <w:marBottom w:val="0"/>
      <w:divBdr>
        <w:top w:val="none" w:sz="0" w:space="0" w:color="auto"/>
        <w:left w:val="none" w:sz="0" w:space="0" w:color="auto"/>
        <w:bottom w:val="none" w:sz="0" w:space="0" w:color="auto"/>
        <w:right w:val="none" w:sz="0" w:space="0" w:color="auto"/>
      </w:divBdr>
    </w:div>
    <w:div w:id="783158373">
      <w:bodyDiv w:val="1"/>
      <w:marLeft w:val="0"/>
      <w:marRight w:val="0"/>
      <w:marTop w:val="0"/>
      <w:marBottom w:val="0"/>
      <w:divBdr>
        <w:top w:val="none" w:sz="0" w:space="0" w:color="auto"/>
        <w:left w:val="none" w:sz="0" w:space="0" w:color="auto"/>
        <w:bottom w:val="none" w:sz="0" w:space="0" w:color="auto"/>
        <w:right w:val="none" w:sz="0" w:space="0" w:color="auto"/>
      </w:divBdr>
    </w:div>
    <w:div w:id="784348287">
      <w:bodyDiv w:val="1"/>
      <w:marLeft w:val="0"/>
      <w:marRight w:val="0"/>
      <w:marTop w:val="0"/>
      <w:marBottom w:val="0"/>
      <w:divBdr>
        <w:top w:val="none" w:sz="0" w:space="0" w:color="auto"/>
        <w:left w:val="none" w:sz="0" w:space="0" w:color="auto"/>
        <w:bottom w:val="none" w:sz="0" w:space="0" w:color="auto"/>
        <w:right w:val="none" w:sz="0" w:space="0" w:color="auto"/>
      </w:divBdr>
    </w:div>
    <w:div w:id="791897235">
      <w:bodyDiv w:val="1"/>
      <w:marLeft w:val="0"/>
      <w:marRight w:val="0"/>
      <w:marTop w:val="0"/>
      <w:marBottom w:val="0"/>
      <w:divBdr>
        <w:top w:val="none" w:sz="0" w:space="0" w:color="auto"/>
        <w:left w:val="none" w:sz="0" w:space="0" w:color="auto"/>
        <w:bottom w:val="none" w:sz="0" w:space="0" w:color="auto"/>
        <w:right w:val="none" w:sz="0" w:space="0" w:color="auto"/>
      </w:divBdr>
    </w:div>
    <w:div w:id="797377233">
      <w:bodyDiv w:val="1"/>
      <w:marLeft w:val="0"/>
      <w:marRight w:val="0"/>
      <w:marTop w:val="0"/>
      <w:marBottom w:val="0"/>
      <w:divBdr>
        <w:top w:val="none" w:sz="0" w:space="0" w:color="auto"/>
        <w:left w:val="none" w:sz="0" w:space="0" w:color="auto"/>
        <w:bottom w:val="none" w:sz="0" w:space="0" w:color="auto"/>
        <w:right w:val="none" w:sz="0" w:space="0" w:color="auto"/>
      </w:divBdr>
    </w:div>
    <w:div w:id="799421664">
      <w:bodyDiv w:val="1"/>
      <w:marLeft w:val="0"/>
      <w:marRight w:val="0"/>
      <w:marTop w:val="0"/>
      <w:marBottom w:val="0"/>
      <w:divBdr>
        <w:top w:val="none" w:sz="0" w:space="0" w:color="auto"/>
        <w:left w:val="none" w:sz="0" w:space="0" w:color="auto"/>
        <w:bottom w:val="none" w:sz="0" w:space="0" w:color="auto"/>
        <w:right w:val="none" w:sz="0" w:space="0" w:color="auto"/>
      </w:divBdr>
    </w:div>
    <w:div w:id="804280746">
      <w:bodyDiv w:val="1"/>
      <w:marLeft w:val="0"/>
      <w:marRight w:val="0"/>
      <w:marTop w:val="0"/>
      <w:marBottom w:val="0"/>
      <w:divBdr>
        <w:top w:val="none" w:sz="0" w:space="0" w:color="auto"/>
        <w:left w:val="none" w:sz="0" w:space="0" w:color="auto"/>
        <w:bottom w:val="none" w:sz="0" w:space="0" w:color="auto"/>
        <w:right w:val="none" w:sz="0" w:space="0" w:color="auto"/>
      </w:divBdr>
    </w:div>
    <w:div w:id="850141388">
      <w:bodyDiv w:val="1"/>
      <w:marLeft w:val="0"/>
      <w:marRight w:val="0"/>
      <w:marTop w:val="0"/>
      <w:marBottom w:val="0"/>
      <w:divBdr>
        <w:top w:val="none" w:sz="0" w:space="0" w:color="auto"/>
        <w:left w:val="none" w:sz="0" w:space="0" w:color="auto"/>
        <w:bottom w:val="none" w:sz="0" w:space="0" w:color="auto"/>
        <w:right w:val="none" w:sz="0" w:space="0" w:color="auto"/>
      </w:divBdr>
    </w:div>
    <w:div w:id="861012572">
      <w:bodyDiv w:val="1"/>
      <w:marLeft w:val="0"/>
      <w:marRight w:val="0"/>
      <w:marTop w:val="0"/>
      <w:marBottom w:val="0"/>
      <w:divBdr>
        <w:top w:val="none" w:sz="0" w:space="0" w:color="auto"/>
        <w:left w:val="none" w:sz="0" w:space="0" w:color="auto"/>
        <w:bottom w:val="none" w:sz="0" w:space="0" w:color="auto"/>
        <w:right w:val="none" w:sz="0" w:space="0" w:color="auto"/>
      </w:divBdr>
    </w:div>
    <w:div w:id="866453517">
      <w:bodyDiv w:val="1"/>
      <w:marLeft w:val="0"/>
      <w:marRight w:val="0"/>
      <w:marTop w:val="0"/>
      <w:marBottom w:val="0"/>
      <w:divBdr>
        <w:top w:val="none" w:sz="0" w:space="0" w:color="auto"/>
        <w:left w:val="none" w:sz="0" w:space="0" w:color="auto"/>
        <w:bottom w:val="none" w:sz="0" w:space="0" w:color="auto"/>
        <w:right w:val="none" w:sz="0" w:space="0" w:color="auto"/>
      </w:divBdr>
    </w:div>
    <w:div w:id="902712838">
      <w:bodyDiv w:val="1"/>
      <w:marLeft w:val="0"/>
      <w:marRight w:val="0"/>
      <w:marTop w:val="0"/>
      <w:marBottom w:val="0"/>
      <w:divBdr>
        <w:top w:val="none" w:sz="0" w:space="0" w:color="auto"/>
        <w:left w:val="none" w:sz="0" w:space="0" w:color="auto"/>
        <w:bottom w:val="none" w:sz="0" w:space="0" w:color="auto"/>
        <w:right w:val="none" w:sz="0" w:space="0" w:color="auto"/>
      </w:divBdr>
    </w:div>
    <w:div w:id="922646309">
      <w:bodyDiv w:val="1"/>
      <w:marLeft w:val="0"/>
      <w:marRight w:val="0"/>
      <w:marTop w:val="0"/>
      <w:marBottom w:val="0"/>
      <w:divBdr>
        <w:top w:val="none" w:sz="0" w:space="0" w:color="auto"/>
        <w:left w:val="none" w:sz="0" w:space="0" w:color="auto"/>
        <w:bottom w:val="none" w:sz="0" w:space="0" w:color="auto"/>
        <w:right w:val="none" w:sz="0" w:space="0" w:color="auto"/>
      </w:divBdr>
    </w:div>
    <w:div w:id="928536530">
      <w:bodyDiv w:val="1"/>
      <w:marLeft w:val="0"/>
      <w:marRight w:val="0"/>
      <w:marTop w:val="0"/>
      <w:marBottom w:val="0"/>
      <w:divBdr>
        <w:top w:val="none" w:sz="0" w:space="0" w:color="auto"/>
        <w:left w:val="none" w:sz="0" w:space="0" w:color="auto"/>
        <w:bottom w:val="none" w:sz="0" w:space="0" w:color="auto"/>
        <w:right w:val="none" w:sz="0" w:space="0" w:color="auto"/>
      </w:divBdr>
    </w:div>
    <w:div w:id="937912040">
      <w:bodyDiv w:val="1"/>
      <w:marLeft w:val="0"/>
      <w:marRight w:val="0"/>
      <w:marTop w:val="0"/>
      <w:marBottom w:val="0"/>
      <w:divBdr>
        <w:top w:val="none" w:sz="0" w:space="0" w:color="auto"/>
        <w:left w:val="none" w:sz="0" w:space="0" w:color="auto"/>
        <w:bottom w:val="none" w:sz="0" w:space="0" w:color="auto"/>
        <w:right w:val="none" w:sz="0" w:space="0" w:color="auto"/>
      </w:divBdr>
    </w:div>
    <w:div w:id="943878748">
      <w:bodyDiv w:val="1"/>
      <w:marLeft w:val="0"/>
      <w:marRight w:val="0"/>
      <w:marTop w:val="0"/>
      <w:marBottom w:val="0"/>
      <w:divBdr>
        <w:top w:val="none" w:sz="0" w:space="0" w:color="auto"/>
        <w:left w:val="none" w:sz="0" w:space="0" w:color="auto"/>
        <w:bottom w:val="none" w:sz="0" w:space="0" w:color="auto"/>
        <w:right w:val="none" w:sz="0" w:space="0" w:color="auto"/>
      </w:divBdr>
    </w:div>
    <w:div w:id="951471018">
      <w:bodyDiv w:val="1"/>
      <w:marLeft w:val="0"/>
      <w:marRight w:val="0"/>
      <w:marTop w:val="0"/>
      <w:marBottom w:val="0"/>
      <w:divBdr>
        <w:top w:val="none" w:sz="0" w:space="0" w:color="auto"/>
        <w:left w:val="none" w:sz="0" w:space="0" w:color="auto"/>
        <w:bottom w:val="none" w:sz="0" w:space="0" w:color="auto"/>
        <w:right w:val="none" w:sz="0" w:space="0" w:color="auto"/>
      </w:divBdr>
    </w:div>
    <w:div w:id="975791296">
      <w:bodyDiv w:val="1"/>
      <w:marLeft w:val="0"/>
      <w:marRight w:val="0"/>
      <w:marTop w:val="0"/>
      <w:marBottom w:val="0"/>
      <w:divBdr>
        <w:top w:val="none" w:sz="0" w:space="0" w:color="auto"/>
        <w:left w:val="none" w:sz="0" w:space="0" w:color="auto"/>
        <w:bottom w:val="none" w:sz="0" w:space="0" w:color="auto"/>
        <w:right w:val="none" w:sz="0" w:space="0" w:color="auto"/>
      </w:divBdr>
    </w:div>
    <w:div w:id="1023364766">
      <w:bodyDiv w:val="1"/>
      <w:marLeft w:val="0"/>
      <w:marRight w:val="0"/>
      <w:marTop w:val="0"/>
      <w:marBottom w:val="0"/>
      <w:divBdr>
        <w:top w:val="none" w:sz="0" w:space="0" w:color="auto"/>
        <w:left w:val="none" w:sz="0" w:space="0" w:color="auto"/>
        <w:bottom w:val="none" w:sz="0" w:space="0" w:color="auto"/>
        <w:right w:val="none" w:sz="0" w:space="0" w:color="auto"/>
      </w:divBdr>
    </w:div>
    <w:div w:id="1031683059">
      <w:bodyDiv w:val="1"/>
      <w:marLeft w:val="0"/>
      <w:marRight w:val="0"/>
      <w:marTop w:val="0"/>
      <w:marBottom w:val="0"/>
      <w:divBdr>
        <w:top w:val="none" w:sz="0" w:space="0" w:color="auto"/>
        <w:left w:val="none" w:sz="0" w:space="0" w:color="auto"/>
        <w:bottom w:val="none" w:sz="0" w:space="0" w:color="auto"/>
        <w:right w:val="none" w:sz="0" w:space="0" w:color="auto"/>
      </w:divBdr>
    </w:div>
    <w:div w:id="1039621800">
      <w:bodyDiv w:val="1"/>
      <w:marLeft w:val="0"/>
      <w:marRight w:val="0"/>
      <w:marTop w:val="0"/>
      <w:marBottom w:val="0"/>
      <w:divBdr>
        <w:top w:val="none" w:sz="0" w:space="0" w:color="auto"/>
        <w:left w:val="none" w:sz="0" w:space="0" w:color="auto"/>
        <w:bottom w:val="none" w:sz="0" w:space="0" w:color="auto"/>
        <w:right w:val="none" w:sz="0" w:space="0" w:color="auto"/>
      </w:divBdr>
    </w:div>
    <w:div w:id="1053652886">
      <w:bodyDiv w:val="1"/>
      <w:marLeft w:val="0"/>
      <w:marRight w:val="0"/>
      <w:marTop w:val="0"/>
      <w:marBottom w:val="0"/>
      <w:divBdr>
        <w:top w:val="none" w:sz="0" w:space="0" w:color="auto"/>
        <w:left w:val="none" w:sz="0" w:space="0" w:color="auto"/>
        <w:bottom w:val="none" w:sz="0" w:space="0" w:color="auto"/>
        <w:right w:val="none" w:sz="0" w:space="0" w:color="auto"/>
      </w:divBdr>
    </w:div>
    <w:div w:id="1058014111">
      <w:bodyDiv w:val="1"/>
      <w:marLeft w:val="0"/>
      <w:marRight w:val="0"/>
      <w:marTop w:val="0"/>
      <w:marBottom w:val="0"/>
      <w:divBdr>
        <w:top w:val="none" w:sz="0" w:space="0" w:color="auto"/>
        <w:left w:val="none" w:sz="0" w:space="0" w:color="auto"/>
        <w:bottom w:val="none" w:sz="0" w:space="0" w:color="auto"/>
        <w:right w:val="none" w:sz="0" w:space="0" w:color="auto"/>
      </w:divBdr>
    </w:div>
    <w:div w:id="1061171189">
      <w:bodyDiv w:val="1"/>
      <w:marLeft w:val="0"/>
      <w:marRight w:val="0"/>
      <w:marTop w:val="0"/>
      <w:marBottom w:val="0"/>
      <w:divBdr>
        <w:top w:val="none" w:sz="0" w:space="0" w:color="auto"/>
        <w:left w:val="none" w:sz="0" w:space="0" w:color="auto"/>
        <w:bottom w:val="none" w:sz="0" w:space="0" w:color="auto"/>
        <w:right w:val="none" w:sz="0" w:space="0" w:color="auto"/>
      </w:divBdr>
    </w:div>
    <w:div w:id="1063018975">
      <w:bodyDiv w:val="1"/>
      <w:marLeft w:val="0"/>
      <w:marRight w:val="0"/>
      <w:marTop w:val="0"/>
      <w:marBottom w:val="0"/>
      <w:divBdr>
        <w:top w:val="none" w:sz="0" w:space="0" w:color="auto"/>
        <w:left w:val="none" w:sz="0" w:space="0" w:color="auto"/>
        <w:bottom w:val="none" w:sz="0" w:space="0" w:color="auto"/>
        <w:right w:val="none" w:sz="0" w:space="0" w:color="auto"/>
      </w:divBdr>
    </w:div>
    <w:div w:id="1069230236">
      <w:bodyDiv w:val="1"/>
      <w:marLeft w:val="0"/>
      <w:marRight w:val="0"/>
      <w:marTop w:val="0"/>
      <w:marBottom w:val="0"/>
      <w:divBdr>
        <w:top w:val="none" w:sz="0" w:space="0" w:color="auto"/>
        <w:left w:val="none" w:sz="0" w:space="0" w:color="auto"/>
        <w:bottom w:val="none" w:sz="0" w:space="0" w:color="auto"/>
        <w:right w:val="none" w:sz="0" w:space="0" w:color="auto"/>
      </w:divBdr>
    </w:div>
    <w:div w:id="1079593533">
      <w:bodyDiv w:val="1"/>
      <w:marLeft w:val="0"/>
      <w:marRight w:val="0"/>
      <w:marTop w:val="0"/>
      <w:marBottom w:val="0"/>
      <w:divBdr>
        <w:top w:val="none" w:sz="0" w:space="0" w:color="auto"/>
        <w:left w:val="none" w:sz="0" w:space="0" w:color="auto"/>
        <w:bottom w:val="none" w:sz="0" w:space="0" w:color="auto"/>
        <w:right w:val="none" w:sz="0" w:space="0" w:color="auto"/>
      </w:divBdr>
    </w:div>
    <w:div w:id="1096095728">
      <w:bodyDiv w:val="1"/>
      <w:marLeft w:val="0"/>
      <w:marRight w:val="0"/>
      <w:marTop w:val="0"/>
      <w:marBottom w:val="0"/>
      <w:divBdr>
        <w:top w:val="none" w:sz="0" w:space="0" w:color="auto"/>
        <w:left w:val="none" w:sz="0" w:space="0" w:color="auto"/>
        <w:bottom w:val="none" w:sz="0" w:space="0" w:color="auto"/>
        <w:right w:val="none" w:sz="0" w:space="0" w:color="auto"/>
      </w:divBdr>
    </w:div>
    <w:div w:id="1114524300">
      <w:bodyDiv w:val="1"/>
      <w:marLeft w:val="0"/>
      <w:marRight w:val="0"/>
      <w:marTop w:val="0"/>
      <w:marBottom w:val="0"/>
      <w:divBdr>
        <w:top w:val="none" w:sz="0" w:space="0" w:color="auto"/>
        <w:left w:val="none" w:sz="0" w:space="0" w:color="auto"/>
        <w:bottom w:val="none" w:sz="0" w:space="0" w:color="auto"/>
        <w:right w:val="none" w:sz="0" w:space="0" w:color="auto"/>
      </w:divBdr>
    </w:div>
    <w:div w:id="1117021248">
      <w:bodyDiv w:val="1"/>
      <w:marLeft w:val="0"/>
      <w:marRight w:val="0"/>
      <w:marTop w:val="0"/>
      <w:marBottom w:val="0"/>
      <w:divBdr>
        <w:top w:val="none" w:sz="0" w:space="0" w:color="auto"/>
        <w:left w:val="none" w:sz="0" w:space="0" w:color="auto"/>
        <w:bottom w:val="none" w:sz="0" w:space="0" w:color="auto"/>
        <w:right w:val="none" w:sz="0" w:space="0" w:color="auto"/>
      </w:divBdr>
    </w:div>
    <w:div w:id="1136990957">
      <w:bodyDiv w:val="1"/>
      <w:marLeft w:val="0"/>
      <w:marRight w:val="0"/>
      <w:marTop w:val="0"/>
      <w:marBottom w:val="0"/>
      <w:divBdr>
        <w:top w:val="none" w:sz="0" w:space="0" w:color="auto"/>
        <w:left w:val="none" w:sz="0" w:space="0" w:color="auto"/>
        <w:bottom w:val="none" w:sz="0" w:space="0" w:color="auto"/>
        <w:right w:val="none" w:sz="0" w:space="0" w:color="auto"/>
      </w:divBdr>
    </w:div>
    <w:div w:id="1137798921">
      <w:bodyDiv w:val="1"/>
      <w:marLeft w:val="0"/>
      <w:marRight w:val="0"/>
      <w:marTop w:val="0"/>
      <w:marBottom w:val="0"/>
      <w:divBdr>
        <w:top w:val="none" w:sz="0" w:space="0" w:color="auto"/>
        <w:left w:val="none" w:sz="0" w:space="0" w:color="auto"/>
        <w:bottom w:val="none" w:sz="0" w:space="0" w:color="auto"/>
        <w:right w:val="none" w:sz="0" w:space="0" w:color="auto"/>
      </w:divBdr>
    </w:div>
    <w:div w:id="1160004410">
      <w:bodyDiv w:val="1"/>
      <w:marLeft w:val="0"/>
      <w:marRight w:val="0"/>
      <w:marTop w:val="0"/>
      <w:marBottom w:val="0"/>
      <w:divBdr>
        <w:top w:val="none" w:sz="0" w:space="0" w:color="auto"/>
        <w:left w:val="none" w:sz="0" w:space="0" w:color="auto"/>
        <w:bottom w:val="none" w:sz="0" w:space="0" w:color="auto"/>
        <w:right w:val="none" w:sz="0" w:space="0" w:color="auto"/>
      </w:divBdr>
    </w:div>
    <w:div w:id="1166747231">
      <w:bodyDiv w:val="1"/>
      <w:marLeft w:val="0"/>
      <w:marRight w:val="0"/>
      <w:marTop w:val="0"/>
      <w:marBottom w:val="0"/>
      <w:divBdr>
        <w:top w:val="none" w:sz="0" w:space="0" w:color="auto"/>
        <w:left w:val="none" w:sz="0" w:space="0" w:color="auto"/>
        <w:bottom w:val="none" w:sz="0" w:space="0" w:color="auto"/>
        <w:right w:val="none" w:sz="0" w:space="0" w:color="auto"/>
      </w:divBdr>
    </w:div>
    <w:div w:id="1189369382">
      <w:bodyDiv w:val="1"/>
      <w:marLeft w:val="0"/>
      <w:marRight w:val="0"/>
      <w:marTop w:val="0"/>
      <w:marBottom w:val="0"/>
      <w:divBdr>
        <w:top w:val="none" w:sz="0" w:space="0" w:color="auto"/>
        <w:left w:val="none" w:sz="0" w:space="0" w:color="auto"/>
        <w:bottom w:val="none" w:sz="0" w:space="0" w:color="auto"/>
        <w:right w:val="none" w:sz="0" w:space="0" w:color="auto"/>
      </w:divBdr>
    </w:div>
    <w:div w:id="1191184384">
      <w:bodyDiv w:val="1"/>
      <w:marLeft w:val="0"/>
      <w:marRight w:val="0"/>
      <w:marTop w:val="0"/>
      <w:marBottom w:val="0"/>
      <w:divBdr>
        <w:top w:val="none" w:sz="0" w:space="0" w:color="auto"/>
        <w:left w:val="none" w:sz="0" w:space="0" w:color="auto"/>
        <w:bottom w:val="none" w:sz="0" w:space="0" w:color="auto"/>
        <w:right w:val="none" w:sz="0" w:space="0" w:color="auto"/>
      </w:divBdr>
    </w:div>
    <w:div w:id="1197619287">
      <w:bodyDiv w:val="1"/>
      <w:marLeft w:val="0"/>
      <w:marRight w:val="0"/>
      <w:marTop w:val="0"/>
      <w:marBottom w:val="0"/>
      <w:divBdr>
        <w:top w:val="none" w:sz="0" w:space="0" w:color="auto"/>
        <w:left w:val="none" w:sz="0" w:space="0" w:color="auto"/>
        <w:bottom w:val="none" w:sz="0" w:space="0" w:color="auto"/>
        <w:right w:val="none" w:sz="0" w:space="0" w:color="auto"/>
      </w:divBdr>
    </w:div>
    <w:div w:id="1200629757">
      <w:bodyDiv w:val="1"/>
      <w:marLeft w:val="0"/>
      <w:marRight w:val="0"/>
      <w:marTop w:val="0"/>
      <w:marBottom w:val="0"/>
      <w:divBdr>
        <w:top w:val="none" w:sz="0" w:space="0" w:color="auto"/>
        <w:left w:val="none" w:sz="0" w:space="0" w:color="auto"/>
        <w:bottom w:val="none" w:sz="0" w:space="0" w:color="auto"/>
        <w:right w:val="none" w:sz="0" w:space="0" w:color="auto"/>
      </w:divBdr>
    </w:div>
    <w:div w:id="1232933372">
      <w:bodyDiv w:val="1"/>
      <w:marLeft w:val="0"/>
      <w:marRight w:val="0"/>
      <w:marTop w:val="0"/>
      <w:marBottom w:val="0"/>
      <w:divBdr>
        <w:top w:val="none" w:sz="0" w:space="0" w:color="auto"/>
        <w:left w:val="none" w:sz="0" w:space="0" w:color="auto"/>
        <w:bottom w:val="none" w:sz="0" w:space="0" w:color="auto"/>
        <w:right w:val="none" w:sz="0" w:space="0" w:color="auto"/>
      </w:divBdr>
    </w:div>
    <w:div w:id="1232933902">
      <w:bodyDiv w:val="1"/>
      <w:marLeft w:val="0"/>
      <w:marRight w:val="0"/>
      <w:marTop w:val="0"/>
      <w:marBottom w:val="0"/>
      <w:divBdr>
        <w:top w:val="none" w:sz="0" w:space="0" w:color="auto"/>
        <w:left w:val="none" w:sz="0" w:space="0" w:color="auto"/>
        <w:bottom w:val="none" w:sz="0" w:space="0" w:color="auto"/>
        <w:right w:val="none" w:sz="0" w:space="0" w:color="auto"/>
      </w:divBdr>
    </w:div>
    <w:div w:id="1241331903">
      <w:bodyDiv w:val="1"/>
      <w:marLeft w:val="0"/>
      <w:marRight w:val="0"/>
      <w:marTop w:val="0"/>
      <w:marBottom w:val="0"/>
      <w:divBdr>
        <w:top w:val="none" w:sz="0" w:space="0" w:color="auto"/>
        <w:left w:val="none" w:sz="0" w:space="0" w:color="auto"/>
        <w:bottom w:val="none" w:sz="0" w:space="0" w:color="auto"/>
        <w:right w:val="none" w:sz="0" w:space="0" w:color="auto"/>
      </w:divBdr>
    </w:div>
    <w:div w:id="1246498615">
      <w:bodyDiv w:val="1"/>
      <w:marLeft w:val="0"/>
      <w:marRight w:val="0"/>
      <w:marTop w:val="0"/>
      <w:marBottom w:val="0"/>
      <w:divBdr>
        <w:top w:val="none" w:sz="0" w:space="0" w:color="auto"/>
        <w:left w:val="none" w:sz="0" w:space="0" w:color="auto"/>
        <w:bottom w:val="none" w:sz="0" w:space="0" w:color="auto"/>
        <w:right w:val="none" w:sz="0" w:space="0" w:color="auto"/>
      </w:divBdr>
    </w:div>
    <w:div w:id="1266766592">
      <w:bodyDiv w:val="1"/>
      <w:marLeft w:val="0"/>
      <w:marRight w:val="0"/>
      <w:marTop w:val="0"/>
      <w:marBottom w:val="0"/>
      <w:divBdr>
        <w:top w:val="none" w:sz="0" w:space="0" w:color="auto"/>
        <w:left w:val="none" w:sz="0" w:space="0" w:color="auto"/>
        <w:bottom w:val="none" w:sz="0" w:space="0" w:color="auto"/>
        <w:right w:val="none" w:sz="0" w:space="0" w:color="auto"/>
      </w:divBdr>
    </w:div>
    <w:div w:id="1299339347">
      <w:bodyDiv w:val="1"/>
      <w:marLeft w:val="0"/>
      <w:marRight w:val="0"/>
      <w:marTop w:val="0"/>
      <w:marBottom w:val="0"/>
      <w:divBdr>
        <w:top w:val="none" w:sz="0" w:space="0" w:color="auto"/>
        <w:left w:val="none" w:sz="0" w:space="0" w:color="auto"/>
        <w:bottom w:val="none" w:sz="0" w:space="0" w:color="auto"/>
        <w:right w:val="none" w:sz="0" w:space="0" w:color="auto"/>
      </w:divBdr>
    </w:div>
    <w:div w:id="1311863586">
      <w:bodyDiv w:val="1"/>
      <w:marLeft w:val="0"/>
      <w:marRight w:val="0"/>
      <w:marTop w:val="0"/>
      <w:marBottom w:val="0"/>
      <w:divBdr>
        <w:top w:val="none" w:sz="0" w:space="0" w:color="auto"/>
        <w:left w:val="none" w:sz="0" w:space="0" w:color="auto"/>
        <w:bottom w:val="none" w:sz="0" w:space="0" w:color="auto"/>
        <w:right w:val="none" w:sz="0" w:space="0" w:color="auto"/>
      </w:divBdr>
    </w:div>
    <w:div w:id="1316840146">
      <w:bodyDiv w:val="1"/>
      <w:marLeft w:val="0"/>
      <w:marRight w:val="0"/>
      <w:marTop w:val="0"/>
      <w:marBottom w:val="0"/>
      <w:divBdr>
        <w:top w:val="none" w:sz="0" w:space="0" w:color="auto"/>
        <w:left w:val="none" w:sz="0" w:space="0" w:color="auto"/>
        <w:bottom w:val="none" w:sz="0" w:space="0" w:color="auto"/>
        <w:right w:val="none" w:sz="0" w:space="0" w:color="auto"/>
      </w:divBdr>
    </w:div>
    <w:div w:id="1319964187">
      <w:bodyDiv w:val="1"/>
      <w:marLeft w:val="0"/>
      <w:marRight w:val="0"/>
      <w:marTop w:val="0"/>
      <w:marBottom w:val="0"/>
      <w:divBdr>
        <w:top w:val="none" w:sz="0" w:space="0" w:color="auto"/>
        <w:left w:val="none" w:sz="0" w:space="0" w:color="auto"/>
        <w:bottom w:val="none" w:sz="0" w:space="0" w:color="auto"/>
        <w:right w:val="none" w:sz="0" w:space="0" w:color="auto"/>
      </w:divBdr>
    </w:div>
    <w:div w:id="1330063455">
      <w:bodyDiv w:val="1"/>
      <w:marLeft w:val="0"/>
      <w:marRight w:val="0"/>
      <w:marTop w:val="0"/>
      <w:marBottom w:val="0"/>
      <w:divBdr>
        <w:top w:val="none" w:sz="0" w:space="0" w:color="auto"/>
        <w:left w:val="none" w:sz="0" w:space="0" w:color="auto"/>
        <w:bottom w:val="none" w:sz="0" w:space="0" w:color="auto"/>
        <w:right w:val="none" w:sz="0" w:space="0" w:color="auto"/>
      </w:divBdr>
    </w:div>
    <w:div w:id="1330137833">
      <w:bodyDiv w:val="1"/>
      <w:marLeft w:val="0"/>
      <w:marRight w:val="0"/>
      <w:marTop w:val="0"/>
      <w:marBottom w:val="0"/>
      <w:divBdr>
        <w:top w:val="none" w:sz="0" w:space="0" w:color="auto"/>
        <w:left w:val="none" w:sz="0" w:space="0" w:color="auto"/>
        <w:bottom w:val="none" w:sz="0" w:space="0" w:color="auto"/>
        <w:right w:val="none" w:sz="0" w:space="0" w:color="auto"/>
      </w:divBdr>
    </w:div>
    <w:div w:id="1333751503">
      <w:bodyDiv w:val="1"/>
      <w:marLeft w:val="0"/>
      <w:marRight w:val="0"/>
      <w:marTop w:val="0"/>
      <w:marBottom w:val="0"/>
      <w:divBdr>
        <w:top w:val="none" w:sz="0" w:space="0" w:color="auto"/>
        <w:left w:val="none" w:sz="0" w:space="0" w:color="auto"/>
        <w:bottom w:val="none" w:sz="0" w:space="0" w:color="auto"/>
        <w:right w:val="none" w:sz="0" w:space="0" w:color="auto"/>
      </w:divBdr>
    </w:div>
    <w:div w:id="1359237021">
      <w:bodyDiv w:val="1"/>
      <w:marLeft w:val="0"/>
      <w:marRight w:val="0"/>
      <w:marTop w:val="0"/>
      <w:marBottom w:val="0"/>
      <w:divBdr>
        <w:top w:val="none" w:sz="0" w:space="0" w:color="auto"/>
        <w:left w:val="none" w:sz="0" w:space="0" w:color="auto"/>
        <w:bottom w:val="none" w:sz="0" w:space="0" w:color="auto"/>
        <w:right w:val="none" w:sz="0" w:space="0" w:color="auto"/>
      </w:divBdr>
    </w:div>
    <w:div w:id="1362629673">
      <w:bodyDiv w:val="1"/>
      <w:marLeft w:val="0"/>
      <w:marRight w:val="0"/>
      <w:marTop w:val="0"/>
      <w:marBottom w:val="0"/>
      <w:divBdr>
        <w:top w:val="none" w:sz="0" w:space="0" w:color="auto"/>
        <w:left w:val="none" w:sz="0" w:space="0" w:color="auto"/>
        <w:bottom w:val="none" w:sz="0" w:space="0" w:color="auto"/>
        <w:right w:val="none" w:sz="0" w:space="0" w:color="auto"/>
      </w:divBdr>
    </w:div>
    <w:div w:id="1365525096">
      <w:bodyDiv w:val="1"/>
      <w:marLeft w:val="0"/>
      <w:marRight w:val="0"/>
      <w:marTop w:val="0"/>
      <w:marBottom w:val="0"/>
      <w:divBdr>
        <w:top w:val="none" w:sz="0" w:space="0" w:color="auto"/>
        <w:left w:val="none" w:sz="0" w:space="0" w:color="auto"/>
        <w:bottom w:val="none" w:sz="0" w:space="0" w:color="auto"/>
        <w:right w:val="none" w:sz="0" w:space="0" w:color="auto"/>
      </w:divBdr>
    </w:div>
    <w:div w:id="1368138819">
      <w:bodyDiv w:val="1"/>
      <w:marLeft w:val="0"/>
      <w:marRight w:val="0"/>
      <w:marTop w:val="0"/>
      <w:marBottom w:val="0"/>
      <w:divBdr>
        <w:top w:val="none" w:sz="0" w:space="0" w:color="auto"/>
        <w:left w:val="none" w:sz="0" w:space="0" w:color="auto"/>
        <w:bottom w:val="none" w:sz="0" w:space="0" w:color="auto"/>
        <w:right w:val="none" w:sz="0" w:space="0" w:color="auto"/>
      </w:divBdr>
    </w:div>
    <w:div w:id="1373380986">
      <w:bodyDiv w:val="1"/>
      <w:marLeft w:val="0"/>
      <w:marRight w:val="0"/>
      <w:marTop w:val="0"/>
      <w:marBottom w:val="0"/>
      <w:divBdr>
        <w:top w:val="none" w:sz="0" w:space="0" w:color="auto"/>
        <w:left w:val="none" w:sz="0" w:space="0" w:color="auto"/>
        <w:bottom w:val="none" w:sz="0" w:space="0" w:color="auto"/>
        <w:right w:val="none" w:sz="0" w:space="0" w:color="auto"/>
      </w:divBdr>
    </w:div>
    <w:div w:id="1378778283">
      <w:bodyDiv w:val="1"/>
      <w:marLeft w:val="0"/>
      <w:marRight w:val="0"/>
      <w:marTop w:val="0"/>
      <w:marBottom w:val="0"/>
      <w:divBdr>
        <w:top w:val="none" w:sz="0" w:space="0" w:color="auto"/>
        <w:left w:val="none" w:sz="0" w:space="0" w:color="auto"/>
        <w:bottom w:val="none" w:sz="0" w:space="0" w:color="auto"/>
        <w:right w:val="none" w:sz="0" w:space="0" w:color="auto"/>
      </w:divBdr>
    </w:div>
    <w:div w:id="1385786874">
      <w:bodyDiv w:val="1"/>
      <w:marLeft w:val="0"/>
      <w:marRight w:val="0"/>
      <w:marTop w:val="0"/>
      <w:marBottom w:val="0"/>
      <w:divBdr>
        <w:top w:val="none" w:sz="0" w:space="0" w:color="auto"/>
        <w:left w:val="none" w:sz="0" w:space="0" w:color="auto"/>
        <w:bottom w:val="none" w:sz="0" w:space="0" w:color="auto"/>
        <w:right w:val="none" w:sz="0" w:space="0" w:color="auto"/>
      </w:divBdr>
    </w:div>
    <w:div w:id="1386174506">
      <w:bodyDiv w:val="1"/>
      <w:marLeft w:val="0"/>
      <w:marRight w:val="0"/>
      <w:marTop w:val="0"/>
      <w:marBottom w:val="0"/>
      <w:divBdr>
        <w:top w:val="none" w:sz="0" w:space="0" w:color="auto"/>
        <w:left w:val="none" w:sz="0" w:space="0" w:color="auto"/>
        <w:bottom w:val="none" w:sz="0" w:space="0" w:color="auto"/>
        <w:right w:val="none" w:sz="0" w:space="0" w:color="auto"/>
      </w:divBdr>
    </w:div>
    <w:div w:id="1398675012">
      <w:bodyDiv w:val="1"/>
      <w:marLeft w:val="0"/>
      <w:marRight w:val="0"/>
      <w:marTop w:val="0"/>
      <w:marBottom w:val="0"/>
      <w:divBdr>
        <w:top w:val="none" w:sz="0" w:space="0" w:color="auto"/>
        <w:left w:val="none" w:sz="0" w:space="0" w:color="auto"/>
        <w:bottom w:val="none" w:sz="0" w:space="0" w:color="auto"/>
        <w:right w:val="none" w:sz="0" w:space="0" w:color="auto"/>
      </w:divBdr>
    </w:div>
    <w:div w:id="1423454635">
      <w:bodyDiv w:val="1"/>
      <w:marLeft w:val="0"/>
      <w:marRight w:val="0"/>
      <w:marTop w:val="0"/>
      <w:marBottom w:val="0"/>
      <w:divBdr>
        <w:top w:val="none" w:sz="0" w:space="0" w:color="auto"/>
        <w:left w:val="none" w:sz="0" w:space="0" w:color="auto"/>
        <w:bottom w:val="none" w:sz="0" w:space="0" w:color="auto"/>
        <w:right w:val="none" w:sz="0" w:space="0" w:color="auto"/>
      </w:divBdr>
    </w:div>
    <w:div w:id="1426001079">
      <w:bodyDiv w:val="1"/>
      <w:marLeft w:val="0"/>
      <w:marRight w:val="0"/>
      <w:marTop w:val="0"/>
      <w:marBottom w:val="0"/>
      <w:divBdr>
        <w:top w:val="none" w:sz="0" w:space="0" w:color="auto"/>
        <w:left w:val="none" w:sz="0" w:space="0" w:color="auto"/>
        <w:bottom w:val="none" w:sz="0" w:space="0" w:color="auto"/>
        <w:right w:val="none" w:sz="0" w:space="0" w:color="auto"/>
      </w:divBdr>
    </w:div>
    <w:div w:id="1449813708">
      <w:bodyDiv w:val="1"/>
      <w:marLeft w:val="0"/>
      <w:marRight w:val="0"/>
      <w:marTop w:val="0"/>
      <w:marBottom w:val="0"/>
      <w:divBdr>
        <w:top w:val="none" w:sz="0" w:space="0" w:color="auto"/>
        <w:left w:val="none" w:sz="0" w:space="0" w:color="auto"/>
        <w:bottom w:val="none" w:sz="0" w:space="0" w:color="auto"/>
        <w:right w:val="none" w:sz="0" w:space="0" w:color="auto"/>
      </w:divBdr>
    </w:div>
    <w:div w:id="1515262707">
      <w:bodyDiv w:val="1"/>
      <w:marLeft w:val="0"/>
      <w:marRight w:val="0"/>
      <w:marTop w:val="0"/>
      <w:marBottom w:val="0"/>
      <w:divBdr>
        <w:top w:val="none" w:sz="0" w:space="0" w:color="auto"/>
        <w:left w:val="none" w:sz="0" w:space="0" w:color="auto"/>
        <w:bottom w:val="none" w:sz="0" w:space="0" w:color="auto"/>
        <w:right w:val="none" w:sz="0" w:space="0" w:color="auto"/>
      </w:divBdr>
    </w:div>
    <w:div w:id="1520509249">
      <w:bodyDiv w:val="1"/>
      <w:marLeft w:val="0"/>
      <w:marRight w:val="0"/>
      <w:marTop w:val="0"/>
      <w:marBottom w:val="0"/>
      <w:divBdr>
        <w:top w:val="none" w:sz="0" w:space="0" w:color="auto"/>
        <w:left w:val="none" w:sz="0" w:space="0" w:color="auto"/>
        <w:bottom w:val="none" w:sz="0" w:space="0" w:color="auto"/>
        <w:right w:val="none" w:sz="0" w:space="0" w:color="auto"/>
      </w:divBdr>
    </w:div>
    <w:div w:id="1525750603">
      <w:bodyDiv w:val="1"/>
      <w:marLeft w:val="0"/>
      <w:marRight w:val="0"/>
      <w:marTop w:val="0"/>
      <w:marBottom w:val="0"/>
      <w:divBdr>
        <w:top w:val="none" w:sz="0" w:space="0" w:color="auto"/>
        <w:left w:val="none" w:sz="0" w:space="0" w:color="auto"/>
        <w:bottom w:val="none" w:sz="0" w:space="0" w:color="auto"/>
        <w:right w:val="none" w:sz="0" w:space="0" w:color="auto"/>
      </w:divBdr>
    </w:div>
    <w:div w:id="1542404429">
      <w:bodyDiv w:val="1"/>
      <w:marLeft w:val="0"/>
      <w:marRight w:val="0"/>
      <w:marTop w:val="0"/>
      <w:marBottom w:val="0"/>
      <w:divBdr>
        <w:top w:val="none" w:sz="0" w:space="0" w:color="auto"/>
        <w:left w:val="none" w:sz="0" w:space="0" w:color="auto"/>
        <w:bottom w:val="none" w:sz="0" w:space="0" w:color="auto"/>
        <w:right w:val="none" w:sz="0" w:space="0" w:color="auto"/>
      </w:divBdr>
    </w:div>
    <w:div w:id="1553813002">
      <w:bodyDiv w:val="1"/>
      <w:marLeft w:val="0"/>
      <w:marRight w:val="0"/>
      <w:marTop w:val="0"/>
      <w:marBottom w:val="0"/>
      <w:divBdr>
        <w:top w:val="none" w:sz="0" w:space="0" w:color="auto"/>
        <w:left w:val="none" w:sz="0" w:space="0" w:color="auto"/>
        <w:bottom w:val="none" w:sz="0" w:space="0" w:color="auto"/>
        <w:right w:val="none" w:sz="0" w:space="0" w:color="auto"/>
      </w:divBdr>
    </w:div>
    <w:div w:id="1593660297">
      <w:bodyDiv w:val="1"/>
      <w:marLeft w:val="0"/>
      <w:marRight w:val="0"/>
      <w:marTop w:val="0"/>
      <w:marBottom w:val="0"/>
      <w:divBdr>
        <w:top w:val="none" w:sz="0" w:space="0" w:color="auto"/>
        <w:left w:val="none" w:sz="0" w:space="0" w:color="auto"/>
        <w:bottom w:val="none" w:sz="0" w:space="0" w:color="auto"/>
        <w:right w:val="none" w:sz="0" w:space="0" w:color="auto"/>
      </w:divBdr>
    </w:div>
    <w:div w:id="1596091648">
      <w:bodyDiv w:val="1"/>
      <w:marLeft w:val="0"/>
      <w:marRight w:val="0"/>
      <w:marTop w:val="0"/>
      <w:marBottom w:val="0"/>
      <w:divBdr>
        <w:top w:val="none" w:sz="0" w:space="0" w:color="auto"/>
        <w:left w:val="none" w:sz="0" w:space="0" w:color="auto"/>
        <w:bottom w:val="none" w:sz="0" w:space="0" w:color="auto"/>
        <w:right w:val="none" w:sz="0" w:space="0" w:color="auto"/>
      </w:divBdr>
    </w:div>
    <w:div w:id="1609846401">
      <w:bodyDiv w:val="1"/>
      <w:marLeft w:val="0"/>
      <w:marRight w:val="0"/>
      <w:marTop w:val="0"/>
      <w:marBottom w:val="0"/>
      <w:divBdr>
        <w:top w:val="none" w:sz="0" w:space="0" w:color="auto"/>
        <w:left w:val="none" w:sz="0" w:space="0" w:color="auto"/>
        <w:bottom w:val="none" w:sz="0" w:space="0" w:color="auto"/>
        <w:right w:val="none" w:sz="0" w:space="0" w:color="auto"/>
      </w:divBdr>
    </w:div>
    <w:div w:id="1620255915">
      <w:bodyDiv w:val="1"/>
      <w:marLeft w:val="0"/>
      <w:marRight w:val="0"/>
      <w:marTop w:val="0"/>
      <w:marBottom w:val="0"/>
      <w:divBdr>
        <w:top w:val="none" w:sz="0" w:space="0" w:color="auto"/>
        <w:left w:val="none" w:sz="0" w:space="0" w:color="auto"/>
        <w:bottom w:val="none" w:sz="0" w:space="0" w:color="auto"/>
        <w:right w:val="none" w:sz="0" w:space="0" w:color="auto"/>
      </w:divBdr>
    </w:div>
    <w:div w:id="1638097860">
      <w:bodyDiv w:val="1"/>
      <w:marLeft w:val="0"/>
      <w:marRight w:val="0"/>
      <w:marTop w:val="0"/>
      <w:marBottom w:val="0"/>
      <w:divBdr>
        <w:top w:val="none" w:sz="0" w:space="0" w:color="auto"/>
        <w:left w:val="none" w:sz="0" w:space="0" w:color="auto"/>
        <w:bottom w:val="none" w:sz="0" w:space="0" w:color="auto"/>
        <w:right w:val="none" w:sz="0" w:space="0" w:color="auto"/>
      </w:divBdr>
    </w:div>
    <w:div w:id="1645429175">
      <w:bodyDiv w:val="1"/>
      <w:marLeft w:val="0"/>
      <w:marRight w:val="0"/>
      <w:marTop w:val="0"/>
      <w:marBottom w:val="0"/>
      <w:divBdr>
        <w:top w:val="none" w:sz="0" w:space="0" w:color="auto"/>
        <w:left w:val="none" w:sz="0" w:space="0" w:color="auto"/>
        <w:bottom w:val="none" w:sz="0" w:space="0" w:color="auto"/>
        <w:right w:val="none" w:sz="0" w:space="0" w:color="auto"/>
      </w:divBdr>
    </w:div>
    <w:div w:id="1657999628">
      <w:bodyDiv w:val="1"/>
      <w:marLeft w:val="0"/>
      <w:marRight w:val="0"/>
      <w:marTop w:val="0"/>
      <w:marBottom w:val="0"/>
      <w:divBdr>
        <w:top w:val="none" w:sz="0" w:space="0" w:color="auto"/>
        <w:left w:val="none" w:sz="0" w:space="0" w:color="auto"/>
        <w:bottom w:val="none" w:sz="0" w:space="0" w:color="auto"/>
        <w:right w:val="none" w:sz="0" w:space="0" w:color="auto"/>
      </w:divBdr>
    </w:div>
    <w:div w:id="1710033364">
      <w:bodyDiv w:val="1"/>
      <w:marLeft w:val="0"/>
      <w:marRight w:val="0"/>
      <w:marTop w:val="0"/>
      <w:marBottom w:val="0"/>
      <w:divBdr>
        <w:top w:val="none" w:sz="0" w:space="0" w:color="auto"/>
        <w:left w:val="none" w:sz="0" w:space="0" w:color="auto"/>
        <w:bottom w:val="none" w:sz="0" w:space="0" w:color="auto"/>
        <w:right w:val="none" w:sz="0" w:space="0" w:color="auto"/>
      </w:divBdr>
    </w:div>
    <w:div w:id="1710833101">
      <w:bodyDiv w:val="1"/>
      <w:marLeft w:val="0"/>
      <w:marRight w:val="0"/>
      <w:marTop w:val="0"/>
      <w:marBottom w:val="0"/>
      <w:divBdr>
        <w:top w:val="none" w:sz="0" w:space="0" w:color="auto"/>
        <w:left w:val="none" w:sz="0" w:space="0" w:color="auto"/>
        <w:bottom w:val="none" w:sz="0" w:space="0" w:color="auto"/>
        <w:right w:val="none" w:sz="0" w:space="0" w:color="auto"/>
      </w:divBdr>
    </w:div>
    <w:div w:id="1739328959">
      <w:bodyDiv w:val="1"/>
      <w:marLeft w:val="0"/>
      <w:marRight w:val="0"/>
      <w:marTop w:val="0"/>
      <w:marBottom w:val="0"/>
      <w:divBdr>
        <w:top w:val="none" w:sz="0" w:space="0" w:color="auto"/>
        <w:left w:val="none" w:sz="0" w:space="0" w:color="auto"/>
        <w:bottom w:val="none" w:sz="0" w:space="0" w:color="auto"/>
        <w:right w:val="none" w:sz="0" w:space="0" w:color="auto"/>
      </w:divBdr>
    </w:div>
    <w:div w:id="1740638320">
      <w:bodyDiv w:val="1"/>
      <w:marLeft w:val="0"/>
      <w:marRight w:val="0"/>
      <w:marTop w:val="0"/>
      <w:marBottom w:val="0"/>
      <w:divBdr>
        <w:top w:val="none" w:sz="0" w:space="0" w:color="auto"/>
        <w:left w:val="none" w:sz="0" w:space="0" w:color="auto"/>
        <w:bottom w:val="none" w:sz="0" w:space="0" w:color="auto"/>
        <w:right w:val="none" w:sz="0" w:space="0" w:color="auto"/>
      </w:divBdr>
    </w:div>
    <w:div w:id="1766531954">
      <w:bodyDiv w:val="1"/>
      <w:marLeft w:val="0"/>
      <w:marRight w:val="0"/>
      <w:marTop w:val="0"/>
      <w:marBottom w:val="0"/>
      <w:divBdr>
        <w:top w:val="none" w:sz="0" w:space="0" w:color="auto"/>
        <w:left w:val="none" w:sz="0" w:space="0" w:color="auto"/>
        <w:bottom w:val="none" w:sz="0" w:space="0" w:color="auto"/>
        <w:right w:val="none" w:sz="0" w:space="0" w:color="auto"/>
      </w:divBdr>
    </w:div>
    <w:div w:id="1771464604">
      <w:bodyDiv w:val="1"/>
      <w:marLeft w:val="0"/>
      <w:marRight w:val="0"/>
      <w:marTop w:val="0"/>
      <w:marBottom w:val="0"/>
      <w:divBdr>
        <w:top w:val="none" w:sz="0" w:space="0" w:color="auto"/>
        <w:left w:val="none" w:sz="0" w:space="0" w:color="auto"/>
        <w:bottom w:val="none" w:sz="0" w:space="0" w:color="auto"/>
        <w:right w:val="none" w:sz="0" w:space="0" w:color="auto"/>
      </w:divBdr>
    </w:div>
    <w:div w:id="1779060048">
      <w:bodyDiv w:val="1"/>
      <w:marLeft w:val="0"/>
      <w:marRight w:val="0"/>
      <w:marTop w:val="0"/>
      <w:marBottom w:val="0"/>
      <w:divBdr>
        <w:top w:val="none" w:sz="0" w:space="0" w:color="auto"/>
        <w:left w:val="none" w:sz="0" w:space="0" w:color="auto"/>
        <w:bottom w:val="none" w:sz="0" w:space="0" w:color="auto"/>
        <w:right w:val="none" w:sz="0" w:space="0" w:color="auto"/>
      </w:divBdr>
    </w:div>
    <w:div w:id="1810049620">
      <w:bodyDiv w:val="1"/>
      <w:marLeft w:val="0"/>
      <w:marRight w:val="0"/>
      <w:marTop w:val="0"/>
      <w:marBottom w:val="0"/>
      <w:divBdr>
        <w:top w:val="none" w:sz="0" w:space="0" w:color="auto"/>
        <w:left w:val="none" w:sz="0" w:space="0" w:color="auto"/>
        <w:bottom w:val="none" w:sz="0" w:space="0" w:color="auto"/>
        <w:right w:val="none" w:sz="0" w:space="0" w:color="auto"/>
      </w:divBdr>
    </w:div>
    <w:div w:id="1826580926">
      <w:bodyDiv w:val="1"/>
      <w:marLeft w:val="0"/>
      <w:marRight w:val="0"/>
      <w:marTop w:val="0"/>
      <w:marBottom w:val="0"/>
      <w:divBdr>
        <w:top w:val="none" w:sz="0" w:space="0" w:color="auto"/>
        <w:left w:val="none" w:sz="0" w:space="0" w:color="auto"/>
        <w:bottom w:val="none" w:sz="0" w:space="0" w:color="auto"/>
        <w:right w:val="none" w:sz="0" w:space="0" w:color="auto"/>
      </w:divBdr>
    </w:div>
    <w:div w:id="1840776515">
      <w:bodyDiv w:val="1"/>
      <w:marLeft w:val="0"/>
      <w:marRight w:val="0"/>
      <w:marTop w:val="0"/>
      <w:marBottom w:val="0"/>
      <w:divBdr>
        <w:top w:val="none" w:sz="0" w:space="0" w:color="auto"/>
        <w:left w:val="none" w:sz="0" w:space="0" w:color="auto"/>
        <w:bottom w:val="none" w:sz="0" w:space="0" w:color="auto"/>
        <w:right w:val="none" w:sz="0" w:space="0" w:color="auto"/>
      </w:divBdr>
    </w:div>
    <w:div w:id="1844588351">
      <w:bodyDiv w:val="1"/>
      <w:marLeft w:val="0"/>
      <w:marRight w:val="0"/>
      <w:marTop w:val="0"/>
      <w:marBottom w:val="0"/>
      <w:divBdr>
        <w:top w:val="none" w:sz="0" w:space="0" w:color="auto"/>
        <w:left w:val="none" w:sz="0" w:space="0" w:color="auto"/>
        <w:bottom w:val="none" w:sz="0" w:space="0" w:color="auto"/>
        <w:right w:val="none" w:sz="0" w:space="0" w:color="auto"/>
      </w:divBdr>
    </w:div>
    <w:div w:id="1849439244">
      <w:bodyDiv w:val="1"/>
      <w:marLeft w:val="0"/>
      <w:marRight w:val="0"/>
      <w:marTop w:val="0"/>
      <w:marBottom w:val="0"/>
      <w:divBdr>
        <w:top w:val="none" w:sz="0" w:space="0" w:color="auto"/>
        <w:left w:val="none" w:sz="0" w:space="0" w:color="auto"/>
        <w:bottom w:val="none" w:sz="0" w:space="0" w:color="auto"/>
        <w:right w:val="none" w:sz="0" w:space="0" w:color="auto"/>
      </w:divBdr>
    </w:div>
    <w:div w:id="1851026896">
      <w:bodyDiv w:val="1"/>
      <w:marLeft w:val="0"/>
      <w:marRight w:val="0"/>
      <w:marTop w:val="0"/>
      <w:marBottom w:val="0"/>
      <w:divBdr>
        <w:top w:val="none" w:sz="0" w:space="0" w:color="auto"/>
        <w:left w:val="none" w:sz="0" w:space="0" w:color="auto"/>
        <w:bottom w:val="none" w:sz="0" w:space="0" w:color="auto"/>
        <w:right w:val="none" w:sz="0" w:space="0" w:color="auto"/>
      </w:divBdr>
    </w:div>
    <w:div w:id="1860050101">
      <w:bodyDiv w:val="1"/>
      <w:marLeft w:val="0"/>
      <w:marRight w:val="0"/>
      <w:marTop w:val="0"/>
      <w:marBottom w:val="0"/>
      <w:divBdr>
        <w:top w:val="none" w:sz="0" w:space="0" w:color="auto"/>
        <w:left w:val="none" w:sz="0" w:space="0" w:color="auto"/>
        <w:bottom w:val="none" w:sz="0" w:space="0" w:color="auto"/>
        <w:right w:val="none" w:sz="0" w:space="0" w:color="auto"/>
      </w:divBdr>
    </w:div>
    <w:div w:id="1875342770">
      <w:bodyDiv w:val="1"/>
      <w:marLeft w:val="0"/>
      <w:marRight w:val="0"/>
      <w:marTop w:val="0"/>
      <w:marBottom w:val="0"/>
      <w:divBdr>
        <w:top w:val="none" w:sz="0" w:space="0" w:color="auto"/>
        <w:left w:val="none" w:sz="0" w:space="0" w:color="auto"/>
        <w:bottom w:val="none" w:sz="0" w:space="0" w:color="auto"/>
        <w:right w:val="none" w:sz="0" w:space="0" w:color="auto"/>
      </w:divBdr>
    </w:div>
    <w:div w:id="1875844471">
      <w:bodyDiv w:val="1"/>
      <w:marLeft w:val="0"/>
      <w:marRight w:val="0"/>
      <w:marTop w:val="0"/>
      <w:marBottom w:val="0"/>
      <w:divBdr>
        <w:top w:val="none" w:sz="0" w:space="0" w:color="auto"/>
        <w:left w:val="none" w:sz="0" w:space="0" w:color="auto"/>
        <w:bottom w:val="none" w:sz="0" w:space="0" w:color="auto"/>
        <w:right w:val="none" w:sz="0" w:space="0" w:color="auto"/>
      </w:divBdr>
      <w:divsChild>
        <w:div w:id="1759669232">
          <w:marLeft w:val="0"/>
          <w:marRight w:val="0"/>
          <w:marTop w:val="0"/>
          <w:marBottom w:val="0"/>
          <w:divBdr>
            <w:top w:val="none" w:sz="0" w:space="0" w:color="auto"/>
            <w:left w:val="none" w:sz="0" w:space="0" w:color="auto"/>
            <w:bottom w:val="none" w:sz="0" w:space="0" w:color="auto"/>
            <w:right w:val="none" w:sz="0" w:space="0" w:color="auto"/>
          </w:divBdr>
          <w:divsChild>
            <w:div w:id="1622614281">
              <w:marLeft w:val="0"/>
              <w:marRight w:val="0"/>
              <w:marTop w:val="0"/>
              <w:marBottom w:val="0"/>
              <w:divBdr>
                <w:top w:val="none" w:sz="0" w:space="0" w:color="auto"/>
                <w:left w:val="none" w:sz="0" w:space="0" w:color="auto"/>
                <w:bottom w:val="none" w:sz="0" w:space="0" w:color="auto"/>
                <w:right w:val="none" w:sz="0" w:space="0" w:color="auto"/>
              </w:divBdr>
              <w:divsChild>
                <w:div w:id="7560868">
                  <w:marLeft w:val="0"/>
                  <w:marRight w:val="0"/>
                  <w:marTop w:val="0"/>
                  <w:marBottom w:val="0"/>
                  <w:divBdr>
                    <w:top w:val="none" w:sz="0" w:space="0" w:color="auto"/>
                    <w:left w:val="none" w:sz="0" w:space="0" w:color="auto"/>
                    <w:bottom w:val="none" w:sz="0" w:space="0" w:color="auto"/>
                    <w:right w:val="none" w:sz="0" w:space="0" w:color="auto"/>
                  </w:divBdr>
                  <w:divsChild>
                    <w:div w:id="106726725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880774587">
      <w:bodyDiv w:val="1"/>
      <w:marLeft w:val="0"/>
      <w:marRight w:val="0"/>
      <w:marTop w:val="0"/>
      <w:marBottom w:val="0"/>
      <w:divBdr>
        <w:top w:val="none" w:sz="0" w:space="0" w:color="auto"/>
        <w:left w:val="none" w:sz="0" w:space="0" w:color="auto"/>
        <w:bottom w:val="none" w:sz="0" w:space="0" w:color="auto"/>
        <w:right w:val="none" w:sz="0" w:space="0" w:color="auto"/>
      </w:divBdr>
    </w:div>
    <w:div w:id="1890609481">
      <w:bodyDiv w:val="1"/>
      <w:marLeft w:val="0"/>
      <w:marRight w:val="0"/>
      <w:marTop w:val="0"/>
      <w:marBottom w:val="0"/>
      <w:divBdr>
        <w:top w:val="none" w:sz="0" w:space="0" w:color="auto"/>
        <w:left w:val="none" w:sz="0" w:space="0" w:color="auto"/>
        <w:bottom w:val="none" w:sz="0" w:space="0" w:color="auto"/>
        <w:right w:val="none" w:sz="0" w:space="0" w:color="auto"/>
      </w:divBdr>
    </w:div>
    <w:div w:id="1903591341">
      <w:bodyDiv w:val="1"/>
      <w:marLeft w:val="0"/>
      <w:marRight w:val="0"/>
      <w:marTop w:val="0"/>
      <w:marBottom w:val="0"/>
      <w:divBdr>
        <w:top w:val="none" w:sz="0" w:space="0" w:color="auto"/>
        <w:left w:val="none" w:sz="0" w:space="0" w:color="auto"/>
        <w:bottom w:val="none" w:sz="0" w:space="0" w:color="auto"/>
        <w:right w:val="none" w:sz="0" w:space="0" w:color="auto"/>
      </w:divBdr>
    </w:div>
    <w:div w:id="1939679643">
      <w:bodyDiv w:val="1"/>
      <w:marLeft w:val="0"/>
      <w:marRight w:val="0"/>
      <w:marTop w:val="0"/>
      <w:marBottom w:val="0"/>
      <w:divBdr>
        <w:top w:val="none" w:sz="0" w:space="0" w:color="auto"/>
        <w:left w:val="none" w:sz="0" w:space="0" w:color="auto"/>
        <w:bottom w:val="none" w:sz="0" w:space="0" w:color="auto"/>
        <w:right w:val="none" w:sz="0" w:space="0" w:color="auto"/>
      </w:divBdr>
    </w:div>
    <w:div w:id="1942372691">
      <w:bodyDiv w:val="1"/>
      <w:marLeft w:val="0"/>
      <w:marRight w:val="0"/>
      <w:marTop w:val="0"/>
      <w:marBottom w:val="0"/>
      <w:divBdr>
        <w:top w:val="none" w:sz="0" w:space="0" w:color="auto"/>
        <w:left w:val="none" w:sz="0" w:space="0" w:color="auto"/>
        <w:bottom w:val="none" w:sz="0" w:space="0" w:color="auto"/>
        <w:right w:val="none" w:sz="0" w:space="0" w:color="auto"/>
      </w:divBdr>
    </w:div>
    <w:div w:id="1957179717">
      <w:bodyDiv w:val="1"/>
      <w:marLeft w:val="0"/>
      <w:marRight w:val="0"/>
      <w:marTop w:val="0"/>
      <w:marBottom w:val="0"/>
      <w:divBdr>
        <w:top w:val="none" w:sz="0" w:space="0" w:color="auto"/>
        <w:left w:val="none" w:sz="0" w:space="0" w:color="auto"/>
        <w:bottom w:val="none" w:sz="0" w:space="0" w:color="auto"/>
        <w:right w:val="none" w:sz="0" w:space="0" w:color="auto"/>
      </w:divBdr>
    </w:div>
    <w:div w:id="1960800405">
      <w:bodyDiv w:val="1"/>
      <w:marLeft w:val="0"/>
      <w:marRight w:val="0"/>
      <w:marTop w:val="0"/>
      <w:marBottom w:val="0"/>
      <w:divBdr>
        <w:top w:val="none" w:sz="0" w:space="0" w:color="auto"/>
        <w:left w:val="none" w:sz="0" w:space="0" w:color="auto"/>
        <w:bottom w:val="none" w:sz="0" w:space="0" w:color="auto"/>
        <w:right w:val="none" w:sz="0" w:space="0" w:color="auto"/>
      </w:divBdr>
    </w:div>
    <w:div w:id="1963339328">
      <w:bodyDiv w:val="1"/>
      <w:marLeft w:val="0"/>
      <w:marRight w:val="0"/>
      <w:marTop w:val="0"/>
      <w:marBottom w:val="0"/>
      <w:divBdr>
        <w:top w:val="none" w:sz="0" w:space="0" w:color="auto"/>
        <w:left w:val="none" w:sz="0" w:space="0" w:color="auto"/>
        <w:bottom w:val="none" w:sz="0" w:space="0" w:color="auto"/>
        <w:right w:val="none" w:sz="0" w:space="0" w:color="auto"/>
      </w:divBdr>
    </w:div>
    <w:div w:id="1965693335">
      <w:bodyDiv w:val="1"/>
      <w:marLeft w:val="0"/>
      <w:marRight w:val="0"/>
      <w:marTop w:val="0"/>
      <w:marBottom w:val="0"/>
      <w:divBdr>
        <w:top w:val="none" w:sz="0" w:space="0" w:color="auto"/>
        <w:left w:val="none" w:sz="0" w:space="0" w:color="auto"/>
        <w:bottom w:val="none" w:sz="0" w:space="0" w:color="auto"/>
        <w:right w:val="none" w:sz="0" w:space="0" w:color="auto"/>
      </w:divBdr>
    </w:div>
    <w:div w:id="1985625807">
      <w:bodyDiv w:val="1"/>
      <w:marLeft w:val="0"/>
      <w:marRight w:val="0"/>
      <w:marTop w:val="0"/>
      <w:marBottom w:val="0"/>
      <w:divBdr>
        <w:top w:val="none" w:sz="0" w:space="0" w:color="auto"/>
        <w:left w:val="none" w:sz="0" w:space="0" w:color="auto"/>
        <w:bottom w:val="none" w:sz="0" w:space="0" w:color="auto"/>
        <w:right w:val="none" w:sz="0" w:space="0" w:color="auto"/>
      </w:divBdr>
    </w:div>
    <w:div w:id="1993945284">
      <w:bodyDiv w:val="1"/>
      <w:marLeft w:val="0"/>
      <w:marRight w:val="0"/>
      <w:marTop w:val="0"/>
      <w:marBottom w:val="0"/>
      <w:divBdr>
        <w:top w:val="none" w:sz="0" w:space="0" w:color="auto"/>
        <w:left w:val="none" w:sz="0" w:space="0" w:color="auto"/>
        <w:bottom w:val="none" w:sz="0" w:space="0" w:color="auto"/>
        <w:right w:val="none" w:sz="0" w:space="0" w:color="auto"/>
      </w:divBdr>
    </w:div>
    <w:div w:id="2013530128">
      <w:bodyDiv w:val="1"/>
      <w:marLeft w:val="0"/>
      <w:marRight w:val="0"/>
      <w:marTop w:val="0"/>
      <w:marBottom w:val="0"/>
      <w:divBdr>
        <w:top w:val="none" w:sz="0" w:space="0" w:color="auto"/>
        <w:left w:val="none" w:sz="0" w:space="0" w:color="auto"/>
        <w:bottom w:val="none" w:sz="0" w:space="0" w:color="auto"/>
        <w:right w:val="none" w:sz="0" w:space="0" w:color="auto"/>
      </w:divBdr>
    </w:div>
    <w:div w:id="2052412426">
      <w:bodyDiv w:val="1"/>
      <w:marLeft w:val="0"/>
      <w:marRight w:val="0"/>
      <w:marTop w:val="0"/>
      <w:marBottom w:val="0"/>
      <w:divBdr>
        <w:top w:val="none" w:sz="0" w:space="0" w:color="auto"/>
        <w:left w:val="none" w:sz="0" w:space="0" w:color="auto"/>
        <w:bottom w:val="none" w:sz="0" w:space="0" w:color="auto"/>
        <w:right w:val="none" w:sz="0" w:space="0" w:color="auto"/>
      </w:divBdr>
    </w:div>
    <w:div w:id="2055274849">
      <w:bodyDiv w:val="1"/>
      <w:marLeft w:val="0"/>
      <w:marRight w:val="0"/>
      <w:marTop w:val="0"/>
      <w:marBottom w:val="0"/>
      <w:divBdr>
        <w:top w:val="none" w:sz="0" w:space="0" w:color="auto"/>
        <w:left w:val="none" w:sz="0" w:space="0" w:color="auto"/>
        <w:bottom w:val="none" w:sz="0" w:space="0" w:color="auto"/>
        <w:right w:val="none" w:sz="0" w:space="0" w:color="auto"/>
      </w:divBdr>
    </w:div>
    <w:div w:id="2058892988">
      <w:bodyDiv w:val="1"/>
      <w:marLeft w:val="0"/>
      <w:marRight w:val="0"/>
      <w:marTop w:val="0"/>
      <w:marBottom w:val="0"/>
      <w:divBdr>
        <w:top w:val="none" w:sz="0" w:space="0" w:color="auto"/>
        <w:left w:val="none" w:sz="0" w:space="0" w:color="auto"/>
        <w:bottom w:val="none" w:sz="0" w:space="0" w:color="auto"/>
        <w:right w:val="none" w:sz="0" w:space="0" w:color="auto"/>
      </w:divBdr>
    </w:div>
    <w:div w:id="2081097066">
      <w:bodyDiv w:val="1"/>
      <w:marLeft w:val="0"/>
      <w:marRight w:val="0"/>
      <w:marTop w:val="0"/>
      <w:marBottom w:val="0"/>
      <w:divBdr>
        <w:top w:val="none" w:sz="0" w:space="0" w:color="auto"/>
        <w:left w:val="none" w:sz="0" w:space="0" w:color="auto"/>
        <w:bottom w:val="none" w:sz="0" w:space="0" w:color="auto"/>
        <w:right w:val="none" w:sz="0" w:space="0" w:color="auto"/>
      </w:divBdr>
    </w:div>
    <w:div w:id="2097827016">
      <w:bodyDiv w:val="1"/>
      <w:marLeft w:val="0"/>
      <w:marRight w:val="0"/>
      <w:marTop w:val="0"/>
      <w:marBottom w:val="0"/>
      <w:divBdr>
        <w:top w:val="none" w:sz="0" w:space="0" w:color="auto"/>
        <w:left w:val="none" w:sz="0" w:space="0" w:color="auto"/>
        <w:bottom w:val="none" w:sz="0" w:space="0" w:color="auto"/>
        <w:right w:val="none" w:sz="0" w:space="0" w:color="auto"/>
      </w:divBdr>
    </w:div>
    <w:div w:id="2099053563">
      <w:bodyDiv w:val="1"/>
      <w:marLeft w:val="0"/>
      <w:marRight w:val="0"/>
      <w:marTop w:val="0"/>
      <w:marBottom w:val="0"/>
      <w:divBdr>
        <w:top w:val="none" w:sz="0" w:space="0" w:color="auto"/>
        <w:left w:val="none" w:sz="0" w:space="0" w:color="auto"/>
        <w:bottom w:val="none" w:sz="0" w:space="0" w:color="auto"/>
        <w:right w:val="none" w:sz="0" w:space="0" w:color="auto"/>
      </w:divBdr>
    </w:div>
    <w:div w:id="2100905880">
      <w:bodyDiv w:val="1"/>
      <w:marLeft w:val="0"/>
      <w:marRight w:val="0"/>
      <w:marTop w:val="0"/>
      <w:marBottom w:val="0"/>
      <w:divBdr>
        <w:top w:val="none" w:sz="0" w:space="0" w:color="auto"/>
        <w:left w:val="none" w:sz="0" w:space="0" w:color="auto"/>
        <w:bottom w:val="none" w:sz="0" w:space="0" w:color="auto"/>
        <w:right w:val="none" w:sz="0" w:space="0" w:color="auto"/>
      </w:divBdr>
    </w:div>
    <w:div w:id="210714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footer" Target="footer2.xml" Id="rId11" /><Relationship Type="http://schemas.microsoft.com/office/2016/09/relationships/commentsIds" Target="commentsIds.xml" Id="rId24" /><Relationship Type="http://schemas.openxmlformats.org/officeDocument/2006/relationships/webSettings" Target="webSettings.xml" Id="rId5" /><Relationship Type="http://schemas.openxmlformats.org/officeDocument/2006/relationships/footer" Target="footer5.xml" Id="rId15" /><Relationship Type="http://schemas.microsoft.com/office/2018/08/relationships/commentsExtensible" Target="commentsExtensible.xml" Id="rId23"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9619</ap:Words>
  <ap:Characters>52910</ap:Characters>
  <ap:DocSecurity>0</ap:DocSecurity>
  <ap:Lines>440</ap:Lines>
  <ap:Paragraphs>124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62405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2026-05-19T14:18:00.0000000Z</dcterms:created>
  <dcterms:modified xsi:type="dcterms:W3CDTF">2026-05-19T14:18:00.0000000Z</dcterms:modified>
  <category/>
  <contentStatus/>
  <version/>
</coreProperties>
</file>