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4550F7" w14:paraId="70127839" w14:textId="6CC2FD9D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19 mei 2026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0E39D497">
            <w:pPr>
              <w:pStyle w:val="Voettekst"/>
            </w:pPr>
            <w:r>
              <w:t xml:space="preserve">Uitstelbericht Kamervragen over </w:t>
            </w:r>
            <w:r w:rsidRPr="004550F7" w:rsidR="004550F7">
              <w:t>het herhaaldelijk blokkeren van snelwegen door demonstranten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4550F7" w14:paraId="7B7E79E6" w14:textId="365052A8">
            <w:pPr>
              <w:pStyle w:val="referentiegegevens"/>
              <w:rPr>
                <w:sz w:val="18"/>
                <w:szCs w:val="24"/>
              </w:rPr>
            </w:pPr>
            <w:r w:rsidRPr="004550F7">
              <w:t>7549560</w:t>
            </w: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4550F7" w:rsidR="00F20145" w:rsidP="00F20145" w:rsidRDefault="004550F7" w14:paraId="0682E0CA" w14:textId="5EEF3692">
            <w:pPr>
              <w:pStyle w:val="referentiegegevens"/>
              <w:rPr>
                <w:sz w:val="18"/>
                <w:szCs w:val="24"/>
              </w:rPr>
            </w:pPr>
            <w:r w:rsidRPr="004550F7">
              <w:t>2026Z09079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1D1370A9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="004550F7">
        <w:rPr>
          <w:rFonts w:cs="Utopia"/>
          <w:color w:val="000000"/>
        </w:rPr>
        <w:t xml:space="preserve">minister van </w:t>
      </w:r>
      <w:r w:rsidRPr="004550F7" w:rsidR="004550F7">
        <w:rPr>
          <w:rFonts w:cs="Utopia"/>
          <w:color w:val="000000"/>
        </w:rPr>
        <w:t>Binnenlandse Zaken en Koninkrijksrelaties</w:t>
      </w:r>
      <w:r w:rsidRPr="00F20145">
        <w:rPr>
          <w:rFonts w:cs="Utopia"/>
          <w:color w:val="000000"/>
        </w:rPr>
        <w:t xml:space="preserve">, mede dat de schriftelijke vragen van </w:t>
      </w:r>
      <w:r w:rsidR="004550F7"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 w:rsidRPr="004550F7" w:rsidR="004550F7">
        <w:rPr>
          <w:rFonts w:cs="Utopia"/>
          <w:color w:val="000000"/>
        </w:rPr>
        <w:t xml:space="preserve">Schilder (Groep </w:t>
      </w:r>
      <w:proofErr w:type="spellStart"/>
      <w:r w:rsidRPr="004550F7" w:rsidR="004550F7">
        <w:rPr>
          <w:rFonts w:cs="Utopia"/>
          <w:color w:val="000000"/>
        </w:rPr>
        <w:t>Markuszower</w:t>
      </w:r>
      <w:proofErr w:type="spellEnd"/>
      <w:r w:rsidRPr="004550F7" w:rsidR="004550F7">
        <w:rPr>
          <w:rFonts w:cs="Utopia"/>
          <w:color w:val="000000"/>
        </w:rPr>
        <w:t>)</w:t>
      </w:r>
      <w:r w:rsidRPr="00F20145">
        <w:rPr>
          <w:rFonts w:cs="Utopia"/>
          <w:color w:val="000000"/>
        </w:rPr>
        <w:t xml:space="preserve">, van uw Kamer aan de </w:t>
      </w:r>
      <w:r w:rsidR="004550F7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Pr="004550F7" w:rsidR="004550F7">
        <w:rPr>
          <w:rFonts w:cs="Utopia"/>
          <w:color w:val="000000"/>
        </w:rPr>
        <w:t>het herhaaldelijk blokkeren van snelwegen door demonstranten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4550F7">
        <w:rPr>
          <w:rFonts w:cs="Utopia"/>
          <w:color w:val="000000"/>
        </w:rPr>
        <w:t>28 april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54221061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4550F7">
        <w:rPr>
          <w:rFonts w:cs="Utopia"/>
          <w:color w:val="000000"/>
        </w:rPr>
        <w:t>Minister van Justitie en Veiligheid,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4550F7" w14:paraId="7F59D051" w14:textId="3984FF9C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D.M. van Weel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F52F1" w14:textId="77777777" w:rsidR="00966825" w:rsidRDefault="00966825">
      <w:r>
        <w:separator/>
      </w:r>
    </w:p>
    <w:p w14:paraId="2FFDCC1B" w14:textId="77777777" w:rsidR="00966825" w:rsidRDefault="00966825"/>
    <w:p w14:paraId="368BF882" w14:textId="77777777" w:rsidR="00966825" w:rsidRDefault="00966825"/>
    <w:p w14:paraId="32C95EC1" w14:textId="77777777" w:rsidR="00966825" w:rsidRDefault="00966825"/>
  </w:endnote>
  <w:endnote w:type="continuationSeparator" w:id="0">
    <w:p w14:paraId="59A6BB1B" w14:textId="77777777" w:rsidR="00966825" w:rsidRDefault="00966825">
      <w:r>
        <w:continuationSeparator/>
      </w:r>
    </w:p>
    <w:p w14:paraId="6C64CE5A" w14:textId="77777777" w:rsidR="00966825" w:rsidRDefault="00966825"/>
    <w:p w14:paraId="724D40D6" w14:textId="77777777" w:rsidR="00966825" w:rsidRDefault="00966825"/>
    <w:p w14:paraId="18BD528C" w14:textId="77777777" w:rsidR="00966825" w:rsidRDefault="00966825"/>
  </w:endnote>
  <w:endnote w:type="continuationNotice" w:id="1">
    <w:p w14:paraId="57BDBCE0" w14:textId="77777777" w:rsidR="00966825" w:rsidRDefault="0096682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85518" w14:textId="77777777" w:rsidR="00966825" w:rsidRDefault="00966825">
      <w:r>
        <w:separator/>
      </w:r>
    </w:p>
  </w:footnote>
  <w:footnote w:type="continuationSeparator" w:id="0">
    <w:p w14:paraId="29D38DE2" w14:textId="77777777" w:rsidR="00966825" w:rsidRDefault="00966825">
      <w:r>
        <w:continuationSeparator/>
      </w:r>
    </w:p>
  </w:footnote>
  <w:footnote w:type="continuationNotice" w:id="1">
    <w:p w14:paraId="1ECBF5AC" w14:textId="77777777" w:rsidR="00966825" w:rsidRDefault="0096682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2563A8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4A9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0F0EE8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6B3B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6F4A"/>
    <w:rsid w:val="00257B86"/>
    <w:rsid w:val="002619DD"/>
    <w:rsid w:val="002628BB"/>
    <w:rsid w:val="00272601"/>
    <w:rsid w:val="00273FAE"/>
    <w:rsid w:val="00276814"/>
    <w:rsid w:val="00284A74"/>
    <w:rsid w:val="00286F31"/>
    <w:rsid w:val="00291784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0F7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56B6F"/>
    <w:rsid w:val="006671FC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2C27"/>
    <w:rsid w:val="007D316C"/>
    <w:rsid w:val="007D589B"/>
    <w:rsid w:val="007E34A4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737CF"/>
    <w:rsid w:val="00882D77"/>
    <w:rsid w:val="00894344"/>
    <w:rsid w:val="0089530B"/>
    <w:rsid w:val="008B7AA0"/>
    <w:rsid w:val="008C11EF"/>
    <w:rsid w:val="008C489D"/>
    <w:rsid w:val="008C6B03"/>
    <w:rsid w:val="008D10A1"/>
    <w:rsid w:val="008D679A"/>
    <w:rsid w:val="008D7CD1"/>
    <w:rsid w:val="008E5DEA"/>
    <w:rsid w:val="008F6332"/>
    <w:rsid w:val="00900386"/>
    <w:rsid w:val="0090457C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66825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33A05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304E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6FD6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D4822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A4A8D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16569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823D8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213</ap:Words>
  <ap:Characters>1174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2026-05-19T12:41:00.0000000Z</dcterms:created>
  <dcterms:modified xsi:type="dcterms:W3CDTF">2026-05-19T12:41:00.0000000Z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