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AE1" w:rsidP="00A43AE1" w:rsidRDefault="00A43AE1" w14:paraId="4C1FB2D1" w14:textId="77777777">
      <w:pPr>
        <w:spacing w:before="960" w:line="240" w:lineRule="auto"/>
        <w:ind w:left="340" w:hanging="340"/>
        <w:rPr>
          <w:b/>
          <w:color w:val="000000" w:themeColor="text1"/>
        </w:rPr>
      </w:pPr>
      <w:r>
        <w:rPr>
          <w:b/>
          <w:color w:val="000000" w:themeColor="text1"/>
        </w:rPr>
        <w:t>AH 1950</w:t>
      </w:r>
    </w:p>
    <w:p w:rsidR="00A43AE1" w:rsidP="00A43AE1" w:rsidRDefault="00A43AE1" w14:paraId="5A2903DB" w14:textId="4B45B438">
      <w:pPr>
        <w:spacing w:before="960" w:line="240" w:lineRule="auto"/>
        <w:ind w:left="340" w:hanging="340"/>
        <w:rPr>
          <w:b/>
          <w:color w:val="000000" w:themeColor="text1"/>
        </w:rPr>
      </w:pPr>
      <w:r>
        <w:rPr>
          <w:b/>
          <w:color w:val="000000" w:themeColor="text1"/>
        </w:rPr>
        <w:t>2026Z09122</w:t>
      </w:r>
    </w:p>
    <w:p w:rsidR="00A43AE1" w:rsidP="00A43AE1" w:rsidRDefault="00A43AE1" w14:paraId="1ED2C84B" w14:textId="0BE87E42">
      <w:pPr>
        <w:spacing w:before="960" w:line="240" w:lineRule="auto"/>
        <w:ind w:left="340" w:hanging="340"/>
        <w:rPr>
          <w:b/>
          <w:color w:val="000000" w:themeColor="text1"/>
          <w:sz w:val="24"/>
          <w:szCs w:val="24"/>
        </w:rPr>
      </w:pPr>
      <w:r w:rsidRPr="00A43AE1">
        <w:rPr>
          <w:b/>
          <w:color w:val="000000" w:themeColor="text1"/>
          <w:sz w:val="24"/>
          <w:szCs w:val="24"/>
        </w:rPr>
        <w:t xml:space="preserve">Antwoord van staatssecretaris Boswijk (Defensie) (ontvangen </w:t>
      </w:r>
      <w:r>
        <w:rPr>
          <w:b/>
          <w:color w:val="000000" w:themeColor="text1"/>
          <w:sz w:val="24"/>
          <w:szCs w:val="24"/>
        </w:rPr>
        <w:t>19 mei 2026)</w:t>
      </w:r>
    </w:p>
    <w:p w:rsidRPr="00FD368B" w:rsidR="00A43AE1" w:rsidP="00A43AE1" w:rsidRDefault="00A43AE1" w14:paraId="16076B49" w14:textId="2CDC69C7">
      <w:pPr>
        <w:spacing w:before="960" w:line="240" w:lineRule="auto"/>
        <w:ind w:left="340" w:hanging="340"/>
        <w:rPr>
          <w:b/>
          <w:color w:val="000000" w:themeColor="text1"/>
        </w:rPr>
      </w:pPr>
      <w:r w:rsidRPr="00FD368B">
        <w:rPr>
          <w:b/>
          <w:color w:val="000000" w:themeColor="text1"/>
        </w:rPr>
        <w:t>1.</w:t>
      </w:r>
      <w:r w:rsidRPr="00FD368B">
        <w:rPr>
          <w:b/>
          <w:color w:val="000000" w:themeColor="text1"/>
        </w:rPr>
        <w:tab/>
        <w:t>Kunt u op hoofdlijnen aangeven in welke capaciteitsdomeinen Defensie structureel afhankelijk is van leveranciers buiten de Europese Unie?</w:t>
      </w:r>
    </w:p>
    <w:p w:rsidRPr="00FD368B" w:rsidR="00A43AE1" w:rsidP="00A43AE1" w:rsidRDefault="00A43AE1" w14:paraId="35AB8BC3" w14:textId="77777777">
      <w:pPr>
        <w:ind w:left="340" w:hanging="340"/>
        <w:rPr>
          <w:b/>
        </w:rPr>
      </w:pPr>
      <w:r w:rsidRPr="00FD368B">
        <w:rPr>
          <w:b/>
        </w:rPr>
        <w:t>2.</w:t>
      </w:r>
      <w:r w:rsidRPr="00FD368B">
        <w:rPr>
          <w:b/>
        </w:rPr>
        <w:tab/>
        <w:t>In welke van deze capaciteitsdomeinen is sprake van een single source-situatie, waarbij op korte of middellange termijn geen volwaardig Europees alternatief voorhanden is?</w:t>
      </w:r>
    </w:p>
    <w:p w:rsidRPr="00FD368B" w:rsidR="00A43AE1" w:rsidP="00A43AE1" w:rsidRDefault="00A43AE1" w14:paraId="111D932E" w14:textId="77777777">
      <w:pPr>
        <w:ind w:left="340" w:hanging="340"/>
        <w:rPr>
          <w:b/>
        </w:rPr>
      </w:pPr>
      <w:r w:rsidRPr="00FD368B">
        <w:rPr>
          <w:b/>
        </w:rPr>
        <w:t>3.</w:t>
      </w:r>
      <w:r w:rsidRPr="00FD368B">
        <w:rPr>
          <w:b/>
        </w:rPr>
        <w:tab/>
        <w:t>Welke aspecten van operationele soevereiniteit vormen volgens u de meest kwetsbare afhankelijkheden, en welke hiervan acht u het meest urgent om te mitigeren?</w:t>
      </w:r>
    </w:p>
    <w:p w:rsidR="00A43AE1" w:rsidP="00A43AE1" w:rsidRDefault="00A43AE1" w14:paraId="36A40F4C" w14:textId="77777777">
      <w:pPr>
        <w:ind w:left="340" w:hanging="340"/>
        <w:rPr>
          <w:b/>
        </w:rPr>
      </w:pPr>
      <w:r w:rsidRPr="00FD368B">
        <w:rPr>
          <w:b/>
        </w:rPr>
        <w:t>4.</w:t>
      </w:r>
      <w:r w:rsidRPr="00FD368B">
        <w:rPr>
          <w:b/>
        </w:rPr>
        <w:tab/>
        <w:t>Kunt u per capaciteitsdomein duiden of er sprake is van een volwassen Europees alternatief, een Europees alternatief in ontwikkeling, of het geheel ontbreken van een Europees alternatief?</w:t>
      </w:r>
    </w:p>
    <w:p w:rsidR="00A43AE1" w:rsidP="00A43AE1" w:rsidRDefault="00A43AE1" w14:paraId="4EEBAA4E" w14:textId="77777777">
      <w:pPr>
        <w:ind w:left="340"/>
      </w:pPr>
      <w:r>
        <w:t>Nederland werkt samen met Europese bondgenoten om als Europa meer verantwoordelijkheid te nemen voor onze veiligheid. Het Kabinet doet publiekelijk geen inhoudelijke uitspraken over afhankelijkheden van andere landen.</w:t>
      </w:r>
    </w:p>
    <w:p w:rsidR="00A43AE1" w:rsidP="00A43AE1" w:rsidRDefault="00A43AE1" w14:paraId="41F1480E" w14:textId="77777777">
      <w:pPr>
        <w:ind w:left="340"/>
      </w:pPr>
      <w:r>
        <w:t xml:space="preserve">In zijn algemeenheid geldt dat de keuze voor een bepaald wapensysteem altijd een afhankelijkheid van de (buitenlandse) leverancier oplevert, zowel voor de initiële levering, voor de levering van de bijbehorende munitie,  als voor de instandhouding zoals door de levering van reservedelen. Defensie maakt altijd een risico-inschatting van de continuïteit van de leverancier en beperkt het risico van een dergelijke afhankelijkheid door het aanleggen van (inzet)voorraden munitie en reservedelen, de aanschaf van onderhoudsdocumentatie en het onderhoud (deels) in eigen beheer te nemen. Voor elk project worden daarin afgewogen keuzes gemaakt, die per project kunnen verschillen. </w:t>
      </w:r>
    </w:p>
    <w:p w:rsidR="00A43AE1" w:rsidP="00A43AE1" w:rsidRDefault="00A43AE1" w14:paraId="60661321" w14:textId="77777777">
      <w:pPr>
        <w:ind w:left="340"/>
      </w:pPr>
      <w:r>
        <w:t>In de Economische Beleidsanalyse Defensie-industrie (Kamerstuk 31125, nr. 143) wordt onder meer onderzocht op welke capaciteitsgebieden in Nederland en Europa afhankelijkheden kunnen worden gemitigeerd.</w:t>
      </w:r>
    </w:p>
    <w:p w:rsidR="00A43AE1" w:rsidP="00A43AE1" w:rsidRDefault="00A43AE1" w14:paraId="46F8D538" w14:textId="77777777">
      <w:pPr>
        <w:ind w:left="340" w:hanging="340"/>
        <w:rPr>
          <w:b/>
        </w:rPr>
      </w:pPr>
      <w:r w:rsidRPr="00846379">
        <w:rPr>
          <w:b/>
        </w:rPr>
        <w:t>5.</w:t>
      </w:r>
      <w:r w:rsidRPr="00846379">
        <w:rPr>
          <w:b/>
        </w:rPr>
        <w:tab/>
        <w:t>Welke afwegingscriteria hanteert u bij de keuze tussen een Europese en een niet-Europese leverancier en welk gewicht krijgt strategische autonomie in die afweging ten opzichte van prijs, levertijd en interoperabiliteit?</w:t>
      </w:r>
    </w:p>
    <w:p w:rsidR="00A43AE1" w:rsidP="00A43AE1" w:rsidRDefault="00A43AE1" w14:paraId="5318A553" w14:textId="77777777">
      <w:pPr>
        <w:ind w:left="340"/>
      </w:pPr>
      <w:r w:rsidRPr="00846379">
        <w:lastRenderedPageBreak/>
        <w:t>De geopol</w:t>
      </w:r>
      <w:r>
        <w:t xml:space="preserve">itieke ontwikkelingen vragen </w:t>
      </w:r>
      <w:r w:rsidRPr="00846379">
        <w:t>dat Europa meer verantwoordelijkheid neemt voor de eigen veiligheid</w:t>
      </w:r>
      <w:r>
        <w:t xml:space="preserve"> en meer rekening houdt met strategische autonomie en leveringszekerheid. Dat vraagt</w:t>
      </w:r>
      <w:r w:rsidRPr="00846379">
        <w:t xml:space="preserve"> om een vitale defensie-industrie die beter kan bijdragen aan de be</w:t>
      </w:r>
      <w:r>
        <w:t>hoefte van de krijgsmacht (</w:t>
      </w:r>
      <w:r w:rsidRPr="00846379">
        <w:t>Beleidsbrief Defensie april 2026</w:t>
      </w:r>
      <w:r>
        <w:t xml:space="preserve"> - Kamerstuk 36800, nr. </w:t>
      </w:r>
      <w:r w:rsidRPr="00067AD4">
        <w:t>78</w:t>
      </w:r>
      <w:r w:rsidRPr="00846379">
        <w:t>). Defensie la</w:t>
      </w:r>
      <w:r>
        <w:t xml:space="preserve">at om deze reden herkomst - binnen de grenzen van het aanbestedingsrecht - </w:t>
      </w:r>
      <w:r w:rsidRPr="00846379">
        <w:t xml:space="preserve">steeds zwaarder meewegen in de keuzes voor materieel, naast </w:t>
      </w:r>
      <w:r>
        <w:t>kwaliteit, prijs en levertijd (</w:t>
      </w:r>
      <w:r w:rsidRPr="00846379">
        <w:t xml:space="preserve">Actieagenda Productie- en Leveringszekerheid </w:t>
      </w:r>
      <w:r>
        <w:t xml:space="preserve">– Kamerstuk 36410, nr. 93 - </w:t>
      </w:r>
      <w:r w:rsidRPr="00846379">
        <w:t>en de Defensie Strategie voor Industrie en Innovatie</w:t>
      </w:r>
      <w:r>
        <w:t xml:space="preserve"> – Kamerstuk 31125, nr. 125</w:t>
      </w:r>
      <w:r w:rsidRPr="00846379">
        <w:t>). Def</w:t>
      </w:r>
      <w:r>
        <w:t xml:space="preserve">ensie kijkt daarom </w:t>
      </w:r>
      <w:r w:rsidRPr="00846379">
        <w:t>naar Nederlandse en Europese leveranciers voor de levering van militair materieel en munitie, voor zover de operationele gereedheid en de veilig</w:t>
      </w:r>
      <w:r>
        <w:t>heid van onze mensen</w:t>
      </w:r>
      <w:r w:rsidRPr="00846379">
        <w:t xml:space="preserve"> dit toelaten. Daarnaast wordt bij de afweging gekeken naar risico’s in de leveringsketen, afhankelijkheden van derde landen en de mate waarin interoperabiliteit binnen NAVO- en EU-verband is geborgd.</w:t>
      </w:r>
    </w:p>
    <w:p w:rsidR="00A43AE1" w:rsidP="00A43AE1" w:rsidRDefault="00A43AE1" w14:paraId="738B5523" w14:textId="77777777">
      <w:pPr>
        <w:ind w:left="340" w:hanging="340"/>
        <w:rPr>
          <w:b/>
        </w:rPr>
      </w:pPr>
      <w:r w:rsidRPr="00EE53FE">
        <w:rPr>
          <w:b/>
        </w:rPr>
        <w:t>6.</w:t>
      </w:r>
      <w:r w:rsidRPr="00EE53FE">
        <w:rPr>
          <w:b/>
        </w:rPr>
        <w:tab/>
        <w:t>Bent u bereid om bij verwervingsbeslissingen expliciet mee te wegen dat een Europese leverancier, ondanks bijvoorbeeld een eventueel hogere prijs of latere leverdatum op dit moment, bijdraagt aan het structureel opbouwen van Europese industriële capaciteit?</w:t>
      </w:r>
    </w:p>
    <w:p w:rsidR="00A43AE1" w:rsidP="00A43AE1" w:rsidRDefault="00A43AE1" w14:paraId="434E26D0" w14:textId="77777777">
      <w:pPr>
        <w:ind w:left="340"/>
      </w:pPr>
      <w:r w:rsidRPr="00EE53FE">
        <w:t>Bij de aanschaf van mate</w:t>
      </w:r>
      <w:r>
        <w:t xml:space="preserve">rieel laat Defensie, naast kwaliteit, prijs, levertijd, strategische autonomie en leveringszekerheid </w:t>
      </w:r>
      <w:r w:rsidRPr="00EE53FE">
        <w:t>ook de herkomst van het materieel meewegen</w:t>
      </w:r>
      <w:r>
        <w:t xml:space="preserve"> </w:t>
      </w:r>
      <w:r w:rsidRPr="002E1F01">
        <w:t>voor zover dit binnen de huidige (</w:t>
      </w:r>
      <w:proofErr w:type="spellStart"/>
      <w:r w:rsidRPr="002E1F01">
        <w:t>aanbestedings</w:t>
      </w:r>
      <w:proofErr w:type="spellEnd"/>
      <w:r w:rsidRPr="002E1F01">
        <w:t>-)regelgeving mogelijk is</w:t>
      </w:r>
      <w:r w:rsidRPr="00EE53FE">
        <w:t xml:space="preserve">. Bij voorkeur kiest Defensie voor Nederlandse of Europese leveranciers. Indien leveranciers uit Nederland of Europa onvoldoende kunnen voorzien in de defensiebehoefte, kijkt Defensie naar andere potentiële aanbieders. Orders zijn een belangrijke factor in de mogelijkheid van </w:t>
      </w:r>
      <w:proofErr w:type="spellStart"/>
      <w:r w:rsidRPr="00EE53FE">
        <w:t>defensiegerelateerde</w:t>
      </w:r>
      <w:proofErr w:type="spellEnd"/>
      <w:r w:rsidRPr="00EE53FE">
        <w:t xml:space="preserve"> bedrijven om op te kunnen schalen en nieuwe producten te kunnen ontwikkelen. Daarom heeft Defensie in de Defensie Strategie voor Industrie en Innovatie  aandacht voor ‘industrieversterkend inkopen’. Defensie beziet per casus waar dit instrument kan worden toegepast, conform de ambities die het kabinet in het coalitieakkoord heeft opgenomen.</w:t>
      </w:r>
      <w:r>
        <w:t xml:space="preserve"> Hierbij houdt Defensie </w:t>
      </w:r>
      <w:r w:rsidRPr="00EE53FE">
        <w:t xml:space="preserve">oog voor de operationele gereedheid van de krijgsmacht en de veiligheid van onze militairen. Indien Europese of Nederlandse leveranciers niet (tijdig) kunnen voorzien in de behoefte van de krijgsmacht, beziet Defensie parallel hoe soortgelijke capaciteiten kunnen </w:t>
      </w:r>
      <w:r>
        <w:t>worden opgebouwd</w:t>
      </w:r>
      <w:r w:rsidRPr="00EE53FE">
        <w:t xml:space="preserve"> in samenwerking met internationale partners.</w:t>
      </w:r>
    </w:p>
    <w:p w:rsidRPr="00BB5360" w:rsidR="00A43AE1" w:rsidP="00A43AE1" w:rsidRDefault="00A43AE1" w14:paraId="2833C039" w14:textId="77777777">
      <w:pPr>
        <w:ind w:left="340" w:hanging="340"/>
        <w:rPr>
          <w:b/>
        </w:rPr>
      </w:pPr>
      <w:r w:rsidRPr="00BB5360">
        <w:rPr>
          <w:b/>
        </w:rPr>
        <w:t>7.</w:t>
      </w:r>
      <w:r w:rsidRPr="00BB5360">
        <w:rPr>
          <w:b/>
        </w:rPr>
        <w:tab/>
        <w:t>Kunt u reflecteren op de balans tussen kwaliteit en kwantiteit in het Nederlandse materieelbeleid en toelichten in hoeverre de lessen uit Oekraïne, waar voorraaddiepte, verliestolerantie en industriële opschaalbaarheid cruciaal zijn gebleken, aanleiding geven om die balans te herijken?</w:t>
      </w:r>
    </w:p>
    <w:p w:rsidR="00A43AE1" w:rsidP="00A43AE1" w:rsidRDefault="00A43AE1" w14:paraId="64620932" w14:textId="77777777">
      <w:pPr>
        <w:ind w:left="340"/>
      </w:pPr>
      <w:r w:rsidRPr="00741B56">
        <w:t>Vanwege de geopolitieke situatie ligt de focus van Defensie op versterking en vernieuwing van de krijgsmacht, op versneld toewerken naar militaire paraatheid en innovatie, en op het scheppen van de voorwaarden om het gevecht langere tijd te kunnen volhouden. Defensie is volop bezig om binnen de vastgestelde kaders de plannen en maatregelen hiervoor uit te we</w:t>
      </w:r>
      <w:r>
        <w:t>rken. Hierbij wordt</w:t>
      </w:r>
      <w:r w:rsidRPr="00741B56">
        <w:t xml:space="preserve"> rekening gehouden met de vereisten die moderne oorlogsvoering aan de krijgsmacht stelt. Hierover wordt uw Kamer in de Defensienota 2026 nader geïnformeerd. </w:t>
      </w:r>
      <w:r>
        <w:t>Duidelijk is</w:t>
      </w:r>
      <w:r w:rsidRPr="00741B56">
        <w:t xml:space="preserve"> dat in het materieel- en industriebeleid de balans moet worden gevonden tussen vervanging en vernieuwing van bestaande capaciteiten evenals ontwikkeling van nieuwe capaciteiten en toepassing van innovatieve technologieën. Defensie zet zich in om de productiemogelijkheden van militair </w:t>
      </w:r>
      <w:r w:rsidRPr="00741B56">
        <w:lastRenderedPageBreak/>
        <w:t>materieel in Nederland en Europa op te schalen. Naast investeringen in zwaardere bemenste wapensystemen, zet</w:t>
      </w:r>
      <w:r>
        <w:t xml:space="preserve"> Defensie </w:t>
      </w:r>
      <w:r w:rsidRPr="00741B56">
        <w:t xml:space="preserve">ook in op </w:t>
      </w:r>
      <w:proofErr w:type="spellStart"/>
      <w:r w:rsidRPr="00741B56">
        <w:t>onbemenste</w:t>
      </w:r>
      <w:proofErr w:type="spellEnd"/>
      <w:r w:rsidRPr="00741B56">
        <w:t xml:space="preserve"> en goedkopere wapensystemen. Vanuit een operationeel en financieel perspectief streeft Defensie naar een mix van hoogtechnologische en </w:t>
      </w:r>
      <w:proofErr w:type="spellStart"/>
      <w:r w:rsidRPr="00741B56">
        <w:t>laagtechnologische</w:t>
      </w:r>
      <w:proofErr w:type="spellEnd"/>
      <w:r w:rsidRPr="00741B56">
        <w:t xml:space="preserve"> middelen. De verwerving van </w:t>
      </w:r>
      <w:proofErr w:type="spellStart"/>
      <w:r w:rsidRPr="00741B56">
        <w:t>onbemenste</w:t>
      </w:r>
      <w:proofErr w:type="spellEnd"/>
      <w:r w:rsidRPr="00741B56">
        <w:t xml:space="preserve"> systemen hoort daarbij. Het gaat naast afwegingen van kwaliteit en kwantiteit ook om aspecten zoals tijdige beschikbaarheid en herkomst van materieel, en de wijze waarop Nederlandse bedrijven en kennisinstellingen zo goed mogelijk worden betrokken.  </w:t>
      </w:r>
    </w:p>
    <w:p w:rsidR="00A43AE1" w:rsidP="00A43AE1" w:rsidRDefault="00A43AE1" w14:paraId="2007AFBD" w14:textId="77777777">
      <w:pPr>
        <w:ind w:left="340" w:hanging="340"/>
        <w:rPr>
          <w:b/>
        </w:rPr>
      </w:pPr>
      <w:r w:rsidRPr="006A474F">
        <w:rPr>
          <w:b/>
        </w:rPr>
        <w:t>8.</w:t>
      </w:r>
      <w:r w:rsidRPr="006A474F">
        <w:rPr>
          <w:b/>
        </w:rPr>
        <w:tab/>
        <w:t>In welke Europese instrumenten en programma's participeert Nederland gericht op het afbouwen van niet-Europese afhankelijkheden en in welke projecten vervult Nederland een leidende of substantieel meedragende rol?</w:t>
      </w:r>
    </w:p>
    <w:p w:rsidR="00A43AE1" w:rsidP="00A43AE1" w:rsidRDefault="00A43AE1" w14:paraId="61EDA0B4" w14:textId="77777777">
      <w:pPr>
        <w:ind w:left="340"/>
      </w:pPr>
      <w:r w:rsidRPr="006A474F">
        <w:t>Nederland neemt deel aan verschillende EU-programma’s die zich richten op versterking van de Europese defensie-industrie. Momenteel neemt Nederland en de Nederlandse industrie bijvoorbeeld deel aan het Europees Defensiefonds, dat zich richt op onderzoek en ontwikkeling. Daarnaast is Nederland voornemens om ook deel te nemen aan het Europees Defensie-Industrie Programma (EDIP).</w:t>
      </w:r>
    </w:p>
    <w:p w:rsidR="00A43AE1" w:rsidP="00A43AE1" w:rsidRDefault="00A43AE1" w14:paraId="743AF852" w14:textId="77777777">
      <w:pPr>
        <w:ind w:left="340" w:hanging="340"/>
        <w:rPr>
          <w:b/>
        </w:rPr>
      </w:pPr>
      <w:r w:rsidRPr="00F90A9D">
        <w:rPr>
          <w:b/>
        </w:rPr>
        <w:t>9.</w:t>
      </w:r>
      <w:r w:rsidRPr="00F90A9D">
        <w:rPr>
          <w:b/>
        </w:rPr>
        <w:tab/>
        <w:t>Welke instrumenten zet u in om de Nederlandse industrie en kennisinstellingen te positioneren in die Europese ontwikkelingsprogramma's en acht u deze instrumenten afdoende?</w:t>
      </w:r>
    </w:p>
    <w:p w:rsidR="00A43AE1" w:rsidP="00A43AE1" w:rsidRDefault="00A43AE1" w14:paraId="15556750" w14:textId="77777777">
      <w:pPr>
        <w:ind w:left="340"/>
      </w:pPr>
      <w:r w:rsidRPr="00F90A9D">
        <w:t xml:space="preserve">Defensie heeft instrumenten waarmee Nederlandse bedrijven en kennisinstellingen </w:t>
      </w:r>
      <w:r>
        <w:t xml:space="preserve">worden ondersteund </w:t>
      </w:r>
      <w:r w:rsidRPr="00F90A9D">
        <w:t xml:space="preserve">bij het deelnemen aan Europese programma’s als het Europees Defensiefonds (EDF) en het Europees Defensie-industrie Programma (EDIP). Zo heeft Defensie budgetten beschikbaar waarmee de deelname van industrie en instituten aan het EDF wordt gefinancierd. Ook heeft Defensie budget beschikbaar om bedrijven en instituten in staat te stellen om deel te nemen aan ontwikkelingsactiviteiten van het Europees Defensie Agentschap (EDA). Tenslotte financiert Defensie de Rijksdienst voor Ondernemend Nederland (RVO) om Nederlandse bedrijven te ondersteunen die willen deelnemen aan Europese ontwikkelingsprogramma’s. Aangezien de </w:t>
      </w:r>
      <w:proofErr w:type="spellStart"/>
      <w:r w:rsidRPr="00F90A9D">
        <w:t>defensiegerelateerde</w:t>
      </w:r>
      <w:proofErr w:type="spellEnd"/>
      <w:r w:rsidRPr="00F90A9D">
        <w:t xml:space="preserve"> ontwikkelprogramma’s in het volgende Meerjarig Financieel Kader van de EU in aantal en omvang zullen toenemen, is het te verwachten dat de instrumenten van Defensie op termijn moeten worden opgeschaald. De exacte omvang van die opschaling is nu nog niet goed in te schatten.</w:t>
      </w:r>
    </w:p>
    <w:p w:rsidR="00A43AE1" w:rsidP="00A43AE1" w:rsidRDefault="00A43AE1" w14:paraId="086935EB" w14:textId="77777777">
      <w:pPr>
        <w:ind w:left="340" w:hanging="340"/>
        <w:rPr>
          <w:b/>
        </w:rPr>
      </w:pPr>
      <w:r w:rsidRPr="008C2A39">
        <w:rPr>
          <w:b/>
        </w:rPr>
        <w:t>10.</w:t>
      </w:r>
      <w:r w:rsidRPr="008C2A39">
        <w:rPr>
          <w:b/>
        </w:rPr>
        <w:tab/>
        <w:t>Op welke termijn en met welke concrete mijlpalen verwacht u de meest kritische niet-Europese afhankelijkheden afgebouwd of gemitigeerd te hebben?</w:t>
      </w:r>
    </w:p>
    <w:p w:rsidR="00A43AE1" w:rsidP="00A43AE1" w:rsidRDefault="00A43AE1" w14:paraId="47462148" w14:textId="77777777">
      <w:pPr>
        <w:ind w:left="340"/>
      </w:pPr>
      <w:r w:rsidRPr="00D218CA">
        <w:t xml:space="preserve">Zie antwoord </w:t>
      </w:r>
      <w:r>
        <w:t xml:space="preserve">op de </w:t>
      </w:r>
      <w:r w:rsidRPr="00D218CA">
        <w:t>vragen 1 tot en met 4.</w:t>
      </w:r>
    </w:p>
    <w:p w:rsidR="00A43AE1" w:rsidP="00A43AE1" w:rsidRDefault="00A43AE1" w14:paraId="6877A7BD" w14:textId="77777777">
      <w:pPr>
        <w:ind w:left="340" w:hanging="340"/>
        <w:rPr>
          <w:b/>
        </w:rPr>
      </w:pPr>
      <w:r w:rsidRPr="001A2810">
        <w:rPr>
          <w:b/>
        </w:rPr>
        <w:t>11.</w:t>
      </w:r>
      <w:r w:rsidRPr="001A2810">
        <w:rPr>
          <w:b/>
        </w:rPr>
        <w:tab/>
        <w:t>Kunt u deze vragen ruimschoots voor het commissiedebat Materieel op 3 juni 2026 beantwoorden?</w:t>
      </w:r>
    </w:p>
    <w:p w:rsidRPr="001A2810" w:rsidR="00A43AE1" w:rsidP="00A43AE1" w:rsidRDefault="00A43AE1" w14:paraId="516ADCAB" w14:textId="77777777">
      <w:pPr>
        <w:ind w:left="340" w:hanging="340"/>
      </w:pPr>
      <w:r>
        <w:rPr>
          <w:b/>
        </w:rPr>
        <w:tab/>
      </w:r>
      <w:r w:rsidRPr="001A2810">
        <w:t>Ja.</w:t>
      </w:r>
    </w:p>
    <w:p w:rsidR="00A96DAE" w:rsidRDefault="00A96DAE" w14:paraId="0BA07240" w14:textId="77777777"/>
    <w:sectPr w:rsidR="00A96DAE" w:rsidSect="00A43AE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9A09" w14:textId="77777777" w:rsidR="009A28F9" w:rsidRDefault="009A28F9" w:rsidP="00A43AE1">
      <w:pPr>
        <w:spacing w:after="0" w:line="240" w:lineRule="auto"/>
      </w:pPr>
      <w:r>
        <w:separator/>
      </w:r>
    </w:p>
  </w:endnote>
  <w:endnote w:type="continuationSeparator" w:id="0">
    <w:p w14:paraId="5DE554B6" w14:textId="77777777" w:rsidR="009A28F9" w:rsidRDefault="009A28F9" w:rsidP="00A4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6D97" w14:textId="77777777" w:rsidR="009A28F9" w:rsidRPr="00A43AE1" w:rsidRDefault="009A28F9" w:rsidP="00A43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CCF8" w14:textId="77777777" w:rsidR="009A28F9" w:rsidRPr="00A43AE1" w:rsidRDefault="009A28F9" w:rsidP="00A43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F59C" w14:textId="77777777" w:rsidR="009A28F9" w:rsidRPr="00A43AE1" w:rsidRDefault="009A28F9" w:rsidP="00A43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D5F5" w14:textId="77777777" w:rsidR="009A28F9" w:rsidRDefault="009A28F9" w:rsidP="00A43AE1">
      <w:pPr>
        <w:spacing w:after="0" w:line="240" w:lineRule="auto"/>
      </w:pPr>
      <w:r>
        <w:separator/>
      </w:r>
    </w:p>
  </w:footnote>
  <w:footnote w:type="continuationSeparator" w:id="0">
    <w:p w14:paraId="4FF4386D" w14:textId="77777777" w:rsidR="009A28F9" w:rsidRDefault="009A28F9" w:rsidP="00A4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DE9E" w14:textId="77777777" w:rsidR="009A28F9" w:rsidRPr="00A43AE1" w:rsidRDefault="009A28F9" w:rsidP="00A43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6D5" w14:textId="77777777" w:rsidR="009A28F9" w:rsidRPr="00A43AE1" w:rsidRDefault="009A28F9" w:rsidP="00A43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321D" w14:textId="77777777" w:rsidR="009A28F9" w:rsidRPr="00A43AE1" w:rsidRDefault="009A28F9" w:rsidP="00A43A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E1"/>
    <w:rsid w:val="00284738"/>
    <w:rsid w:val="009A28F9"/>
    <w:rsid w:val="00A43AE1"/>
    <w:rsid w:val="00A96D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434F"/>
  <w15:chartTrackingRefBased/>
  <w15:docId w15:val="{57FEBE28-BB10-4922-AC07-E3C7603B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3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3A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3A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3A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3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A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3A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3A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3A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3A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3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AE1"/>
    <w:rPr>
      <w:rFonts w:eastAsiaTheme="majorEastAsia" w:cstheme="majorBidi"/>
      <w:color w:val="272727" w:themeColor="text1" w:themeTint="D8"/>
    </w:rPr>
  </w:style>
  <w:style w:type="paragraph" w:styleId="Titel">
    <w:name w:val="Title"/>
    <w:basedOn w:val="Standaard"/>
    <w:next w:val="Standaard"/>
    <w:link w:val="TitelChar"/>
    <w:uiPriority w:val="10"/>
    <w:qFormat/>
    <w:rsid w:val="00A4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AE1"/>
    <w:rPr>
      <w:i/>
      <w:iCs/>
      <w:color w:val="404040" w:themeColor="text1" w:themeTint="BF"/>
    </w:rPr>
  </w:style>
  <w:style w:type="paragraph" w:styleId="Lijstalinea">
    <w:name w:val="List Paragraph"/>
    <w:basedOn w:val="Standaard"/>
    <w:uiPriority w:val="34"/>
    <w:qFormat/>
    <w:rsid w:val="00A43AE1"/>
    <w:pPr>
      <w:ind w:left="720"/>
      <w:contextualSpacing/>
    </w:pPr>
  </w:style>
  <w:style w:type="character" w:styleId="Intensievebenadrukking">
    <w:name w:val="Intense Emphasis"/>
    <w:basedOn w:val="Standaardalinea-lettertype"/>
    <w:uiPriority w:val="21"/>
    <w:qFormat/>
    <w:rsid w:val="00A43AE1"/>
    <w:rPr>
      <w:i/>
      <w:iCs/>
      <w:color w:val="2F5496" w:themeColor="accent1" w:themeShade="BF"/>
    </w:rPr>
  </w:style>
  <w:style w:type="paragraph" w:styleId="Duidelijkcitaat">
    <w:name w:val="Intense Quote"/>
    <w:basedOn w:val="Standaard"/>
    <w:next w:val="Standaard"/>
    <w:link w:val="DuidelijkcitaatChar"/>
    <w:uiPriority w:val="30"/>
    <w:qFormat/>
    <w:rsid w:val="00A43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3AE1"/>
    <w:rPr>
      <w:i/>
      <w:iCs/>
      <w:color w:val="2F5496" w:themeColor="accent1" w:themeShade="BF"/>
    </w:rPr>
  </w:style>
  <w:style w:type="character" w:styleId="Intensieveverwijzing">
    <w:name w:val="Intense Reference"/>
    <w:basedOn w:val="Standaardalinea-lettertype"/>
    <w:uiPriority w:val="32"/>
    <w:qFormat/>
    <w:rsid w:val="00A43AE1"/>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A43AE1"/>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43AE1"/>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43AE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43AE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43AE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43AE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43AE1"/>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43AE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1296</ap:Words>
  <ap:Characters>7134</ap:Characters>
  <ap:DocSecurity>0</ap:DocSecurity>
  <ap:Lines>59</ap:Lines>
  <ap:Paragraphs>16</ap:Paragraphs>
  <ap:ScaleCrop>false</ap:ScaleCrop>
  <ap:LinksUpToDate>false</ap:LinksUpToDate>
  <ap:CharactersWithSpaces>8414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2026-05-19T12:52:00.0000000Z</dcterms:created>
  <dcterms:modified xsi:type="dcterms:W3CDTF">2026-05-19T12:53:00.0000000Z</dcterms:modified>
  <version/>
  <category/>
</coreProperties>
</file>