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1E0" w:firstRow="1" w:lastRow="1" w:firstColumn="1" w:lastColumn="1" w:noHBand="0" w:noVBand="0"/>
      </w:tblPr>
      <w:tblGrid>
        <w:gridCol w:w="2742"/>
        <w:gridCol w:w="6162"/>
      </w:tblGrid>
      <w:tr w:rsidRPr="00D27AE1" w:rsidR="00FC395F" w:rsidTr="00DE6D27" w14:paraId="2411E633" w14:textId="77777777">
        <w:trPr>
          <w:trHeight w:val="1059"/>
        </w:trPr>
        <w:tc>
          <w:tcPr>
            <w:tcW w:w="8970" w:type="dxa"/>
            <w:gridSpan w:val="2"/>
            <w:tcBorders>
              <w:left w:val="nil"/>
            </w:tcBorders>
            <w:shd w:val="clear" w:color="auto" w:fill="7A7A7A"/>
            <w:vAlign w:val="center"/>
          </w:tcPr>
          <w:p w:rsidRPr="00D27AE1" w:rsidR="00FC395F" w:rsidP="00DE6D27" w:rsidRDefault="00FC395F" w14:paraId="2B62C552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Beleidskeuzes uitgelegd</w:t>
            </w:r>
          </w:p>
          <w:p w:rsidRPr="00D27AE1" w:rsidR="00FC395F" w:rsidP="00DE6D27" w:rsidRDefault="00FC395F" w14:paraId="0738AB57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27AE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Onderbouwing doeltreffendheid, doelmatigheid en evaluatie (CW3.1)</w:t>
            </w:r>
          </w:p>
        </w:tc>
      </w:tr>
      <w:tr w:rsidRPr="00D27AE1" w:rsidR="00FC395F" w:rsidTr="00DE6D27" w14:paraId="78B768D0" w14:textId="77777777">
        <w:trPr>
          <w:trHeight w:val="666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5DB8F1D7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1B22B19B" w14:textId="77777777">
            <w:pPr>
              <w:pStyle w:val="TableParagraph"/>
              <w:tabs>
                <w:tab w:val="left" w:pos="2060"/>
              </w:tabs>
              <w:ind w:left="103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Doel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>(</w:t>
            </w: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)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076C48" w:rsidRDefault="00EE5D79" w14:paraId="466701A8" w14:textId="47D7B84A">
            <w:pPr>
              <w:pStyle w:val="TableParagraph"/>
              <w:tabs>
                <w:tab w:val="left" w:pos="2060"/>
              </w:tabs>
              <w:spacing w:before="10" w:line="218" w:lineRule="exact"/>
              <w:ind w:right="15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kabinet beoogt</w:t>
            </w:r>
            <w:r w:rsidR="00B944C7">
              <w:rPr>
                <w:rFonts w:cstheme="minorHAnsi"/>
                <w:sz w:val="20"/>
                <w:szCs w:val="20"/>
              </w:rPr>
              <w:t xml:space="preserve"> een versterking van de pandemische paraatheid op de domeinen zorg en infectieziektebestrijding. Met die versterking</w:t>
            </w:r>
            <w:r>
              <w:rPr>
                <w:rFonts w:cstheme="minorHAnsi"/>
                <w:sz w:val="20"/>
                <w:szCs w:val="20"/>
              </w:rPr>
              <w:t xml:space="preserve"> is Nederland</w:t>
            </w:r>
            <w:r w:rsidR="00B944C7">
              <w:rPr>
                <w:rFonts w:cstheme="minorHAnsi"/>
                <w:sz w:val="20"/>
                <w:szCs w:val="20"/>
              </w:rPr>
              <w:t xml:space="preserve"> bij een volgende pandemie beter voorbereid en </w:t>
            </w:r>
            <w:r>
              <w:rPr>
                <w:rFonts w:cstheme="minorHAnsi"/>
                <w:sz w:val="20"/>
                <w:szCs w:val="20"/>
              </w:rPr>
              <w:t xml:space="preserve">kan </w:t>
            </w:r>
            <w:r w:rsidR="00B944C7">
              <w:rPr>
                <w:rFonts w:cstheme="minorHAnsi"/>
                <w:sz w:val="20"/>
                <w:szCs w:val="20"/>
              </w:rPr>
              <w:t>een pandemie</w:t>
            </w:r>
            <w:r w:rsidR="00F738EE">
              <w:rPr>
                <w:rFonts w:cstheme="minorHAnsi"/>
                <w:sz w:val="20"/>
                <w:szCs w:val="20"/>
              </w:rPr>
              <w:t xml:space="preserve"> of andere gezondheidscrises</w:t>
            </w:r>
            <w:r w:rsidR="00B944C7">
              <w:rPr>
                <w:rFonts w:cstheme="minorHAnsi"/>
                <w:sz w:val="20"/>
                <w:szCs w:val="20"/>
              </w:rPr>
              <w:t xml:space="preserve"> beter </w:t>
            </w:r>
            <w:r>
              <w:rPr>
                <w:rFonts w:cstheme="minorHAnsi"/>
                <w:sz w:val="20"/>
                <w:szCs w:val="20"/>
              </w:rPr>
              <w:t>worden bestreden</w:t>
            </w:r>
            <w:r w:rsidR="00B944C7">
              <w:rPr>
                <w:rFonts w:cstheme="minorHAnsi"/>
                <w:sz w:val="20"/>
                <w:szCs w:val="20"/>
              </w:rPr>
              <w:t xml:space="preserve">. Belangrijk is dat </w:t>
            </w:r>
            <w:r>
              <w:rPr>
                <w:rFonts w:cstheme="minorHAnsi"/>
                <w:sz w:val="20"/>
                <w:szCs w:val="20"/>
              </w:rPr>
              <w:t xml:space="preserve">de zorg </w:t>
            </w:r>
            <w:r w:rsidR="00B944C7">
              <w:rPr>
                <w:rFonts w:cstheme="minorHAnsi"/>
                <w:sz w:val="20"/>
                <w:szCs w:val="20"/>
              </w:rPr>
              <w:t xml:space="preserve">slagvaardig en wendbaar </w:t>
            </w:r>
            <w:r>
              <w:rPr>
                <w:rFonts w:cstheme="minorHAnsi"/>
                <w:sz w:val="20"/>
                <w:szCs w:val="20"/>
              </w:rPr>
              <w:t xml:space="preserve">kan </w:t>
            </w:r>
            <w:r w:rsidR="00B944C7">
              <w:rPr>
                <w:rFonts w:cstheme="minorHAnsi"/>
                <w:sz w:val="20"/>
                <w:szCs w:val="20"/>
              </w:rPr>
              <w:t>opereren.</w:t>
            </w:r>
          </w:p>
        </w:tc>
      </w:tr>
      <w:tr w:rsidRPr="00D27AE1" w:rsidR="00FC395F" w:rsidTr="00DE6D27" w14:paraId="0013171D" w14:textId="77777777">
        <w:trPr>
          <w:trHeight w:val="694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2F3CEB26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4F15E6BF" w14:textId="77777777">
            <w:pPr>
              <w:pStyle w:val="TableParagraph"/>
              <w:tabs>
                <w:tab w:val="left" w:pos="2060"/>
              </w:tabs>
              <w:ind w:left="103" w:right="231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Beleidsinstrument(en)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="00B944C7" w:rsidP="00000787" w:rsidRDefault="00B944C7" w14:paraId="7296A050" w14:textId="77777777">
            <w:pPr>
              <w:pStyle w:val="TableParagraph"/>
              <w:tabs>
                <w:tab w:val="left" w:pos="2060"/>
              </w:tabs>
              <w:spacing w:line="218" w:lineRule="exact"/>
              <w:ind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betreft een combinatie van verschillende instrumenten:</w:t>
            </w:r>
          </w:p>
          <w:p w:rsidR="00B944C7" w:rsidP="00DE6D27" w:rsidRDefault="00B944C7" w14:paraId="6B106AC2" w14:textId="7E5612CC">
            <w:pPr>
              <w:pStyle w:val="TableParagraph"/>
              <w:tabs>
                <w:tab w:val="left" w:pos="2060"/>
              </w:tabs>
              <w:spacing w:line="218" w:lineRule="exact"/>
              <w:ind w:left="101"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regelgeving en kaderstelling (bijv. wijzigingen in de wet publieke gezondheid)</w:t>
            </w:r>
          </w:p>
          <w:p w:rsidR="00B944C7" w:rsidP="00DE6D27" w:rsidRDefault="00B944C7" w14:paraId="0B7C34AE" w14:textId="3FE36F18">
            <w:pPr>
              <w:pStyle w:val="TableParagraph"/>
              <w:tabs>
                <w:tab w:val="left" w:pos="2060"/>
              </w:tabs>
              <w:spacing w:line="218" w:lineRule="exact"/>
              <w:ind w:left="101"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646777">
              <w:rPr>
                <w:rFonts w:cstheme="minorHAnsi"/>
                <w:sz w:val="20"/>
                <w:szCs w:val="20"/>
              </w:rPr>
              <w:t>(stelsel)aanpassingen in taken en verantwoordelijkheden die zien op meer centrale sturing en uitvoering in crisistijd en versteviging van (keten)samenwerking</w:t>
            </w:r>
          </w:p>
          <w:p w:rsidR="00FC395F" w:rsidP="00DE6D27" w:rsidRDefault="00B944C7" w14:paraId="5D3A12F1" w14:textId="3B4F479B">
            <w:pPr>
              <w:pStyle w:val="TableParagraph"/>
              <w:tabs>
                <w:tab w:val="left" w:pos="2060"/>
              </w:tabs>
              <w:spacing w:line="218" w:lineRule="exact"/>
              <w:ind w:left="101"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personele</w:t>
            </w:r>
            <w:r w:rsidR="005B3C7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investeringen (denk aan opleidingen, opleidingsplaatsen, uitbreiding van fte’s</w:t>
            </w:r>
            <w:r w:rsidR="00F738EE">
              <w:rPr>
                <w:rFonts w:cstheme="minorHAnsi"/>
                <w:sz w:val="20"/>
                <w:szCs w:val="20"/>
              </w:rPr>
              <w:t xml:space="preserve"> (denk aan epidemiologen, of fte’s voor de monitoring en surveillance van nieuwe uitbraken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B944C7" w:rsidP="00DE6D27" w:rsidRDefault="00B944C7" w14:paraId="697E24EF" w14:textId="4D4609FE">
            <w:pPr>
              <w:pStyle w:val="TableParagraph"/>
              <w:tabs>
                <w:tab w:val="left" w:pos="2060"/>
              </w:tabs>
              <w:spacing w:line="218" w:lineRule="exact"/>
              <w:ind w:left="101"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3F76B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internationale samenwerking en afspraken (denk aan </w:t>
            </w:r>
            <w:r w:rsidR="00F954BD">
              <w:rPr>
                <w:rFonts w:cstheme="minorHAnsi"/>
                <w:sz w:val="20"/>
                <w:szCs w:val="20"/>
              </w:rPr>
              <w:t>HERA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B944C7" w:rsidP="00DE6D27" w:rsidRDefault="00B944C7" w14:paraId="121DE823" w14:textId="77777777">
            <w:pPr>
              <w:pStyle w:val="TableParagraph"/>
              <w:tabs>
                <w:tab w:val="left" w:pos="2060"/>
              </w:tabs>
              <w:spacing w:line="218" w:lineRule="exact"/>
              <w:ind w:left="101"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investeringen in (technische) infrastructuur (denk aan informatievoorziening</w:t>
            </w:r>
            <w:r w:rsidR="002666B7">
              <w:rPr>
                <w:rFonts w:cstheme="minorHAnsi"/>
                <w:sz w:val="20"/>
                <w:szCs w:val="20"/>
              </w:rPr>
              <w:t>)</w:t>
            </w:r>
          </w:p>
          <w:p w:rsidR="002666B7" w:rsidP="00DE6D27" w:rsidRDefault="002666B7" w14:paraId="2AAD88E1" w14:textId="234D82D2">
            <w:pPr>
              <w:pStyle w:val="TableParagraph"/>
              <w:tabs>
                <w:tab w:val="left" w:pos="2060"/>
              </w:tabs>
              <w:spacing w:line="218" w:lineRule="exact"/>
              <w:ind w:left="101"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investeringen in kennis(samenwerking) en netwerkvorming</w:t>
            </w:r>
            <w:r w:rsidR="006D29B2">
              <w:rPr>
                <w:rFonts w:cstheme="minorHAnsi"/>
                <w:sz w:val="20"/>
                <w:szCs w:val="20"/>
              </w:rPr>
              <w:t xml:space="preserve"> en innovaties.</w:t>
            </w:r>
          </w:p>
          <w:p w:rsidR="004332BF" w:rsidP="00DE6D27" w:rsidRDefault="00F738EE" w14:paraId="17C469C3" w14:textId="7BF9F3FA">
            <w:pPr>
              <w:pStyle w:val="TableParagraph"/>
              <w:tabs>
                <w:tab w:val="left" w:pos="2060"/>
              </w:tabs>
              <w:spacing w:line="218" w:lineRule="exact"/>
              <w:ind w:left="101" w:right="54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investeringen in het aanleggen van voorraden voor medische producten</w:t>
            </w:r>
          </w:p>
          <w:p w:rsidRPr="00D27AE1" w:rsidR="009247EF" w:rsidP="009247EF" w:rsidRDefault="009247EF" w14:paraId="16421457" w14:textId="66497229">
            <w:pPr>
              <w:pStyle w:val="TableParagraph"/>
              <w:tabs>
                <w:tab w:val="left" w:pos="2060"/>
              </w:tabs>
              <w:spacing w:line="218" w:lineRule="exact"/>
              <w:ind w:right="543"/>
              <w:rPr>
                <w:rFonts w:cstheme="minorHAnsi"/>
                <w:sz w:val="20"/>
                <w:szCs w:val="20"/>
              </w:rPr>
            </w:pPr>
          </w:p>
        </w:tc>
      </w:tr>
      <w:tr w:rsidRPr="00D27AE1" w:rsidR="00FC395F" w:rsidTr="00DE6D27" w14:paraId="5957D256" w14:textId="77777777">
        <w:trPr>
          <w:trHeight w:val="80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776A6E47" w14:textId="77777777">
            <w:pPr>
              <w:pStyle w:val="TableParagraph"/>
              <w:tabs>
                <w:tab w:val="left" w:pos="2060"/>
              </w:tabs>
              <w:spacing w:before="144" w:line="242" w:lineRule="auto"/>
              <w:ind w:left="103" w:right="50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het Rijk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376585" w:rsidP="009247EF" w:rsidRDefault="002666B7" w14:paraId="49158338" w14:textId="0FCC586B">
            <w:pPr>
              <w:pStyle w:val="TableParagraph"/>
              <w:tabs>
                <w:tab w:val="left" w:pos="2060"/>
              </w:tabs>
              <w:spacing w:before="3" w:line="218" w:lineRule="exact"/>
              <w:ind w:right="94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Het voorstel heeft geen nieuwe gevolgen voor de rijksbegroting. Het voorstel is in lijn met de ingediende </w:t>
            </w:r>
            <w:r w:rsidR="00F954BD">
              <w:rPr>
                <w:rFonts w:cstheme="minorHAnsi"/>
                <w:sz w:val="20"/>
                <w:szCs w:val="20"/>
              </w:rPr>
              <w:t>voorjaarsnota 2026</w:t>
            </w:r>
            <w:r w:rsidR="009247EF">
              <w:rPr>
                <w:rFonts w:cstheme="minorHAnsi"/>
                <w:sz w:val="20"/>
                <w:szCs w:val="20"/>
              </w:rPr>
              <w:t xml:space="preserve"> waarmee structureel </w:t>
            </w:r>
            <w:r w:rsidRPr="009247EF" w:rsidR="009247EF">
              <w:rPr>
                <w:rFonts w:cstheme="minorHAnsi"/>
                <w:sz w:val="20"/>
                <w:szCs w:val="20"/>
              </w:rPr>
              <w:t>€ 177 miljoen</w:t>
            </w:r>
            <w:r w:rsidR="009247EF">
              <w:rPr>
                <w:rFonts w:cstheme="minorHAnsi"/>
                <w:sz w:val="20"/>
                <w:szCs w:val="20"/>
              </w:rPr>
              <w:t xml:space="preserve"> per jaar wordt vrijgemaakt voor de maatregelen pandemische paraatheid.</w:t>
            </w:r>
          </w:p>
        </w:tc>
      </w:tr>
      <w:tr w:rsidRPr="00D27AE1" w:rsidR="00FC395F" w:rsidTr="00DE6D27" w14:paraId="1FDA35D1" w14:textId="77777777">
        <w:trPr>
          <w:trHeight w:val="891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192D02AA" w14:textId="77777777">
            <w:pPr>
              <w:pStyle w:val="TableParagraph"/>
              <w:tabs>
                <w:tab w:val="left" w:pos="2060"/>
              </w:tabs>
              <w:spacing w:before="146"/>
              <w:ind w:left="103" w:right="92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Financiële gevolgen voor maatschappelijke sectoren</w:t>
            </w:r>
            <w:r>
              <w:rPr>
                <w:rFonts w:cstheme="minorHAns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000787" w:rsidRDefault="00090E30" w14:paraId="6ECBE9EE" w14:textId="58119C41">
            <w:pPr>
              <w:pStyle w:val="TableParagraph"/>
              <w:tabs>
                <w:tab w:val="left" w:pos="2060"/>
              </w:tabs>
              <w:spacing w:before="3" w:line="218" w:lineRule="exact"/>
              <w:ind w:right="945"/>
              <w:rPr>
                <w:rFonts w:cstheme="minorHAnsi"/>
                <w:sz w:val="20"/>
                <w:szCs w:val="20"/>
              </w:rPr>
            </w:pPr>
            <w:r w:rsidRPr="00000787">
              <w:rPr>
                <w:rFonts w:cstheme="minorHAnsi"/>
                <w:sz w:val="20"/>
                <w:szCs w:val="20"/>
              </w:rPr>
              <w:t xml:space="preserve">Met de investeringen </w:t>
            </w:r>
            <w:r w:rsidRPr="00000787" w:rsidR="006D29B2">
              <w:rPr>
                <w:rFonts w:cstheme="minorHAnsi"/>
                <w:sz w:val="20"/>
                <w:szCs w:val="20"/>
              </w:rPr>
              <w:t xml:space="preserve">uit de begroting </w:t>
            </w:r>
            <w:r w:rsidRPr="00000787">
              <w:rPr>
                <w:rFonts w:cstheme="minorHAnsi"/>
                <w:sz w:val="20"/>
                <w:szCs w:val="20"/>
              </w:rPr>
              <w:t>gaan extra middelen naar partijen in de zorg</w:t>
            </w:r>
            <w:r w:rsidRPr="00000787" w:rsidR="006D29B2">
              <w:rPr>
                <w:rFonts w:cstheme="minorHAnsi"/>
                <w:sz w:val="20"/>
                <w:szCs w:val="20"/>
              </w:rPr>
              <w:t xml:space="preserve"> en infectieziektebestrijding</w:t>
            </w:r>
            <w:r w:rsidRPr="00000787">
              <w:rPr>
                <w:rFonts w:cstheme="minorHAnsi"/>
                <w:sz w:val="20"/>
                <w:szCs w:val="20"/>
              </w:rPr>
              <w:t>.</w:t>
            </w:r>
            <w:r w:rsidR="00F738EE">
              <w:rPr>
                <w:rFonts w:cstheme="minorHAnsi"/>
                <w:sz w:val="20"/>
                <w:szCs w:val="20"/>
              </w:rPr>
              <w:t xml:space="preserve"> Snel mitigeren van gezondheidscrises zorgt er daarnaast voor dat de (financiële) lasten voor de gehele maatschappij lager zijn bij en na zo’n crisis. </w:t>
            </w:r>
          </w:p>
        </w:tc>
      </w:tr>
      <w:tr w:rsidRPr="00D27AE1" w:rsidR="00FC395F" w:rsidTr="00DE6D27" w14:paraId="0F8057C0" w14:textId="77777777">
        <w:trPr>
          <w:trHeight w:val="955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114F4B33" w14:textId="77777777">
            <w:pPr>
              <w:pStyle w:val="TableParagraph"/>
              <w:tabs>
                <w:tab w:val="left" w:pos="2060"/>
              </w:tabs>
              <w:spacing w:before="141"/>
              <w:ind w:left="103" w:right="829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doeltreffendheid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="003B1A6C" w:rsidP="00000787" w:rsidRDefault="003B40D8" w14:paraId="16C690A8" w14:textId="427C9355">
            <w:pPr>
              <w:pStyle w:val="TableParagraph"/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</w:t>
            </w:r>
            <w:r w:rsidR="002666B7">
              <w:rPr>
                <w:rFonts w:cstheme="minorHAnsi"/>
                <w:sz w:val="20"/>
                <w:szCs w:val="20"/>
              </w:rPr>
              <w:t>genoemde investeringen zorgen</w:t>
            </w:r>
            <w:r w:rsidR="00CC527C">
              <w:rPr>
                <w:rFonts w:cstheme="minorHAnsi"/>
                <w:sz w:val="20"/>
                <w:szCs w:val="20"/>
              </w:rPr>
              <w:t xml:space="preserve"> ervoor </w:t>
            </w:r>
            <w:r w:rsidR="002666B7">
              <w:rPr>
                <w:rFonts w:cstheme="minorHAnsi"/>
                <w:sz w:val="20"/>
                <w:szCs w:val="20"/>
              </w:rPr>
              <w:t xml:space="preserve">dat </w:t>
            </w:r>
            <w:r w:rsidR="00EE5D79">
              <w:rPr>
                <w:rFonts w:cstheme="minorHAnsi"/>
                <w:sz w:val="20"/>
                <w:szCs w:val="20"/>
              </w:rPr>
              <w:t>Nederland</w:t>
            </w:r>
            <w:r w:rsidR="002666B7">
              <w:rPr>
                <w:rFonts w:cstheme="minorHAnsi"/>
                <w:sz w:val="20"/>
                <w:szCs w:val="20"/>
              </w:rPr>
              <w:t xml:space="preserve"> bij een volgende pandemie beter aan de start staa</w:t>
            </w:r>
            <w:r w:rsidR="00EE5D79">
              <w:rPr>
                <w:rFonts w:cstheme="minorHAnsi"/>
                <w:sz w:val="20"/>
                <w:szCs w:val="20"/>
              </w:rPr>
              <w:t>t</w:t>
            </w:r>
            <w:r w:rsidR="002666B7">
              <w:rPr>
                <w:rFonts w:cstheme="minorHAnsi"/>
                <w:sz w:val="20"/>
                <w:szCs w:val="20"/>
              </w:rPr>
              <w:t>.</w:t>
            </w:r>
            <w:r w:rsidR="00B537A0">
              <w:rPr>
                <w:rFonts w:cstheme="minorHAnsi"/>
                <w:sz w:val="20"/>
                <w:szCs w:val="20"/>
              </w:rPr>
              <w:t xml:space="preserve"> </w:t>
            </w:r>
            <w:r w:rsidR="00EE5D79">
              <w:rPr>
                <w:rFonts w:cstheme="minorHAnsi"/>
                <w:sz w:val="20"/>
                <w:szCs w:val="20"/>
              </w:rPr>
              <w:t xml:space="preserve">De </w:t>
            </w:r>
            <w:r w:rsidR="00B537A0">
              <w:rPr>
                <w:rFonts w:cstheme="minorHAnsi"/>
                <w:sz w:val="20"/>
                <w:szCs w:val="20"/>
              </w:rPr>
              <w:t>beleidstheorie is gestoeld o</w:t>
            </w:r>
            <w:r w:rsidR="007B4451">
              <w:rPr>
                <w:rFonts w:cstheme="minorHAnsi"/>
                <w:sz w:val="20"/>
                <w:szCs w:val="20"/>
              </w:rPr>
              <w:t>p</w:t>
            </w:r>
            <w:r w:rsidR="00B537A0">
              <w:rPr>
                <w:rFonts w:cstheme="minorHAnsi"/>
                <w:sz w:val="20"/>
                <w:szCs w:val="20"/>
              </w:rPr>
              <w:t xml:space="preserve"> verschillende onderzoeken en evaluaties op de diverse instrumenten</w:t>
            </w:r>
            <w:r w:rsidR="00EE5D79">
              <w:rPr>
                <w:rFonts w:cstheme="minorHAnsi"/>
                <w:sz w:val="20"/>
                <w:szCs w:val="20"/>
              </w:rPr>
              <w:t>, zoals</w:t>
            </w:r>
            <w:r w:rsidR="003B1A6C">
              <w:rPr>
                <w:rFonts w:cstheme="minorHAnsi"/>
                <w:sz w:val="20"/>
                <w:szCs w:val="20"/>
              </w:rPr>
              <w:t>:</w:t>
            </w:r>
          </w:p>
          <w:p w:rsidRPr="00512E24" w:rsidR="00512E24" w:rsidP="00512E24" w:rsidRDefault="00512E24" w14:paraId="601AD4D7" w14:textId="4C07C0D3">
            <w:pPr>
              <w:pStyle w:val="TableParagraph"/>
              <w:numPr>
                <w:ilvl w:val="0"/>
                <w:numId w:val="4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Rapport van het Verwey-Jonker Instituut van juni 2021 ‘</w:t>
            </w:r>
            <w:r w:rsidRPr="00512E24">
              <w:rPr>
                <w:rFonts w:cstheme="minorHAnsi"/>
                <w:sz w:val="20"/>
                <w:szCs w:val="20"/>
              </w:rPr>
              <w:t>Versterking van de publieke gezondhei</w:t>
            </w:r>
            <w:r>
              <w:rPr>
                <w:rFonts w:cstheme="minorHAnsi"/>
                <w:sz w:val="20"/>
                <w:szCs w:val="20"/>
              </w:rPr>
              <w:t>d’.</w:t>
            </w:r>
          </w:p>
          <w:p w:rsidRPr="003B1A6C" w:rsidR="003B1A6C" w:rsidP="00913426" w:rsidRDefault="00512E24" w14:paraId="36B3D8FC" w14:textId="644F93B4">
            <w:pPr>
              <w:pStyle w:val="TableParagraph"/>
              <w:numPr>
                <w:ilvl w:val="0"/>
                <w:numId w:val="4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3B1A6C" w:rsidR="003B1A6C">
              <w:rPr>
                <w:rFonts w:cstheme="minorHAnsi"/>
                <w:sz w:val="20"/>
                <w:szCs w:val="20"/>
              </w:rPr>
              <w:t xml:space="preserve">anbevelingen uit </w:t>
            </w:r>
            <w:r w:rsidR="00D07C4C">
              <w:rPr>
                <w:rFonts w:cstheme="minorHAnsi"/>
                <w:sz w:val="20"/>
                <w:szCs w:val="20"/>
              </w:rPr>
              <w:t>de</w:t>
            </w:r>
            <w:r w:rsidRPr="003B1A6C" w:rsidR="00D07C4C">
              <w:rPr>
                <w:rFonts w:cstheme="minorHAnsi"/>
                <w:sz w:val="20"/>
                <w:szCs w:val="20"/>
              </w:rPr>
              <w:t xml:space="preserve"> </w:t>
            </w:r>
            <w:r w:rsidRPr="003B1A6C" w:rsidR="003B1A6C">
              <w:rPr>
                <w:rFonts w:cstheme="minorHAnsi"/>
                <w:sz w:val="20"/>
                <w:szCs w:val="20"/>
              </w:rPr>
              <w:t>evaluatierapport</w:t>
            </w:r>
            <w:r w:rsidR="00D07C4C">
              <w:rPr>
                <w:rFonts w:cstheme="minorHAnsi"/>
                <w:sz w:val="20"/>
                <w:szCs w:val="20"/>
              </w:rPr>
              <w:t>en</w:t>
            </w:r>
            <w:r w:rsidRPr="003B1A6C" w:rsidR="003B1A6C">
              <w:rPr>
                <w:rFonts w:cstheme="minorHAnsi"/>
                <w:sz w:val="20"/>
                <w:szCs w:val="20"/>
              </w:rPr>
              <w:t xml:space="preserve"> van de </w:t>
            </w:r>
            <w:proofErr w:type="spellStart"/>
            <w:r w:rsidRPr="003B1A6C" w:rsidR="003B1A6C">
              <w:rPr>
                <w:rFonts w:cstheme="minorHAnsi"/>
                <w:sz w:val="20"/>
                <w:szCs w:val="20"/>
              </w:rPr>
              <w:t>O</w:t>
            </w:r>
            <w:r>
              <w:rPr>
                <w:rFonts w:cstheme="minorHAnsi"/>
                <w:sz w:val="20"/>
                <w:szCs w:val="20"/>
              </w:rPr>
              <w:t>nderzoeksraad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voor </w:t>
            </w:r>
            <w:r w:rsidRPr="003B1A6C" w:rsidR="003B1A6C">
              <w:rPr>
                <w:rFonts w:cstheme="minorHAnsi"/>
                <w:sz w:val="20"/>
                <w:szCs w:val="20"/>
              </w:rPr>
              <w:t>V</w:t>
            </w:r>
            <w:r>
              <w:rPr>
                <w:rFonts w:cstheme="minorHAnsi"/>
                <w:sz w:val="20"/>
                <w:szCs w:val="20"/>
              </w:rPr>
              <w:t>eiligheid</w:t>
            </w:r>
            <w:r w:rsidRPr="003B1A6C" w:rsidR="003B1A6C">
              <w:rPr>
                <w:rFonts w:cstheme="minorHAnsi"/>
                <w:sz w:val="20"/>
                <w:szCs w:val="20"/>
              </w:rPr>
              <w:t xml:space="preserve"> van de Covid-19 crisis</w:t>
            </w:r>
            <w:r w:rsidR="007B4451">
              <w:rPr>
                <w:rFonts w:cstheme="minorHAnsi"/>
                <w:sz w:val="20"/>
                <w:szCs w:val="20"/>
              </w:rPr>
              <w:t>;</w:t>
            </w:r>
          </w:p>
          <w:p w:rsidRPr="003B1A6C" w:rsidR="003B1A6C" w:rsidP="00913426" w:rsidRDefault="00CA5B29" w14:paraId="381C0FA4" w14:textId="6CBF9FDB">
            <w:pPr>
              <w:pStyle w:val="TableParagraph"/>
              <w:numPr>
                <w:ilvl w:val="0"/>
                <w:numId w:val="4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3B1A6C" w:rsidR="003B1A6C">
              <w:rPr>
                <w:rFonts w:cstheme="minorHAnsi"/>
                <w:sz w:val="20"/>
                <w:szCs w:val="20"/>
              </w:rPr>
              <w:t>apport ‘</w:t>
            </w:r>
            <w:proofErr w:type="spellStart"/>
            <w:r w:rsidRPr="003B1A6C" w:rsidR="003B1A6C">
              <w:rPr>
                <w:rFonts w:cstheme="minorHAnsi"/>
                <w:sz w:val="20"/>
                <w:szCs w:val="20"/>
              </w:rPr>
              <w:t>Zoönosen</w:t>
            </w:r>
            <w:proofErr w:type="spellEnd"/>
            <w:r w:rsidRPr="003B1A6C" w:rsidR="003B1A6C">
              <w:rPr>
                <w:rFonts w:cstheme="minorHAnsi"/>
                <w:sz w:val="20"/>
                <w:szCs w:val="20"/>
              </w:rPr>
              <w:t xml:space="preserve"> in het vizier’ van de expertgroep </w:t>
            </w:r>
            <w:proofErr w:type="spellStart"/>
            <w:r w:rsidRPr="003B1A6C" w:rsidR="003B1A6C">
              <w:rPr>
                <w:rFonts w:cstheme="minorHAnsi"/>
                <w:sz w:val="20"/>
                <w:szCs w:val="20"/>
              </w:rPr>
              <w:t>zoönosen</w:t>
            </w:r>
            <w:proofErr w:type="spellEnd"/>
            <w:r w:rsidRPr="003B1A6C" w:rsidR="003B1A6C">
              <w:rPr>
                <w:rFonts w:cstheme="minorHAnsi"/>
                <w:sz w:val="20"/>
                <w:szCs w:val="20"/>
              </w:rPr>
              <w:t xml:space="preserve"> onder leiding van dhr. </w:t>
            </w:r>
            <w:proofErr w:type="spellStart"/>
            <w:r w:rsidRPr="003B1A6C" w:rsidR="003B1A6C">
              <w:rPr>
                <w:rFonts w:cstheme="minorHAnsi"/>
                <w:sz w:val="20"/>
                <w:szCs w:val="20"/>
              </w:rPr>
              <w:t>Bekedam</w:t>
            </w:r>
            <w:proofErr w:type="spellEnd"/>
            <w:r w:rsidR="007B4451">
              <w:rPr>
                <w:rFonts w:cstheme="minorHAnsi"/>
                <w:sz w:val="20"/>
                <w:szCs w:val="20"/>
              </w:rPr>
              <w:t>;</w:t>
            </w:r>
            <w:r w:rsidRPr="003B1A6C" w:rsidR="003B1A6C"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3B1A6C" w:rsidR="003B1A6C" w:rsidP="00913426" w:rsidRDefault="00913426" w14:paraId="261836FA" w14:textId="4FE6AC42">
            <w:pPr>
              <w:pStyle w:val="TableParagraph"/>
              <w:numPr>
                <w:ilvl w:val="0"/>
                <w:numId w:val="1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 w:rsidRPr="00F16E7F">
              <w:rPr>
                <w:rFonts w:cstheme="minorHAnsi"/>
                <w:sz w:val="20"/>
                <w:szCs w:val="20"/>
              </w:rPr>
              <w:t>KNAW Rapport van 26 september 2022 ‘Met de kennis van straks. De wetenschap goed voorbereid op pandemieën’</w:t>
            </w:r>
            <w:r w:rsidRPr="00F16E7F" w:rsidR="007B4451">
              <w:rPr>
                <w:rFonts w:cstheme="minorHAnsi"/>
                <w:sz w:val="20"/>
                <w:szCs w:val="20"/>
              </w:rPr>
              <w:t>;</w:t>
            </w:r>
          </w:p>
          <w:p w:rsidRPr="00F16E7F" w:rsidR="00CA5B29" w:rsidP="00913426" w:rsidRDefault="003B1A6C" w14:paraId="5DEDB6D5" w14:textId="6F8DFCC8">
            <w:pPr>
              <w:pStyle w:val="TableParagraph"/>
              <w:numPr>
                <w:ilvl w:val="0"/>
                <w:numId w:val="3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  <w:lang w:val="en-US"/>
              </w:rPr>
            </w:pPr>
            <w:r>
              <w:fldChar w:fldCharType="begin"/>
            </w:r>
            <w:r w:rsidRPr="00810C9C">
              <w:rPr>
                <w:lang w:val="en-US"/>
              </w:rPr>
              <w:instrText>HYPERLINK "https://www.sciencedirect.com/science/article/pii/S2666776221001988"</w:instrText>
            </w:r>
            <w:r>
              <w:fldChar w:fldCharType="separate"/>
            </w:r>
            <w:r w:rsidRPr="00CA5B29">
              <w:rPr>
                <w:rStyle w:val="Hyperlink"/>
                <w:rFonts w:cstheme="minorHAnsi"/>
                <w:sz w:val="20"/>
                <w:szCs w:val="20"/>
                <w:lang w:val="en-US"/>
              </w:rPr>
              <w:t>Multi-country collaboration in responding to global infectious disease threats: lessons for Europe from the COVID-19 pandemic - ScienceDirect</w:t>
            </w:r>
            <w:r>
              <w:fldChar w:fldCharType="end"/>
            </w:r>
            <w:r w:rsidRPr="00F16E7F" w:rsidR="007B4451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:rsidR="00CA5B29" w:rsidP="00913426" w:rsidRDefault="003B1A6C" w14:paraId="67671AE5" w14:textId="44FBE1E1">
            <w:pPr>
              <w:pStyle w:val="TableParagraph"/>
              <w:numPr>
                <w:ilvl w:val="0"/>
                <w:numId w:val="3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 w:rsidRPr="00CA5B29">
              <w:rPr>
                <w:rFonts w:cstheme="minorHAnsi"/>
                <w:sz w:val="20"/>
                <w:szCs w:val="20"/>
              </w:rPr>
              <w:t xml:space="preserve">Taskforce Ondersteuning optimale inzet zorgverleners </w:t>
            </w:r>
            <w:r w:rsidR="007B4451">
              <w:rPr>
                <w:rFonts w:cstheme="minorHAnsi"/>
                <w:sz w:val="20"/>
                <w:szCs w:val="20"/>
              </w:rPr>
              <w:t>;</w:t>
            </w:r>
          </w:p>
          <w:p w:rsidR="003B1A6C" w:rsidP="00913426" w:rsidRDefault="00CA5B29" w14:paraId="341F1F35" w14:textId="0E155819">
            <w:pPr>
              <w:pStyle w:val="TableParagraph"/>
              <w:numPr>
                <w:ilvl w:val="0"/>
                <w:numId w:val="3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CA5B29" w:rsidR="003B1A6C">
              <w:rPr>
                <w:rFonts w:cstheme="minorHAnsi"/>
                <w:sz w:val="20"/>
                <w:szCs w:val="20"/>
              </w:rPr>
              <w:t xml:space="preserve">dviezen Special </w:t>
            </w:r>
            <w:proofErr w:type="spellStart"/>
            <w:r w:rsidRPr="00CA5B29" w:rsidR="003B1A6C">
              <w:rPr>
                <w:rFonts w:cstheme="minorHAnsi"/>
                <w:sz w:val="20"/>
                <w:szCs w:val="20"/>
              </w:rPr>
              <w:t>Envoy</w:t>
            </w:r>
            <w:proofErr w:type="spellEnd"/>
            <w:r w:rsidRPr="00CA5B29" w:rsidR="003B1A6C">
              <w:rPr>
                <w:rFonts w:cstheme="minorHAnsi"/>
                <w:sz w:val="20"/>
                <w:szCs w:val="20"/>
              </w:rPr>
              <w:t xml:space="preserve"> vaccins en zijn taskforce (Kamerstuk 25</w:t>
            </w:r>
            <w:r w:rsidR="007B4451">
              <w:rPr>
                <w:rFonts w:cstheme="minorHAnsi"/>
                <w:sz w:val="20"/>
                <w:szCs w:val="20"/>
              </w:rPr>
              <w:t xml:space="preserve"> </w:t>
            </w:r>
            <w:r w:rsidRPr="00CA5B29" w:rsidR="003B1A6C">
              <w:rPr>
                <w:rFonts w:cstheme="minorHAnsi"/>
                <w:sz w:val="20"/>
                <w:szCs w:val="20"/>
              </w:rPr>
              <w:t xml:space="preserve">295, nr. 1063) en een vervolg analyse door KPMG. </w:t>
            </w:r>
          </w:p>
          <w:p w:rsidRPr="00D07C4C" w:rsidR="00D07C4C" w:rsidP="00D07C4C" w:rsidRDefault="00D07C4C" w14:paraId="31F8EE06" w14:textId="3FAEA317">
            <w:pPr>
              <w:pStyle w:val="TableParagraph"/>
              <w:numPr>
                <w:ilvl w:val="0"/>
                <w:numId w:val="3"/>
              </w:numPr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Adviescollege ICT heeft het IV/ICT programma getoetst;</w:t>
            </w:r>
          </w:p>
          <w:p w:rsidRPr="00CA5B29" w:rsidR="00CA5B29" w:rsidP="00CA5B29" w:rsidRDefault="00CA5B29" w14:paraId="1CF81E6A" w14:textId="77777777">
            <w:pPr>
              <w:pStyle w:val="TableParagraph"/>
              <w:tabs>
                <w:tab w:val="left" w:pos="2060"/>
              </w:tabs>
              <w:spacing w:before="4" w:line="218" w:lineRule="exact"/>
              <w:ind w:left="360" w:right="166"/>
              <w:rPr>
                <w:rFonts w:cstheme="minorHAnsi"/>
                <w:sz w:val="20"/>
                <w:szCs w:val="20"/>
              </w:rPr>
            </w:pPr>
          </w:p>
          <w:p w:rsidR="00FC395F" w:rsidP="00000787" w:rsidRDefault="00EE5D79" w14:paraId="18EFBBF6" w14:textId="11D6B5A1">
            <w:pPr>
              <w:pStyle w:val="TableParagraph"/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kabinet kan</w:t>
            </w:r>
            <w:r w:rsidR="00B537A0">
              <w:rPr>
                <w:rFonts w:cstheme="minorHAnsi"/>
                <w:sz w:val="20"/>
                <w:szCs w:val="20"/>
              </w:rPr>
              <w:t xml:space="preserve"> </w:t>
            </w:r>
            <w:r w:rsidR="00F738EE">
              <w:rPr>
                <w:rFonts w:cstheme="minorHAnsi"/>
                <w:sz w:val="20"/>
                <w:szCs w:val="20"/>
              </w:rPr>
              <w:t xml:space="preserve">niet </w:t>
            </w:r>
            <w:r w:rsidR="00B537A0">
              <w:rPr>
                <w:rFonts w:cstheme="minorHAnsi"/>
                <w:sz w:val="20"/>
                <w:szCs w:val="20"/>
              </w:rPr>
              <w:t xml:space="preserve">uitsluiten dat een </w:t>
            </w:r>
            <w:r w:rsidR="002666B7">
              <w:rPr>
                <w:rFonts w:cstheme="minorHAnsi"/>
                <w:sz w:val="20"/>
                <w:szCs w:val="20"/>
              </w:rPr>
              <w:t xml:space="preserve">pandemie </w:t>
            </w:r>
            <w:r w:rsidR="00F738EE">
              <w:rPr>
                <w:rFonts w:cstheme="minorHAnsi"/>
                <w:sz w:val="20"/>
                <w:szCs w:val="20"/>
              </w:rPr>
              <w:t xml:space="preserve">of andere gezondheidscrisis </w:t>
            </w:r>
            <w:r w:rsidR="00B537A0">
              <w:rPr>
                <w:rFonts w:cstheme="minorHAnsi"/>
                <w:sz w:val="20"/>
                <w:szCs w:val="20"/>
              </w:rPr>
              <w:t>Nederland treft</w:t>
            </w:r>
            <w:r w:rsidR="002666B7">
              <w:rPr>
                <w:rFonts w:cstheme="minorHAnsi"/>
                <w:sz w:val="20"/>
                <w:szCs w:val="20"/>
              </w:rPr>
              <w:t xml:space="preserve">, maar </w:t>
            </w:r>
            <w:r>
              <w:rPr>
                <w:rFonts w:cstheme="minorHAnsi"/>
                <w:sz w:val="20"/>
                <w:szCs w:val="20"/>
              </w:rPr>
              <w:t xml:space="preserve">kan </w:t>
            </w:r>
            <w:r w:rsidR="002666B7">
              <w:rPr>
                <w:rFonts w:cstheme="minorHAnsi"/>
                <w:sz w:val="20"/>
                <w:szCs w:val="20"/>
              </w:rPr>
              <w:t xml:space="preserve">wel </w:t>
            </w:r>
            <w:r>
              <w:rPr>
                <w:rFonts w:cstheme="minorHAnsi"/>
                <w:sz w:val="20"/>
                <w:szCs w:val="20"/>
              </w:rPr>
              <w:t xml:space="preserve">zorgen </w:t>
            </w:r>
            <w:r w:rsidR="002666B7">
              <w:rPr>
                <w:rFonts w:cstheme="minorHAnsi"/>
                <w:sz w:val="20"/>
                <w:szCs w:val="20"/>
              </w:rPr>
              <w:t xml:space="preserve">dat </w:t>
            </w:r>
            <w:r>
              <w:rPr>
                <w:rFonts w:cstheme="minorHAnsi"/>
                <w:sz w:val="20"/>
                <w:szCs w:val="20"/>
              </w:rPr>
              <w:t xml:space="preserve">er </w:t>
            </w:r>
            <w:r w:rsidR="002666B7">
              <w:rPr>
                <w:rFonts w:cstheme="minorHAnsi"/>
                <w:sz w:val="20"/>
                <w:szCs w:val="20"/>
              </w:rPr>
              <w:t xml:space="preserve">slagvaardiger en flexibeler </w:t>
            </w:r>
            <w:r>
              <w:rPr>
                <w:rFonts w:cstheme="minorHAnsi"/>
                <w:sz w:val="20"/>
                <w:szCs w:val="20"/>
              </w:rPr>
              <w:t xml:space="preserve">wordt </w:t>
            </w:r>
            <w:r w:rsidR="002666B7">
              <w:rPr>
                <w:rFonts w:cstheme="minorHAnsi"/>
                <w:sz w:val="20"/>
                <w:szCs w:val="20"/>
              </w:rPr>
              <w:t>om</w:t>
            </w:r>
            <w:r>
              <w:rPr>
                <w:rFonts w:cstheme="minorHAnsi"/>
                <w:sz w:val="20"/>
                <w:szCs w:val="20"/>
              </w:rPr>
              <w:t>ge</w:t>
            </w:r>
            <w:r w:rsidR="002666B7">
              <w:rPr>
                <w:rFonts w:cstheme="minorHAnsi"/>
                <w:sz w:val="20"/>
                <w:szCs w:val="20"/>
              </w:rPr>
              <w:t xml:space="preserve">gaan </w:t>
            </w:r>
            <w:r w:rsidR="00F738EE">
              <w:rPr>
                <w:rFonts w:cstheme="minorHAnsi"/>
                <w:sz w:val="20"/>
                <w:szCs w:val="20"/>
              </w:rPr>
              <w:t xml:space="preserve">met verhoogde druk op de Nederlandse zorg </w:t>
            </w:r>
            <w:r w:rsidR="002C7264">
              <w:rPr>
                <w:rFonts w:cstheme="minorHAnsi"/>
                <w:sz w:val="20"/>
                <w:szCs w:val="20"/>
              </w:rPr>
              <w:t xml:space="preserve">en </w:t>
            </w:r>
            <w:r>
              <w:rPr>
                <w:rFonts w:cstheme="minorHAnsi"/>
                <w:sz w:val="20"/>
                <w:szCs w:val="20"/>
              </w:rPr>
              <w:t xml:space="preserve">dat </w:t>
            </w:r>
            <w:r w:rsidR="002C7264">
              <w:rPr>
                <w:rFonts w:cstheme="minorHAnsi"/>
                <w:sz w:val="20"/>
                <w:szCs w:val="20"/>
              </w:rPr>
              <w:t>eerste signalen sneller opgepakt worden</w:t>
            </w:r>
            <w:r w:rsidR="002666B7">
              <w:rPr>
                <w:rFonts w:cstheme="minorHAnsi"/>
                <w:sz w:val="20"/>
                <w:szCs w:val="20"/>
              </w:rPr>
              <w:t xml:space="preserve">. Daarmee </w:t>
            </w:r>
            <w:r>
              <w:rPr>
                <w:rFonts w:cstheme="minorHAnsi"/>
                <w:sz w:val="20"/>
                <w:szCs w:val="20"/>
              </w:rPr>
              <w:t xml:space="preserve">worden </w:t>
            </w:r>
            <w:r w:rsidR="002666B7">
              <w:rPr>
                <w:rFonts w:cstheme="minorHAnsi"/>
                <w:sz w:val="20"/>
                <w:szCs w:val="20"/>
              </w:rPr>
              <w:t xml:space="preserve">de (maatschappelijke) schade en gevolgen van een pandemie </w:t>
            </w:r>
            <w:r>
              <w:rPr>
                <w:rFonts w:cstheme="minorHAnsi"/>
                <w:sz w:val="20"/>
                <w:szCs w:val="20"/>
              </w:rPr>
              <w:t xml:space="preserve">verkleind </w:t>
            </w:r>
            <w:r w:rsidR="002666B7">
              <w:rPr>
                <w:rFonts w:cstheme="minorHAnsi"/>
                <w:sz w:val="20"/>
                <w:szCs w:val="20"/>
              </w:rPr>
              <w:t xml:space="preserve">en </w:t>
            </w:r>
            <w:r>
              <w:rPr>
                <w:rFonts w:cstheme="minorHAnsi"/>
                <w:sz w:val="20"/>
                <w:szCs w:val="20"/>
              </w:rPr>
              <w:t xml:space="preserve">kunnen </w:t>
            </w:r>
            <w:r w:rsidR="003B40D8">
              <w:rPr>
                <w:rFonts w:cstheme="minorHAnsi"/>
                <w:sz w:val="20"/>
                <w:szCs w:val="20"/>
              </w:rPr>
              <w:t>crises</w:t>
            </w:r>
            <w:r w:rsidR="002666B7">
              <w:rPr>
                <w:rFonts w:cstheme="minorHAnsi"/>
                <w:sz w:val="20"/>
                <w:szCs w:val="20"/>
              </w:rPr>
              <w:t xml:space="preserve"> beter </w:t>
            </w:r>
            <w:r>
              <w:rPr>
                <w:rFonts w:cstheme="minorHAnsi"/>
                <w:sz w:val="20"/>
                <w:szCs w:val="20"/>
              </w:rPr>
              <w:t xml:space="preserve">worden </w:t>
            </w:r>
            <w:r w:rsidR="002666B7">
              <w:rPr>
                <w:rFonts w:cstheme="minorHAnsi"/>
                <w:sz w:val="20"/>
                <w:szCs w:val="20"/>
              </w:rPr>
              <w:t>beheers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="002666B7">
              <w:rPr>
                <w:rFonts w:cstheme="minorHAnsi"/>
                <w:sz w:val="20"/>
                <w:szCs w:val="20"/>
              </w:rPr>
              <w:t xml:space="preserve">. </w:t>
            </w:r>
          </w:p>
          <w:p w:rsidRPr="00D27AE1" w:rsidR="004332BF" w:rsidP="00000787" w:rsidRDefault="004332BF" w14:paraId="2A04A6D1" w14:textId="08468F46">
            <w:pPr>
              <w:pStyle w:val="TableParagraph"/>
              <w:tabs>
                <w:tab w:val="left" w:pos="2060"/>
              </w:tabs>
              <w:spacing w:before="4" w:line="218" w:lineRule="exact"/>
              <w:ind w:right="166"/>
              <w:rPr>
                <w:rFonts w:cstheme="minorHAnsi"/>
                <w:sz w:val="20"/>
                <w:szCs w:val="20"/>
              </w:rPr>
            </w:pPr>
          </w:p>
        </w:tc>
      </w:tr>
      <w:tr w:rsidRPr="00D27AE1" w:rsidR="00FC395F" w:rsidTr="004332BF" w14:paraId="3277A257" w14:textId="77777777">
        <w:trPr>
          <w:trHeight w:val="557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D27AE1" w:rsidR="00FC395F" w:rsidP="00DE6D27" w:rsidRDefault="00FC395F" w14:paraId="49B32097" w14:textId="77777777">
            <w:pPr>
              <w:pStyle w:val="TableParagraph"/>
              <w:tabs>
                <w:tab w:val="left" w:pos="2060"/>
              </w:tabs>
              <w:rPr>
                <w:rFonts w:cstheme="minorHAnsi"/>
                <w:i/>
                <w:sz w:val="20"/>
                <w:szCs w:val="20"/>
              </w:rPr>
            </w:pPr>
          </w:p>
          <w:p w:rsidRPr="00D27AE1" w:rsidR="00FC395F" w:rsidP="00DE6D27" w:rsidRDefault="00FC395F" w14:paraId="77F61166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Nagestreefde doelmatigheid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="00EF5DD1" w:rsidP="004332BF" w:rsidRDefault="00F954BD" w14:paraId="1517E7F3" w14:textId="3ABD2577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 de voorgestelde beleidsinzet zorg</w:t>
            </w:r>
            <w:r w:rsidR="00EE5D79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EE5D79">
              <w:rPr>
                <w:rFonts w:cstheme="minorHAnsi"/>
                <w:sz w:val="20"/>
                <w:szCs w:val="20"/>
              </w:rPr>
              <w:t xml:space="preserve">het kabinet </w:t>
            </w:r>
            <w:r>
              <w:rPr>
                <w:rFonts w:cstheme="minorHAnsi"/>
                <w:sz w:val="20"/>
                <w:szCs w:val="20"/>
              </w:rPr>
              <w:t xml:space="preserve">dat de basisnoodzorg op orde is en dat </w:t>
            </w:r>
            <w:r w:rsidR="00EE5D79">
              <w:rPr>
                <w:rFonts w:cstheme="minorHAnsi"/>
                <w:sz w:val="20"/>
                <w:szCs w:val="20"/>
              </w:rPr>
              <w:t xml:space="preserve">de zorg </w:t>
            </w:r>
            <w:r w:rsidR="002666B7">
              <w:rPr>
                <w:rFonts w:cstheme="minorHAnsi"/>
                <w:sz w:val="20"/>
                <w:szCs w:val="20"/>
              </w:rPr>
              <w:t>flexib</w:t>
            </w:r>
            <w:r w:rsidR="007B4451">
              <w:rPr>
                <w:rFonts w:cstheme="minorHAnsi"/>
                <w:sz w:val="20"/>
                <w:szCs w:val="20"/>
              </w:rPr>
              <w:t>e</w:t>
            </w:r>
            <w:r w:rsidR="002666B7">
              <w:rPr>
                <w:rFonts w:cstheme="minorHAnsi"/>
                <w:sz w:val="20"/>
                <w:szCs w:val="20"/>
              </w:rPr>
              <w:t xml:space="preserve">l en </w:t>
            </w:r>
            <w:proofErr w:type="spellStart"/>
            <w:r w:rsidR="002666B7">
              <w:rPr>
                <w:rFonts w:cstheme="minorHAnsi"/>
                <w:sz w:val="20"/>
                <w:szCs w:val="20"/>
              </w:rPr>
              <w:t>opschaalbaar</w:t>
            </w:r>
            <w:proofErr w:type="spellEnd"/>
            <w:r w:rsidR="00EE5D79">
              <w:rPr>
                <w:rFonts w:cstheme="minorHAnsi"/>
                <w:sz w:val="20"/>
                <w:szCs w:val="20"/>
              </w:rPr>
              <w:t xml:space="preserve"> is</w:t>
            </w:r>
            <w:r w:rsidR="004332BF">
              <w:rPr>
                <w:rFonts w:cstheme="minorHAnsi"/>
                <w:sz w:val="20"/>
                <w:szCs w:val="20"/>
              </w:rPr>
              <w:t>.</w:t>
            </w:r>
            <w:r w:rsidR="005B3C7B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F5DD1" w:rsidP="004332BF" w:rsidRDefault="00EF5DD1" w14:paraId="09228142" w14:textId="29ECFF0A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</w:p>
          <w:p w:rsidR="00FC395F" w:rsidP="004332BF" w:rsidRDefault="00EF5DD1" w14:paraId="7F4A7843" w14:textId="3FFE310F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Slimme samenwerking in EU-verband zorgt ook voor doelmatiger inzet van middelen</w:t>
            </w:r>
            <w:r w:rsidR="00E12427">
              <w:rPr>
                <w:rFonts w:cstheme="minorHAnsi"/>
                <w:sz w:val="20"/>
                <w:szCs w:val="20"/>
              </w:rPr>
              <w:t xml:space="preserve"> van Nederland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C25ABB" w:rsidR="00E12427">
              <w:rPr>
                <w:rFonts w:cstheme="minorHAnsi"/>
                <w:sz w:val="20"/>
                <w:szCs w:val="20"/>
              </w:rPr>
              <w:t xml:space="preserve">De Nederlandse </w:t>
            </w:r>
            <w:r w:rsidR="00E12427">
              <w:rPr>
                <w:rFonts w:cstheme="minorHAnsi"/>
                <w:sz w:val="20"/>
                <w:szCs w:val="20"/>
              </w:rPr>
              <w:t>bestrijding</w:t>
            </w:r>
            <w:r w:rsidRPr="00C25ABB" w:rsidR="00E12427">
              <w:rPr>
                <w:rFonts w:cstheme="minorHAnsi"/>
                <w:sz w:val="20"/>
                <w:szCs w:val="20"/>
              </w:rPr>
              <w:t xml:space="preserve"> van infectieziekten is effectiever en efficiënter als deze goed aansluit op internationale mechanismen, structuren en samenwerkingsverbanden</w:t>
            </w:r>
            <w:r w:rsidR="00E12427">
              <w:rPr>
                <w:rFonts w:cstheme="minorHAnsi"/>
                <w:sz w:val="20"/>
                <w:szCs w:val="20"/>
              </w:rPr>
              <w:t>. Denk bijvoorbeeld aan monitoring en surveillance.</w:t>
            </w:r>
          </w:p>
          <w:p w:rsidR="004332BF" w:rsidP="004332BF" w:rsidRDefault="004332BF" w14:paraId="5C88233F" w14:textId="77777777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</w:p>
          <w:p w:rsidRPr="00D27AE1" w:rsidR="004332BF" w:rsidP="0016787D" w:rsidRDefault="004332BF" w14:paraId="36068060" w14:textId="75091236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</w:p>
        </w:tc>
      </w:tr>
      <w:tr w:rsidRPr="00D27AE1" w:rsidR="00FC395F" w:rsidTr="00DE6D27" w14:paraId="7E3ADF36" w14:textId="77777777">
        <w:trPr>
          <w:trHeight w:val="983"/>
        </w:trPr>
        <w:tc>
          <w:tcPr>
            <w:tcW w:w="2640" w:type="dxa"/>
            <w:tcBorders>
              <w:left w:val="nil"/>
            </w:tcBorders>
            <w:shd w:val="clear" w:color="auto" w:fill="7A7A7A"/>
          </w:tcPr>
          <w:p w:rsidRPr="002C7109" w:rsidR="00FC395F" w:rsidP="00DE6D27" w:rsidRDefault="00FC395F" w14:paraId="329BB7AD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b/>
                <w:color w:val="FFFFFF"/>
                <w:sz w:val="20"/>
                <w:szCs w:val="20"/>
              </w:rPr>
            </w:pPr>
          </w:p>
          <w:p w:rsidRPr="00D27AE1" w:rsidR="00FC395F" w:rsidP="00DE6D27" w:rsidRDefault="00FC395F" w14:paraId="1AE23A0C" w14:textId="77777777">
            <w:pPr>
              <w:pStyle w:val="TableParagraph"/>
              <w:tabs>
                <w:tab w:val="left" w:pos="2060"/>
              </w:tabs>
              <w:ind w:left="103" w:right="1066"/>
              <w:rPr>
                <w:rFonts w:cstheme="minorHAnsi"/>
                <w:i/>
                <w:sz w:val="20"/>
                <w:szCs w:val="20"/>
              </w:rPr>
            </w:pPr>
            <w:r w:rsidRPr="00D27AE1">
              <w:rPr>
                <w:rFonts w:cstheme="minorHAnsi"/>
                <w:b/>
                <w:color w:val="FFFFFF"/>
                <w:sz w:val="20"/>
                <w:szCs w:val="20"/>
              </w:rPr>
              <w:t>Evaluatieparagraaf</w:t>
            </w:r>
          </w:p>
        </w:tc>
        <w:tc>
          <w:tcPr>
            <w:tcW w:w="6330" w:type="dxa"/>
            <w:tcBorders>
              <w:right w:val="nil"/>
            </w:tcBorders>
            <w:shd w:val="clear" w:color="auto" w:fill="DBDBDB"/>
            <w:vAlign w:val="center"/>
          </w:tcPr>
          <w:p w:rsidRPr="00D27AE1" w:rsidR="00FC395F" w:rsidP="004332BF" w:rsidRDefault="00F954BD" w14:paraId="73D99BCC" w14:textId="1454035A">
            <w:pPr>
              <w:pStyle w:val="TableParagraph"/>
              <w:tabs>
                <w:tab w:val="left" w:pos="2060"/>
              </w:tabs>
              <w:spacing w:line="213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Eerder is een ex ante evaluatie uitgevoerd op het beleidsprogramma pandemische paraatheid. Nu er geen sprake meer is van een beleidsprogramma zal de evaluatie onderdeel uitmaken van de reguliere beleidscycli.</w:t>
            </w:r>
            <w:r w:rsidR="006E4269">
              <w:rPr>
                <w:rFonts w:cstheme="minorHAnsi"/>
                <w:sz w:val="20"/>
                <w:szCs w:val="20"/>
              </w:rPr>
              <w:t xml:space="preserve"> In de </w:t>
            </w:r>
            <w:r>
              <w:rPr>
                <w:rFonts w:cstheme="minorHAnsi"/>
                <w:sz w:val="20"/>
                <w:szCs w:val="20"/>
              </w:rPr>
              <w:t>brief over het infectieziektebeleid die u komend najaar ontvangt, zal dit worden betrokken</w:t>
            </w:r>
            <w:r w:rsidR="006E4269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</w:tbl>
    <w:p w:rsidR="00B06701" w:rsidRDefault="00B06701" w14:paraId="33920F6E" w14:textId="77777777"/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C48F" w14:textId="77777777" w:rsidR="007361EC" w:rsidRDefault="007361EC" w:rsidP="00E32C43">
      <w:pPr>
        <w:spacing w:line="240" w:lineRule="auto"/>
      </w:pPr>
      <w:r>
        <w:separator/>
      </w:r>
    </w:p>
  </w:endnote>
  <w:endnote w:type="continuationSeparator" w:id="0">
    <w:p w14:paraId="65686F17" w14:textId="77777777" w:rsidR="007361EC" w:rsidRDefault="007361EC" w:rsidP="00E32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3CF9" w14:textId="77777777" w:rsidR="007361EC" w:rsidRDefault="007361EC" w:rsidP="00E32C43">
      <w:pPr>
        <w:spacing w:line="240" w:lineRule="auto"/>
      </w:pPr>
      <w:r>
        <w:separator/>
      </w:r>
    </w:p>
  </w:footnote>
  <w:footnote w:type="continuationSeparator" w:id="0">
    <w:p w14:paraId="3EFA2598" w14:textId="77777777" w:rsidR="007361EC" w:rsidRDefault="007361EC" w:rsidP="00E32C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4F9"/>
    <w:multiLevelType w:val="hybridMultilevel"/>
    <w:tmpl w:val="8D8CCE12"/>
    <w:lvl w:ilvl="0" w:tplc="7B5858EA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E6B"/>
    <w:multiLevelType w:val="hybridMultilevel"/>
    <w:tmpl w:val="32BEEC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25D"/>
    <w:multiLevelType w:val="hybridMultilevel"/>
    <w:tmpl w:val="36CA64E6"/>
    <w:lvl w:ilvl="0" w:tplc="7B5858EA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C34A1"/>
    <w:multiLevelType w:val="hybridMultilevel"/>
    <w:tmpl w:val="A854277E"/>
    <w:lvl w:ilvl="0" w:tplc="7B5858EA"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48206">
    <w:abstractNumId w:val="0"/>
  </w:num>
  <w:num w:numId="2" w16cid:durableId="1405490305">
    <w:abstractNumId w:val="1"/>
  </w:num>
  <w:num w:numId="3" w16cid:durableId="489947633">
    <w:abstractNumId w:val="3"/>
  </w:num>
  <w:num w:numId="4" w16cid:durableId="1277759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F"/>
    <w:rsid w:val="00000787"/>
    <w:rsid w:val="00076C48"/>
    <w:rsid w:val="00090E30"/>
    <w:rsid w:val="000E4C56"/>
    <w:rsid w:val="001270D9"/>
    <w:rsid w:val="00163C30"/>
    <w:rsid w:val="0016787D"/>
    <w:rsid w:val="00182C11"/>
    <w:rsid w:val="001E6A24"/>
    <w:rsid w:val="002666B7"/>
    <w:rsid w:val="002B3A7F"/>
    <w:rsid w:val="002C7264"/>
    <w:rsid w:val="00320A16"/>
    <w:rsid w:val="00354D61"/>
    <w:rsid w:val="00376585"/>
    <w:rsid w:val="003B1A6C"/>
    <w:rsid w:val="003B40D8"/>
    <w:rsid w:val="003F76BA"/>
    <w:rsid w:val="00410793"/>
    <w:rsid w:val="004332BF"/>
    <w:rsid w:val="004A1D01"/>
    <w:rsid w:val="00507EC9"/>
    <w:rsid w:val="00512E24"/>
    <w:rsid w:val="00512EEA"/>
    <w:rsid w:val="00540B9A"/>
    <w:rsid w:val="0055294E"/>
    <w:rsid w:val="005569E6"/>
    <w:rsid w:val="00593885"/>
    <w:rsid w:val="00595192"/>
    <w:rsid w:val="005B3C7B"/>
    <w:rsid w:val="005F32B8"/>
    <w:rsid w:val="00646777"/>
    <w:rsid w:val="006621AC"/>
    <w:rsid w:val="006D29B2"/>
    <w:rsid w:val="006E4269"/>
    <w:rsid w:val="006E4E03"/>
    <w:rsid w:val="007361EC"/>
    <w:rsid w:val="00742617"/>
    <w:rsid w:val="007616C6"/>
    <w:rsid w:val="007B4451"/>
    <w:rsid w:val="007F2A41"/>
    <w:rsid w:val="007F52D8"/>
    <w:rsid w:val="00801164"/>
    <w:rsid w:val="00810C9C"/>
    <w:rsid w:val="00815D6B"/>
    <w:rsid w:val="00816FE1"/>
    <w:rsid w:val="008A29D8"/>
    <w:rsid w:val="00913426"/>
    <w:rsid w:val="009247EF"/>
    <w:rsid w:val="0093591D"/>
    <w:rsid w:val="00974E11"/>
    <w:rsid w:val="009D48ED"/>
    <w:rsid w:val="00A2584A"/>
    <w:rsid w:val="00A6103D"/>
    <w:rsid w:val="00A7657D"/>
    <w:rsid w:val="00AA1254"/>
    <w:rsid w:val="00AD308E"/>
    <w:rsid w:val="00B029F1"/>
    <w:rsid w:val="00B06701"/>
    <w:rsid w:val="00B537A0"/>
    <w:rsid w:val="00B944C7"/>
    <w:rsid w:val="00B9761D"/>
    <w:rsid w:val="00BA59AF"/>
    <w:rsid w:val="00BB74CE"/>
    <w:rsid w:val="00C25ABB"/>
    <w:rsid w:val="00CA5B29"/>
    <w:rsid w:val="00CC527C"/>
    <w:rsid w:val="00CF4267"/>
    <w:rsid w:val="00D04787"/>
    <w:rsid w:val="00D07C4C"/>
    <w:rsid w:val="00D36C1D"/>
    <w:rsid w:val="00E12427"/>
    <w:rsid w:val="00E32C43"/>
    <w:rsid w:val="00E410EC"/>
    <w:rsid w:val="00E95225"/>
    <w:rsid w:val="00EE0D99"/>
    <w:rsid w:val="00EE5D79"/>
    <w:rsid w:val="00EF5DD1"/>
    <w:rsid w:val="00F16E7F"/>
    <w:rsid w:val="00F67CBA"/>
    <w:rsid w:val="00F738EE"/>
    <w:rsid w:val="00F77218"/>
    <w:rsid w:val="00F80466"/>
    <w:rsid w:val="00F954BD"/>
    <w:rsid w:val="00FC395F"/>
    <w:rsid w:val="00FF0857"/>
    <w:rsid w:val="00F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AA6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C395F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95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C395F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54D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4D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4D61"/>
    <w:rPr>
      <w:rFonts w:eastAsia="DejaVu Sans" w:cs="Lohit Hindi"/>
      <w:color w:val="000000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4D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4D61"/>
    <w:rPr>
      <w:rFonts w:eastAsia="DejaVu Sans" w:cs="Lohit Hindi"/>
      <w:b/>
      <w:bCs/>
      <w:color w:val="000000"/>
      <w:sz w:val="20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B1A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1A6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3426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F738EE"/>
    <w:pPr>
      <w:spacing w:after="0" w:line="240" w:lineRule="auto"/>
    </w:pPr>
    <w:rPr>
      <w:rFonts w:eastAsia="DejaVu Sans" w:cs="Lohit Hindi"/>
      <w:color w:val="000000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628</ap:Words>
  <ap:Characters>3457</ap:Characters>
  <ap:DocSecurity>0</ap:DocSecurity>
  <ap:Lines>28</ap:Lines>
  <ap:Paragraphs>8</ap:Paragraphs>
  <ap:ScaleCrop>false</ap:ScaleCrop>
  <ap:LinksUpToDate>false</ap:LinksUpToDate>
  <ap:CharactersWithSpaces>4077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2026-05-19T09:00:00.0000000Z</dcterms:created>
  <dcterms:modified xsi:type="dcterms:W3CDTF">2026-05-19T09:01:00.0000000Z</dcterms:modified>
  <version/>
  <category/>
</coreProperties>
</file>