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019C" w:rsidR="0031019C" w:rsidRDefault="004B1B05" w14:paraId="337C37AB" w14:textId="77777777">
      <w:pPr>
        <w:rPr>
          <w:rFonts w:ascii="Calibri" w:hAnsi="Calibri" w:cs="Calibri"/>
          <w:sz w:val="22"/>
          <w:szCs w:val="22"/>
        </w:rPr>
      </w:pPr>
      <w:r w:rsidRPr="0031019C">
        <w:rPr>
          <w:rFonts w:ascii="Calibri" w:hAnsi="Calibri" w:cs="Calibri"/>
          <w:sz w:val="22"/>
          <w:szCs w:val="22"/>
        </w:rPr>
        <w:t>29826</w:t>
      </w:r>
      <w:r w:rsidRPr="0031019C" w:rsidR="0031019C">
        <w:rPr>
          <w:rFonts w:ascii="Calibri" w:hAnsi="Calibri" w:cs="Calibri"/>
          <w:sz w:val="22"/>
          <w:szCs w:val="22"/>
        </w:rPr>
        <w:tab/>
      </w:r>
      <w:r w:rsidRPr="0031019C" w:rsidR="0031019C">
        <w:rPr>
          <w:rFonts w:ascii="Calibri" w:hAnsi="Calibri" w:cs="Calibri"/>
          <w:sz w:val="22"/>
          <w:szCs w:val="22"/>
        </w:rPr>
        <w:tab/>
      </w:r>
      <w:r w:rsidRPr="0031019C" w:rsidR="0031019C">
        <w:rPr>
          <w:rFonts w:ascii="Calibri" w:hAnsi="Calibri" w:cs="Calibri"/>
          <w:sz w:val="22"/>
          <w:szCs w:val="22"/>
        </w:rPr>
        <w:tab/>
        <w:t>Industriebeleid</w:t>
      </w:r>
    </w:p>
    <w:p w:rsidRPr="0031019C" w:rsidR="0031019C" w:rsidP="0031019C" w:rsidRDefault="0031019C" w14:paraId="09AC8ABC" w14:textId="550AE852">
      <w:pPr>
        <w:ind w:left="2124" w:hanging="2124"/>
        <w:rPr>
          <w:rFonts w:ascii="Calibri" w:hAnsi="Calibri" w:cs="Calibri"/>
          <w:spacing w:val="-3"/>
          <w:sz w:val="22"/>
          <w:szCs w:val="22"/>
        </w:rPr>
      </w:pPr>
      <w:r w:rsidRPr="0031019C">
        <w:rPr>
          <w:rFonts w:ascii="Calibri" w:hAnsi="Calibri" w:cs="Calibri"/>
          <w:sz w:val="22"/>
          <w:szCs w:val="22"/>
        </w:rPr>
        <w:t xml:space="preserve">Nr. </w:t>
      </w:r>
      <w:r w:rsidRPr="0031019C">
        <w:rPr>
          <w:rFonts w:ascii="Calibri" w:hAnsi="Calibri" w:cs="Calibri"/>
          <w:sz w:val="22"/>
          <w:szCs w:val="22"/>
        </w:rPr>
        <w:t>311</w:t>
      </w:r>
      <w:r w:rsidRPr="0031019C">
        <w:rPr>
          <w:rFonts w:ascii="Calibri" w:hAnsi="Calibri" w:cs="Calibri"/>
          <w:sz w:val="22"/>
          <w:szCs w:val="22"/>
        </w:rPr>
        <w:tab/>
        <w:t xml:space="preserve">Brief van de minister van Klimaat en Groene Groei en van de staatssecretarissen van </w:t>
      </w:r>
      <w:r w:rsidRPr="0031019C">
        <w:rPr>
          <w:rFonts w:ascii="Calibri" w:hAnsi="Calibri" w:cs="Calibri"/>
          <w:spacing w:val="-3"/>
          <w:sz w:val="22"/>
          <w:szCs w:val="22"/>
        </w:rPr>
        <w:t>Economische Zaken en Klimaat en van Infrastructuur en Waterstaat</w:t>
      </w:r>
    </w:p>
    <w:p w:rsidRPr="0031019C" w:rsidR="0031019C" w:rsidP="004B1B05" w:rsidRDefault="0031019C" w14:paraId="1605EF64" w14:textId="77777777">
      <w:pPr>
        <w:rPr>
          <w:rFonts w:ascii="Calibri" w:hAnsi="Calibri" w:cs="Calibri"/>
          <w:sz w:val="22"/>
          <w:szCs w:val="22"/>
        </w:rPr>
      </w:pPr>
      <w:r w:rsidRPr="0031019C">
        <w:rPr>
          <w:rFonts w:ascii="Calibri" w:hAnsi="Calibri" w:cs="Calibri"/>
          <w:sz w:val="22"/>
          <w:szCs w:val="22"/>
        </w:rPr>
        <w:t>Aan de Voorzitter van de Tweede Kamer der Staten-Generaal</w:t>
      </w:r>
    </w:p>
    <w:p w:rsidRPr="0031019C" w:rsidR="004B1B05" w:rsidP="004B1B05" w:rsidRDefault="0031019C" w14:paraId="3E937DD9" w14:textId="316C0342">
      <w:pPr>
        <w:rPr>
          <w:rFonts w:ascii="Calibri" w:hAnsi="Calibri" w:cs="Calibri"/>
          <w:spacing w:val="-3"/>
          <w:sz w:val="22"/>
          <w:szCs w:val="22"/>
        </w:rPr>
      </w:pPr>
      <w:r w:rsidRPr="0031019C">
        <w:rPr>
          <w:rFonts w:ascii="Calibri" w:hAnsi="Calibri" w:cs="Calibri"/>
          <w:sz w:val="22"/>
          <w:szCs w:val="22"/>
        </w:rPr>
        <w:t>Den Haag, 19 mei 2026</w:t>
      </w:r>
      <w:r w:rsidRPr="0031019C" w:rsidR="00E91FFD">
        <w:rPr>
          <w:rFonts w:ascii="Calibri" w:hAnsi="Calibri" w:cs="Calibri"/>
          <w:sz w:val="22"/>
          <w:szCs w:val="22"/>
        </w:rPr>
        <w:br/>
      </w:r>
      <w:r w:rsidRPr="0031019C" w:rsidR="004B1B05">
        <w:rPr>
          <w:rFonts w:ascii="Calibri" w:hAnsi="Calibri" w:cs="Calibri"/>
          <w:sz w:val="22"/>
          <w:szCs w:val="22"/>
        </w:rPr>
        <w:br/>
      </w:r>
      <w:r w:rsidRPr="0031019C" w:rsidR="004B1B05">
        <w:rPr>
          <w:rFonts w:ascii="Calibri" w:hAnsi="Calibri" w:cs="Calibri"/>
          <w:sz w:val="22"/>
          <w:szCs w:val="22"/>
        </w:rPr>
        <w:br/>
        <w:t xml:space="preserve">Graag informeren wij de Kamer, ten behoeve van de informatiepositie van de Kamer, over twee recente ontwikkelingen. Namens de provincie Noord-Holland, bevoegd gezag voor de vergunningen, toezicht en handhaving bij Tata Steel, heeft de Omgevingsdienst Noordzeekanaalgebied (OD NZKG) bij Tata Steel Nederland (TSN) aangekondigd dat zij een ontwerp-intrekkingsbesluit voorbereidt voor de intrekking van de vergunningen van </w:t>
      </w:r>
      <w:proofErr w:type="spellStart"/>
      <w:r w:rsidRPr="0031019C" w:rsidR="004B1B05">
        <w:rPr>
          <w:rFonts w:ascii="Calibri" w:hAnsi="Calibri" w:cs="Calibri"/>
          <w:sz w:val="22"/>
          <w:szCs w:val="22"/>
        </w:rPr>
        <w:t>kooksgasfabriek</w:t>
      </w:r>
      <w:proofErr w:type="spellEnd"/>
      <w:r w:rsidRPr="0031019C" w:rsidR="004B1B05">
        <w:rPr>
          <w:rFonts w:ascii="Calibri" w:hAnsi="Calibri" w:cs="Calibri"/>
          <w:sz w:val="22"/>
          <w:szCs w:val="22"/>
        </w:rPr>
        <w:t xml:space="preserve"> 1 (KGF1) en </w:t>
      </w:r>
      <w:proofErr w:type="spellStart"/>
      <w:r w:rsidRPr="0031019C" w:rsidR="004B1B05">
        <w:rPr>
          <w:rFonts w:ascii="Calibri" w:hAnsi="Calibri" w:cs="Calibri"/>
          <w:sz w:val="22"/>
          <w:szCs w:val="22"/>
        </w:rPr>
        <w:t>kooksgasfabriek</w:t>
      </w:r>
      <w:proofErr w:type="spellEnd"/>
      <w:r w:rsidRPr="0031019C" w:rsidR="004B1B05">
        <w:rPr>
          <w:rFonts w:ascii="Calibri" w:hAnsi="Calibri" w:cs="Calibri"/>
          <w:sz w:val="22"/>
          <w:szCs w:val="22"/>
        </w:rPr>
        <w:t xml:space="preserve"> 2 (KGF2). Voor KGF2 was de sluiting al onderdeel van de maatwerkafspraak, omdat deze sluiting gekoppeld is aan de bouw van de DRP-EAF.</w:t>
      </w:r>
      <w:r w:rsidRPr="0031019C" w:rsidR="004B1B05">
        <w:rPr>
          <w:rFonts w:ascii="Calibri" w:hAnsi="Calibri" w:cs="Calibri"/>
          <w:sz w:val="22"/>
          <w:szCs w:val="22"/>
        </w:rPr>
        <w:br/>
        <w:t xml:space="preserve">Tata Steel Limited (TSL), het moederbedrijf van TSN heeft afgelopen vrijdag haar jaarcijfers openbaar gemaakt. Hierin wordt ook aandacht besteed aan het voornemen van OD NZKG om de vergunningen van KGF1 en KGF2 in te trekken. In het kader van accountantsverplichtingen die TSL als beursgenoteerd bedrijf heeft, is TSL verplicht elke zogenaamde materiele onzekerheid over de continuïteit van de onderneming (in </w:t>
      </w:r>
      <w:proofErr w:type="spellStart"/>
      <w:r w:rsidRPr="0031019C" w:rsidR="004B1B05">
        <w:rPr>
          <w:rFonts w:ascii="Calibri" w:hAnsi="Calibri" w:cs="Calibri"/>
          <w:sz w:val="22"/>
          <w:szCs w:val="22"/>
        </w:rPr>
        <w:t>casu</w:t>
      </w:r>
      <w:proofErr w:type="spellEnd"/>
      <w:r w:rsidRPr="0031019C" w:rsidR="004B1B05">
        <w:rPr>
          <w:rFonts w:ascii="Calibri" w:hAnsi="Calibri" w:cs="Calibri"/>
          <w:sz w:val="22"/>
          <w:szCs w:val="22"/>
        </w:rPr>
        <w:t xml:space="preserve"> TSN) – wat de ontstane situatie hier is – te vermelden. </w:t>
      </w:r>
    </w:p>
    <w:p w:rsidRPr="0031019C" w:rsidR="004B1B05" w:rsidP="004B1B05" w:rsidRDefault="004B1B05" w14:paraId="7C479EB3" w14:textId="77777777">
      <w:pPr>
        <w:rPr>
          <w:rFonts w:ascii="Calibri" w:hAnsi="Calibri" w:cs="Calibri"/>
          <w:sz w:val="22"/>
          <w:szCs w:val="22"/>
        </w:rPr>
      </w:pPr>
      <w:r w:rsidRPr="0031019C">
        <w:rPr>
          <w:rFonts w:ascii="Calibri" w:hAnsi="Calibri" w:cs="Calibri"/>
          <w:sz w:val="22"/>
          <w:szCs w:val="22"/>
        </w:rPr>
        <w:t>Aanleiding voor het ontwerp-intrekkingsbesluit zijn structurele overschrijdingen van milieunormen, waaronder een te hoge uitstoot van zeer zorgwekkende stoffen (ZZS). Deze stoffen zijn schadelijk voor het milieu en voor de gezondheid. Ondanks eerdere maatregelen zijn de overtredingen niet beëindigd. Ook is volgens OD NZKG gebleken dat het niet aannemelijk is dat binnen afzienbare tijd aan de geldende normen kan worden voldaan. OD NZKG heeft TSN per brief geïnformeerd over deze voorgenomen vervolgstap in de handhaving en dit afgelopen vrijdag ook bekend gemaakt door middel van een persbericht.</w:t>
      </w:r>
      <w:r w:rsidRPr="0031019C">
        <w:rPr>
          <w:rStyle w:val="Voetnootmarkering"/>
          <w:rFonts w:ascii="Calibri" w:hAnsi="Calibri" w:cs="Calibri"/>
          <w:sz w:val="22"/>
          <w:szCs w:val="22"/>
        </w:rPr>
        <w:footnoteReference w:id="1"/>
      </w:r>
      <w:r w:rsidRPr="0031019C">
        <w:rPr>
          <w:rFonts w:ascii="Calibri" w:hAnsi="Calibri" w:cs="Calibri"/>
          <w:sz w:val="22"/>
          <w:szCs w:val="22"/>
        </w:rPr>
        <w:t xml:space="preserve"> Via deze brief informeert het kabinet ook de Tweede Kamer. </w:t>
      </w:r>
    </w:p>
    <w:p w:rsidRPr="0031019C" w:rsidR="004B1B05" w:rsidP="004B1B05" w:rsidRDefault="004B1B05" w14:paraId="36FFC6C5" w14:textId="77777777">
      <w:pPr>
        <w:rPr>
          <w:rFonts w:ascii="Calibri" w:hAnsi="Calibri" w:cs="Calibri"/>
          <w:sz w:val="22"/>
          <w:szCs w:val="22"/>
        </w:rPr>
      </w:pPr>
      <w:r w:rsidRPr="0031019C">
        <w:rPr>
          <w:rFonts w:ascii="Calibri" w:hAnsi="Calibri" w:cs="Calibri"/>
          <w:sz w:val="22"/>
          <w:szCs w:val="22"/>
        </w:rPr>
        <w:t xml:space="preserve">Gelet op de stand van de lopende handhavingstrajecten en de Landelijke Handhavingsstrategie Omgevingsrecht (LHSO), is intrekking van de vergunning(en) volgens het bevoegd gezag de aangewezen volgende stap. Zowel het bedrijf als het bevoegd gezag geven aan een zorgvuldig proces na te streven, zodat tot veilige, verantwoorde en gecontroleerde sluiting gekomen kan worden. Een redelijke </w:t>
      </w:r>
      <w:r w:rsidRPr="0031019C">
        <w:rPr>
          <w:rFonts w:ascii="Calibri" w:hAnsi="Calibri" w:cs="Calibri"/>
          <w:sz w:val="22"/>
          <w:szCs w:val="22"/>
        </w:rPr>
        <w:lastRenderedPageBreak/>
        <w:t>termijn hiervoor wordt op dit moment door OD NZKG onderzocht en is nog niet vastgesteld.</w:t>
      </w:r>
    </w:p>
    <w:p w:rsidRPr="0031019C" w:rsidR="004B1B05" w:rsidP="004B1B05" w:rsidRDefault="004B1B05" w14:paraId="02AC742C" w14:textId="77777777">
      <w:pPr>
        <w:rPr>
          <w:rFonts w:ascii="Calibri" w:hAnsi="Calibri" w:cs="Calibri"/>
          <w:sz w:val="22"/>
          <w:szCs w:val="22"/>
        </w:rPr>
      </w:pPr>
      <w:r w:rsidRPr="0031019C">
        <w:rPr>
          <w:rFonts w:ascii="Calibri" w:hAnsi="Calibri" w:cs="Calibri"/>
          <w:sz w:val="22"/>
          <w:szCs w:val="22"/>
        </w:rPr>
        <w:t>Vanzelfsprekend houdt het kabinet een vinger aan de pols en wordt onderzocht of en zo ja welke implicaties dit voor de maatwerkafspraak met het bedrijf heeft.</w:t>
      </w:r>
    </w:p>
    <w:p w:rsidRPr="0031019C" w:rsidR="004B1B05" w:rsidP="004B1B05" w:rsidRDefault="004B1B05" w14:paraId="2CF16725" w14:textId="77777777">
      <w:pPr>
        <w:rPr>
          <w:rFonts w:ascii="Calibri" w:hAnsi="Calibri" w:cs="Calibri"/>
          <w:sz w:val="22"/>
          <w:szCs w:val="22"/>
        </w:rPr>
      </w:pPr>
      <w:r w:rsidRPr="0031019C">
        <w:rPr>
          <w:rFonts w:ascii="Calibri" w:hAnsi="Calibri" w:cs="Calibri"/>
          <w:sz w:val="22"/>
          <w:szCs w:val="22"/>
        </w:rPr>
        <w:t xml:space="preserve">Helder is dat het bedrijf zich, net als ieder ander bedrijf, aan wet- en regelgeving dient te houden en dat een eventuele maatwerksubsidie moet (blijven) voldoen aan de Europese voorwaarden voor staatssteun onder het geldende staatssteunkader. De staat en de Europese Commissie toetsen hier (doorlopend) op, ook voorafgaand aan het verstrekken van de eventuele subsidie en bijbehorende staatsteungoedkeuring. </w:t>
      </w:r>
    </w:p>
    <w:p w:rsidRPr="0031019C" w:rsidR="004B1B05" w:rsidP="004B1B05" w:rsidRDefault="004B1B05" w14:paraId="05315BAA" w14:textId="77777777">
      <w:pPr>
        <w:rPr>
          <w:rFonts w:ascii="Calibri" w:hAnsi="Calibri" w:cs="Calibri"/>
          <w:sz w:val="22"/>
          <w:szCs w:val="22"/>
        </w:rPr>
      </w:pPr>
      <w:r w:rsidRPr="0031019C">
        <w:rPr>
          <w:rFonts w:ascii="Calibri" w:hAnsi="Calibri" w:cs="Calibri"/>
          <w:sz w:val="22"/>
          <w:szCs w:val="22"/>
        </w:rPr>
        <w:t>De tweede ontwikkeling ziet op de zaak die aanhangig is gemaakt door Stichting Gezondheid op 1 met betrekking tot de maatwerkafspraak met Tata Steel. Het kabinet bereidt zich voor op de zitting bij de kortgedingrechter waar de zaak inhoudelijke behandeld zal worden.</w:t>
      </w:r>
    </w:p>
    <w:p w:rsidRPr="0031019C" w:rsidR="004B1B05" w:rsidP="004B1B05" w:rsidRDefault="004B1B05" w14:paraId="51964AB2" w14:textId="77777777">
      <w:pPr>
        <w:rPr>
          <w:rFonts w:ascii="Calibri" w:hAnsi="Calibri" w:cs="Calibri"/>
          <w:sz w:val="22"/>
          <w:szCs w:val="22"/>
        </w:rPr>
      </w:pPr>
    </w:p>
    <w:p w:rsidRPr="0031019C" w:rsidR="004B1B05" w:rsidP="004B1B05" w:rsidRDefault="004B1B05" w14:paraId="0DBC6283" w14:textId="77777777">
      <w:pPr>
        <w:rPr>
          <w:rFonts w:ascii="Calibri" w:hAnsi="Calibri" w:cs="Calibri"/>
          <w:sz w:val="22"/>
          <w:szCs w:val="22"/>
        </w:rPr>
      </w:pPr>
      <w:r w:rsidRPr="0031019C">
        <w:rPr>
          <w:rFonts w:ascii="Calibri" w:hAnsi="Calibri" w:cs="Calibri"/>
          <w:sz w:val="22"/>
          <w:szCs w:val="22"/>
        </w:rPr>
        <w:t>Wij houden uw Kamer op de hoogte van de ontwikkelingen.</w:t>
      </w:r>
    </w:p>
    <w:p w:rsidRPr="0031019C" w:rsidR="004B1B05" w:rsidP="004B1B05" w:rsidRDefault="004B1B05" w14:paraId="0F1BF8E2" w14:textId="77777777">
      <w:pPr>
        <w:rPr>
          <w:rFonts w:ascii="Calibri" w:hAnsi="Calibri" w:cs="Calibri"/>
          <w:sz w:val="22"/>
          <w:szCs w:val="22"/>
        </w:rPr>
      </w:pPr>
    </w:p>
    <w:p w:rsidRPr="0031019C" w:rsidR="0031019C" w:rsidP="0031019C" w:rsidRDefault="0031019C" w14:paraId="13A0BF8F" w14:textId="77777777">
      <w:pPr>
        <w:pStyle w:val="Geenafstand"/>
        <w:rPr>
          <w:rFonts w:ascii="Calibri" w:hAnsi="Calibri" w:cs="Calibri"/>
          <w:sz w:val="22"/>
          <w:szCs w:val="22"/>
        </w:rPr>
      </w:pPr>
      <w:r w:rsidRPr="0031019C">
        <w:rPr>
          <w:rFonts w:ascii="Calibri" w:hAnsi="Calibri" w:cs="Calibri"/>
          <w:sz w:val="22"/>
          <w:szCs w:val="22"/>
        </w:rPr>
        <w:t>De m</w:t>
      </w:r>
      <w:r w:rsidRPr="0031019C" w:rsidR="004B1B05">
        <w:rPr>
          <w:rFonts w:ascii="Calibri" w:hAnsi="Calibri" w:cs="Calibri"/>
          <w:sz w:val="22"/>
          <w:szCs w:val="22"/>
        </w:rPr>
        <w:t>inister van Klimaat en Groene Groei</w:t>
      </w:r>
      <w:r w:rsidRPr="0031019C">
        <w:rPr>
          <w:rFonts w:ascii="Calibri" w:hAnsi="Calibri" w:cs="Calibri"/>
          <w:sz w:val="22"/>
          <w:szCs w:val="22"/>
        </w:rPr>
        <w:t>,</w:t>
      </w:r>
    </w:p>
    <w:p w:rsidRPr="0031019C" w:rsidR="0031019C" w:rsidP="0031019C" w:rsidRDefault="0031019C" w14:paraId="18E18720" w14:textId="3A9C4107">
      <w:pPr>
        <w:pStyle w:val="Geenafstand"/>
        <w:rPr>
          <w:rFonts w:ascii="Calibri" w:hAnsi="Calibri" w:cs="Calibri"/>
          <w:sz w:val="22"/>
          <w:szCs w:val="22"/>
        </w:rPr>
      </w:pPr>
      <w:r w:rsidRPr="0031019C">
        <w:rPr>
          <w:rFonts w:ascii="Calibri" w:hAnsi="Calibri" w:cs="Calibri"/>
          <w:sz w:val="22"/>
          <w:szCs w:val="22"/>
        </w:rPr>
        <w:t>S.</w:t>
      </w:r>
      <w:r w:rsidRPr="0031019C">
        <w:rPr>
          <w:rFonts w:ascii="Calibri" w:hAnsi="Calibri" w:cs="Calibri"/>
          <w:sz w:val="22"/>
          <w:szCs w:val="22"/>
        </w:rPr>
        <w:t xml:space="preserve"> van Veldhoven-van der Meer </w:t>
      </w:r>
    </w:p>
    <w:p w:rsidRPr="0031019C" w:rsidR="004B1B05" w:rsidP="0031019C" w:rsidRDefault="004B1B05" w14:paraId="0187CEE8" w14:textId="38724A7F">
      <w:pPr>
        <w:pStyle w:val="Geenafstand"/>
        <w:rPr>
          <w:rFonts w:ascii="Calibri" w:hAnsi="Calibri" w:cs="Calibri"/>
          <w:sz w:val="22"/>
          <w:szCs w:val="22"/>
        </w:rPr>
      </w:pPr>
      <w:r w:rsidRPr="0031019C">
        <w:rPr>
          <w:rFonts w:ascii="Calibri" w:hAnsi="Calibri" w:cs="Calibri"/>
          <w:sz w:val="22"/>
          <w:szCs w:val="22"/>
        </w:rPr>
        <w:t xml:space="preserve"> </w:t>
      </w:r>
    </w:p>
    <w:p w:rsidRPr="0031019C" w:rsidR="0031019C" w:rsidP="004B1B05" w:rsidRDefault="0031019C" w14:paraId="0A9EA792" w14:textId="0565A79B">
      <w:pPr>
        <w:rPr>
          <w:rFonts w:ascii="Calibri" w:hAnsi="Calibri" w:cs="Calibri"/>
          <w:spacing w:val="-3"/>
          <w:sz w:val="22"/>
          <w:szCs w:val="22"/>
        </w:rPr>
      </w:pPr>
      <w:r w:rsidRPr="0031019C">
        <w:rPr>
          <w:rFonts w:ascii="Calibri" w:hAnsi="Calibri" w:cs="Calibri"/>
          <w:sz w:val="22"/>
          <w:szCs w:val="22"/>
        </w:rPr>
        <w:t>De s</w:t>
      </w:r>
      <w:r w:rsidRPr="0031019C" w:rsidR="004B1B05">
        <w:rPr>
          <w:rFonts w:ascii="Calibri" w:hAnsi="Calibri" w:cs="Calibri"/>
          <w:sz w:val="22"/>
          <w:szCs w:val="22"/>
        </w:rPr>
        <w:t xml:space="preserve">taatssecretaris van </w:t>
      </w:r>
      <w:r w:rsidRPr="0031019C">
        <w:rPr>
          <w:rFonts w:ascii="Calibri" w:hAnsi="Calibri" w:cs="Calibri"/>
          <w:spacing w:val="-3"/>
          <w:sz w:val="22"/>
          <w:szCs w:val="22"/>
        </w:rPr>
        <w:t>Economische Zaken en Klimaat</w:t>
      </w:r>
      <w:r w:rsidRPr="0031019C">
        <w:rPr>
          <w:rFonts w:ascii="Calibri" w:hAnsi="Calibri" w:cs="Calibri"/>
          <w:sz w:val="22"/>
          <w:szCs w:val="22"/>
        </w:rPr>
        <w:t>,</w:t>
      </w:r>
    </w:p>
    <w:p w:rsidRPr="0031019C" w:rsidR="0031019C" w:rsidP="0031019C" w:rsidRDefault="0031019C" w14:paraId="038F51CD" w14:textId="77777777">
      <w:pPr>
        <w:rPr>
          <w:rFonts w:ascii="Calibri" w:hAnsi="Calibri" w:cs="Calibri"/>
          <w:sz w:val="22"/>
          <w:szCs w:val="22"/>
        </w:rPr>
      </w:pPr>
      <w:r w:rsidRPr="0031019C">
        <w:rPr>
          <w:rFonts w:ascii="Calibri" w:hAnsi="Calibri" w:cs="Calibri"/>
          <w:sz w:val="22"/>
          <w:szCs w:val="22"/>
        </w:rPr>
        <w:t xml:space="preserve">J. de Bat </w:t>
      </w:r>
    </w:p>
    <w:p w:rsidRPr="0031019C" w:rsidR="004B1B05" w:rsidP="0031019C" w:rsidRDefault="0031019C" w14:paraId="38A6F61B" w14:textId="569ABB2F">
      <w:pPr>
        <w:pStyle w:val="Geenafstand"/>
        <w:rPr>
          <w:rFonts w:ascii="Calibri" w:hAnsi="Calibri" w:cs="Calibri"/>
          <w:sz w:val="22"/>
          <w:szCs w:val="22"/>
        </w:rPr>
      </w:pPr>
      <w:r w:rsidRPr="0031019C">
        <w:rPr>
          <w:rFonts w:ascii="Calibri" w:hAnsi="Calibri" w:cs="Calibri"/>
          <w:sz w:val="22"/>
          <w:szCs w:val="22"/>
        </w:rPr>
        <w:t>De s</w:t>
      </w:r>
      <w:r w:rsidRPr="0031019C" w:rsidR="004B1B05">
        <w:rPr>
          <w:rFonts w:ascii="Calibri" w:hAnsi="Calibri" w:cs="Calibri"/>
          <w:sz w:val="22"/>
          <w:szCs w:val="22"/>
        </w:rPr>
        <w:t>taatssecretaris van Infrastructuur en Waterstaat</w:t>
      </w:r>
      <w:r w:rsidRPr="0031019C">
        <w:rPr>
          <w:rFonts w:ascii="Calibri" w:hAnsi="Calibri" w:cs="Calibri"/>
          <w:sz w:val="22"/>
          <w:szCs w:val="22"/>
        </w:rPr>
        <w:t>,</w:t>
      </w:r>
    </w:p>
    <w:p w:rsidRPr="0031019C" w:rsidR="0031019C" w:rsidP="0031019C" w:rsidRDefault="0031019C" w14:paraId="1D3741A9" w14:textId="77777777">
      <w:pPr>
        <w:pStyle w:val="Geenafstand"/>
        <w:rPr>
          <w:rFonts w:ascii="Calibri" w:hAnsi="Calibri" w:cs="Calibri"/>
          <w:sz w:val="22"/>
          <w:szCs w:val="22"/>
        </w:rPr>
      </w:pPr>
      <w:r w:rsidRPr="0031019C">
        <w:rPr>
          <w:rFonts w:ascii="Calibri" w:hAnsi="Calibri" w:cs="Calibri"/>
          <w:sz w:val="22"/>
          <w:szCs w:val="22"/>
        </w:rPr>
        <w:t>A.W.H. Bertram</w:t>
      </w:r>
    </w:p>
    <w:p w:rsidRPr="0031019C" w:rsidR="0031019C" w:rsidP="004B1B05" w:rsidRDefault="0031019C" w14:paraId="4A476D81" w14:textId="77777777">
      <w:pPr>
        <w:rPr>
          <w:rFonts w:ascii="Calibri" w:hAnsi="Calibri" w:cs="Calibri"/>
          <w:sz w:val="22"/>
          <w:szCs w:val="22"/>
        </w:rPr>
      </w:pPr>
    </w:p>
    <w:p w:rsidRPr="0031019C" w:rsidR="00217BEA" w:rsidRDefault="00217BEA" w14:paraId="783C3290" w14:textId="77777777">
      <w:pPr>
        <w:rPr>
          <w:rFonts w:ascii="Calibri" w:hAnsi="Calibri" w:cs="Calibri"/>
          <w:sz w:val="22"/>
          <w:szCs w:val="22"/>
        </w:rPr>
      </w:pPr>
    </w:p>
    <w:sectPr w:rsidRPr="0031019C" w:rsidR="00217BEA" w:rsidSect="004B1B0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CC07" w14:textId="77777777" w:rsidR="00CB73A5" w:rsidRDefault="00CB73A5" w:rsidP="004B1B05">
      <w:pPr>
        <w:spacing w:after="0" w:line="240" w:lineRule="auto"/>
      </w:pPr>
      <w:r>
        <w:separator/>
      </w:r>
    </w:p>
  </w:endnote>
  <w:endnote w:type="continuationSeparator" w:id="0">
    <w:p w14:paraId="1D812060" w14:textId="77777777" w:rsidR="00CB73A5" w:rsidRDefault="00CB73A5" w:rsidP="004B1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8BF6" w14:textId="77777777" w:rsidR="004B1B05" w:rsidRPr="004B1B05" w:rsidRDefault="004B1B05" w:rsidP="004B1B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D2D9" w14:textId="77777777" w:rsidR="004B1B05" w:rsidRPr="004B1B05" w:rsidRDefault="004B1B05" w:rsidP="004B1B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EE00" w14:textId="77777777" w:rsidR="004B1B05" w:rsidRPr="004B1B05" w:rsidRDefault="004B1B05" w:rsidP="004B1B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99CE6" w14:textId="77777777" w:rsidR="00CB73A5" w:rsidRDefault="00CB73A5" w:rsidP="004B1B05">
      <w:pPr>
        <w:spacing w:after="0" w:line="240" w:lineRule="auto"/>
      </w:pPr>
      <w:r>
        <w:separator/>
      </w:r>
    </w:p>
  </w:footnote>
  <w:footnote w:type="continuationSeparator" w:id="0">
    <w:p w14:paraId="0B746417" w14:textId="77777777" w:rsidR="00CB73A5" w:rsidRDefault="00CB73A5" w:rsidP="004B1B05">
      <w:pPr>
        <w:spacing w:after="0" w:line="240" w:lineRule="auto"/>
      </w:pPr>
      <w:r>
        <w:continuationSeparator/>
      </w:r>
    </w:p>
  </w:footnote>
  <w:footnote w:id="1">
    <w:p w14:paraId="39B914BC" w14:textId="77777777" w:rsidR="004B1B05" w:rsidRPr="00682C3C" w:rsidRDefault="004B1B05" w:rsidP="004B1B05">
      <w:pPr>
        <w:pStyle w:val="Voetnoottekst"/>
      </w:pPr>
      <w:r>
        <w:rPr>
          <w:rStyle w:val="Voetnootmarkering"/>
        </w:rPr>
        <w:footnoteRef/>
      </w:r>
      <w:r>
        <w:t xml:space="preserve"> </w:t>
      </w:r>
      <w:hyperlink r:id="rId1" w:history="1">
        <w:r w:rsidRPr="00682C3C">
          <w:rPr>
            <w:rStyle w:val="Hyperlink"/>
          </w:rPr>
          <w:t xml:space="preserve">Omgevingsdienst start procedure tot intrekking vergunningen </w:t>
        </w:r>
        <w:proofErr w:type="spellStart"/>
        <w:r w:rsidRPr="00682C3C">
          <w:rPr>
            <w:rStyle w:val="Hyperlink"/>
          </w:rPr>
          <w:t>Kooksgasfabrieken</w:t>
        </w:r>
        <w:proofErr w:type="spellEnd"/>
        <w:r w:rsidRPr="00682C3C">
          <w:rPr>
            <w:rStyle w:val="Hyperlink"/>
          </w:rPr>
          <w:t xml:space="preserve"> - Omgevingsdienst Noordzeekanaalgebied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1F73" w14:textId="77777777" w:rsidR="004B1B05" w:rsidRPr="004B1B05" w:rsidRDefault="004B1B05" w:rsidP="004B1B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33B6" w14:textId="77777777" w:rsidR="004B1B05" w:rsidRPr="004B1B05" w:rsidRDefault="004B1B05" w:rsidP="004B1B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C45D" w14:textId="77777777" w:rsidR="004B1B05" w:rsidRPr="004B1B05" w:rsidRDefault="004B1B05" w:rsidP="004B1B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05"/>
    <w:rsid w:val="00217BEA"/>
    <w:rsid w:val="00304CE5"/>
    <w:rsid w:val="0031019C"/>
    <w:rsid w:val="004B1B05"/>
    <w:rsid w:val="007D29BA"/>
    <w:rsid w:val="008759B0"/>
    <w:rsid w:val="009E1D13"/>
    <w:rsid w:val="00CB73A5"/>
    <w:rsid w:val="00E91F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526E"/>
  <w15:chartTrackingRefBased/>
  <w15:docId w15:val="{8EFF94C3-E04F-4DCA-A75F-D527E5BE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1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1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1B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1B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1B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1B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1B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1B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1B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B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1B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1B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1B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1B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1B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1B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1B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1B05"/>
    <w:rPr>
      <w:rFonts w:eastAsiaTheme="majorEastAsia" w:cstheme="majorBidi"/>
      <w:color w:val="272727" w:themeColor="text1" w:themeTint="D8"/>
    </w:rPr>
  </w:style>
  <w:style w:type="paragraph" w:styleId="Titel">
    <w:name w:val="Title"/>
    <w:basedOn w:val="Standaard"/>
    <w:next w:val="Standaard"/>
    <w:link w:val="TitelChar"/>
    <w:uiPriority w:val="10"/>
    <w:qFormat/>
    <w:rsid w:val="004B1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1B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1B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1B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1B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1B05"/>
    <w:rPr>
      <w:i/>
      <w:iCs/>
      <w:color w:val="404040" w:themeColor="text1" w:themeTint="BF"/>
    </w:rPr>
  </w:style>
  <w:style w:type="paragraph" w:styleId="Lijstalinea">
    <w:name w:val="List Paragraph"/>
    <w:basedOn w:val="Standaard"/>
    <w:uiPriority w:val="34"/>
    <w:qFormat/>
    <w:rsid w:val="004B1B05"/>
    <w:pPr>
      <w:ind w:left="720"/>
      <w:contextualSpacing/>
    </w:pPr>
  </w:style>
  <w:style w:type="character" w:styleId="Intensievebenadrukking">
    <w:name w:val="Intense Emphasis"/>
    <w:basedOn w:val="Standaardalinea-lettertype"/>
    <w:uiPriority w:val="21"/>
    <w:qFormat/>
    <w:rsid w:val="004B1B05"/>
    <w:rPr>
      <w:i/>
      <w:iCs/>
      <w:color w:val="0F4761" w:themeColor="accent1" w:themeShade="BF"/>
    </w:rPr>
  </w:style>
  <w:style w:type="paragraph" w:styleId="Duidelijkcitaat">
    <w:name w:val="Intense Quote"/>
    <w:basedOn w:val="Standaard"/>
    <w:next w:val="Standaard"/>
    <w:link w:val="DuidelijkcitaatChar"/>
    <w:uiPriority w:val="30"/>
    <w:qFormat/>
    <w:rsid w:val="004B1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1B05"/>
    <w:rPr>
      <w:i/>
      <w:iCs/>
      <w:color w:val="0F4761" w:themeColor="accent1" w:themeShade="BF"/>
    </w:rPr>
  </w:style>
  <w:style w:type="character" w:styleId="Intensieveverwijzing">
    <w:name w:val="Intense Reference"/>
    <w:basedOn w:val="Standaardalinea-lettertype"/>
    <w:uiPriority w:val="32"/>
    <w:qFormat/>
    <w:rsid w:val="004B1B05"/>
    <w:rPr>
      <w:b/>
      <w:bCs/>
      <w:smallCaps/>
      <w:color w:val="0F4761" w:themeColor="accent1" w:themeShade="BF"/>
      <w:spacing w:val="5"/>
    </w:rPr>
  </w:style>
  <w:style w:type="paragraph" w:styleId="Koptekst">
    <w:name w:val="header"/>
    <w:basedOn w:val="Standaard"/>
    <w:link w:val="KoptekstChar1"/>
    <w:rsid w:val="004B1B05"/>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uiPriority w:val="99"/>
    <w:semiHidden/>
    <w:rsid w:val="004B1B05"/>
  </w:style>
  <w:style w:type="paragraph" w:styleId="Voettekst">
    <w:name w:val="footer"/>
    <w:basedOn w:val="Standaard"/>
    <w:link w:val="VoettekstChar1"/>
    <w:rsid w:val="004B1B05"/>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uiPriority w:val="99"/>
    <w:semiHidden/>
    <w:rsid w:val="004B1B05"/>
  </w:style>
  <w:style w:type="paragraph" w:customStyle="1" w:styleId="Huisstijl-Adres">
    <w:name w:val="Huisstijl-Adres"/>
    <w:basedOn w:val="Standaard"/>
    <w:link w:val="Huisstijl-AdresChar"/>
    <w:uiPriority w:val="99"/>
    <w:rsid w:val="004B1B0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B1B05"/>
    <w:rPr>
      <w:rFonts w:ascii="Verdana" w:hAnsi="Verdana"/>
      <w:noProof/>
      <w:sz w:val="13"/>
      <w:lang w:eastAsia="nl-NL"/>
    </w:rPr>
  </w:style>
  <w:style w:type="paragraph" w:customStyle="1" w:styleId="Huisstijl-Gegeven">
    <w:name w:val="Huisstijl-Gegeven"/>
    <w:basedOn w:val="Standaard"/>
    <w:link w:val="Huisstijl-GegevenCharChar"/>
    <w:rsid w:val="004B1B05"/>
    <w:pPr>
      <w:spacing w:after="92" w:line="180" w:lineRule="exact"/>
    </w:pPr>
    <w:rPr>
      <w:rFonts w:ascii="Verdana" w:hAnsi="Verdana"/>
      <w:noProof/>
      <w:sz w:val="13"/>
      <w:lang w:eastAsia="nl-NL"/>
    </w:rPr>
  </w:style>
  <w:style w:type="paragraph" w:customStyle="1" w:styleId="Huisstijl-Rubricering">
    <w:name w:val="Huisstijl-Rubricering"/>
    <w:basedOn w:val="Standaard"/>
    <w:rsid w:val="004B1B0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B1B0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B1B05"/>
    <w:rPr>
      <w:color w:val="0000FF"/>
      <w:u w:val="single"/>
    </w:rPr>
  </w:style>
  <w:style w:type="paragraph" w:customStyle="1" w:styleId="Huisstijl-Retouradres">
    <w:name w:val="Huisstijl-Retouradres"/>
    <w:basedOn w:val="Standaard"/>
    <w:uiPriority w:val="99"/>
    <w:rsid w:val="004B1B05"/>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4B1B05"/>
    <w:pPr>
      <w:spacing w:after="0"/>
    </w:pPr>
    <w:rPr>
      <w:b/>
    </w:rPr>
  </w:style>
  <w:style w:type="paragraph" w:customStyle="1" w:styleId="Huisstijl-Paginanummering">
    <w:name w:val="Huisstijl-Paginanummering"/>
    <w:basedOn w:val="Standaard"/>
    <w:uiPriority w:val="99"/>
    <w:rsid w:val="004B1B05"/>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uiPriority w:val="99"/>
    <w:locked/>
    <w:rsid w:val="004B1B0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B1B0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B1B05"/>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4B1B05"/>
    <w:rPr>
      <w:rFonts w:ascii="Verdana" w:eastAsia="Times New Roman" w:hAnsi="Verdana" w:cs="Times New Roman"/>
      <w:kern w:val="0"/>
      <w:sz w:val="18"/>
      <w:lang w:eastAsia="nl-NL"/>
      <w14:ligatures w14:val="none"/>
    </w:rPr>
  </w:style>
  <w:style w:type="character" w:customStyle="1" w:styleId="VoettekstChar1">
    <w:name w:val="Voettekst Char1"/>
    <w:basedOn w:val="Standaardalinea-lettertype"/>
    <w:link w:val="Voettekst"/>
    <w:rsid w:val="004B1B05"/>
    <w:rPr>
      <w:rFonts w:ascii="Verdana" w:eastAsia="Times New Roman" w:hAnsi="Verdana" w:cs="Times New Roman"/>
      <w:kern w:val="0"/>
      <w:sz w:val="18"/>
      <w:lang w:eastAsia="nl-NL"/>
      <w14:ligatures w14:val="none"/>
    </w:rPr>
  </w:style>
  <w:style w:type="character" w:styleId="Voetnootmarkering">
    <w:name w:val="footnote reference"/>
    <w:basedOn w:val="Standaardalinea-lettertype"/>
    <w:semiHidden/>
    <w:unhideWhenUsed/>
    <w:rsid w:val="004B1B05"/>
    <w:rPr>
      <w:vertAlign w:val="superscript"/>
    </w:rPr>
  </w:style>
  <w:style w:type="paragraph" w:styleId="Geenafstand">
    <w:name w:val="No Spacing"/>
    <w:uiPriority w:val="1"/>
    <w:qFormat/>
    <w:rsid w:val="003101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dnzkg.nl/nieuws/omgevingsdienst-start-procedure-tot-intrekking-vergunningen-kooksgasfabrie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549</ap:Words>
  <ap:Characters>3025</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2026-05-21T13:34:00.0000000Z</dcterms:created>
  <dcterms:modified xsi:type="dcterms:W3CDTF">2026-05-21T13:34:00.0000000Z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