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D8B" w:rsidRDefault="005159BC" w14:paraId="54EB04D6" w14:textId="77777777">
      <w:r>
        <w:t>Geachte voorzitter,</w:t>
      </w:r>
    </w:p>
    <w:p w:rsidR="00E22D8B" w:rsidRDefault="00E22D8B" w14:paraId="54EB04D7" w14:textId="77777777"/>
    <w:p w:rsidRPr="00BD20DB" w:rsidR="00DA31FA" w:rsidP="00DA31FA" w:rsidRDefault="00DA31FA" w14:paraId="13C52B7A" w14:textId="7B2F560F">
      <w:r w:rsidRPr="00BD20DB">
        <w:t xml:space="preserve">Evaluaties vormen een belangrijke basis voor een lerende overheid. Bereikt beleid het gewenste effect (doeltreffendheid)? En gaat dat tegen de laagst mogelijke kosten (doelmatigheid)? Evaluaties verschaffen burgers, bedrijven en uw Kamer inzicht in de effecten van het gevoerde beleid en daarmee de besteding van publieke middelen. Deze informatie kan ingezet worden om de kwaliteit van beleid, publieke voorzieningen, en wetten en regels continue te verbeteren. </w:t>
      </w:r>
    </w:p>
    <w:p w:rsidR="00DA31FA" w:rsidP="00DA31FA" w:rsidRDefault="00DA31FA" w14:paraId="0E219A5A" w14:textId="77777777"/>
    <w:p w:rsidRPr="00BD20DB" w:rsidR="00DA31FA" w:rsidP="00DA31FA" w:rsidRDefault="00DA31FA" w14:paraId="3A2B168F" w14:textId="0BED9C96">
      <w:r w:rsidRPr="00BD20DB">
        <w:t xml:space="preserve">Ik vind het belangrijk om de bevindingen en aanbevelingen van evaluaties mee te nemen in de (door)ontwikkeling van beleid en uw Kamer hierbij te betrekken. Vorig jaar informeerde </w:t>
      </w:r>
      <w:r w:rsidRPr="0090281D" w:rsidR="0090281D">
        <w:t xml:space="preserve">mijn voorgangster </w:t>
      </w:r>
      <w:r w:rsidRPr="00BD20DB">
        <w:t>hierover voor het eerst. Deze brief bevat daarom een overzicht van de opvolging van bevindingen en aanbevelingen van de Periodieke rapportages (de opvolger van beleidsdoorlichtingen) die de afgelopen twee jaar</w:t>
      </w:r>
      <w:r w:rsidR="002E19C4">
        <w:t xml:space="preserve"> zijn</w:t>
      </w:r>
      <w:r w:rsidRPr="00BD20DB">
        <w:t xml:space="preserve"> uitgevoerd binnen mijn departement. Zo blijven de bevindingen en aanbevelingen onder de aandacht, en kan de voortgang meegenomen worden in beleidsdiscussies en besluitvorming. Deze brief geeft invulling aan de acties die in de brief </w:t>
      </w:r>
      <w:r w:rsidR="00100FFF">
        <w:t>V</w:t>
      </w:r>
      <w:r w:rsidRPr="00BD20DB">
        <w:t>ersterk</w:t>
      </w:r>
      <w:r w:rsidR="00100FFF">
        <w:t>ing</w:t>
      </w:r>
      <w:r w:rsidRPr="00BD20DB">
        <w:t xml:space="preserve"> </w:t>
      </w:r>
      <w:proofErr w:type="spellStart"/>
      <w:r w:rsidRPr="00BD20DB">
        <w:t>rijksbrede</w:t>
      </w:r>
      <w:proofErr w:type="spellEnd"/>
      <w:r w:rsidRPr="00BD20DB">
        <w:t xml:space="preserve"> evaluatiestelsel (</w:t>
      </w:r>
      <w:r w:rsidR="003D6012">
        <w:t>K</w:t>
      </w:r>
      <w:r w:rsidRPr="00BD20DB">
        <w:t xml:space="preserve">amerstuk 31865, nr. 267) worden aangekondigd, naar aanleiding van de motie-Van Vroonhoven/Vermeer (19 december 2023; </w:t>
      </w:r>
      <w:r w:rsidR="008A4716">
        <w:t>K</w:t>
      </w:r>
      <w:r w:rsidRPr="00BD20DB">
        <w:t xml:space="preserve">amerstuk 36470, nr. 6). </w:t>
      </w:r>
    </w:p>
    <w:p w:rsidR="00DA31FA" w:rsidP="00DA31FA" w:rsidRDefault="00DA31FA" w14:paraId="220D37B4" w14:textId="77777777"/>
    <w:p w:rsidRPr="00BD20DB" w:rsidR="00DA31FA" w:rsidP="00DA31FA" w:rsidRDefault="00DA31FA" w14:paraId="701EC05E" w14:textId="29610850">
      <w:r w:rsidRPr="00BD20DB">
        <w:t>In de bijlage van deze brief is ook aandacht voor de besparingsvarianten die worden uitgewerkt in Periodieke rapportages. Dit geeft invulling aan de uitwerking van de motie-Van Eijk (</w:t>
      </w:r>
      <w:r w:rsidR="008A4716">
        <w:t>K</w:t>
      </w:r>
      <w:r w:rsidRPr="00BD20DB">
        <w:t xml:space="preserve">amerstuk 31865, nr. 295).  </w:t>
      </w:r>
    </w:p>
    <w:p w:rsidR="00DA31FA" w:rsidP="00DA31FA" w:rsidRDefault="00DA31FA" w14:paraId="66C6B707" w14:textId="77777777"/>
    <w:p w:rsidRPr="00BD20DB" w:rsidR="00DA31FA" w:rsidP="00DA31FA" w:rsidRDefault="00DA31FA" w14:paraId="7068827F" w14:textId="06ECD25C">
      <w:r w:rsidRPr="00BD20DB">
        <w:t>Dit jaar stuur ik u de opvolging van de Periodieke rapportages die de afgelopen twee jaar zijn uitgevoerd. Komende jaren zal ik uw Kamer wederom informeren over deze, en nieuwe Periodieke rapportages die sindsdien zijn uitgevoerd.</w:t>
      </w:r>
    </w:p>
    <w:p w:rsidR="00DA31FA" w:rsidP="00DA31FA" w:rsidRDefault="00DA31FA" w14:paraId="7463451C" w14:textId="77777777"/>
    <w:p w:rsidRPr="00BD20DB" w:rsidR="00DA31FA" w:rsidP="00DA31FA" w:rsidRDefault="00DA31FA" w14:paraId="1F5F307F" w14:textId="77777777">
      <w:r w:rsidRPr="00BD20DB">
        <w:t xml:space="preserve">De Kamer vervult zelf ook een belangrijke rol in het evaluatiestelsel en ik hoop dat deze brief bijdraagt aan het gesprek over beter beleid. </w:t>
      </w:r>
    </w:p>
    <w:p w:rsidR="00E22D8B" w:rsidRDefault="00E22D8B" w14:paraId="54EB04D8" w14:textId="1220EA32"/>
    <w:p w:rsidR="00E22D8B" w:rsidRDefault="00E22D8B" w14:paraId="54EB04D9" w14:textId="77777777"/>
    <w:p w:rsidR="00E22D8B" w:rsidRDefault="00E22D8B" w14:paraId="54EB04DA" w14:textId="77777777"/>
    <w:p w:rsidRPr="00AC268A" w:rsidR="001014E2" w:rsidP="001014E2" w:rsidRDefault="001014E2" w14:paraId="72438C5D" w14:textId="77777777"/>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502"/>
        <w:gridCol w:w="1503"/>
        <w:gridCol w:w="1248"/>
        <w:gridCol w:w="1559"/>
        <w:gridCol w:w="1701"/>
      </w:tblGrid>
      <w:tr w:rsidRPr="00AC268A" w:rsidR="001014E2" w:rsidTr="009F48F2" w14:paraId="790926A0" w14:textId="77777777">
        <w:trPr>
          <w:trHeight w:val="300"/>
        </w:trPr>
        <w:tc>
          <w:tcPr>
            <w:tcW w:w="7513" w:type="dxa"/>
            <w:gridSpan w:val="5"/>
            <w:shd w:val="clear" w:color="auto" w:fill="215E99" w:themeFill="text2" w:themeFillTint="BF"/>
          </w:tcPr>
          <w:p w:rsidRPr="00CB7266" w:rsidR="001014E2" w:rsidP="009F48F2" w:rsidRDefault="001014E2" w14:paraId="246CB284" w14:textId="77777777">
            <w:pPr>
              <w:pStyle w:val="TableParagraph"/>
              <w:spacing w:before="0" w:line="251" w:lineRule="exact"/>
              <w:rPr>
                <w:b/>
                <w:color w:val="FFFFFF" w:themeColor="background1"/>
                <w:sz w:val="18"/>
                <w:szCs w:val="18"/>
                <w:lang w:val="nl-NL"/>
              </w:rPr>
            </w:pPr>
            <w:r w:rsidRPr="00CB7266">
              <w:rPr>
                <w:b/>
                <w:color w:val="FFFFFF" w:themeColor="background1"/>
                <w:sz w:val="18"/>
                <w:szCs w:val="18"/>
                <w:lang w:val="nl-NL"/>
              </w:rPr>
              <w:lastRenderedPageBreak/>
              <w:t>SEA-THEMA: Duurzame ontwikkeling, voedselzekerheid, water en klimaat</w:t>
            </w:r>
          </w:p>
        </w:tc>
      </w:tr>
      <w:tr w:rsidRPr="00AC268A" w:rsidR="001014E2" w:rsidTr="009F48F2" w14:paraId="7C579CA3" w14:textId="77777777">
        <w:trPr>
          <w:trHeight w:val="1245"/>
        </w:trPr>
        <w:tc>
          <w:tcPr>
            <w:tcW w:w="7513" w:type="dxa"/>
            <w:gridSpan w:val="5"/>
          </w:tcPr>
          <w:p w:rsidRPr="00CB7266" w:rsidR="001014E2" w:rsidP="009F48F2" w:rsidRDefault="001014E2" w14:paraId="6F1BBC90" w14:textId="77777777">
            <w:pPr>
              <w:pStyle w:val="TableParagraph"/>
              <w:rPr>
                <w:b/>
                <w:bCs/>
                <w:color w:val="215E99" w:themeColor="text2" w:themeTint="BF"/>
                <w:sz w:val="18"/>
                <w:szCs w:val="18"/>
                <w:lang w:val="nl-NL"/>
              </w:rPr>
            </w:pPr>
            <w:r w:rsidRPr="00CB7266">
              <w:rPr>
                <w:b/>
                <w:bCs/>
                <w:color w:val="215E99" w:themeColor="text2" w:themeTint="BF"/>
                <w:w w:val="105"/>
                <w:sz w:val="18"/>
                <w:szCs w:val="18"/>
                <w:lang w:val="nl-NL"/>
              </w:rPr>
              <w:t>Overkoepelende</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toelichting</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SEA-thema:</w:t>
            </w:r>
            <w:r w:rsidRPr="00CB7266">
              <w:rPr>
                <w:b/>
                <w:bCs/>
                <w:color w:val="215E99" w:themeColor="text2" w:themeTint="BF"/>
                <w:spacing w:val="-3"/>
                <w:w w:val="105"/>
                <w:sz w:val="18"/>
                <w:szCs w:val="18"/>
                <w:lang w:val="nl-NL"/>
              </w:rPr>
              <w:t xml:space="preserve"> </w:t>
            </w:r>
          </w:p>
          <w:p w:rsidRPr="00CB7266" w:rsidR="001014E2" w:rsidP="009F48F2" w:rsidRDefault="001014E2" w14:paraId="161DC4A5" w14:textId="6E527065">
            <w:pPr>
              <w:pStyle w:val="TableParagraph"/>
              <w:spacing w:before="18"/>
              <w:rPr>
                <w:color w:val="215E99" w:themeColor="text2" w:themeTint="BF"/>
                <w:sz w:val="18"/>
                <w:szCs w:val="18"/>
                <w:lang w:val="nl-NL"/>
              </w:rPr>
            </w:pPr>
            <w:r w:rsidRPr="00CB7266">
              <w:rPr>
                <w:color w:val="215E99" w:themeColor="text2" w:themeTint="BF"/>
                <w:sz w:val="18"/>
                <w:szCs w:val="18"/>
                <w:lang w:val="nl-NL"/>
              </w:rPr>
              <w:t xml:space="preserve">De minister voor Buitenlandse Handel en Ontwikkelingshulp werkt aan ontwikkeling om, in ontwikkelingslanden, armoede te verminderen en weerbaarheid te vergroten. Specifiek zet de minister hierbij in op het verbeteren van </w:t>
            </w:r>
            <w:r w:rsidRPr="00BD2313" w:rsidR="00BD2313">
              <w:rPr>
                <w:color w:val="215E99" w:themeColor="text2" w:themeTint="BF"/>
                <w:sz w:val="18"/>
                <w:szCs w:val="18"/>
                <w:lang w:val="nl-NL"/>
              </w:rPr>
              <w:t xml:space="preserve">kleinschalige voedselproductie en het verminderen van ondervoeding </w:t>
            </w:r>
            <w:r w:rsidRPr="00CB7266">
              <w:rPr>
                <w:color w:val="215E99" w:themeColor="text2" w:themeTint="BF"/>
                <w:sz w:val="18"/>
                <w:szCs w:val="18"/>
                <w:lang w:val="nl-NL"/>
              </w:rPr>
              <w:t>(BHO</w:t>
            </w:r>
            <w:r w:rsidR="009011E3">
              <w:rPr>
                <w:color w:val="215E99" w:themeColor="text2" w:themeTint="BF"/>
                <w:sz w:val="18"/>
                <w:szCs w:val="18"/>
                <w:lang w:val="nl-NL"/>
              </w:rPr>
              <w:t>S</w:t>
            </w:r>
            <w:r w:rsidRPr="00CB7266">
              <w:rPr>
                <w:color w:val="215E99" w:themeColor="text2" w:themeTint="BF"/>
                <w:sz w:val="18"/>
                <w:szCs w:val="18"/>
                <w:lang w:val="nl-NL"/>
              </w:rPr>
              <w:t xml:space="preserve"> artikel 2.1); het verbeteren van waterbeheer, drinkwater en </w:t>
            </w:r>
            <w:proofErr w:type="spellStart"/>
            <w:r w:rsidRPr="00CB7266">
              <w:rPr>
                <w:color w:val="215E99" w:themeColor="text2" w:themeTint="BF"/>
                <w:sz w:val="18"/>
                <w:szCs w:val="18"/>
                <w:lang w:val="nl-NL"/>
              </w:rPr>
              <w:t>sanitatie</w:t>
            </w:r>
            <w:proofErr w:type="spellEnd"/>
            <w:r w:rsidRPr="00CB7266">
              <w:rPr>
                <w:color w:val="215E99" w:themeColor="text2" w:themeTint="BF"/>
                <w:sz w:val="18"/>
                <w:szCs w:val="18"/>
                <w:lang w:val="nl-NL"/>
              </w:rPr>
              <w:t xml:space="preserve"> (BHO</w:t>
            </w:r>
            <w:r w:rsidR="009011E3">
              <w:rPr>
                <w:color w:val="215E99" w:themeColor="text2" w:themeTint="BF"/>
                <w:sz w:val="18"/>
                <w:szCs w:val="18"/>
                <w:lang w:val="nl-NL"/>
              </w:rPr>
              <w:t>S</w:t>
            </w:r>
            <w:r w:rsidRPr="00CB7266">
              <w:rPr>
                <w:color w:val="215E99" w:themeColor="text2" w:themeTint="BF"/>
                <w:sz w:val="18"/>
                <w:szCs w:val="18"/>
                <w:lang w:val="nl-NL"/>
              </w:rPr>
              <w:t xml:space="preserve"> artikel 2.2); het verbeteren van toegang tot schone energie, bos- en grondstoffenbeheer (BHO</w:t>
            </w:r>
            <w:r w:rsidR="009011E3">
              <w:rPr>
                <w:color w:val="215E99" w:themeColor="text2" w:themeTint="BF"/>
                <w:sz w:val="18"/>
                <w:szCs w:val="18"/>
                <w:lang w:val="nl-NL"/>
              </w:rPr>
              <w:t>S</w:t>
            </w:r>
            <w:r w:rsidRPr="00CB7266">
              <w:rPr>
                <w:color w:val="215E99" w:themeColor="text2" w:themeTint="BF"/>
                <w:sz w:val="18"/>
                <w:szCs w:val="18"/>
                <w:lang w:val="nl-NL"/>
              </w:rPr>
              <w:t xml:space="preserve"> artikel 2.3).</w:t>
            </w:r>
          </w:p>
          <w:p w:rsidR="001014E2" w:rsidP="00D33DC7" w:rsidRDefault="001014E2" w14:paraId="360B8073" w14:textId="77777777">
            <w:pPr>
              <w:pStyle w:val="TableParagraph"/>
              <w:spacing w:before="18"/>
              <w:rPr>
                <w:color w:val="215E99" w:themeColor="text2" w:themeTint="BF"/>
                <w:sz w:val="18"/>
                <w:szCs w:val="18"/>
                <w:lang w:val="nl-NL"/>
              </w:rPr>
            </w:pPr>
            <w:r w:rsidRPr="00CB7266">
              <w:rPr>
                <w:color w:val="215E99" w:themeColor="text2" w:themeTint="BF"/>
                <w:sz w:val="18"/>
                <w:szCs w:val="18"/>
                <w:lang w:val="nl-NL"/>
              </w:rPr>
              <w:t xml:space="preserve">Het beleid op deze onderwerpen staat beschreven in verschillende, (sub)thema-specifieke, strategieën zoals de internationale klimaatstrategie (IKS); de gemene deler van deze strategieën is het gebruik van natuurlijke hulpbronnen en ecosystemen. Ongeacht het inhoudelijke onderwerp, werkt de minister onder dit thema steeds aan duurzame toegang tot basisvoorzieningen zoals WASH, schone energie en een voedzaam dieet enerzijds en aan duurzame productie van die basisvoorzieningen, inclusief de bescherming van (bron-)ecosystemen als stroomgebieden, bossen en landbouwgronden, anderzijds. De beleidsdoelstellingen die de minister hanteert zijn gekoppeld aan de </w:t>
            </w:r>
            <w:proofErr w:type="spellStart"/>
            <w:r w:rsidRPr="00CB7266">
              <w:rPr>
                <w:color w:val="215E99" w:themeColor="text2" w:themeTint="BF"/>
                <w:sz w:val="18"/>
                <w:szCs w:val="18"/>
                <w:lang w:val="nl-NL"/>
              </w:rPr>
              <w:t>Sustainable</w:t>
            </w:r>
            <w:proofErr w:type="spellEnd"/>
            <w:r w:rsidRPr="00CB7266">
              <w:rPr>
                <w:color w:val="215E99" w:themeColor="text2" w:themeTint="BF"/>
                <w:sz w:val="18"/>
                <w:szCs w:val="18"/>
                <w:lang w:val="nl-NL"/>
              </w:rPr>
              <w:t xml:space="preserve"> Development Goals (</w:t>
            </w:r>
            <w:proofErr w:type="spellStart"/>
            <w:r w:rsidRPr="00CB7266">
              <w:rPr>
                <w:color w:val="215E99" w:themeColor="text2" w:themeTint="BF"/>
                <w:sz w:val="18"/>
                <w:szCs w:val="18"/>
                <w:lang w:val="nl-NL"/>
              </w:rPr>
              <w:t>SDG's</w:t>
            </w:r>
            <w:proofErr w:type="spellEnd"/>
            <w:r w:rsidRPr="00CB7266">
              <w:rPr>
                <w:color w:val="215E99" w:themeColor="text2" w:themeTint="BF"/>
                <w:sz w:val="18"/>
                <w:szCs w:val="18"/>
                <w:lang w:val="nl-NL"/>
              </w:rPr>
              <w:t xml:space="preserve"> - 2, 6, 7, 13, 15) en, net als de </w:t>
            </w:r>
            <w:proofErr w:type="spellStart"/>
            <w:r w:rsidRPr="00CB7266">
              <w:rPr>
                <w:color w:val="215E99" w:themeColor="text2" w:themeTint="BF"/>
                <w:sz w:val="18"/>
                <w:szCs w:val="18"/>
                <w:lang w:val="nl-NL"/>
              </w:rPr>
              <w:t>SDG's</w:t>
            </w:r>
            <w:proofErr w:type="spellEnd"/>
            <w:r w:rsidRPr="00CB7266">
              <w:rPr>
                <w:color w:val="215E99" w:themeColor="text2" w:themeTint="BF"/>
                <w:sz w:val="18"/>
                <w:szCs w:val="18"/>
                <w:lang w:val="nl-NL"/>
              </w:rPr>
              <w:t>, geformuleerd tot 2030.</w:t>
            </w:r>
          </w:p>
          <w:p w:rsidRPr="00D33DC7" w:rsidR="002A670E" w:rsidP="00D33DC7" w:rsidRDefault="002A670E" w14:paraId="1A384910" w14:textId="331A4A57">
            <w:pPr>
              <w:pStyle w:val="TableParagraph"/>
              <w:spacing w:before="18"/>
              <w:rPr>
                <w:color w:val="215E99" w:themeColor="text2" w:themeTint="BF"/>
                <w:sz w:val="18"/>
                <w:szCs w:val="18"/>
                <w:lang w:val="nl-NL"/>
              </w:rPr>
            </w:pPr>
          </w:p>
        </w:tc>
      </w:tr>
      <w:tr w:rsidRPr="00AC268A" w:rsidR="001014E2" w:rsidTr="009F48F2" w14:paraId="21A71A14" w14:textId="77777777">
        <w:trPr>
          <w:trHeight w:val="1245"/>
        </w:trPr>
        <w:tc>
          <w:tcPr>
            <w:tcW w:w="1502" w:type="dxa"/>
          </w:tcPr>
          <w:p w:rsidRPr="00CB7266" w:rsidR="001014E2" w:rsidP="009F48F2" w:rsidRDefault="001014E2" w14:paraId="48211166" w14:textId="77777777">
            <w:pPr>
              <w:pStyle w:val="TableParagraph"/>
              <w:rPr>
                <w:b/>
                <w:bCs/>
                <w:color w:val="215E99" w:themeColor="text2" w:themeTint="BF"/>
                <w:w w:val="105"/>
                <w:sz w:val="18"/>
                <w:szCs w:val="18"/>
              </w:rPr>
            </w:pPr>
            <w:r>
              <w:rPr>
                <w:b/>
                <w:bCs/>
                <w:color w:val="215E99" w:themeColor="text2" w:themeTint="BF"/>
                <w:w w:val="105"/>
                <w:sz w:val="18"/>
                <w:szCs w:val="18"/>
              </w:rPr>
              <w:t xml:space="preserve">Titel </w:t>
            </w:r>
            <w:proofErr w:type="spellStart"/>
            <w:r>
              <w:rPr>
                <w:b/>
                <w:bCs/>
                <w:color w:val="215E99" w:themeColor="text2" w:themeTint="BF"/>
                <w:w w:val="105"/>
                <w:sz w:val="18"/>
                <w:szCs w:val="18"/>
              </w:rPr>
              <w:t>onderzoek</w:t>
            </w:r>
            <w:proofErr w:type="spellEnd"/>
          </w:p>
        </w:tc>
        <w:tc>
          <w:tcPr>
            <w:tcW w:w="1503" w:type="dxa"/>
          </w:tcPr>
          <w:p w:rsidRPr="00CB7266" w:rsidR="001014E2" w:rsidP="009F48F2" w:rsidRDefault="001014E2" w14:paraId="37A55D62" w14:textId="77777777">
            <w:pPr>
              <w:pStyle w:val="TableParagraph"/>
              <w:rPr>
                <w:b/>
                <w:bCs/>
                <w:color w:val="215E99" w:themeColor="text2" w:themeTint="BF"/>
                <w:w w:val="105"/>
                <w:sz w:val="18"/>
                <w:szCs w:val="18"/>
              </w:rPr>
            </w:pPr>
            <w:r>
              <w:rPr>
                <w:b/>
                <w:bCs/>
                <w:color w:val="215E99" w:themeColor="text2" w:themeTint="BF"/>
                <w:w w:val="105"/>
                <w:sz w:val="18"/>
                <w:szCs w:val="18"/>
              </w:rPr>
              <w:t xml:space="preserve">Type </w:t>
            </w:r>
            <w:proofErr w:type="spellStart"/>
            <w:r>
              <w:rPr>
                <w:b/>
                <w:bCs/>
                <w:color w:val="215E99" w:themeColor="text2" w:themeTint="BF"/>
                <w:w w:val="105"/>
                <w:sz w:val="18"/>
                <w:szCs w:val="18"/>
              </w:rPr>
              <w:t>onderzoek</w:t>
            </w:r>
            <w:proofErr w:type="spellEnd"/>
          </w:p>
        </w:tc>
        <w:tc>
          <w:tcPr>
            <w:tcW w:w="1248" w:type="dxa"/>
          </w:tcPr>
          <w:p w:rsidRPr="00CB7266" w:rsidR="001014E2" w:rsidP="009F48F2" w:rsidRDefault="001014E2" w14:paraId="5DFC3E95" w14:textId="77777777">
            <w:pPr>
              <w:pStyle w:val="TableParagraph"/>
              <w:rPr>
                <w:b/>
                <w:bCs/>
                <w:color w:val="215E99" w:themeColor="text2" w:themeTint="BF"/>
                <w:w w:val="105"/>
                <w:sz w:val="18"/>
                <w:szCs w:val="18"/>
              </w:rPr>
            </w:pPr>
            <w:r>
              <w:rPr>
                <w:b/>
                <w:bCs/>
                <w:color w:val="215E99" w:themeColor="text2" w:themeTint="BF"/>
                <w:w w:val="105"/>
                <w:sz w:val="18"/>
                <w:szCs w:val="18"/>
              </w:rPr>
              <w:t xml:space="preserve">Jaar </w:t>
            </w:r>
            <w:proofErr w:type="spellStart"/>
            <w:r>
              <w:rPr>
                <w:b/>
                <w:bCs/>
                <w:color w:val="215E99" w:themeColor="text2" w:themeTint="BF"/>
                <w:w w:val="105"/>
                <w:sz w:val="18"/>
                <w:szCs w:val="18"/>
              </w:rPr>
              <w:t>afronding</w:t>
            </w:r>
            <w:proofErr w:type="spellEnd"/>
          </w:p>
        </w:tc>
        <w:tc>
          <w:tcPr>
            <w:tcW w:w="1559" w:type="dxa"/>
          </w:tcPr>
          <w:p w:rsidRPr="00CB7266" w:rsidR="001014E2" w:rsidP="009F48F2" w:rsidRDefault="001014E2" w14:paraId="30F9CCFF" w14:textId="77777777">
            <w:pPr>
              <w:pStyle w:val="TableParagraph"/>
              <w:rPr>
                <w:b/>
                <w:bCs/>
                <w:color w:val="215E99" w:themeColor="text2" w:themeTint="BF"/>
                <w:w w:val="105"/>
                <w:sz w:val="18"/>
                <w:szCs w:val="18"/>
              </w:rPr>
            </w:pPr>
            <w:proofErr w:type="spellStart"/>
            <w:r>
              <w:rPr>
                <w:b/>
                <w:bCs/>
                <w:color w:val="215E99" w:themeColor="text2" w:themeTint="BF"/>
                <w:w w:val="105"/>
                <w:sz w:val="18"/>
                <w:szCs w:val="18"/>
              </w:rPr>
              <w:t>Begrotings-artikel</w:t>
            </w:r>
            <w:proofErr w:type="spellEnd"/>
            <w:r>
              <w:rPr>
                <w:b/>
                <w:bCs/>
                <w:color w:val="215E99" w:themeColor="text2" w:themeTint="BF"/>
                <w:w w:val="105"/>
                <w:sz w:val="18"/>
                <w:szCs w:val="18"/>
              </w:rPr>
              <w:t>(</w:t>
            </w:r>
            <w:proofErr w:type="spellStart"/>
            <w:r>
              <w:rPr>
                <w:b/>
                <w:bCs/>
                <w:color w:val="215E99" w:themeColor="text2" w:themeTint="BF"/>
                <w:w w:val="105"/>
                <w:sz w:val="18"/>
                <w:szCs w:val="18"/>
              </w:rPr>
              <w:t>en</w:t>
            </w:r>
            <w:proofErr w:type="spellEnd"/>
            <w:r>
              <w:rPr>
                <w:b/>
                <w:bCs/>
                <w:color w:val="215E99" w:themeColor="text2" w:themeTint="BF"/>
                <w:w w:val="105"/>
                <w:sz w:val="18"/>
                <w:szCs w:val="18"/>
              </w:rPr>
              <w:t>)</w:t>
            </w:r>
          </w:p>
        </w:tc>
        <w:tc>
          <w:tcPr>
            <w:tcW w:w="1701" w:type="dxa"/>
          </w:tcPr>
          <w:p w:rsidRPr="00CB7266" w:rsidR="001014E2" w:rsidP="009F48F2" w:rsidRDefault="001014E2" w14:paraId="7A3A1791" w14:textId="77777777">
            <w:pPr>
              <w:pStyle w:val="TableParagraph"/>
              <w:rPr>
                <w:b/>
                <w:bCs/>
                <w:color w:val="215E99" w:themeColor="text2" w:themeTint="BF"/>
                <w:w w:val="105"/>
                <w:sz w:val="18"/>
                <w:szCs w:val="18"/>
              </w:rPr>
            </w:pPr>
            <w:proofErr w:type="spellStart"/>
            <w:r>
              <w:rPr>
                <w:b/>
                <w:bCs/>
                <w:color w:val="215E99" w:themeColor="text2" w:themeTint="BF"/>
                <w:w w:val="105"/>
                <w:sz w:val="18"/>
                <w:szCs w:val="18"/>
              </w:rPr>
              <w:t>Budgettaire</w:t>
            </w:r>
            <w:proofErr w:type="spellEnd"/>
            <w:r>
              <w:rPr>
                <w:b/>
                <w:bCs/>
                <w:color w:val="215E99" w:themeColor="text2" w:themeTint="BF"/>
                <w:w w:val="105"/>
                <w:sz w:val="18"/>
                <w:szCs w:val="18"/>
              </w:rPr>
              <w:t xml:space="preserve"> </w:t>
            </w:r>
            <w:proofErr w:type="spellStart"/>
            <w:r>
              <w:rPr>
                <w:b/>
                <w:bCs/>
                <w:color w:val="215E99" w:themeColor="text2" w:themeTint="BF"/>
                <w:w w:val="105"/>
                <w:sz w:val="18"/>
                <w:szCs w:val="18"/>
              </w:rPr>
              <w:t>grondslag</w:t>
            </w:r>
            <w:proofErr w:type="spellEnd"/>
            <w:r>
              <w:rPr>
                <w:b/>
                <w:bCs/>
                <w:color w:val="215E99" w:themeColor="text2" w:themeTint="BF"/>
                <w:w w:val="105"/>
                <w:sz w:val="18"/>
                <w:szCs w:val="18"/>
              </w:rPr>
              <w:t xml:space="preserve"> (</w:t>
            </w:r>
            <w:proofErr w:type="spellStart"/>
            <w:r>
              <w:rPr>
                <w:b/>
                <w:bCs/>
                <w:color w:val="215E99" w:themeColor="text2" w:themeTint="BF"/>
                <w:w w:val="105"/>
                <w:sz w:val="18"/>
                <w:szCs w:val="18"/>
              </w:rPr>
              <w:t>laatste</w:t>
            </w:r>
            <w:proofErr w:type="spellEnd"/>
            <w:r>
              <w:rPr>
                <w:b/>
                <w:bCs/>
                <w:color w:val="215E99" w:themeColor="text2" w:themeTint="BF"/>
                <w:w w:val="105"/>
                <w:sz w:val="18"/>
                <w:szCs w:val="18"/>
              </w:rPr>
              <w:t xml:space="preserve"> </w:t>
            </w:r>
            <w:proofErr w:type="spellStart"/>
            <w:r>
              <w:rPr>
                <w:b/>
                <w:bCs/>
                <w:color w:val="215E99" w:themeColor="text2" w:themeTint="BF"/>
                <w:w w:val="105"/>
                <w:sz w:val="18"/>
                <w:szCs w:val="18"/>
              </w:rPr>
              <w:t>evaluatiejaar</w:t>
            </w:r>
            <w:proofErr w:type="spellEnd"/>
            <w:r>
              <w:rPr>
                <w:b/>
                <w:bCs/>
                <w:color w:val="215E99" w:themeColor="text2" w:themeTint="BF"/>
                <w:w w:val="105"/>
                <w:sz w:val="18"/>
                <w:szCs w:val="18"/>
              </w:rPr>
              <w:t>)</w:t>
            </w:r>
          </w:p>
        </w:tc>
      </w:tr>
      <w:tr w:rsidRPr="00AC268A" w:rsidR="001014E2" w:rsidTr="009F48F2" w14:paraId="7CF47EDD" w14:textId="77777777">
        <w:trPr>
          <w:trHeight w:val="1245"/>
        </w:trPr>
        <w:tc>
          <w:tcPr>
            <w:tcW w:w="1502" w:type="dxa"/>
            <w:shd w:val="clear" w:color="auto" w:fill="83CAEB" w:themeFill="accent1" w:themeFillTint="66"/>
          </w:tcPr>
          <w:p w:rsidRPr="00276693" w:rsidR="001014E2" w:rsidP="009F48F2" w:rsidRDefault="001014E2" w14:paraId="22A0233F" w14:textId="77777777">
            <w:pPr>
              <w:pStyle w:val="TableParagraph"/>
              <w:spacing w:line="261" w:lineRule="auto"/>
              <w:ind w:left="101"/>
              <w:rPr>
                <w:color w:val="215E99" w:themeColor="text2" w:themeTint="BF"/>
                <w:spacing w:val="-2"/>
                <w:sz w:val="18"/>
                <w:szCs w:val="18"/>
                <w:lang w:val="nl-NL"/>
              </w:rPr>
            </w:pPr>
            <w:r w:rsidRPr="00276693">
              <w:rPr>
                <w:color w:val="215E99" w:themeColor="text2" w:themeTint="BF"/>
                <w:spacing w:val="-2"/>
                <w:sz w:val="18"/>
                <w:szCs w:val="18"/>
                <w:lang w:val="nl-NL"/>
              </w:rPr>
              <w:t>Periodieke rapportage internationaal klimaatbeleid 2016-2022.</w:t>
            </w:r>
          </w:p>
          <w:p w:rsidRPr="00800FD2" w:rsidR="001014E2" w:rsidP="009F48F2" w:rsidRDefault="001014E2" w14:paraId="7474E147" w14:textId="77777777">
            <w:pPr>
              <w:pStyle w:val="TableParagraph"/>
              <w:rPr>
                <w:b/>
                <w:bCs/>
                <w:color w:val="215E99" w:themeColor="text2" w:themeTint="BF"/>
                <w:w w:val="105"/>
                <w:sz w:val="18"/>
                <w:szCs w:val="18"/>
                <w:lang w:val="nl-NL"/>
              </w:rPr>
            </w:pPr>
            <w:hyperlink w:history="1" r:id="rId13">
              <w:r w:rsidRPr="00CB7266">
                <w:rPr>
                  <w:rStyle w:val="Hyperlink"/>
                  <w:color w:val="215E99" w:themeColor="text2" w:themeTint="BF"/>
                  <w:spacing w:val="-2"/>
                  <w:sz w:val="18"/>
                  <w:szCs w:val="18"/>
                  <w:lang w:val="nl-NL"/>
                </w:rPr>
                <w:t>Een goed klimaat voor ontwikkeling</w:t>
              </w:r>
            </w:hyperlink>
          </w:p>
        </w:tc>
        <w:tc>
          <w:tcPr>
            <w:tcW w:w="1503" w:type="dxa"/>
            <w:shd w:val="clear" w:color="auto" w:fill="83CAEB" w:themeFill="accent1" w:themeFillTint="66"/>
          </w:tcPr>
          <w:p w:rsidRPr="00800FD2" w:rsidR="001014E2" w:rsidP="009F48F2" w:rsidRDefault="001014E2" w14:paraId="42F3663E" w14:textId="77777777">
            <w:pPr>
              <w:pStyle w:val="TableParagraph"/>
              <w:rPr>
                <w:color w:val="215E99" w:themeColor="text2" w:themeTint="BF"/>
                <w:w w:val="105"/>
                <w:sz w:val="18"/>
                <w:szCs w:val="18"/>
                <w:lang w:val="da-DK"/>
              </w:rPr>
            </w:pPr>
            <w:proofErr w:type="spellStart"/>
            <w:r w:rsidRPr="00800FD2">
              <w:rPr>
                <w:color w:val="215E99" w:themeColor="text2" w:themeTint="BF"/>
                <w:w w:val="105"/>
                <w:sz w:val="18"/>
                <w:szCs w:val="18"/>
                <w:lang w:val="da-DK"/>
              </w:rPr>
              <w:t>Periodiek</w:t>
            </w:r>
            <w:r>
              <w:rPr>
                <w:color w:val="215E99" w:themeColor="text2" w:themeTint="BF"/>
                <w:w w:val="105"/>
                <w:sz w:val="18"/>
                <w:szCs w:val="18"/>
                <w:lang w:val="da-DK"/>
              </w:rPr>
              <w:t>e</w:t>
            </w:r>
            <w:proofErr w:type="spellEnd"/>
            <w:r w:rsidRPr="00800FD2">
              <w:rPr>
                <w:color w:val="215E99" w:themeColor="text2" w:themeTint="BF"/>
                <w:w w:val="105"/>
                <w:sz w:val="18"/>
                <w:szCs w:val="18"/>
                <w:lang w:val="da-DK"/>
              </w:rPr>
              <w:t xml:space="preserve"> </w:t>
            </w:r>
            <w:proofErr w:type="spellStart"/>
            <w:r>
              <w:rPr>
                <w:color w:val="215E99" w:themeColor="text2" w:themeTint="BF"/>
                <w:w w:val="105"/>
                <w:sz w:val="18"/>
                <w:szCs w:val="18"/>
                <w:lang w:val="da-DK"/>
              </w:rPr>
              <w:t>r</w:t>
            </w:r>
            <w:r w:rsidRPr="00800FD2">
              <w:rPr>
                <w:color w:val="215E99" w:themeColor="text2" w:themeTint="BF"/>
                <w:w w:val="105"/>
                <w:sz w:val="18"/>
                <w:szCs w:val="18"/>
                <w:lang w:val="da-DK"/>
              </w:rPr>
              <w:t>apportage</w:t>
            </w:r>
            <w:proofErr w:type="spellEnd"/>
            <w:r w:rsidRPr="00800FD2">
              <w:rPr>
                <w:color w:val="215E99" w:themeColor="text2" w:themeTint="BF"/>
                <w:w w:val="105"/>
                <w:sz w:val="18"/>
                <w:szCs w:val="18"/>
                <w:lang w:val="da-DK"/>
              </w:rPr>
              <w:t xml:space="preserve"> </w:t>
            </w:r>
            <w:r>
              <w:rPr>
                <w:color w:val="215E99" w:themeColor="text2" w:themeTint="BF"/>
                <w:w w:val="105"/>
                <w:sz w:val="18"/>
                <w:szCs w:val="18"/>
                <w:lang w:val="da-DK"/>
              </w:rPr>
              <w:t xml:space="preserve">over </w:t>
            </w:r>
            <w:r w:rsidRPr="00800FD2">
              <w:rPr>
                <w:color w:val="215E99" w:themeColor="text2" w:themeTint="BF"/>
                <w:w w:val="105"/>
                <w:sz w:val="18"/>
                <w:szCs w:val="18"/>
                <w:lang w:val="da-DK"/>
              </w:rPr>
              <w:t>periode 2016 t/m</w:t>
            </w:r>
            <w:r>
              <w:rPr>
                <w:color w:val="215E99" w:themeColor="text2" w:themeTint="BF"/>
                <w:w w:val="105"/>
                <w:sz w:val="18"/>
                <w:szCs w:val="18"/>
                <w:lang w:val="da-DK"/>
              </w:rPr>
              <w:t xml:space="preserve"> 2022</w:t>
            </w:r>
          </w:p>
        </w:tc>
        <w:tc>
          <w:tcPr>
            <w:tcW w:w="1248" w:type="dxa"/>
            <w:shd w:val="clear" w:color="auto" w:fill="83CAEB" w:themeFill="accent1" w:themeFillTint="66"/>
          </w:tcPr>
          <w:p w:rsidRPr="00800FD2" w:rsidR="001014E2" w:rsidP="009F48F2" w:rsidRDefault="001014E2" w14:paraId="0EA61F56" w14:textId="77777777">
            <w:pPr>
              <w:pStyle w:val="TableParagraph"/>
              <w:rPr>
                <w:color w:val="215E99" w:themeColor="text2" w:themeTint="BF"/>
                <w:w w:val="105"/>
                <w:sz w:val="18"/>
                <w:szCs w:val="18"/>
                <w:lang w:val="nl-NL"/>
              </w:rPr>
            </w:pPr>
            <w:r w:rsidRPr="00800FD2">
              <w:rPr>
                <w:color w:val="215E99" w:themeColor="text2" w:themeTint="BF"/>
                <w:w w:val="105"/>
                <w:sz w:val="18"/>
                <w:szCs w:val="18"/>
                <w:lang w:val="nl-NL"/>
              </w:rPr>
              <w:t>2024</w:t>
            </w:r>
          </w:p>
        </w:tc>
        <w:tc>
          <w:tcPr>
            <w:tcW w:w="1559" w:type="dxa"/>
            <w:shd w:val="clear" w:color="auto" w:fill="83CAEB" w:themeFill="accent1" w:themeFillTint="66"/>
          </w:tcPr>
          <w:p w:rsidRPr="00800FD2" w:rsidR="001014E2" w:rsidP="009F48F2" w:rsidRDefault="001014E2" w14:paraId="160CCC4F" w14:textId="77777777">
            <w:pPr>
              <w:pStyle w:val="TableParagraph"/>
              <w:rPr>
                <w:color w:val="215E99" w:themeColor="text2" w:themeTint="BF"/>
                <w:w w:val="105"/>
                <w:sz w:val="18"/>
                <w:szCs w:val="18"/>
                <w:lang w:val="nl-NL"/>
              </w:rPr>
            </w:pPr>
            <w:r>
              <w:rPr>
                <w:color w:val="215E99" w:themeColor="text2" w:themeTint="BF"/>
                <w:w w:val="105"/>
                <w:sz w:val="18"/>
                <w:szCs w:val="18"/>
                <w:lang w:val="nl-NL"/>
              </w:rPr>
              <w:t>H17, artikel 2</w:t>
            </w:r>
          </w:p>
        </w:tc>
        <w:tc>
          <w:tcPr>
            <w:tcW w:w="1701" w:type="dxa"/>
            <w:shd w:val="clear" w:color="auto" w:fill="83CAEB" w:themeFill="accent1" w:themeFillTint="66"/>
          </w:tcPr>
          <w:p w:rsidRPr="00CB7266" w:rsidR="001014E2" w:rsidP="009F48F2" w:rsidRDefault="001014E2" w14:paraId="0406B0AB" w14:textId="77777777">
            <w:pPr>
              <w:pStyle w:val="TableParagraph"/>
              <w:rPr>
                <w:color w:val="215E99" w:themeColor="text2" w:themeTint="BF"/>
                <w:sz w:val="18"/>
                <w:szCs w:val="18"/>
                <w:lang w:val="nl-NL"/>
              </w:rPr>
            </w:pPr>
            <w:r w:rsidRPr="00CB7266">
              <w:rPr>
                <w:color w:val="215E99" w:themeColor="text2" w:themeTint="BF"/>
                <w:spacing w:val="-4"/>
                <w:w w:val="105"/>
                <w:sz w:val="18"/>
                <w:szCs w:val="18"/>
                <w:lang w:val="nl-NL"/>
              </w:rPr>
              <w:t>€ 795 mln. totale publieke klimaat</w:t>
            </w:r>
            <w:r>
              <w:rPr>
                <w:color w:val="215E99" w:themeColor="text2" w:themeTint="BF"/>
                <w:spacing w:val="-4"/>
                <w:w w:val="105"/>
                <w:sz w:val="18"/>
                <w:szCs w:val="18"/>
                <w:lang w:val="nl-NL"/>
              </w:rPr>
              <w:t>-</w:t>
            </w:r>
            <w:r w:rsidRPr="00CB7266">
              <w:rPr>
                <w:color w:val="215E99" w:themeColor="text2" w:themeTint="BF"/>
                <w:spacing w:val="-4"/>
                <w:w w:val="105"/>
                <w:sz w:val="18"/>
                <w:szCs w:val="18"/>
                <w:lang w:val="nl-NL"/>
              </w:rPr>
              <w:t>financiering</w:t>
            </w:r>
          </w:p>
          <w:p w:rsidRPr="00AC268A" w:rsidR="001014E2" w:rsidP="009F48F2" w:rsidRDefault="001014E2" w14:paraId="0FB44BEB" w14:textId="77777777">
            <w:pPr>
              <w:spacing w:line="240" w:lineRule="auto"/>
              <w:rPr>
                <w:rFonts w:eastAsia="Verdana" w:cs="Verdana"/>
                <w:color w:val="215E99" w:themeColor="text2" w:themeTint="BF"/>
              </w:rPr>
            </w:pPr>
            <w:r w:rsidRPr="00CB7266">
              <w:rPr>
                <w:rFonts w:eastAsia="Verdana" w:cs="Verdana"/>
                <w:color w:val="215E99" w:themeColor="text2" w:themeTint="BF"/>
                <w:spacing w:val="-4"/>
                <w:w w:val="105"/>
                <w:lang w:val="nl-NL"/>
              </w:rPr>
              <w:t xml:space="preserve"> (incl. </w:t>
            </w:r>
            <w:r w:rsidRPr="00AC268A">
              <w:rPr>
                <w:rFonts w:eastAsia="Verdana" w:cs="Verdana"/>
                <w:color w:val="215E99" w:themeColor="text2" w:themeTint="BF"/>
                <w:spacing w:val="-4"/>
                <w:w w:val="105"/>
              </w:rPr>
              <w:t>IDA,  IBRD, IFC)</w:t>
            </w:r>
          </w:p>
          <w:p w:rsidRPr="00800FD2" w:rsidR="001014E2" w:rsidP="009F48F2" w:rsidRDefault="001014E2" w14:paraId="12D127E7" w14:textId="77777777">
            <w:pPr>
              <w:pStyle w:val="TableParagraph"/>
              <w:rPr>
                <w:b/>
                <w:bCs/>
                <w:color w:val="215E99" w:themeColor="text2" w:themeTint="BF"/>
                <w:w w:val="105"/>
                <w:sz w:val="18"/>
                <w:szCs w:val="18"/>
                <w:lang w:val="nl-NL"/>
              </w:rPr>
            </w:pPr>
          </w:p>
        </w:tc>
      </w:tr>
      <w:tr w:rsidRPr="00AC268A" w:rsidR="001014E2" w:rsidTr="009F48F2" w14:paraId="783AC822" w14:textId="77777777">
        <w:trPr>
          <w:trHeight w:val="748"/>
        </w:trPr>
        <w:tc>
          <w:tcPr>
            <w:tcW w:w="7513" w:type="dxa"/>
            <w:gridSpan w:val="5"/>
          </w:tcPr>
          <w:p w:rsidRPr="00CB7266" w:rsidR="001014E2" w:rsidP="009F48F2" w:rsidRDefault="001014E2" w14:paraId="4AB3DC18" w14:textId="67FBEEF0">
            <w:pPr>
              <w:pStyle w:val="TableParagraph"/>
              <w:spacing w:line="259" w:lineRule="auto"/>
              <w:ind w:right="168"/>
              <w:rPr>
                <w:color w:val="215E99" w:themeColor="text2" w:themeTint="BF"/>
                <w:sz w:val="18"/>
                <w:szCs w:val="18"/>
                <w:lang w:val="nl-NL"/>
              </w:rPr>
            </w:pPr>
            <w:r w:rsidRPr="00CB7266">
              <w:rPr>
                <w:b/>
                <w:bCs/>
                <w:color w:val="215E99" w:themeColor="text2" w:themeTint="BF"/>
                <w:w w:val="105"/>
                <w:sz w:val="18"/>
                <w:szCs w:val="18"/>
                <w:lang w:val="nl-NL"/>
              </w:rPr>
              <w:t xml:space="preserve">Toelichting evaluatie: </w:t>
            </w:r>
            <w:r w:rsidRPr="00CB7266">
              <w:rPr>
                <w:color w:val="215E99" w:themeColor="text2" w:themeTint="BF"/>
                <w:sz w:val="18"/>
                <w:szCs w:val="18"/>
                <w:lang w:val="nl-NL"/>
              </w:rPr>
              <w:t>Deze Periodieke rapportage evalueert het Nederlandse klimaatbeleid binnen ontwikkelingssamenwerking voor de periode 2016 tot en met 2021 met updates voor 2022. Hoofdvraag bij het onderzoek was: Hoe heeft het Nederlandse internationale klimaatbeleid ontwikkelingslanden ondersteun</w:t>
            </w:r>
            <w:r w:rsidR="0002274E">
              <w:rPr>
                <w:color w:val="215E99" w:themeColor="text2" w:themeTint="BF"/>
                <w:sz w:val="18"/>
                <w:szCs w:val="18"/>
                <w:lang w:val="nl-NL"/>
              </w:rPr>
              <w:t>d?</w:t>
            </w:r>
          </w:p>
          <w:p w:rsidRPr="00CB7266" w:rsidR="001014E2" w:rsidP="009F48F2" w:rsidRDefault="001014E2" w14:paraId="710F6FA4" w14:textId="77777777">
            <w:pPr>
              <w:pStyle w:val="TableParagraph"/>
              <w:spacing w:line="259" w:lineRule="auto"/>
              <w:ind w:right="168"/>
              <w:rPr>
                <w:sz w:val="18"/>
                <w:szCs w:val="18"/>
                <w:lang w:val="nl-NL"/>
              </w:rPr>
            </w:pPr>
          </w:p>
        </w:tc>
      </w:tr>
      <w:tr w:rsidRPr="00AC268A" w:rsidR="001014E2" w:rsidTr="009F48F2" w14:paraId="621B8E3A" w14:textId="77777777">
        <w:trPr>
          <w:trHeight w:val="364"/>
        </w:trPr>
        <w:tc>
          <w:tcPr>
            <w:tcW w:w="4253" w:type="dxa"/>
            <w:gridSpan w:val="3"/>
          </w:tcPr>
          <w:p w:rsidRPr="0055200A" w:rsidR="001014E2" w:rsidP="009F48F2" w:rsidRDefault="001014E2" w14:paraId="021CAD60" w14:textId="77777777">
            <w:pPr>
              <w:pStyle w:val="TableParagraph"/>
              <w:spacing w:before="19"/>
              <w:rPr>
                <w:b/>
                <w:bCs/>
                <w:iCs/>
                <w:color w:val="215E99" w:themeColor="text2" w:themeTint="BF"/>
                <w:sz w:val="18"/>
                <w:szCs w:val="18"/>
              </w:rPr>
            </w:pPr>
            <w:proofErr w:type="spellStart"/>
            <w:r w:rsidRPr="0055200A">
              <w:rPr>
                <w:b/>
                <w:bCs/>
                <w:iCs/>
                <w:color w:val="215E99" w:themeColor="text2" w:themeTint="BF"/>
                <w:spacing w:val="-2"/>
                <w:w w:val="105"/>
                <w:sz w:val="18"/>
                <w:szCs w:val="18"/>
              </w:rPr>
              <w:t>Aanbevelingen</w:t>
            </w:r>
            <w:proofErr w:type="spellEnd"/>
            <w:r w:rsidRPr="0055200A">
              <w:rPr>
                <w:b/>
                <w:bCs/>
                <w:iCs/>
                <w:color w:val="215E99" w:themeColor="text2" w:themeTint="BF"/>
                <w:spacing w:val="-2"/>
                <w:w w:val="105"/>
                <w:sz w:val="18"/>
                <w:szCs w:val="18"/>
              </w:rPr>
              <w:t>/</w:t>
            </w:r>
            <w:proofErr w:type="spellStart"/>
            <w:r w:rsidRPr="0055200A">
              <w:rPr>
                <w:b/>
                <w:bCs/>
                <w:iCs/>
                <w:color w:val="215E99" w:themeColor="text2" w:themeTint="BF"/>
                <w:spacing w:val="-2"/>
                <w:w w:val="105"/>
                <w:sz w:val="18"/>
                <w:szCs w:val="18"/>
              </w:rPr>
              <w:t>bevindingen</w:t>
            </w:r>
            <w:proofErr w:type="spellEnd"/>
            <w:r w:rsidRPr="0055200A">
              <w:rPr>
                <w:b/>
                <w:bCs/>
                <w:iCs/>
                <w:color w:val="215E99" w:themeColor="text2" w:themeTint="BF"/>
                <w:spacing w:val="-2"/>
                <w:w w:val="105"/>
                <w:sz w:val="18"/>
                <w:szCs w:val="18"/>
              </w:rPr>
              <w:t>:</w:t>
            </w:r>
          </w:p>
        </w:tc>
        <w:tc>
          <w:tcPr>
            <w:tcW w:w="3260" w:type="dxa"/>
            <w:gridSpan w:val="2"/>
          </w:tcPr>
          <w:p w:rsidRPr="0055200A" w:rsidR="001014E2" w:rsidP="009F48F2" w:rsidRDefault="001014E2" w14:paraId="2133FA71" w14:textId="77777777">
            <w:pPr>
              <w:pStyle w:val="TableParagraph"/>
              <w:spacing w:before="19"/>
              <w:ind w:left="101"/>
              <w:rPr>
                <w:b/>
                <w:bCs/>
                <w:iCs/>
                <w:color w:val="215E99" w:themeColor="text2" w:themeTint="BF"/>
                <w:sz w:val="18"/>
                <w:szCs w:val="18"/>
              </w:rPr>
            </w:pPr>
            <w:proofErr w:type="spellStart"/>
            <w:r w:rsidRPr="0055200A">
              <w:rPr>
                <w:b/>
                <w:bCs/>
                <w:iCs/>
                <w:color w:val="215E99" w:themeColor="text2" w:themeTint="BF"/>
                <w:w w:val="105"/>
                <w:sz w:val="18"/>
                <w:szCs w:val="18"/>
              </w:rPr>
              <w:t>Toelichting</w:t>
            </w:r>
            <w:proofErr w:type="spellEnd"/>
            <w:r w:rsidRPr="0055200A">
              <w:rPr>
                <w:b/>
                <w:bCs/>
                <w:iCs/>
                <w:color w:val="215E99" w:themeColor="text2" w:themeTint="BF"/>
                <w:spacing w:val="-7"/>
                <w:w w:val="105"/>
                <w:sz w:val="18"/>
                <w:szCs w:val="18"/>
              </w:rPr>
              <w:t xml:space="preserve"> </w:t>
            </w:r>
            <w:r w:rsidRPr="0055200A">
              <w:rPr>
                <w:b/>
                <w:bCs/>
                <w:iCs/>
                <w:color w:val="215E99" w:themeColor="text2" w:themeTint="BF"/>
                <w:w w:val="105"/>
                <w:sz w:val="18"/>
                <w:szCs w:val="18"/>
              </w:rPr>
              <w:t>status</w:t>
            </w:r>
            <w:r w:rsidRPr="0055200A">
              <w:rPr>
                <w:b/>
                <w:bCs/>
                <w:iCs/>
                <w:color w:val="215E99" w:themeColor="text2" w:themeTint="BF"/>
                <w:spacing w:val="10"/>
                <w:w w:val="105"/>
                <w:sz w:val="18"/>
                <w:szCs w:val="18"/>
              </w:rPr>
              <w:t xml:space="preserve"> </w:t>
            </w:r>
            <w:proofErr w:type="spellStart"/>
            <w:r w:rsidRPr="0055200A">
              <w:rPr>
                <w:b/>
                <w:bCs/>
                <w:iCs/>
                <w:color w:val="215E99" w:themeColor="text2" w:themeTint="BF"/>
                <w:spacing w:val="-2"/>
                <w:w w:val="105"/>
                <w:sz w:val="18"/>
                <w:szCs w:val="18"/>
              </w:rPr>
              <w:t>opvolging</w:t>
            </w:r>
            <w:proofErr w:type="spellEnd"/>
            <w:r w:rsidRPr="0055200A">
              <w:rPr>
                <w:b/>
                <w:bCs/>
                <w:iCs/>
                <w:color w:val="215E99" w:themeColor="text2" w:themeTint="BF"/>
                <w:spacing w:val="-2"/>
                <w:w w:val="105"/>
                <w:sz w:val="18"/>
                <w:szCs w:val="18"/>
              </w:rPr>
              <w:t>:</w:t>
            </w:r>
          </w:p>
        </w:tc>
      </w:tr>
      <w:tr w:rsidRPr="00AC268A" w:rsidR="001014E2" w:rsidTr="009F48F2" w14:paraId="2C76737B" w14:textId="77777777">
        <w:trPr>
          <w:trHeight w:val="2237"/>
        </w:trPr>
        <w:tc>
          <w:tcPr>
            <w:tcW w:w="4253" w:type="dxa"/>
            <w:gridSpan w:val="3"/>
          </w:tcPr>
          <w:p w:rsidRPr="00CB7266" w:rsidR="001014E2" w:rsidP="001014E2" w:rsidRDefault="001014E2" w14:paraId="562C3B5C" w14:textId="77777777">
            <w:pPr>
              <w:pStyle w:val="TableParagraph"/>
              <w:numPr>
                <w:ilvl w:val="0"/>
                <w:numId w:val="6"/>
              </w:numPr>
              <w:spacing w:before="19" w:line="268" w:lineRule="auto"/>
              <w:ind w:right="207"/>
              <w:rPr>
                <w:sz w:val="18"/>
                <w:szCs w:val="18"/>
                <w:lang w:val="nl-NL"/>
              </w:rPr>
            </w:pPr>
            <w:r w:rsidRPr="00CB7266">
              <w:rPr>
                <w:w w:val="105"/>
                <w:sz w:val="18"/>
                <w:szCs w:val="18"/>
                <w:lang w:val="nl-NL"/>
              </w:rPr>
              <w:t>Besteed gerichte aandacht aan kwetsbare groepen en klimaatrisico’s, met analyses en M&amp;E</w:t>
            </w:r>
          </w:p>
        </w:tc>
        <w:tc>
          <w:tcPr>
            <w:tcW w:w="3260" w:type="dxa"/>
            <w:gridSpan w:val="2"/>
          </w:tcPr>
          <w:p w:rsidRPr="00CB7266" w:rsidR="001014E2" w:rsidP="00CC4F55" w:rsidRDefault="001014E2" w14:paraId="17057FE1" w14:textId="6F1BB954">
            <w:pPr>
              <w:pStyle w:val="TableParagraph"/>
              <w:spacing w:before="19"/>
              <w:ind w:left="101"/>
              <w:rPr>
                <w:sz w:val="18"/>
                <w:szCs w:val="18"/>
                <w:lang w:val="nl-NL"/>
              </w:rPr>
            </w:pPr>
            <w:r w:rsidRPr="00CB7266">
              <w:rPr>
                <w:w w:val="105"/>
                <w:sz w:val="18"/>
                <w:szCs w:val="18"/>
                <w:lang w:val="nl-NL"/>
              </w:rPr>
              <w:t>Afgerond:</w:t>
            </w:r>
            <w:r w:rsidR="005F0A33">
              <w:rPr>
                <w:w w:val="105"/>
                <w:sz w:val="18"/>
                <w:szCs w:val="18"/>
                <w:lang w:val="nl-NL"/>
              </w:rPr>
              <w:t xml:space="preserve"> </w:t>
            </w:r>
            <w:r w:rsidR="00C06EDF">
              <w:rPr>
                <w:w w:val="105"/>
                <w:sz w:val="18"/>
                <w:szCs w:val="18"/>
                <w:lang w:val="nl-NL"/>
              </w:rPr>
              <w:t>h</w:t>
            </w:r>
            <w:r w:rsidRPr="00CB7266">
              <w:rPr>
                <w:w w:val="105"/>
                <w:sz w:val="18"/>
                <w:szCs w:val="18"/>
                <w:lang w:val="nl-NL"/>
              </w:rPr>
              <w:t>et kabinet heeft verschillende aanvullende maatregelen genomen zoals:</w:t>
            </w:r>
          </w:p>
          <w:p w:rsidRPr="00D2512D" w:rsidR="001014E2" w:rsidP="001014E2" w:rsidRDefault="001014E2" w14:paraId="4907A4EB" w14:textId="77777777">
            <w:pPr>
              <w:pStyle w:val="TableParagraph"/>
              <w:numPr>
                <w:ilvl w:val="0"/>
                <w:numId w:val="8"/>
              </w:numPr>
              <w:spacing w:before="19"/>
              <w:rPr>
                <w:sz w:val="18"/>
                <w:szCs w:val="18"/>
                <w:lang w:val="nl-NL"/>
              </w:rPr>
            </w:pPr>
            <w:r w:rsidRPr="00CB7266">
              <w:rPr>
                <w:w w:val="105"/>
                <w:sz w:val="18"/>
                <w:szCs w:val="18"/>
                <w:lang w:val="nl-NL"/>
              </w:rPr>
              <w:t xml:space="preserve">een verplichte meer expliciete analyse en beoordeling van programma's, vooraf en achteraf, op klimaatrelevantie en </w:t>
            </w:r>
            <w:proofErr w:type="spellStart"/>
            <w:r w:rsidRPr="00CB7266">
              <w:rPr>
                <w:w w:val="105"/>
                <w:sz w:val="18"/>
                <w:szCs w:val="18"/>
                <w:lang w:val="nl-NL"/>
              </w:rPr>
              <w:t>doelgroepbereik</w:t>
            </w:r>
            <w:proofErr w:type="spellEnd"/>
            <w:r w:rsidRPr="00CB7266">
              <w:rPr>
                <w:w w:val="105"/>
                <w:sz w:val="18"/>
                <w:szCs w:val="18"/>
                <w:lang w:val="nl-NL"/>
              </w:rPr>
              <w:t xml:space="preserve">; </w:t>
            </w:r>
          </w:p>
          <w:p w:rsidRPr="00CB7266" w:rsidR="00D2512D" w:rsidP="001014E2" w:rsidRDefault="00D2512D" w14:paraId="47886472" w14:textId="71F54ECE">
            <w:pPr>
              <w:pStyle w:val="TableParagraph"/>
              <w:numPr>
                <w:ilvl w:val="0"/>
                <w:numId w:val="8"/>
              </w:numPr>
              <w:spacing w:before="19"/>
              <w:rPr>
                <w:sz w:val="18"/>
                <w:szCs w:val="18"/>
                <w:lang w:val="nl-NL"/>
              </w:rPr>
            </w:pPr>
            <w:r w:rsidRPr="00D2512D">
              <w:rPr>
                <w:sz w:val="18"/>
                <w:szCs w:val="18"/>
                <w:lang w:val="nl-NL"/>
              </w:rPr>
              <w:t xml:space="preserve">een instructie binnen het ministerie waarin de door IOB </w:t>
            </w:r>
            <w:r w:rsidRPr="00D2512D">
              <w:rPr>
                <w:sz w:val="18"/>
                <w:szCs w:val="18"/>
                <w:lang w:val="nl-NL"/>
              </w:rPr>
              <w:lastRenderedPageBreak/>
              <w:t xml:space="preserve">aanbevolen klimaatlens van de OESO is </w:t>
            </w:r>
            <w:proofErr w:type="spellStart"/>
            <w:r w:rsidRPr="00D2512D">
              <w:rPr>
                <w:sz w:val="18"/>
                <w:szCs w:val="18"/>
                <w:lang w:val="nl-NL"/>
              </w:rPr>
              <w:t>doorvertaald</w:t>
            </w:r>
            <w:proofErr w:type="spellEnd"/>
            <w:r w:rsidRPr="00D2512D">
              <w:rPr>
                <w:sz w:val="18"/>
                <w:szCs w:val="18"/>
                <w:lang w:val="nl-NL"/>
              </w:rPr>
              <w:t xml:space="preserve"> naar de projectcyclus. Van partnerorganisaties wordt verwacht dat zij een klimaatrisicoanalyse uitvoeren en zij kunnen daarbij ondersteund worden.  </w:t>
            </w:r>
          </w:p>
          <w:p w:rsidRPr="00CB7266" w:rsidR="001014E2" w:rsidP="001014E2" w:rsidRDefault="001014E2" w14:paraId="454E9E77" w14:textId="77777777">
            <w:pPr>
              <w:pStyle w:val="TableParagraph"/>
              <w:numPr>
                <w:ilvl w:val="0"/>
                <w:numId w:val="8"/>
              </w:numPr>
              <w:spacing w:before="19"/>
              <w:rPr>
                <w:sz w:val="18"/>
                <w:szCs w:val="18"/>
                <w:lang w:val="nl-NL"/>
              </w:rPr>
            </w:pPr>
            <w:r w:rsidRPr="00CB7266">
              <w:rPr>
                <w:w w:val="105"/>
                <w:sz w:val="18"/>
                <w:szCs w:val="18"/>
                <w:lang w:val="nl-NL"/>
              </w:rPr>
              <w:t>de ontwikkeling van een e-training over klimaatrelevantie voor beleidsmedewerkers en versterking expertise op een aantal ambassades.</w:t>
            </w:r>
          </w:p>
          <w:p w:rsidRPr="00CB7266" w:rsidR="001014E2" w:rsidP="009F48F2" w:rsidRDefault="001014E2" w14:paraId="742225ED" w14:textId="77777777">
            <w:pPr>
              <w:pStyle w:val="TableParagraph"/>
              <w:spacing w:before="19"/>
              <w:ind w:left="101"/>
              <w:rPr>
                <w:sz w:val="18"/>
                <w:szCs w:val="18"/>
                <w:lang w:val="nl-NL"/>
              </w:rPr>
            </w:pPr>
            <w:r w:rsidRPr="00CB7266">
              <w:rPr>
                <w:w w:val="105"/>
                <w:sz w:val="18"/>
                <w:szCs w:val="18"/>
                <w:lang w:val="nl-NL"/>
              </w:rPr>
              <w:t>Het kabinet heeft verder gevolg gegeven aan zijn voornemen om de vraag naar explicietere klimaatrisico- en kwetsbaarheidsanalyses en verbeterde monitoring van kwetsbare groepen nog nadrukkelijker op te nemen in de kaderinstructies voor onze onderhandelingen binnen internationale financiële instellingen (</w:t>
            </w:r>
            <w:proofErr w:type="spellStart"/>
            <w:r w:rsidRPr="00CB7266">
              <w:rPr>
                <w:w w:val="105"/>
                <w:sz w:val="18"/>
                <w:szCs w:val="18"/>
                <w:lang w:val="nl-NL"/>
              </w:rPr>
              <w:t>IFIs</w:t>
            </w:r>
            <w:proofErr w:type="spellEnd"/>
            <w:r w:rsidRPr="00CB7266">
              <w:rPr>
                <w:w w:val="105"/>
                <w:sz w:val="18"/>
                <w:szCs w:val="18"/>
                <w:lang w:val="nl-NL"/>
              </w:rPr>
              <w:t>).</w:t>
            </w:r>
          </w:p>
          <w:p w:rsidRPr="00CB7266" w:rsidR="001014E2" w:rsidP="009F48F2" w:rsidRDefault="001014E2" w14:paraId="5D15E81C" w14:textId="77777777">
            <w:pPr>
              <w:pStyle w:val="TableParagraph"/>
              <w:spacing w:before="19"/>
              <w:ind w:left="101"/>
              <w:rPr>
                <w:w w:val="105"/>
                <w:sz w:val="18"/>
                <w:szCs w:val="18"/>
                <w:lang w:val="nl-NL"/>
              </w:rPr>
            </w:pPr>
          </w:p>
        </w:tc>
      </w:tr>
      <w:tr w:rsidRPr="00AC268A" w:rsidR="001014E2" w:rsidTr="009F48F2" w14:paraId="14101C40" w14:textId="77777777">
        <w:trPr>
          <w:trHeight w:val="2237"/>
        </w:trPr>
        <w:tc>
          <w:tcPr>
            <w:tcW w:w="4253" w:type="dxa"/>
            <w:gridSpan w:val="3"/>
          </w:tcPr>
          <w:p w:rsidRPr="00CB7266" w:rsidR="001014E2" w:rsidP="001014E2" w:rsidRDefault="001014E2" w14:paraId="57391272" w14:textId="77777777">
            <w:pPr>
              <w:pStyle w:val="ListParagraph"/>
              <w:numPr>
                <w:ilvl w:val="0"/>
                <w:numId w:val="6"/>
              </w:numPr>
              <w:rPr>
                <w:rFonts w:eastAsia="Verdana" w:cs="Verdana"/>
                <w:lang w:val="nl-NL"/>
              </w:rPr>
            </w:pPr>
            <w:r w:rsidRPr="00CB7266">
              <w:rPr>
                <w:rFonts w:eastAsia="Verdana" w:cs="Verdana"/>
                <w:w w:val="105"/>
                <w:lang w:val="nl-NL"/>
              </w:rPr>
              <w:lastRenderedPageBreak/>
              <w:t>Ontwikkel geïntegreerde langetermijnstrategieën op water en voedsel</w:t>
            </w:r>
          </w:p>
          <w:p w:rsidRPr="00CB7266" w:rsidR="001014E2" w:rsidP="009F48F2" w:rsidRDefault="001014E2" w14:paraId="4385744F" w14:textId="77777777">
            <w:pPr>
              <w:pStyle w:val="TableParagraph"/>
              <w:spacing w:before="19" w:line="268" w:lineRule="auto"/>
              <w:ind w:left="839" w:right="207" w:hanging="353"/>
              <w:rPr>
                <w:b/>
                <w:w w:val="105"/>
                <w:sz w:val="18"/>
                <w:szCs w:val="18"/>
                <w:lang w:val="nl-NL"/>
              </w:rPr>
            </w:pPr>
          </w:p>
        </w:tc>
        <w:tc>
          <w:tcPr>
            <w:tcW w:w="3260" w:type="dxa"/>
            <w:gridSpan w:val="2"/>
          </w:tcPr>
          <w:p w:rsidR="001014E2" w:rsidP="009F48F2" w:rsidRDefault="001014E2" w14:paraId="327D7120" w14:textId="5D46ACE6">
            <w:pPr>
              <w:pStyle w:val="TableParagraph"/>
              <w:spacing w:before="19"/>
              <w:ind w:left="101"/>
              <w:rPr>
                <w:w w:val="105"/>
                <w:sz w:val="18"/>
                <w:szCs w:val="18"/>
                <w:lang w:val="nl-NL"/>
              </w:rPr>
            </w:pPr>
            <w:r w:rsidRPr="00CB7266">
              <w:rPr>
                <w:w w:val="105"/>
                <w:sz w:val="18"/>
                <w:szCs w:val="18"/>
                <w:lang w:val="nl-NL"/>
              </w:rPr>
              <w:t xml:space="preserve">Onderhanden: Het kabinet deelt </w:t>
            </w:r>
            <w:r w:rsidR="00C057C4">
              <w:rPr>
                <w:w w:val="105"/>
                <w:sz w:val="18"/>
                <w:szCs w:val="18"/>
                <w:lang w:val="nl-NL"/>
              </w:rPr>
              <w:t>he</w:t>
            </w:r>
            <w:r w:rsidRPr="00CB7266">
              <w:rPr>
                <w:w w:val="105"/>
                <w:sz w:val="18"/>
                <w:szCs w:val="18"/>
                <w:lang w:val="nl-NL"/>
              </w:rPr>
              <w:t>t belang</w:t>
            </w:r>
            <w:r w:rsidR="00C057C4">
              <w:rPr>
                <w:w w:val="105"/>
                <w:sz w:val="18"/>
                <w:szCs w:val="18"/>
                <w:lang w:val="nl-NL"/>
              </w:rPr>
              <w:t xml:space="preserve"> van ge</w:t>
            </w:r>
            <w:r w:rsidRPr="00C057C4" w:rsidR="00C057C4">
              <w:rPr>
                <w:w w:val="105"/>
                <w:sz w:val="18"/>
                <w:szCs w:val="18"/>
                <w:lang w:val="nl-NL"/>
              </w:rPr>
              <w:t>ïntegreerde la</w:t>
            </w:r>
            <w:r w:rsidR="00C057C4">
              <w:rPr>
                <w:w w:val="105"/>
                <w:sz w:val="18"/>
                <w:szCs w:val="18"/>
                <w:lang w:val="nl-NL"/>
              </w:rPr>
              <w:t>ngetermijnstrategieën</w:t>
            </w:r>
            <w:r w:rsidRPr="00CB7266">
              <w:rPr>
                <w:w w:val="105"/>
                <w:sz w:val="18"/>
                <w:szCs w:val="18"/>
                <w:lang w:val="nl-NL"/>
              </w:rPr>
              <w:t xml:space="preserve">. Water en Voedselzekerheid </w:t>
            </w:r>
            <w:r w:rsidR="001C21DF">
              <w:rPr>
                <w:w w:val="105"/>
                <w:sz w:val="18"/>
                <w:szCs w:val="18"/>
                <w:lang w:val="nl-NL"/>
              </w:rPr>
              <w:t>worden ook genoemd</w:t>
            </w:r>
            <w:r w:rsidRPr="00CB7266">
              <w:rPr>
                <w:w w:val="105"/>
                <w:sz w:val="18"/>
                <w:szCs w:val="18"/>
                <w:lang w:val="nl-NL"/>
              </w:rPr>
              <w:t xml:space="preserve"> in de beleidsbrief </w:t>
            </w:r>
            <w:r w:rsidR="003D2AB9">
              <w:rPr>
                <w:w w:val="105"/>
                <w:sz w:val="18"/>
                <w:szCs w:val="18"/>
                <w:lang w:val="nl-NL"/>
              </w:rPr>
              <w:t>Buitenlandse Zaken 2026</w:t>
            </w:r>
            <w:r w:rsidRPr="00CB7266">
              <w:rPr>
                <w:w w:val="105"/>
                <w:sz w:val="18"/>
                <w:szCs w:val="18"/>
                <w:lang w:val="nl-NL"/>
              </w:rPr>
              <w:t xml:space="preserve"> (Kamerstuk 36</w:t>
            </w:r>
            <w:r w:rsidR="003D2AB9">
              <w:rPr>
                <w:w w:val="105"/>
                <w:sz w:val="18"/>
                <w:szCs w:val="18"/>
                <w:lang w:val="nl-NL"/>
              </w:rPr>
              <w:t>800</w:t>
            </w:r>
            <w:r w:rsidR="00C0692D">
              <w:rPr>
                <w:w w:val="105"/>
                <w:sz w:val="18"/>
                <w:szCs w:val="18"/>
                <w:lang w:val="nl-NL"/>
              </w:rPr>
              <w:t>,</w:t>
            </w:r>
            <w:r w:rsidRPr="00CB7266">
              <w:rPr>
                <w:w w:val="105"/>
                <w:sz w:val="18"/>
                <w:szCs w:val="18"/>
                <w:lang w:val="nl-NL"/>
              </w:rPr>
              <w:t xml:space="preserve"> nr. 1</w:t>
            </w:r>
            <w:r w:rsidR="003D2AB9">
              <w:rPr>
                <w:w w:val="105"/>
                <w:sz w:val="18"/>
                <w:szCs w:val="18"/>
                <w:lang w:val="nl-NL"/>
              </w:rPr>
              <w:t>03</w:t>
            </w:r>
            <w:r w:rsidRPr="00CB7266">
              <w:rPr>
                <w:w w:val="105"/>
                <w:sz w:val="18"/>
                <w:szCs w:val="18"/>
                <w:lang w:val="nl-NL"/>
              </w:rPr>
              <w:t xml:space="preserve">). </w:t>
            </w:r>
          </w:p>
          <w:p w:rsidRPr="00457786" w:rsidR="001014E2" w:rsidP="00457786" w:rsidRDefault="001014E2" w14:paraId="1F40CD49" w14:textId="53256CC0">
            <w:pPr>
              <w:pStyle w:val="TableParagraph"/>
              <w:spacing w:before="19"/>
              <w:ind w:left="101"/>
              <w:rPr>
                <w:w w:val="105"/>
                <w:sz w:val="18"/>
                <w:szCs w:val="18"/>
                <w:lang w:val="nl-NL"/>
              </w:rPr>
            </w:pPr>
            <w:r w:rsidRPr="00CB7266">
              <w:rPr>
                <w:w w:val="105"/>
                <w:sz w:val="18"/>
                <w:szCs w:val="18"/>
                <w:lang w:val="nl-NL"/>
              </w:rPr>
              <w:t>IOB gaf aan dat bij watermanagement er goede voorbeelden zijn voor een</w:t>
            </w:r>
            <w:r>
              <w:rPr>
                <w:w w:val="105"/>
                <w:sz w:val="18"/>
                <w:szCs w:val="18"/>
                <w:lang w:val="nl-NL"/>
              </w:rPr>
              <w:t xml:space="preserve"> </w:t>
            </w:r>
            <w:r w:rsidRPr="00CB7266">
              <w:rPr>
                <w:w w:val="105"/>
                <w:sz w:val="18"/>
                <w:szCs w:val="18"/>
                <w:lang w:val="nl-NL"/>
              </w:rPr>
              <w:t>langetermijnstrategie en hoe klimaat hierin verweven is. Voor voedselzekerheid is de inzet van het kabinet om aan te sluiten bij</w:t>
            </w:r>
            <w:r w:rsidR="00A91BCD">
              <w:rPr>
                <w:w w:val="105"/>
                <w:sz w:val="18"/>
                <w:szCs w:val="18"/>
                <w:lang w:val="nl-NL"/>
              </w:rPr>
              <w:t xml:space="preserve"> nationale integrale voedselstrategieën</w:t>
            </w:r>
            <w:r w:rsidRPr="00784339">
              <w:rPr>
                <w:iCs/>
                <w:w w:val="105"/>
                <w:sz w:val="18"/>
                <w:szCs w:val="18"/>
                <w:lang w:val="nl-NL"/>
              </w:rPr>
              <w:t>,</w:t>
            </w:r>
            <w:r w:rsidRPr="00CB7266">
              <w:rPr>
                <w:i/>
                <w:w w:val="105"/>
                <w:sz w:val="18"/>
                <w:szCs w:val="18"/>
                <w:lang w:val="nl-NL"/>
              </w:rPr>
              <w:t xml:space="preserve"> </w:t>
            </w:r>
            <w:r w:rsidRPr="00CB7266">
              <w:rPr>
                <w:w w:val="105"/>
                <w:sz w:val="18"/>
                <w:szCs w:val="18"/>
                <w:lang w:val="nl-NL"/>
              </w:rPr>
              <w:t xml:space="preserve">die landen ontwikkelen in het kader van de VN </w:t>
            </w:r>
            <w:r w:rsidRPr="001825E0">
              <w:rPr>
                <w:i/>
                <w:iCs/>
                <w:w w:val="105"/>
                <w:sz w:val="18"/>
                <w:szCs w:val="18"/>
                <w:lang w:val="nl-NL"/>
              </w:rPr>
              <w:t xml:space="preserve">Food Systems </w:t>
            </w:r>
            <w:proofErr w:type="spellStart"/>
            <w:r w:rsidRPr="001825E0">
              <w:rPr>
                <w:i/>
                <w:iCs/>
                <w:w w:val="105"/>
                <w:sz w:val="18"/>
                <w:szCs w:val="18"/>
                <w:lang w:val="nl-NL"/>
              </w:rPr>
              <w:t>Summit</w:t>
            </w:r>
            <w:proofErr w:type="spellEnd"/>
            <w:r w:rsidRPr="00CB7266">
              <w:rPr>
                <w:w w:val="105"/>
                <w:sz w:val="18"/>
                <w:szCs w:val="18"/>
                <w:lang w:val="nl-NL"/>
              </w:rPr>
              <w:t xml:space="preserve"> van 2022, om voedselsystemen toekomstbestendig te maken. Omgaan met klimaatverandering is hier expliciet onderdeel van</w:t>
            </w:r>
            <w:r w:rsidR="00D2512D">
              <w:rPr>
                <w:w w:val="105"/>
                <w:sz w:val="18"/>
                <w:szCs w:val="18"/>
                <w:lang w:val="nl-NL"/>
              </w:rPr>
              <w:t xml:space="preserve">, </w:t>
            </w:r>
            <w:r w:rsidRPr="00D2512D" w:rsidR="00D2512D">
              <w:rPr>
                <w:w w:val="105"/>
                <w:sz w:val="18"/>
                <w:szCs w:val="18"/>
                <w:lang w:val="nl-NL"/>
              </w:rPr>
              <w:t>zo wordt klimaatadaptatie een steeds groter onderdeel van de inzet op voedselzekerheid</w:t>
            </w:r>
            <w:r w:rsidRPr="00CB7266">
              <w:rPr>
                <w:w w:val="105"/>
                <w:sz w:val="18"/>
                <w:szCs w:val="18"/>
                <w:lang w:val="nl-NL"/>
              </w:rPr>
              <w:t xml:space="preserve">. Nederland ondersteunt het tot stand komen van deze plannen en zal, waar mogelijk, de Nederlandse inzet op </w:t>
            </w:r>
            <w:r w:rsidRPr="00CB7266">
              <w:rPr>
                <w:w w:val="105"/>
                <w:sz w:val="18"/>
                <w:szCs w:val="18"/>
                <w:lang w:val="nl-NL"/>
              </w:rPr>
              <w:lastRenderedPageBreak/>
              <w:t>voedselzekerheid hiermee in lijn brengen.</w:t>
            </w:r>
          </w:p>
        </w:tc>
      </w:tr>
      <w:tr w:rsidRPr="00AC268A" w:rsidR="001014E2" w:rsidTr="009F48F2" w14:paraId="26AA2ED2" w14:textId="77777777">
        <w:trPr>
          <w:trHeight w:val="2237"/>
        </w:trPr>
        <w:tc>
          <w:tcPr>
            <w:tcW w:w="4253" w:type="dxa"/>
            <w:gridSpan w:val="3"/>
          </w:tcPr>
          <w:p w:rsidRPr="00CB7266" w:rsidR="001014E2" w:rsidP="001014E2" w:rsidRDefault="001014E2" w14:paraId="4918759A" w14:textId="77777777">
            <w:pPr>
              <w:pStyle w:val="ListParagraph"/>
              <w:numPr>
                <w:ilvl w:val="0"/>
                <w:numId w:val="6"/>
              </w:numPr>
              <w:rPr>
                <w:rFonts w:eastAsia="Verdana" w:cs="Verdana"/>
                <w:lang w:val="nl-NL"/>
              </w:rPr>
            </w:pPr>
            <w:r w:rsidRPr="00CB7266">
              <w:rPr>
                <w:rFonts w:eastAsia="Verdana" w:cs="Verdana"/>
                <w:w w:val="105"/>
                <w:lang w:val="nl-NL"/>
              </w:rPr>
              <w:lastRenderedPageBreak/>
              <w:t>Richt je op achtergestelde groepen en op een rechtvaardige transitie.</w:t>
            </w:r>
          </w:p>
          <w:p w:rsidRPr="00CB7266" w:rsidR="001014E2" w:rsidP="009F48F2" w:rsidRDefault="001014E2" w14:paraId="4A64712F" w14:textId="77777777">
            <w:pPr>
              <w:rPr>
                <w:rFonts w:eastAsia="Verdana" w:cs="Verdana"/>
                <w:w w:val="105"/>
                <w:lang w:val="nl-NL"/>
              </w:rPr>
            </w:pPr>
          </w:p>
        </w:tc>
        <w:tc>
          <w:tcPr>
            <w:tcW w:w="3260" w:type="dxa"/>
            <w:gridSpan w:val="2"/>
          </w:tcPr>
          <w:p w:rsidR="001014E2" w:rsidP="009F48F2" w:rsidRDefault="001014E2" w14:paraId="0A56E28E" w14:textId="59580785">
            <w:pPr>
              <w:pStyle w:val="TableParagraph"/>
              <w:spacing w:before="19"/>
              <w:ind w:left="101"/>
              <w:rPr>
                <w:w w:val="105"/>
                <w:sz w:val="18"/>
                <w:szCs w:val="18"/>
                <w:lang w:val="nl-NL"/>
              </w:rPr>
            </w:pPr>
            <w:r w:rsidRPr="00CB7266">
              <w:rPr>
                <w:w w:val="105"/>
                <w:sz w:val="18"/>
                <w:szCs w:val="18"/>
                <w:lang w:val="nl-NL"/>
              </w:rPr>
              <w:t xml:space="preserve">Afgerond: het kabinet neemt nota van de IOB-conclusie dat Nederland zich moet blijven richten op toegang tot hernieuwbare energie voor arme en achtergestelde groepen in lage inkomenslanden en regio’s. In lijn met de beleidsbrief Ontwikkelingshulp (Kamerstuk 36180, nr. 133) wordt de inzet op kleinschalige hernieuwbare energie vanuit het budget voor klimaat </w:t>
            </w:r>
            <w:r w:rsidR="00CD307C">
              <w:rPr>
                <w:w w:val="105"/>
                <w:sz w:val="18"/>
                <w:szCs w:val="18"/>
                <w:lang w:val="nl-NL"/>
              </w:rPr>
              <w:t>sinds</w:t>
            </w:r>
            <w:r w:rsidRPr="00CB7266">
              <w:rPr>
                <w:w w:val="105"/>
                <w:sz w:val="18"/>
                <w:szCs w:val="18"/>
                <w:lang w:val="nl-NL"/>
              </w:rPr>
              <w:t xml:space="preserve"> 2025 verminderd, ook financieel. De huidige inzet via fondsen en programma’s zal in de komende jaren aflopen. Het in 2022 verhoogde doel om tenminste 100 miljoen mensen te bereiken met toegang tot hernieuwbare energie tot in de periode 2015-2030 is daarmee niet langer haalbaar. Het kabinet verwacht het oorspronkelijke doel van 50 miljoen bereikte mensen wel te halen.</w:t>
            </w:r>
          </w:p>
          <w:p w:rsidRPr="00CB7266" w:rsidR="00904136" w:rsidP="009F48F2" w:rsidRDefault="00904136" w14:paraId="34F52177" w14:textId="77777777">
            <w:pPr>
              <w:pStyle w:val="TableParagraph"/>
              <w:spacing w:before="19"/>
              <w:ind w:left="101"/>
              <w:rPr>
                <w:sz w:val="18"/>
                <w:szCs w:val="18"/>
                <w:lang w:val="nl-NL"/>
              </w:rPr>
            </w:pPr>
          </w:p>
          <w:p w:rsidRPr="00CB7266" w:rsidR="001014E2" w:rsidP="009F48F2" w:rsidRDefault="001014E2" w14:paraId="423E2A31" w14:textId="77777777">
            <w:pPr>
              <w:pStyle w:val="TableParagraph"/>
              <w:spacing w:before="19"/>
              <w:ind w:left="101"/>
              <w:rPr>
                <w:w w:val="105"/>
                <w:sz w:val="18"/>
                <w:szCs w:val="18"/>
                <w:lang w:val="nl-NL"/>
              </w:rPr>
            </w:pPr>
            <w:r w:rsidRPr="00CB7266">
              <w:rPr>
                <w:w w:val="105"/>
                <w:sz w:val="18"/>
                <w:szCs w:val="18"/>
                <w:lang w:val="nl-NL"/>
              </w:rPr>
              <w:t>In de brief van 20 februari 2025 (Kamerstuk 31793, nr. 279) met de reactie op verzoek over het effect van de bezuinigingen op de Internationale Klimaatstrategie is aangegeven dat in het licht van de bezuinigingen het kabinet niet voornemens is aanvullende middelen vrij te maken voor het schade- en verliesfonds.</w:t>
            </w:r>
          </w:p>
          <w:p w:rsidRPr="00CB7266" w:rsidR="001014E2" w:rsidP="009F48F2" w:rsidRDefault="001014E2" w14:paraId="65E57403" w14:textId="77777777">
            <w:pPr>
              <w:pStyle w:val="TableParagraph"/>
              <w:spacing w:before="19"/>
              <w:ind w:left="101"/>
              <w:rPr>
                <w:sz w:val="18"/>
                <w:szCs w:val="18"/>
                <w:lang w:val="nl-NL"/>
              </w:rPr>
            </w:pPr>
          </w:p>
          <w:p w:rsidR="001014E2" w:rsidP="009F48F2" w:rsidRDefault="00D2512D" w14:paraId="3DCC3C04" w14:textId="4794DFD2">
            <w:pPr>
              <w:pStyle w:val="TableParagraph"/>
              <w:spacing w:before="19"/>
              <w:ind w:left="101"/>
              <w:rPr>
                <w:w w:val="105"/>
                <w:sz w:val="18"/>
                <w:szCs w:val="18"/>
                <w:lang w:val="nl-NL"/>
              </w:rPr>
            </w:pPr>
            <w:r w:rsidRPr="00D2512D">
              <w:rPr>
                <w:w w:val="105"/>
                <w:sz w:val="18"/>
                <w:szCs w:val="18"/>
                <w:lang w:val="nl-NL"/>
              </w:rPr>
              <w:t>Onderhanden: in het bestuur van</w:t>
            </w:r>
            <w:r w:rsidR="0024288D">
              <w:rPr>
                <w:w w:val="105"/>
                <w:sz w:val="18"/>
                <w:szCs w:val="18"/>
                <w:lang w:val="nl-NL"/>
              </w:rPr>
              <w:t>,</w:t>
            </w:r>
            <w:r w:rsidRPr="00D2512D">
              <w:rPr>
                <w:w w:val="105"/>
                <w:sz w:val="18"/>
                <w:szCs w:val="18"/>
                <w:lang w:val="nl-NL"/>
              </w:rPr>
              <w:t xml:space="preserve"> en de dialoog met</w:t>
            </w:r>
            <w:r w:rsidR="0024288D">
              <w:rPr>
                <w:w w:val="105"/>
                <w:sz w:val="18"/>
                <w:szCs w:val="18"/>
                <w:lang w:val="nl-NL"/>
              </w:rPr>
              <w:t>,</w:t>
            </w:r>
            <w:r w:rsidRPr="00D2512D">
              <w:rPr>
                <w:w w:val="105"/>
                <w:sz w:val="18"/>
                <w:szCs w:val="18"/>
                <w:lang w:val="nl-NL"/>
              </w:rPr>
              <w:t xml:space="preserve"> financiële instellingen, fondsen en programma’s en uitvoerende organisaties wordt ingezet op mobilisatie van klimaatfinanciering, zonder de </w:t>
            </w:r>
            <w:r w:rsidRPr="00D2512D">
              <w:rPr>
                <w:w w:val="105"/>
                <w:sz w:val="18"/>
                <w:szCs w:val="18"/>
                <w:lang w:val="nl-NL"/>
              </w:rPr>
              <w:lastRenderedPageBreak/>
              <w:t>armste en meest kwetsbare doelgroepen uit het oog te verliezen</w:t>
            </w:r>
            <w:r w:rsidR="007531D2">
              <w:rPr>
                <w:w w:val="105"/>
                <w:sz w:val="18"/>
                <w:szCs w:val="18"/>
                <w:lang w:val="nl-NL"/>
              </w:rPr>
              <w:t>.</w:t>
            </w:r>
          </w:p>
          <w:p w:rsidRPr="00CB7266" w:rsidR="00D2512D" w:rsidP="009F48F2" w:rsidRDefault="00D2512D" w14:paraId="60187E17" w14:textId="3A7590EB">
            <w:pPr>
              <w:pStyle w:val="TableParagraph"/>
              <w:spacing w:before="19"/>
              <w:ind w:left="101"/>
              <w:rPr>
                <w:w w:val="105"/>
                <w:sz w:val="18"/>
                <w:szCs w:val="18"/>
                <w:lang w:val="nl-NL"/>
              </w:rPr>
            </w:pPr>
          </w:p>
        </w:tc>
      </w:tr>
      <w:tr w:rsidRPr="00AC268A" w:rsidR="001014E2" w:rsidTr="009F48F2" w14:paraId="26BF5B8E" w14:textId="77777777">
        <w:trPr>
          <w:trHeight w:val="2237"/>
        </w:trPr>
        <w:tc>
          <w:tcPr>
            <w:tcW w:w="4253" w:type="dxa"/>
            <w:gridSpan w:val="3"/>
          </w:tcPr>
          <w:p w:rsidRPr="00CB7266" w:rsidR="001014E2" w:rsidP="001014E2" w:rsidRDefault="001014E2" w14:paraId="69D2E86E" w14:textId="77777777">
            <w:pPr>
              <w:pStyle w:val="TableParagraph"/>
              <w:numPr>
                <w:ilvl w:val="0"/>
                <w:numId w:val="6"/>
              </w:numPr>
              <w:spacing w:before="19"/>
              <w:rPr>
                <w:w w:val="105"/>
                <w:sz w:val="18"/>
                <w:szCs w:val="18"/>
                <w:lang w:val="nl-NL"/>
              </w:rPr>
            </w:pPr>
            <w:r w:rsidRPr="00CB7266">
              <w:rPr>
                <w:w w:val="105"/>
                <w:sz w:val="18"/>
                <w:szCs w:val="18"/>
                <w:lang w:val="nl-NL"/>
              </w:rPr>
              <w:lastRenderedPageBreak/>
              <w:t xml:space="preserve">Maak zoveel mogelijk private investeringen mogelijk en focus op </w:t>
            </w:r>
            <w:proofErr w:type="spellStart"/>
            <w:r w:rsidRPr="00CB7266">
              <w:rPr>
                <w:w w:val="105"/>
                <w:sz w:val="18"/>
                <w:szCs w:val="18"/>
                <w:lang w:val="nl-NL"/>
              </w:rPr>
              <w:t>additionaliteit</w:t>
            </w:r>
            <w:proofErr w:type="spellEnd"/>
          </w:p>
          <w:p w:rsidRPr="00CB7266" w:rsidR="001014E2" w:rsidP="009F48F2" w:rsidRDefault="001014E2" w14:paraId="5B2BC25D" w14:textId="77777777">
            <w:pPr>
              <w:pStyle w:val="TableParagraph"/>
              <w:spacing w:before="19"/>
              <w:ind w:left="101"/>
              <w:rPr>
                <w:w w:val="105"/>
                <w:sz w:val="18"/>
                <w:szCs w:val="18"/>
                <w:lang w:val="nl-NL"/>
              </w:rPr>
            </w:pPr>
          </w:p>
        </w:tc>
        <w:tc>
          <w:tcPr>
            <w:tcW w:w="3260" w:type="dxa"/>
            <w:gridSpan w:val="2"/>
          </w:tcPr>
          <w:p w:rsidRPr="00CB7266" w:rsidR="001014E2" w:rsidP="009F48F2" w:rsidRDefault="001014E2" w14:paraId="38CC5409" w14:textId="624CE7D3">
            <w:pPr>
              <w:pStyle w:val="TableParagraph"/>
              <w:spacing w:before="19"/>
              <w:ind w:left="101"/>
              <w:rPr>
                <w:w w:val="105"/>
                <w:sz w:val="18"/>
                <w:szCs w:val="18"/>
                <w:lang w:val="nl-NL"/>
              </w:rPr>
            </w:pPr>
            <w:r w:rsidRPr="00CB7266">
              <w:rPr>
                <w:w w:val="105"/>
                <w:sz w:val="18"/>
                <w:szCs w:val="18"/>
                <w:lang w:val="nl-NL"/>
              </w:rPr>
              <w:t xml:space="preserve">Afgerond: naar aanleiding van de deelstudie klimaatfinanciering in de evaluatie naar klimaatfinanciering (Kamerstuk 32813, nr. 811) had Nederland zich al met succes ingespannen voor nieuwe regels voor Private Sector Vehikels die onder meer voor schrijven dat de betreffende programma’s worden getoetst op zowel financiële </w:t>
            </w:r>
            <w:proofErr w:type="spellStart"/>
            <w:r w:rsidRPr="00CB7266">
              <w:rPr>
                <w:w w:val="105"/>
                <w:sz w:val="18"/>
                <w:szCs w:val="18"/>
                <w:lang w:val="nl-NL"/>
              </w:rPr>
              <w:t>additionaliteit</w:t>
            </w:r>
            <w:proofErr w:type="spellEnd"/>
            <w:r w:rsidRPr="00CB7266">
              <w:rPr>
                <w:w w:val="105"/>
                <w:sz w:val="18"/>
                <w:szCs w:val="18"/>
                <w:lang w:val="nl-NL"/>
              </w:rPr>
              <w:t xml:space="preserve"> als </w:t>
            </w:r>
            <w:proofErr w:type="spellStart"/>
            <w:r w:rsidRPr="00CB7266">
              <w:rPr>
                <w:w w:val="105"/>
                <w:sz w:val="18"/>
                <w:szCs w:val="18"/>
                <w:lang w:val="nl-NL"/>
              </w:rPr>
              <w:t>ontwikkelingsadditionaliteit</w:t>
            </w:r>
            <w:proofErr w:type="spellEnd"/>
            <w:r w:rsidRPr="00CB7266">
              <w:rPr>
                <w:w w:val="105"/>
                <w:sz w:val="18"/>
                <w:szCs w:val="18"/>
                <w:lang w:val="nl-NL"/>
              </w:rPr>
              <w:t>. Naar aanleiding van de evaluatie naar klimaatfinanciering (Kamerstuk 32813, nr. 811) is het ministerie ook doorgegaan met het stimuleren van zoveel mogelijk private investeringen conform genoemde aanbeveling van IOB.</w:t>
            </w:r>
            <w:r w:rsidRPr="00D2512D" w:rsidR="00D2512D">
              <w:rPr>
                <w:lang w:val="nl-NL"/>
              </w:rPr>
              <w:t xml:space="preserve"> </w:t>
            </w:r>
            <w:r w:rsidRPr="00D2512D" w:rsidR="00D2512D">
              <w:rPr>
                <w:w w:val="105"/>
                <w:sz w:val="18"/>
                <w:szCs w:val="18"/>
                <w:lang w:val="nl-NL"/>
              </w:rPr>
              <w:t>In 2025 is de mobilisatie verder gegroeid, hierover wordt gerapporteerd in het HGIS-verslag 2025</w:t>
            </w:r>
            <w:r w:rsidR="00D2512D">
              <w:rPr>
                <w:w w:val="105"/>
                <w:sz w:val="18"/>
                <w:szCs w:val="18"/>
                <w:lang w:val="nl-NL"/>
              </w:rPr>
              <w:t>.</w:t>
            </w:r>
            <w:r w:rsidRPr="00CB7266">
              <w:rPr>
                <w:w w:val="105"/>
                <w:sz w:val="18"/>
                <w:szCs w:val="18"/>
                <w:lang w:val="nl-NL"/>
              </w:rPr>
              <w:t xml:space="preserve"> </w:t>
            </w:r>
          </w:p>
          <w:p w:rsidRPr="00CB7266" w:rsidR="001014E2" w:rsidP="009F48F2" w:rsidRDefault="001014E2" w14:paraId="11C0A67A" w14:textId="77777777">
            <w:pPr>
              <w:pStyle w:val="TableParagraph"/>
              <w:spacing w:before="19"/>
              <w:ind w:left="101"/>
              <w:rPr>
                <w:w w:val="105"/>
                <w:sz w:val="18"/>
                <w:szCs w:val="18"/>
                <w:lang w:val="nl-NL"/>
              </w:rPr>
            </w:pPr>
          </w:p>
        </w:tc>
      </w:tr>
      <w:tr w:rsidRPr="00AC268A" w:rsidR="001014E2" w:rsidTr="009F48F2" w14:paraId="1C890BCF" w14:textId="77777777">
        <w:trPr>
          <w:trHeight w:val="1965"/>
        </w:trPr>
        <w:tc>
          <w:tcPr>
            <w:tcW w:w="4253" w:type="dxa"/>
            <w:gridSpan w:val="3"/>
          </w:tcPr>
          <w:p w:rsidRPr="00CB7266" w:rsidR="001014E2" w:rsidP="001014E2" w:rsidRDefault="001014E2" w14:paraId="16282A22" w14:textId="77777777">
            <w:pPr>
              <w:pStyle w:val="ListParagraph"/>
              <w:numPr>
                <w:ilvl w:val="0"/>
                <w:numId w:val="6"/>
              </w:numPr>
              <w:rPr>
                <w:rFonts w:eastAsia="Verdana" w:cs="Verdana"/>
                <w:lang w:val="nl-NL"/>
              </w:rPr>
            </w:pPr>
            <w:r w:rsidRPr="00CB7266">
              <w:rPr>
                <w:rFonts w:eastAsia="Verdana" w:cs="Verdana"/>
                <w:w w:val="105"/>
                <w:lang w:val="nl-NL"/>
              </w:rPr>
              <w:t>Verbeter de coherentie van het beleid: met ambitieuzer binnenlands beleid en verduurzaming van de consumptie.</w:t>
            </w:r>
          </w:p>
          <w:p w:rsidRPr="00CB7266" w:rsidR="001014E2" w:rsidP="009F48F2" w:rsidRDefault="001014E2" w14:paraId="1DE52223" w14:textId="77777777">
            <w:pPr>
              <w:rPr>
                <w:rFonts w:eastAsia="Verdana" w:cs="Verdana"/>
                <w:w w:val="105"/>
                <w:lang w:val="nl-NL"/>
              </w:rPr>
            </w:pPr>
          </w:p>
        </w:tc>
        <w:tc>
          <w:tcPr>
            <w:tcW w:w="3260" w:type="dxa"/>
            <w:gridSpan w:val="2"/>
          </w:tcPr>
          <w:p w:rsidR="001014E2" w:rsidP="004C56E0" w:rsidRDefault="001014E2" w14:paraId="39A8E1C6" w14:textId="090301F6">
            <w:pPr>
              <w:pStyle w:val="TableParagraph"/>
              <w:spacing w:before="19"/>
              <w:ind w:left="101"/>
              <w:rPr>
                <w:w w:val="105"/>
                <w:sz w:val="18"/>
                <w:szCs w:val="18"/>
                <w:lang w:val="nl-NL"/>
              </w:rPr>
            </w:pPr>
            <w:r w:rsidRPr="00CB7266">
              <w:rPr>
                <w:w w:val="105"/>
                <w:sz w:val="18"/>
                <w:szCs w:val="18"/>
                <w:lang w:val="nl-NL"/>
              </w:rPr>
              <w:t xml:space="preserve">Onderhanden: </w:t>
            </w:r>
            <w:r w:rsidR="0024288D">
              <w:rPr>
                <w:w w:val="105"/>
                <w:sz w:val="18"/>
                <w:szCs w:val="18"/>
                <w:lang w:val="nl-NL"/>
              </w:rPr>
              <w:t>h</w:t>
            </w:r>
            <w:r w:rsidRPr="00CB7266">
              <w:rPr>
                <w:w w:val="105"/>
                <w:sz w:val="18"/>
                <w:szCs w:val="18"/>
                <w:lang w:val="nl-NL"/>
              </w:rPr>
              <w:t>et kabinet omarmt de IOB</w:t>
            </w:r>
            <w:r w:rsidR="004C56E0">
              <w:rPr>
                <w:w w:val="105"/>
                <w:sz w:val="18"/>
                <w:szCs w:val="18"/>
                <w:lang w:val="nl-NL"/>
              </w:rPr>
              <w:t>-</w:t>
            </w:r>
            <w:r w:rsidRPr="00CB7266">
              <w:rPr>
                <w:w w:val="105"/>
                <w:sz w:val="18"/>
                <w:szCs w:val="18"/>
                <w:lang w:val="nl-NL"/>
              </w:rPr>
              <w:t xml:space="preserve">aanbeveling om producenten en productielanden te ondersteunen om ontbossing te voorkomen en diplomatie in te zetten om ook niet-EU consumptielanden te bewegen tot het verduurzamen van </w:t>
            </w:r>
            <w:proofErr w:type="spellStart"/>
            <w:r w:rsidRPr="00CB7266">
              <w:rPr>
                <w:w w:val="105"/>
                <w:sz w:val="18"/>
                <w:szCs w:val="18"/>
                <w:lang w:val="nl-NL"/>
              </w:rPr>
              <w:t>waardeketens</w:t>
            </w:r>
            <w:proofErr w:type="spellEnd"/>
            <w:r w:rsidRPr="00CB7266">
              <w:rPr>
                <w:w w:val="105"/>
                <w:sz w:val="18"/>
                <w:szCs w:val="18"/>
                <w:lang w:val="nl-NL"/>
              </w:rPr>
              <w:t xml:space="preserve">. Binnen deze aanpak </w:t>
            </w:r>
            <w:r w:rsidR="00D2512D">
              <w:rPr>
                <w:w w:val="105"/>
                <w:sz w:val="18"/>
                <w:szCs w:val="18"/>
                <w:lang w:val="nl-NL"/>
              </w:rPr>
              <w:t>wordt</w:t>
            </w:r>
            <w:r w:rsidRPr="00CB7266">
              <w:rPr>
                <w:w w:val="105"/>
                <w:sz w:val="18"/>
                <w:szCs w:val="18"/>
                <w:lang w:val="nl-NL"/>
              </w:rPr>
              <w:t xml:space="preserve"> bijvoorbeeld ingezet op de totstandkoming van de EU ontbossingsverordening (EUDR). In lijn met de </w:t>
            </w:r>
            <w:r w:rsidR="004C6F03">
              <w:rPr>
                <w:w w:val="105"/>
                <w:sz w:val="18"/>
                <w:szCs w:val="18"/>
                <w:lang w:val="nl-NL"/>
              </w:rPr>
              <w:t>IOB-</w:t>
            </w:r>
            <w:r w:rsidRPr="00CB7266">
              <w:rPr>
                <w:w w:val="105"/>
                <w:sz w:val="18"/>
                <w:szCs w:val="18"/>
                <w:lang w:val="nl-NL"/>
              </w:rPr>
              <w:t>aanbevelingen wordt tevens ingezet op flankerend beleid, om te voorkomen dat kleine producenten worden uitgesloten uit toeleveringsketens. Ook is</w:t>
            </w:r>
            <w:r w:rsidRPr="00CB7266">
              <w:rPr>
                <w:sz w:val="18"/>
                <w:szCs w:val="18"/>
                <w:lang w:val="nl-NL"/>
              </w:rPr>
              <w:t xml:space="preserve"> </w:t>
            </w:r>
            <w:r w:rsidRPr="00CB7266">
              <w:rPr>
                <w:w w:val="105"/>
                <w:sz w:val="18"/>
                <w:szCs w:val="18"/>
                <w:lang w:val="nl-NL"/>
              </w:rPr>
              <w:t xml:space="preserve">het terugbrengen van de Nederlandse land-, water- en klimaatvoetafdruk onderdeel </w:t>
            </w:r>
            <w:r w:rsidRPr="00CB7266">
              <w:rPr>
                <w:w w:val="105"/>
                <w:sz w:val="18"/>
                <w:szCs w:val="18"/>
                <w:lang w:val="nl-NL"/>
              </w:rPr>
              <w:lastRenderedPageBreak/>
              <w:t>van het actieplan beleidscoherentie voor ontwikkeling.</w:t>
            </w:r>
            <w:r w:rsidRPr="00865831" w:rsidR="00865831">
              <w:rPr>
                <w:lang w:val="nl-NL"/>
              </w:rPr>
              <w:t xml:space="preserve"> </w:t>
            </w:r>
            <w:r w:rsidRPr="00865831" w:rsidR="00865831">
              <w:rPr>
                <w:w w:val="105"/>
                <w:sz w:val="18"/>
                <w:szCs w:val="18"/>
                <w:lang w:val="nl-NL"/>
              </w:rPr>
              <w:t>In het Nationaal Biodiversiteitsplan dat op 25 maart 2025 met de Kamer is gedeeld</w:t>
            </w:r>
            <w:r w:rsidR="00865831">
              <w:rPr>
                <w:w w:val="105"/>
                <w:sz w:val="18"/>
                <w:szCs w:val="18"/>
                <w:lang w:val="nl-NL"/>
              </w:rPr>
              <w:t xml:space="preserve"> </w:t>
            </w:r>
            <w:r w:rsidRPr="00D2512D" w:rsidR="00D2512D">
              <w:rPr>
                <w:sz w:val="18"/>
                <w:szCs w:val="18"/>
                <w:lang w:val="nl-NL"/>
              </w:rPr>
              <w:t>(</w:t>
            </w:r>
            <w:r w:rsidR="00987C69">
              <w:rPr>
                <w:sz w:val="18"/>
                <w:szCs w:val="18"/>
                <w:lang w:val="nl-NL"/>
              </w:rPr>
              <w:t>K</w:t>
            </w:r>
            <w:r w:rsidRPr="00D2512D" w:rsidR="00D2512D">
              <w:rPr>
                <w:sz w:val="18"/>
                <w:szCs w:val="18"/>
                <w:lang w:val="nl-NL"/>
              </w:rPr>
              <w:t>amerstuk 26407, nr. 155) staat de inzet op</w:t>
            </w:r>
            <w:r w:rsidR="00865831">
              <w:rPr>
                <w:sz w:val="18"/>
                <w:szCs w:val="18"/>
                <w:lang w:val="nl-NL"/>
              </w:rPr>
              <w:t xml:space="preserve"> het verkleinen van</w:t>
            </w:r>
            <w:r w:rsidRPr="00D2512D" w:rsidR="00D2512D">
              <w:rPr>
                <w:sz w:val="18"/>
                <w:szCs w:val="18"/>
                <w:lang w:val="nl-NL"/>
              </w:rPr>
              <w:t xml:space="preserve"> de voetafdruk</w:t>
            </w:r>
            <w:r w:rsidR="00865831">
              <w:rPr>
                <w:sz w:val="18"/>
                <w:szCs w:val="18"/>
                <w:lang w:val="nl-NL"/>
              </w:rPr>
              <w:t xml:space="preserve"> en de inzet op effectievere overheidsuitgaven</w:t>
            </w:r>
            <w:r w:rsidRPr="00D2512D" w:rsidR="00D2512D">
              <w:rPr>
                <w:sz w:val="18"/>
                <w:szCs w:val="18"/>
                <w:lang w:val="nl-NL"/>
              </w:rPr>
              <w:t xml:space="preserve"> beschreven</w:t>
            </w:r>
            <w:r w:rsidR="00D2512D">
              <w:rPr>
                <w:sz w:val="18"/>
                <w:szCs w:val="18"/>
                <w:lang w:val="nl-NL"/>
              </w:rPr>
              <w:t>.</w:t>
            </w:r>
          </w:p>
          <w:p w:rsidRPr="00CB7266" w:rsidR="001014E2" w:rsidP="009F48F2" w:rsidRDefault="001014E2" w14:paraId="1EEA45EB" w14:textId="77777777">
            <w:pPr>
              <w:pStyle w:val="TableParagraph"/>
              <w:spacing w:before="19"/>
              <w:ind w:left="101"/>
              <w:rPr>
                <w:w w:val="105"/>
                <w:sz w:val="18"/>
                <w:szCs w:val="18"/>
                <w:lang w:val="nl-NL"/>
              </w:rPr>
            </w:pPr>
          </w:p>
        </w:tc>
      </w:tr>
    </w:tbl>
    <w:p w:rsidR="002A020D" w:rsidRDefault="002A020D" w14:paraId="6615AF36" w14:textId="77777777"/>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418"/>
        <w:gridCol w:w="1276"/>
        <w:gridCol w:w="1559"/>
        <w:gridCol w:w="1559"/>
        <w:gridCol w:w="1701"/>
      </w:tblGrid>
      <w:tr w:rsidRPr="0061391E" w:rsidR="002A020D" w:rsidTr="009F48F2" w14:paraId="3B5B22CF" w14:textId="77777777">
        <w:trPr>
          <w:trHeight w:val="861"/>
        </w:trPr>
        <w:tc>
          <w:tcPr>
            <w:tcW w:w="1418" w:type="dxa"/>
          </w:tcPr>
          <w:p w:rsidRPr="0061391E" w:rsidR="002A020D" w:rsidP="009F48F2" w:rsidRDefault="002A020D" w14:paraId="4D6E74E5" w14:textId="77777777">
            <w:pPr>
              <w:pStyle w:val="TableParagraph"/>
              <w:spacing w:line="261" w:lineRule="auto"/>
              <w:ind w:left="101"/>
              <w:rPr>
                <w:b/>
                <w:bCs/>
                <w:color w:val="215E99" w:themeColor="text2" w:themeTint="BF"/>
                <w:sz w:val="18"/>
                <w:szCs w:val="18"/>
              </w:rPr>
            </w:pPr>
            <w:r w:rsidRPr="0061391E">
              <w:rPr>
                <w:b/>
                <w:bCs/>
                <w:color w:val="215E99" w:themeColor="text2" w:themeTint="BF"/>
                <w:spacing w:val="-2"/>
                <w:sz w:val="18"/>
                <w:szCs w:val="18"/>
              </w:rPr>
              <w:t xml:space="preserve">Titel </w:t>
            </w:r>
            <w:proofErr w:type="spellStart"/>
            <w:r w:rsidRPr="0061391E">
              <w:rPr>
                <w:b/>
                <w:bCs/>
                <w:color w:val="215E99" w:themeColor="text2" w:themeTint="BF"/>
                <w:spacing w:val="-2"/>
                <w:sz w:val="18"/>
                <w:szCs w:val="18"/>
              </w:rPr>
              <w:t>onderzoek</w:t>
            </w:r>
            <w:proofErr w:type="spellEnd"/>
          </w:p>
        </w:tc>
        <w:tc>
          <w:tcPr>
            <w:tcW w:w="1276" w:type="dxa"/>
          </w:tcPr>
          <w:p w:rsidRPr="0061391E" w:rsidR="002A020D" w:rsidP="009F48F2" w:rsidRDefault="002A020D" w14:paraId="21875E78" w14:textId="77777777">
            <w:pPr>
              <w:pStyle w:val="TableParagraph"/>
              <w:ind w:left="101"/>
              <w:rPr>
                <w:b/>
                <w:bCs/>
                <w:color w:val="215E99" w:themeColor="text2" w:themeTint="BF"/>
                <w:sz w:val="18"/>
                <w:szCs w:val="18"/>
              </w:rPr>
            </w:pPr>
            <w:r w:rsidRPr="0061391E">
              <w:rPr>
                <w:b/>
                <w:bCs/>
                <w:color w:val="215E99" w:themeColor="text2" w:themeTint="BF"/>
                <w:w w:val="105"/>
                <w:sz w:val="18"/>
                <w:szCs w:val="18"/>
              </w:rPr>
              <w:t>Type</w:t>
            </w:r>
            <w:r w:rsidRPr="0061391E">
              <w:rPr>
                <w:b/>
                <w:bCs/>
                <w:color w:val="215E99" w:themeColor="text2" w:themeTint="BF"/>
                <w:spacing w:val="-5"/>
                <w:w w:val="105"/>
                <w:sz w:val="18"/>
                <w:szCs w:val="18"/>
              </w:rPr>
              <w:t xml:space="preserve"> </w:t>
            </w:r>
            <w:proofErr w:type="spellStart"/>
            <w:r w:rsidRPr="0061391E">
              <w:rPr>
                <w:b/>
                <w:bCs/>
                <w:color w:val="215E99" w:themeColor="text2" w:themeTint="BF"/>
                <w:spacing w:val="-2"/>
                <w:w w:val="105"/>
                <w:sz w:val="18"/>
                <w:szCs w:val="18"/>
              </w:rPr>
              <w:t>onderzoek</w:t>
            </w:r>
            <w:proofErr w:type="spellEnd"/>
          </w:p>
        </w:tc>
        <w:tc>
          <w:tcPr>
            <w:tcW w:w="1559" w:type="dxa"/>
          </w:tcPr>
          <w:p w:rsidRPr="0061391E" w:rsidR="002A020D" w:rsidP="009F48F2" w:rsidRDefault="002A020D" w14:paraId="613FDCEF" w14:textId="77777777">
            <w:pPr>
              <w:pStyle w:val="TableParagraph"/>
              <w:spacing w:line="261" w:lineRule="auto"/>
              <w:ind w:left="101" w:right="64"/>
              <w:rPr>
                <w:b/>
                <w:bCs/>
                <w:color w:val="215E99" w:themeColor="text2" w:themeTint="BF"/>
                <w:sz w:val="18"/>
                <w:szCs w:val="18"/>
              </w:rPr>
            </w:pPr>
            <w:r w:rsidRPr="0061391E">
              <w:rPr>
                <w:b/>
                <w:bCs/>
                <w:color w:val="215E99" w:themeColor="text2" w:themeTint="BF"/>
                <w:spacing w:val="-4"/>
                <w:w w:val="105"/>
                <w:sz w:val="18"/>
                <w:szCs w:val="18"/>
              </w:rPr>
              <w:t xml:space="preserve">Jaar </w:t>
            </w:r>
            <w:proofErr w:type="spellStart"/>
            <w:r w:rsidRPr="0061391E">
              <w:rPr>
                <w:b/>
                <w:bCs/>
                <w:color w:val="215E99" w:themeColor="text2" w:themeTint="BF"/>
                <w:spacing w:val="-2"/>
                <w:sz w:val="18"/>
                <w:szCs w:val="18"/>
              </w:rPr>
              <w:t>afronding</w:t>
            </w:r>
            <w:proofErr w:type="spellEnd"/>
          </w:p>
        </w:tc>
        <w:tc>
          <w:tcPr>
            <w:tcW w:w="1559" w:type="dxa"/>
          </w:tcPr>
          <w:p w:rsidR="002A020D" w:rsidP="009F48F2" w:rsidRDefault="002A020D" w14:paraId="6A0BB7A1" w14:textId="77777777">
            <w:pPr>
              <w:pStyle w:val="TableParagraph"/>
              <w:ind w:left="101"/>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Begrotings</w:t>
            </w:r>
            <w:proofErr w:type="spellEnd"/>
            <w:r>
              <w:rPr>
                <w:b/>
                <w:bCs/>
                <w:color w:val="215E99" w:themeColor="text2" w:themeTint="BF"/>
                <w:spacing w:val="-2"/>
                <w:w w:val="105"/>
                <w:sz w:val="18"/>
                <w:szCs w:val="18"/>
              </w:rPr>
              <w:t>-</w:t>
            </w:r>
          </w:p>
          <w:p w:rsidRPr="0061391E" w:rsidR="002A020D" w:rsidP="009F48F2" w:rsidRDefault="002A020D" w14:paraId="5E909086" w14:textId="77777777">
            <w:pPr>
              <w:pStyle w:val="TableParagraph"/>
              <w:ind w:left="101"/>
              <w:rPr>
                <w:b/>
                <w:bCs/>
                <w:color w:val="215E99" w:themeColor="text2" w:themeTint="BF"/>
                <w:sz w:val="18"/>
                <w:szCs w:val="18"/>
              </w:rPr>
            </w:pPr>
            <w:proofErr w:type="spellStart"/>
            <w:r w:rsidRPr="0061391E">
              <w:rPr>
                <w:b/>
                <w:bCs/>
                <w:color w:val="215E99" w:themeColor="text2" w:themeTint="BF"/>
                <w:spacing w:val="-2"/>
                <w:w w:val="105"/>
                <w:sz w:val="18"/>
                <w:szCs w:val="18"/>
              </w:rPr>
              <w:t>artikel</w:t>
            </w:r>
            <w:proofErr w:type="spellEnd"/>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en</w:t>
            </w:r>
            <w:proofErr w:type="spellEnd"/>
            <w:r w:rsidRPr="0061391E">
              <w:rPr>
                <w:b/>
                <w:bCs/>
                <w:color w:val="215E99" w:themeColor="text2" w:themeTint="BF"/>
                <w:spacing w:val="-2"/>
                <w:w w:val="105"/>
                <w:sz w:val="18"/>
                <w:szCs w:val="18"/>
              </w:rPr>
              <w:t>)</w:t>
            </w:r>
          </w:p>
        </w:tc>
        <w:tc>
          <w:tcPr>
            <w:tcW w:w="1701" w:type="dxa"/>
          </w:tcPr>
          <w:p w:rsidRPr="0061391E" w:rsidR="002A020D" w:rsidP="009F48F2" w:rsidRDefault="002A020D" w14:paraId="6B055A3D" w14:textId="77777777">
            <w:pPr>
              <w:pStyle w:val="TableParagraph"/>
              <w:spacing w:line="261" w:lineRule="auto"/>
              <w:rPr>
                <w:b/>
                <w:bCs/>
                <w:color w:val="215E99" w:themeColor="text2" w:themeTint="BF"/>
                <w:sz w:val="18"/>
                <w:szCs w:val="18"/>
              </w:rPr>
            </w:pPr>
            <w:proofErr w:type="spellStart"/>
            <w:r w:rsidRPr="0061391E">
              <w:rPr>
                <w:b/>
                <w:bCs/>
                <w:color w:val="215E99" w:themeColor="text2" w:themeTint="BF"/>
                <w:spacing w:val="-2"/>
                <w:sz w:val="18"/>
                <w:szCs w:val="18"/>
              </w:rPr>
              <w:t>Budgettaire</w:t>
            </w:r>
            <w:proofErr w:type="spellEnd"/>
            <w:r w:rsidRPr="0061391E">
              <w:rPr>
                <w:b/>
                <w:bCs/>
                <w:color w:val="215E99" w:themeColor="text2" w:themeTint="BF"/>
                <w:spacing w:val="-2"/>
                <w:sz w:val="18"/>
                <w:szCs w:val="18"/>
              </w:rPr>
              <w:t xml:space="preserve"> </w:t>
            </w:r>
            <w:proofErr w:type="spellStart"/>
            <w:r w:rsidRPr="0061391E">
              <w:rPr>
                <w:b/>
                <w:bCs/>
                <w:color w:val="215E99" w:themeColor="text2" w:themeTint="BF"/>
                <w:spacing w:val="-2"/>
                <w:w w:val="105"/>
                <w:sz w:val="18"/>
                <w:szCs w:val="18"/>
              </w:rPr>
              <w:t>grondslag</w:t>
            </w:r>
            <w:proofErr w:type="spellEnd"/>
          </w:p>
          <w:p w:rsidRPr="0061391E" w:rsidR="002A020D" w:rsidP="009F48F2" w:rsidRDefault="002A020D" w14:paraId="4763D623" w14:textId="77777777">
            <w:pPr>
              <w:pStyle w:val="TableParagraph"/>
              <w:spacing w:before="0" w:line="205" w:lineRule="exact"/>
              <w:rPr>
                <w:b/>
                <w:bCs/>
                <w:color w:val="215E99" w:themeColor="text2" w:themeTint="BF"/>
                <w:sz w:val="18"/>
                <w:szCs w:val="18"/>
              </w:rPr>
            </w:pPr>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laatste</w:t>
            </w:r>
            <w:proofErr w:type="spellEnd"/>
          </w:p>
          <w:p w:rsidR="002A020D" w:rsidP="009F48F2" w:rsidRDefault="002A020D" w14:paraId="5C1ADFD8" w14:textId="77777777">
            <w:pPr>
              <w:pStyle w:val="TableParagraph"/>
              <w:spacing w:before="2" w:line="181" w:lineRule="exact"/>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evaluatiejaar</w:t>
            </w:r>
            <w:proofErr w:type="spellEnd"/>
            <w:r w:rsidRPr="0061391E">
              <w:rPr>
                <w:b/>
                <w:bCs/>
                <w:color w:val="215E99" w:themeColor="text2" w:themeTint="BF"/>
                <w:spacing w:val="-2"/>
                <w:w w:val="105"/>
                <w:sz w:val="18"/>
                <w:szCs w:val="18"/>
              </w:rPr>
              <w:t>)</w:t>
            </w:r>
          </w:p>
          <w:p w:rsidRPr="0061391E" w:rsidR="002A020D" w:rsidP="009F48F2" w:rsidRDefault="002A020D" w14:paraId="0E0A473A" w14:textId="77777777">
            <w:pPr>
              <w:pStyle w:val="TableParagraph"/>
              <w:spacing w:before="2" w:line="181" w:lineRule="exact"/>
              <w:rPr>
                <w:b/>
                <w:bCs/>
                <w:color w:val="215E99" w:themeColor="text2" w:themeTint="BF"/>
                <w:sz w:val="18"/>
                <w:szCs w:val="18"/>
              </w:rPr>
            </w:pPr>
          </w:p>
        </w:tc>
      </w:tr>
      <w:tr w:rsidRPr="00AC268A" w:rsidR="002A020D" w:rsidTr="009F48F2" w14:paraId="1429E7BD" w14:textId="77777777">
        <w:trPr>
          <w:trHeight w:val="988"/>
        </w:trPr>
        <w:tc>
          <w:tcPr>
            <w:tcW w:w="1418" w:type="dxa"/>
            <w:shd w:val="clear" w:color="auto" w:fill="83CAEB" w:themeFill="accent1" w:themeFillTint="66"/>
          </w:tcPr>
          <w:p w:rsidRPr="006C1222" w:rsidR="002A020D" w:rsidP="009F48F2" w:rsidRDefault="002A020D" w14:paraId="32533585" w14:textId="77777777">
            <w:pPr>
              <w:pStyle w:val="TableParagraph"/>
              <w:spacing w:line="261" w:lineRule="auto"/>
              <w:ind w:left="101"/>
              <w:rPr>
                <w:color w:val="215E99" w:themeColor="text2" w:themeTint="BF"/>
                <w:spacing w:val="-2"/>
                <w:sz w:val="18"/>
                <w:szCs w:val="18"/>
                <w:lang w:val="nl-NL"/>
              </w:rPr>
            </w:pPr>
            <w:r>
              <w:rPr>
                <w:color w:val="215E99" w:themeColor="text2" w:themeTint="BF"/>
                <w:spacing w:val="-2"/>
                <w:sz w:val="18"/>
                <w:szCs w:val="18"/>
                <w:lang w:val="nl-NL"/>
              </w:rPr>
              <w:t>C</w:t>
            </w:r>
            <w:r w:rsidRPr="00CB7266">
              <w:rPr>
                <w:color w:val="215E99" w:themeColor="text2" w:themeTint="BF"/>
                <w:spacing w:val="-2"/>
                <w:sz w:val="18"/>
                <w:szCs w:val="18"/>
                <w:lang w:val="nl-NL"/>
              </w:rPr>
              <w:t xml:space="preserve">oherentie van het Nederlandse beleid en de effecten op voedselzekerheid, water en klimaat in </w:t>
            </w:r>
            <w:proofErr w:type="spellStart"/>
            <w:r w:rsidRPr="00CB7266">
              <w:rPr>
                <w:color w:val="215E99" w:themeColor="text2" w:themeTint="BF"/>
                <w:spacing w:val="-2"/>
                <w:sz w:val="18"/>
                <w:szCs w:val="18"/>
                <w:lang w:val="nl-NL"/>
              </w:rPr>
              <w:t>ontwikkelings</w:t>
            </w:r>
            <w:r>
              <w:rPr>
                <w:color w:val="215E99" w:themeColor="text2" w:themeTint="BF"/>
                <w:spacing w:val="-2"/>
                <w:sz w:val="18"/>
                <w:szCs w:val="18"/>
                <w:lang w:val="nl-NL"/>
              </w:rPr>
              <w:t>-</w:t>
            </w:r>
            <w:r w:rsidRPr="00CB7266">
              <w:rPr>
                <w:color w:val="215E99" w:themeColor="text2" w:themeTint="BF"/>
                <w:spacing w:val="-2"/>
                <w:sz w:val="18"/>
                <w:szCs w:val="18"/>
                <w:lang w:val="nl-NL"/>
              </w:rPr>
              <w:t>landen</w:t>
            </w:r>
            <w:proofErr w:type="spellEnd"/>
            <w:r w:rsidRPr="00CB7266">
              <w:rPr>
                <w:color w:val="215E99" w:themeColor="text2" w:themeTint="BF"/>
                <w:spacing w:val="-2"/>
                <w:sz w:val="18"/>
                <w:szCs w:val="18"/>
                <w:lang w:val="nl-NL"/>
              </w:rPr>
              <w:t>, 20</w:t>
            </w:r>
            <w:r w:rsidRPr="006C1222">
              <w:rPr>
                <w:color w:val="215E99" w:themeColor="text2" w:themeTint="BF"/>
                <w:spacing w:val="-2"/>
                <w:sz w:val="18"/>
                <w:szCs w:val="18"/>
                <w:lang w:val="nl-NL"/>
              </w:rPr>
              <w:t>16-2023.</w:t>
            </w:r>
          </w:p>
          <w:p w:rsidRPr="006C1222" w:rsidR="002A020D" w:rsidP="009F48F2" w:rsidRDefault="002A020D" w14:paraId="3D38EC62" w14:textId="77777777">
            <w:pPr>
              <w:pStyle w:val="TableParagraph"/>
              <w:spacing w:line="261" w:lineRule="auto"/>
              <w:ind w:left="101"/>
              <w:rPr>
                <w:color w:val="215E99" w:themeColor="text2" w:themeTint="BF"/>
                <w:spacing w:val="-2"/>
                <w:sz w:val="18"/>
                <w:szCs w:val="18"/>
                <w:lang w:val="nl-NL"/>
              </w:rPr>
            </w:pPr>
            <w:hyperlink w:history="1" r:id="rId14">
              <w:r w:rsidRPr="006C1222">
                <w:rPr>
                  <w:rStyle w:val="Hyperlink"/>
                  <w:color w:val="215E99" w:themeColor="text2" w:themeTint="BF"/>
                  <w:spacing w:val="-2"/>
                  <w:sz w:val="18"/>
                  <w:szCs w:val="18"/>
                  <w:lang w:val="nl-NL"/>
                </w:rPr>
                <w:t>Synergie in ontwikkeling</w:t>
              </w:r>
            </w:hyperlink>
          </w:p>
          <w:p w:rsidRPr="00577500" w:rsidR="002A020D" w:rsidP="009F48F2" w:rsidRDefault="002A020D" w14:paraId="4BD146DD" w14:textId="77777777">
            <w:pPr>
              <w:pStyle w:val="TableParagraph"/>
              <w:spacing w:line="261" w:lineRule="auto"/>
              <w:ind w:left="0"/>
              <w:rPr>
                <w:color w:val="215E99" w:themeColor="text2" w:themeTint="BF"/>
                <w:spacing w:val="-2"/>
                <w:sz w:val="18"/>
                <w:szCs w:val="18"/>
                <w:lang w:val="nl-NL"/>
              </w:rPr>
            </w:pPr>
          </w:p>
        </w:tc>
        <w:tc>
          <w:tcPr>
            <w:tcW w:w="1276" w:type="dxa"/>
            <w:shd w:val="clear" w:color="auto" w:fill="83CAEB" w:themeFill="accent1" w:themeFillTint="66"/>
          </w:tcPr>
          <w:p w:rsidRPr="00AC268A" w:rsidR="002A020D" w:rsidP="009F48F2" w:rsidRDefault="002A020D" w14:paraId="36986F44" w14:textId="77777777">
            <w:pPr>
              <w:pStyle w:val="TableParagraph"/>
              <w:spacing w:line="261" w:lineRule="auto"/>
              <w:ind w:left="101"/>
              <w:rPr>
                <w:color w:val="215E99" w:themeColor="text2" w:themeTint="BF"/>
                <w:sz w:val="18"/>
                <w:szCs w:val="18"/>
              </w:rPr>
            </w:pPr>
            <w:proofErr w:type="spellStart"/>
            <w:r w:rsidRPr="00AC268A">
              <w:rPr>
                <w:color w:val="215E99" w:themeColor="text2" w:themeTint="BF"/>
                <w:spacing w:val="-2"/>
                <w:sz w:val="18"/>
                <w:szCs w:val="18"/>
              </w:rPr>
              <w:t>Periodieke</w:t>
            </w:r>
            <w:proofErr w:type="spellEnd"/>
            <w:r w:rsidRPr="00AC268A">
              <w:rPr>
                <w:color w:val="215E99" w:themeColor="text2" w:themeTint="BF"/>
                <w:spacing w:val="-2"/>
                <w:sz w:val="18"/>
                <w:szCs w:val="18"/>
              </w:rPr>
              <w:t xml:space="preserve"> rapportage over </w:t>
            </w:r>
            <w:proofErr w:type="spellStart"/>
            <w:r w:rsidRPr="00AC268A">
              <w:rPr>
                <w:color w:val="215E99" w:themeColor="text2" w:themeTint="BF"/>
                <w:spacing w:val="-2"/>
                <w:sz w:val="18"/>
                <w:szCs w:val="18"/>
              </w:rPr>
              <w:t>periode</w:t>
            </w:r>
            <w:proofErr w:type="spellEnd"/>
            <w:r w:rsidRPr="00AC268A">
              <w:rPr>
                <w:color w:val="215E99" w:themeColor="text2" w:themeTint="BF"/>
                <w:spacing w:val="-2"/>
                <w:sz w:val="18"/>
                <w:szCs w:val="18"/>
              </w:rPr>
              <w:t xml:space="preserve"> </w:t>
            </w:r>
            <w:r w:rsidRPr="00AC268A">
              <w:rPr>
                <w:color w:val="215E99" w:themeColor="text2" w:themeTint="BF"/>
                <w:spacing w:val="-4"/>
                <w:w w:val="105"/>
                <w:sz w:val="18"/>
                <w:szCs w:val="18"/>
              </w:rPr>
              <w:t>2016</w:t>
            </w:r>
          </w:p>
          <w:p w:rsidRPr="00AC268A" w:rsidR="002A020D" w:rsidP="009F48F2" w:rsidRDefault="002A020D" w14:paraId="10F15B86" w14:textId="77777777">
            <w:pPr>
              <w:pStyle w:val="TableParagraph"/>
              <w:spacing w:before="0" w:line="205" w:lineRule="exact"/>
              <w:ind w:left="101"/>
              <w:rPr>
                <w:color w:val="215E99" w:themeColor="text2" w:themeTint="BF"/>
                <w:sz w:val="18"/>
                <w:szCs w:val="18"/>
              </w:rPr>
            </w:pPr>
            <w:r w:rsidRPr="00AC268A">
              <w:rPr>
                <w:color w:val="215E99" w:themeColor="text2" w:themeTint="BF"/>
                <w:w w:val="105"/>
                <w:sz w:val="18"/>
                <w:szCs w:val="18"/>
              </w:rPr>
              <w:t>t/m</w:t>
            </w:r>
            <w:r w:rsidRPr="00AC268A">
              <w:rPr>
                <w:color w:val="215E99" w:themeColor="text2" w:themeTint="BF"/>
                <w:spacing w:val="-7"/>
                <w:w w:val="105"/>
                <w:sz w:val="18"/>
                <w:szCs w:val="18"/>
              </w:rPr>
              <w:t xml:space="preserve"> </w:t>
            </w:r>
            <w:r w:rsidRPr="00AC268A">
              <w:rPr>
                <w:color w:val="215E99" w:themeColor="text2" w:themeTint="BF"/>
                <w:spacing w:val="-4"/>
                <w:w w:val="105"/>
                <w:sz w:val="18"/>
                <w:szCs w:val="18"/>
              </w:rPr>
              <w:t>2023</w:t>
            </w:r>
          </w:p>
        </w:tc>
        <w:tc>
          <w:tcPr>
            <w:tcW w:w="1559" w:type="dxa"/>
            <w:shd w:val="clear" w:color="auto" w:fill="83CAEB" w:themeFill="accent1" w:themeFillTint="66"/>
          </w:tcPr>
          <w:p w:rsidRPr="00AC268A" w:rsidR="002A020D" w:rsidP="009F48F2" w:rsidRDefault="002A020D" w14:paraId="1650D2AA" w14:textId="77777777">
            <w:pPr>
              <w:pStyle w:val="TableParagraph"/>
              <w:ind w:left="101"/>
              <w:rPr>
                <w:color w:val="215E99" w:themeColor="text2" w:themeTint="BF"/>
                <w:sz w:val="18"/>
                <w:szCs w:val="18"/>
              </w:rPr>
            </w:pPr>
            <w:r w:rsidRPr="00AC268A">
              <w:rPr>
                <w:color w:val="215E99" w:themeColor="text2" w:themeTint="BF"/>
                <w:spacing w:val="-4"/>
                <w:w w:val="105"/>
                <w:sz w:val="18"/>
                <w:szCs w:val="18"/>
              </w:rPr>
              <w:t>2024</w:t>
            </w:r>
          </w:p>
        </w:tc>
        <w:tc>
          <w:tcPr>
            <w:tcW w:w="1559" w:type="dxa"/>
            <w:shd w:val="clear" w:color="auto" w:fill="83CAEB" w:themeFill="accent1" w:themeFillTint="66"/>
          </w:tcPr>
          <w:p w:rsidRPr="00AC268A" w:rsidR="002A020D" w:rsidP="009F48F2" w:rsidRDefault="002A020D" w14:paraId="35AE72F7" w14:textId="77777777">
            <w:pPr>
              <w:pStyle w:val="TableParagraph"/>
              <w:ind w:left="101"/>
              <w:rPr>
                <w:color w:val="215E99" w:themeColor="text2" w:themeTint="BF"/>
                <w:sz w:val="18"/>
                <w:szCs w:val="18"/>
              </w:rPr>
            </w:pPr>
            <w:r w:rsidRPr="00AC268A">
              <w:rPr>
                <w:color w:val="215E99" w:themeColor="text2" w:themeTint="BF"/>
                <w:w w:val="105"/>
                <w:sz w:val="18"/>
                <w:szCs w:val="18"/>
              </w:rPr>
              <w:t>H17,</w:t>
            </w:r>
            <w:r w:rsidRPr="00AC268A">
              <w:rPr>
                <w:color w:val="215E99" w:themeColor="text2" w:themeTint="BF"/>
                <w:spacing w:val="-6"/>
                <w:w w:val="105"/>
                <w:sz w:val="18"/>
                <w:szCs w:val="18"/>
              </w:rPr>
              <w:t xml:space="preserve"> </w:t>
            </w:r>
            <w:r w:rsidRPr="00AC268A">
              <w:rPr>
                <w:color w:val="215E99" w:themeColor="text2" w:themeTint="BF"/>
                <w:w w:val="105"/>
                <w:sz w:val="18"/>
                <w:szCs w:val="18"/>
              </w:rPr>
              <w:t>Artikel</w:t>
            </w:r>
            <w:r w:rsidRPr="00AC268A">
              <w:rPr>
                <w:color w:val="215E99" w:themeColor="text2" w:themeTint="BF"/>
                <w:spacing w:val="-6"/>
                <w:w w:val="105"/>
                <w:sz w:val="18"/>
                <w:szCs w:val="18"/>
              </w:rPr>
              <w:t xml:space="preserve"> 2</w:t>
            </w:r>
          </w:p>
        </w:tc>
        <w:tc>
          <w:tcPr>
            <w:tcW w:w="1701" w:type="dxa"/>
            <w:shd w:val="clear" w:color="auto" w:fill="83CAEB" w:themeFill="accent1" w:themeFillTint="66"/>
          </w:tcPr>
          <w:p w:rsidRPr="00CB7266" w:rsidR="002A020D" w:rsidP="009F48F2" w:rsidRDefault="002A020D" w14:paraId="007D31D8" w14:textId="77777777">
            <w:pPr>
              <w:pStyle w:val="TableParagraph"/>
              <w:rPr>
                <w:color w:val="215E99" w:themeColor="text2" w:themeTint="BF"/>
                <w:sz w:val="18"/>
                <w:szCs w:val="18"/>
                <w:lang w:val="nl-NL"/>
              </w:rPr>
            </w:pPr>
            <w:r w:rsidRPr="00CB7266">
              <w:rPr>
                <w:color w:val="215E99" w:themeColor="text2" w:themeTint="BF"/>
                <w:spacing w:val="-4"/>
                <w:w w:val="105"/>
                <w:sz w:val="18"/>
                <w:szCs w:val="18"/>
                <w:lang w:val="nl-NL"/>
              </w:rPr>
              <w:t xml:space="preserve">Voedselzekerheid   </w:t>
            </w:r>
            <w:r w:rsidRPr="00CB7266">
              <w:rPr>
                <w:color w:val="215E99" w:themeColor="text2" w:themeTint="BF"/>
                <w:w w:val="105"/>
                <w:sz w:val="18"/>
                <w:szCs w:val="18"/>
                <w:lang w:val="nl-NL"/>
              </w:rPr>
              <w:t>€</w:t>
            </w:r>
            <w:r w:rsidRPr="00CB7266">
              <w:rPr>
                <w:color w:val="215E99" w:themeColor="text2" w:themeTint="BF"/>
                <w:spacing w:val="-4"/>
                <w:w w:val="105"/>
                <w:sz w:val="18"/>
                <w:szCs w:val="18"/>
                <w:lang w:val="nl-NL"/>
              </w:rPr>
              <w:t xml:space="preserve">388,41 </w:t>
            </w:r>
            <w:proofErr w:type="spellStart"/>
            <w:r w:rsidRPr="00CB7266">
              <w:rPr>
                <w:color w:val="215E99" w:themeColor="text2" w:themeTint="BF"/>
                <w:spacing w:val="-4"/>
                <w:w w:val="105"/>
                <w:sz w:val="18"/>
                <w:szCs w:val="18"/>
                <w:lang w:val="nl-NL"/>
              </w:rPr>
              <w:t>mln</w:t>
            </w:r>
            <w:proofErr w:type="spellEnd"/>
          </w:p>
          <w:p w:rsidRPr="00CB7266" w:rsidR="002A020D" w:rsidP="009F48F2" w:rsidRDefault="002A020D" w14:paraId="5DEDE337" w14:textId="77777777">
            <w:pPr>
              <w:pStyle w:val="TableParagraph"/>
              <w:rPr>
                <w:color w:val="215E99" w:themeColor="text2" w:themeTint="BF"/>
                <w:sz w:val="18"/>
                <w:szCs w:val="18"/>
                <w:lang w:val="nl-NL"/>
              </w:rPr>
            </w:pPr>
            <w:r w:rsidRPr="00CB7266">
              <w:rPr>
                <w:color w:val="215E99" w:themeColor="text2" w:themeTint="BF"/>
                <w:spacing w:val="-4"/>
                <w:w w:val="105"/>
                <w:sz w:val="18"/>
                <w:szCs w:val="18"/>
                <w:lang w:val="nl-NL"/>
              </w:rPr>
              <w:t xml:space="preserve">Water                    </w:t>
            </w:r>
            <w:r w:rsidRPr="00CB7266">
              <w:rPr>
                <w:color w:val="215E99" w:themeColor="text2" w:themeTint="BF"/>
                <w:w w:val="105"/>
                <w:sz w:val="18"/>
                <w:szCs w:val="18"/>
                <w:lang w:val="nl-NL"/>
              </w:rPr>
              <w:t>€201,68</w:t>
            </w:r>
            <w:r w:rsidRPr="00CB7266">
              <w:rPr>
                <w:color w:val="215E99" w:themeColor="text2" w:themeTint="BF"/>
                <w:spacing w:val="-4"/>
                <w:w w:val="105"/>
                <w:sz w:val="18"/>
                <w:szCs w:val="18"/>
                <w:lang w:val="nl-NL"/>
              </w:rPr>
              <w:t xml:space="preserve"> </w:t>
            </w:r>
            <w:proofErr w:type="spellStart"/>
            <w:r w:rsidRPr="00CB7266">
              <w:rPr>
                <w:color w:val="215E99" w:themeColor="text2" w:themeTint="BF"/>
                <w:spacing w:val="-4"/>
                <w:w w:val="105"/>
                <w:sz w:val="18"/>
                <w:szCs w:val="18"/>
                <w:lang w:val="nl-NL"/>
              </w:rPr>
              <w:t>mln</w:t>
            </w:r>
            <w:proofErr w:type="spellEnd"/>
          </w:p>
          <w:p w:rsidRPr="00CB7266" w:rsidR="002A020D" w:rsidP="009F48F2" w:rsidRDefault="002A020D" w14:paraId="0A329438" w14:textId="77777777">
            <w:pPr>
              <w:pStyle w:val="TableParagraph"/>
              <w:rPr>
                <w:color w:val="215E99" w:themeColor="text2" w:themeTint="BF"/>
                <w:sz w:val="18"/>
                <w:szCs w:val="18"/>
                <w:lang w:val="nl-NL"/>
              </w:rPr>
            </w:pPr>
            <w:r w:rsidRPr="00CB7266">
              <w:rPr>
                <w:color w:val="215E99" w:themeColor="text2" w:themeTint="BF"/>
                <w:spacing w:val="-4"/>
                <w:w w:val="105"/>
                <w:sz w:val="18"/>
                <w:szCs w:val="18"/>
                <w:lang w:val="nl-NL"/>
              </w:rPr>
              <w:t xml:space="preserve">Klimaat                  </w:t>
            </w:r>
            <w:r w:rsidRPr="00CB7266">
              <w:rPr>
                <w:color w:val="215E99" w:themeColor="text2" w:themeTint="BF"/>
                <w:w w:val="105"/>
                <w:sz w:val="18"/>
                <w:szCs w:val="18"/>
                <w:lang w:val="nl-NL"/>
              </w:rPr>
              <w:t>€</w:t>
            </w:r>
            <w:r w:rsidRPr="00CB7266">
              <w:rPr>
                <w:color w:val="215E99" w:themeColor="text2" w:themeTint="BF"/>
                <w:spacing w:val="-4"/>
                <w:w w:val="105"/>
                <w:sz w:val="18"/>
                <w:szCs w:val="18"/>
                <w:lang w:val="nl-NL"/>
              </w:rPr>
              <w:t xml:space="preserve">307,06 </w:t>
            </w:r>
            <w:proofErr w:type="spellStart"/>
            <w:r w:rsidRPr="00CB7266">
              <w:rPr>
                <w:color w:val="215E99" w:themeColor="text2" w:themeTint="BF"/>
                <w:spacing w:val="-4"/>
                <w:w w:val="105"/>
                <w:sz w:val="18"/>
                <w:szCs w:val="18"/>
                <w:lang w:val="nl-NL"/>
              </w:rPr>
              <w:t>mln</w:t>
            </w:r>
            <w:proofErr w:type="spellEnd"/>
          </w:p>
          <w:p w:rsidRPr="00AC268A" w:rsidR="002A020D" w:rsidP="009F48F2" w:rsidRDefault="002A020D" w14:paraId="516CE21D" w14:textId="77777777">
            <w:pPr>
              <w:pStyle w:val="TableParagraph"/>
              <w:rPr>
                <w:color w:val="215E99" w:themeColor="text2" w:themeTint="BF"/>
                <w:sz w:val="18"/>
                <w:szCs w:val="18"/>
              </w:rPr>
            </w:pPr>
            <w:proofErr w:type="spellStart"/>
            <w:r w:rsidRPr="00AC268A">
              <w:rPr>
                <w:color w:val="215E99" w:themeColor="text2" w:themeTint="BF"/>
                <w:spacing w:val="-4"/>
                <w:w w:val="105"/>
                <w:sz w:val="18"/>
                <w:szCs w:val="18"/>
                <w:u w:val="single"/>
              </w:rPr>
              <w:t>totaal</w:t>
            </w:r>
            <w:proofErr w:type="spellEnd"/>
            <w:r w:rsidRPr="00AC268A">
              <w:rPr>
                <w:color w:val="215E99" w:themeColor="text2" w:themeTint="BF"/>
                <w:spacing w:val="-4"/>
                <w:w w:val="105"/>
                <w:sz w:val="18"/>
                <w:szCs w:val="18"/>
                <w:u w:val="single"/>
              </w:rPr>
              <w:t xml:space="preserve"> </w:t>
            </w:r>
            <w:r w:rsidRPr="00AC268A">
              <w:rPr>
                <w:color w:val="215E99" w:themeColor="text2" w:themeTint="BF"/>
                <w:spacing w:val="-4"/>
                <w:w w:val="105"/>
                <w:sz w:val="18"/>
                <w:szCs w:val="18"/>
              </w:rPr>
              <w:t xml:space="preserve">                    </w:t>
            </w:r>
            <w:r w:rsidRPr="00AC268A">
              <w:rPr>
                <w:color w:val="215E99" w:themeColor="text2" w:themeTint="BF"/>
                <w:w w:val="105"/>
                <w:sz w:val="18"/>
                <w:szCs w:val="18"/>
              </w:rPr>
              <w:t>€897</w:t>
            </w:r>
            <w:r w:rsidRPr="00AC268A">
              <w:rPr>
                <w:color w:val="215E99" w:themeColor="text2" w:themeTint="BF"/>
                <w:spacing w:val="-4"/>
                <w:w w:val="105"/>
                <w:sz w:val="18"/>
                <w:szCs w:val="18"/>
              </w:rPr>
              <w:t xml:space="preserve"> </w:t>
            </w:r>
            <w:proofErr w:type="spellStart"/>
            <w:r w:rsidRPr="00AC268A">
              <w:rPr>
                <w:color w:val="215E99" w:themeColor="text2" w:themeTint="BF"/>
                <w:spacing w:val="-4"/>
                <w:w w:val="105"/>
                <w:sz w:val="18"/>
                <w:szCs w:val="18"/>
              </w:rPr>
              <w:t>mln</w:t>
            </w:r>
            <w:proofErr w:type="spellEnd"/>
          </w:p>
          <w:p w:rsidRPr="00AC268A" w:rsidR="002A020D" w:rsidP="009F48F2" w:rsidRDefault="002A020D" w14:paraId="592B4E19" w14:textId="77777777">
            <w:pPr>
              <w:pStyle w:val="TableParagraph"/>
              <w:rPr>
                <w:color w:val="215E99" w:themeColor="text2" w:themeTint="BF"/>
                <w:spacing w:val="-4"/>
                <w:w w:val="105"/>
                <w:sz w:val="18"/>
                <w:szCs w:val="18"/>
              </w:rPr>
            </w:pPr>
          </w:p>
          <w:p w:rsidRPr="00AC268A" w:rsidR="002A020D" w:rsidP="009F48F2" w:rsidRDefault="002A020D" w14:paraId="6D5FED92" w14:textId="77777777">
            <w:pPr>
              <w:pStyle w:val="TableParagraph"/>
              <w:spacing w:before="18"/>
              <w:rPr>
                <w:color w:val="215E99" w:themeColor="text2" w:themeTint="BF"/>
                <w:sz w:val="18"/>
                <w:szCs w:val="18"/>
              </w:rPr>
            </w:pPr>
          </w:p>
        </w:tc>
      </w:tr>
      <w:tr w:rsidRPr="00CB7266" w:rsidR="002A020D" w:rsidTr="009F48F2" w14:paraId="00F82CBB" w14:textId="77777777">
        <w:trPr>
          <w:trHeight w:val="748"/>
        </w:trPr>
        <w:tc>
          <w:tcPr>
            <w:tcW w:w="7513" w:type="dxa"/>
            <w:gridSpan w:val="5"/>
          </w:tcPr>
          <w:p w:rsidRPr="00CB7266" w:rsidR="002A020D" w:rsidP="009F48F2" w:rsidRDefault="002A020D" w14:paraId="26ABEE24" w14:textId="409FBF63">
            <w:pPr>
              <w:pStyle w:val="TableParagraph"/>
              <w:spacing w:line="259" w:lineRule="auto"/>
              <w:ind w:right="168"/>
              <w:rPr>
                <w:color w:val="215E99" w:themeColor="text2" w:themeTint="BF"/>
                <w:sz w:val="18"/>
                <w:szCs w:val="18"/>
                <w:lang w:val="nl-NL"/>
              </w:rPr>
            </w:pPr>
            <w:r w:rsidRPr="00CB7266">
              <w:rPr>
                <w:b/>
                <w:bCs/>
                <w:color w:val="215E99" w:themeColor="text2" w:themeTint="BF"/>
                <w:w w:val="105"/>
                <w:sz w:val="18"/>
                <w:szCs w:val="18"/>
                <w:lang w:val="nl-NL"/>
              </w:rPr>
              <w:t>Toelichting evaluatie:</w:t>
            </w:r>
            <w:r w:rsidRPr="00CB7266">
              <w:rPr>
                <w:w w:val="105"/>
                <w:sz w:val="18"/>
                <w:szCs w:val="18"/>
                <w:lang w:val="nl-NL"/>
              </w:rPr>
              <w:t xml:space="preserve"> </w:t>
            </w:r>
            <w:r w:rsidRPr="00CB7266">
              <w:rPr>
                <w:color w:val="215E99" w:themeColor="text2" w:themeTint="BF"/>
                <w:w w:val="105"/>
                <w:sz w:val="18"/>
                <w:szCs w:val="18"/>
                <w:lang w:val="nl-NL"/>
              </w:rPr>
              <w:t xml:space="preserve">Nederland ondersteunt voedselzekerheid, waterbeheer, en klimaatactie in ontwikkelingslanden. De evaluatie onderzocht de resultaten en hoe deze zijn beïnvloed door coherentie: de samenhang tussen verschillende thema’s en verschillende actoren, tussen </w:t>
            </w:r>
            <w:proofErr w:type="spellStart"/>
            <w:r w:rsidRPr="00CB7266">
              <w:rPr>
                <w:color w:val="215E99" w:themeColor="text2" w:themeTint="BF"/>
                <w:w w:val="105"/>
                <w:sz w:val="18"/>
                <w:szCs w:val="18"/>
                <w:lang w:val="nl-NL"/>
              </w:rPr>
              <w:t>kortetermijnprojecten</w:t>
            </w:r>
            <w:proofErr w:type="spellEnd"/>
            <w:r w:rsidRPr="00CB7266">
              <w:rPr>
                <w:color w:val="215E99" w:themeColor="text2" w:themeTint="BF"/>
                <w:w w:val="105"/>
                <w:sz w:val="18"/>
                <w:szCs w:val="18"/>
                <w:lang w:val="nl-NL"/>
              </w:rPr>
              <w:t xml:space="preserve"> en langetermijnstrategieën, en tussen activiteiten op verschillende schaalniveaus.</w:t>
            </w:r>
          </w:p>
          <w:p w:rsidRPr="00CB7266" w:rsidR="002A020D" w:rsidP="009F48F2" w:rsidRDefault="002A020D" w14:paraId="2CDBA290" w14:textId="77777777">
            <w:pPr>
              <w:pStyle w:val="TableParagraph"/>
              <w:spacing w:line="259" w:lineRule="auto"/>
              <w:ind w:right="168"/>
              <w:rPr>
                <w:sz w:val="18"/>
                <w:szCs w:val="18"/>
                <w:lang w:val="nl-NL"/>
              </w:rPr>
            </w:pPr>
          </w:p>
        </w:tc>
      </w:tr>
    </w:tbl>
    <w:p w:rsidR="00D7780E" w:rsidRDefault="00D7780E" w14:paraId="476A85B4" w14:textId="77777777">
      <w:r>
        <w:br w:type="page"/>
      </w:r>
    </w:p>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4253"/>
        <w:gridCol w:w="3260"/>
      </w:tblGrid>
      <w:tr w:rsidRPr="0061391E" w:rsidR="002A020D" w:rsidTr="009F48F2" w14:paraId="686F7D9C" w14:textId="77777777">
        <w:trPr>
          <w:trHeight w:val="364"/>
        </w:trPr>
        <w:tc>
          <w:tcPr>
            <w:tcW w:w="4253" w:type="dxa"/>
          </w:tcPr>
          <w:p w:rsidRPr="0061391E" w:rsidR="002A020D" w:rsidP="009F48F2" w:rsidRDefault="002A020D" w14:paraId="4BD8C12C" w14:textId="6571522D">
            <w:pPr>
              <w:pStyle w:val="TableParagraph"/>
              <w:spacing w:before="19"/>
              <w:rPr>
                <w:b/>
                <w:bCs/>
                <w:iCs/>
                <w:color w:val="215E99" w:themeColor="text2" w:themeTint="BF"/>
                <w:sz w:val="18"/>
                <w:szCs w:val="18"/>
              </w:rPr>
            </w:pPr>
            <w:proofErr w:type="spellStart"/>
            <w:r w:rsidRPr="0061391E">
              <w:rPr>
                <w:b/>
                <w:bCs/>
                <w:iCs/>
                <w:color w:val="215E99" w:themeColor="text2" w:themeTint="BF"/>
                <w:spacing w:val="-2"/>
                <w:w w:val="105"/>
                <w:sz w:val="18"/>
                <w:szCs w:val="18"/>
              </w:rPr>
              <w:lastRenderedPageBreak/>
              <w:t>Aanbevelingen</w:t>
            </w:r>
            <w:proofErr w:type="spellEnd"/>
            <w:r w:rsidRPr="0061391E">
              <w:rPr>
                <w:b/>
                <w:bCs/>
                <w:iCs/>
                <w:color w:val="215E99" w:themeColor="text2" w:themeTint="BF"/>
                <w:spacing w:val="-2"/>
                <w:w w:val="105"/>
                <w:sz w:val="18"/>
                <w:szCs w:val="18"/>
              </w:rPr>
              <w:t>/</w:t>
            </w:r>
            <w:proofErr w:type="spellStart"/>
            <w:r w:rsidRPr="0061391E">
              <w:rPr>
                <w:b/>
                <w:bCs/>
                <w:iCs/>
                <w:color w:val="215E99" w:themeColor="text2" w:themeTint="BF"/>
                <w:spacing w:val="-2"/>
                <w:w w:val="105"/>
                <w:sz w:val="18"/>
                <w:szCs w:val="18"/>
              </w:rPr>
              <w:t>bevindingen</w:t>
            </w:r>
            <w:proofErr w:type="spellEnd"/>
            <w:r w:rsidRPr="0061391E">
              <w:rPr>
                <w:b/>
                <w:bCs/>
                <w:iCs/>
                <w:color w:val="215E99" w:themeColor="text2" w:themeTint="BF"/>
                <w:spacing w:val="-2"/>
                <w:w w:val="105"/>
                <w:sz w:val="18"/>
                <w:szCs w:val="18"/>
              </w:rPr>
              <w:t>:</w:t>
            </w:r>
          </w:p>
        </w:tc>
        <w:tc>
          <w:tcPr>
            <w:tcW w:w="3260" w:type="dxa"/>
          </w:tcPr>
          <w:p w:rsidRPr="0061391E" w:rsidR="002A020D" w:rsidP="009F48F2" w:rsidRDefault="002A020D" w14:paraId="55779A83" w14:textId="77777777">
            <w:pPr>
              <w:pStyle w:val="TableParagraph"/>
              <w:spacing w:before="19"/>
              <w:ind w:left="101"/>
              <w:rPr>
                <w:b/>
                <w:bCs/>
                <w:iCs/>
                <w:color w:val="215E99" w:themeColor="text2" w:themeTint="BF"/>
                <w:sz w:val="18"/>
                <w:szCs w:val="18"/>
              </w:rPr>
            </w:pPr>
            <w:proofErr w:type="spellStart"/>
            <w:r w:rsidRPr="0061391E">
              <w:rPr>
                <w:b/>
                <w:bCs/>
                <w:iCs/>
                <w:color w:val="215E99" w:themeColor="text2" w:themeTint="BF"/>
                <w:w w:val="105"/>
                <w:sz w:val="18"/>
                <w:szCs w:val="18"/>
              </w:rPr>
              <w:t>Toelichting</w:t>
            </w:r>
            <w:proofErr w:type="spellEnd"/>
            <w:r w:rsidRPr="0061391E">
              <w:rPr>
                <w:b/>
                <w:bCs/>
                <w:iCs/>
                <w:color w:val="215E99" w:themeColor="text2" w:themeTint="BF"/>
                <w:spacing w:val="-7"/>
                <w:w w:val="105"/>
                <w:sz w:val="18"/>
                <w:szCs w:val="18"/>
              </w:rPr>
              <w:t xml:space="preserve"> </w:t>
            </w:r>
            <w:r w:rsidRPr="0061391E">
              <w:rPr>
                <w:b/>
                <w:bCs/>
                <w:iCs/>
                <w:color w:val="215E99" w:themeColor="text2" w:themeTint="BF"/>
                <w:w w:val="105"/>
                <w:sz w:val="18"/>
                <w:szCs w:val="18"/>
              </w:rPr>
              <w:t>status</w:t>
            </w:r>
            <w:r w:rsidRPr="0061391E">
              <w:rPr>
                <w:b/>
                <w:bCs/>
                <w:iCs/>
                <w:color w:val="215E99" w:themeColor="text2" w:themeTint="BF"/>
                <w:spacing w:val="10"/>
                <w:w w:val="105"/>
                <w:sz w:val="18"/>
                <w:szCs w:val="18"/>
              </w:rPr>
              <w:t xml:space="preserve"> </w:t>
            </w:r>
            <w:proofErr w:type="spellStart"/>
            <w:r w:rsidRPr="0061391E">
              <w:rPr>
                <w:b/>
                <w:bCs/>
                <w:iCs/>
                <w:color w:val="215E99" w:themeColor="text2" w:themeTint="BF"/>
                <w:spacing w:val="-2"/>
                <w:w w:val="105"/>
                <w:sz w:val="18"/>
                <w:szCs w:val="18"/>
              </w:rPr>
              <w:t>opvolging</w:t>
            </w:r>
            <w:proofErr w:type="spellEnd"/>
            <w:r w:rsidRPr="0061391E">
              <w:rPr>
                <w:b/>
                <w:bCs/>
                <w:iCs/>
                <w:color w:val="215E99" w:themeColor="text2" w:themeTint="BF"/>
                <w:spacing w:val="-2"/>
                <w:w w:val="105"/>
                <w:sz w:val="18"/>
                <w:szCs w:val="18"/>
              </w:rPr>
              <w:t>:</w:t>
            </w:r>
          </w:p>
        </w:tc>
      </w:tr>
      <w:tr w:rsidRPr="00CB7266" w:rsidR="002A020D" w:rsidTr="009F48F2" w14:paraId="04C99F36" w14:textId="77777777">
        <w:trPr>
          <w:trHeight w:val="2237"/>
        </w:trPr>
        <w:tc>
          <w:tcPr>
            <w:tcW w:w="4253" w:type="dxa"/>
          </w:tcPr>
          <w:p w:rsidRPr="00CB7266" w:rsidR="002A020D" w:rsidP="009F48F2" w:rsidRDefault="002A020D" w14:paraId="1832CAB3" w14:textId="77777777">
            <w:pPr>
              <w:pStyle w:val="TableParagraph"/>
              <w:numPr>
                <w:ilvl w:val="0"/>
                <w:numId w:val="7"/>
              </w:numPr>
              <w:spacing w:before="19" w:line="268" w:lineRule="auto"/>
              <w:ind w:right="207"/>
              <w:rPr>
                <w:sz w:val="18"/>
                <w:szCs w:val="18"/>
                <w:lang w:val="nl-NL"/>
              </w:rPr>
            </w:pPr>
            <w:r w:rsidRPr="00CB7266">
              <w:rPr>
                <w:w w:val="105"/>
                <w:sz w:val="18"/>
                <w:szCs w:val="18"/>
                <w:lang w:val="nl-NL"/>
              </w:rPr>
              <w:t xml:space="preserve">Ondersteun nationale </w:t>
            </w:r>
            <w:proofErr w:type="spellStart"/>
            <w:r w:rsidRPr="00CB7266">
              <w:rPr>
                <w:w w:val="105"/>
                <w:sz w:val="18"/>
                <w:szCs w:val="18"/>
                <w:lang w:val="nl-NL"/>
              </w:rPr>
              <w:t>langetermijn-strategiëen</w:t>
            </w:r>
            <w:proofErr w:type="spellEnd"/>
            <w:r w:rsidRPr="00CB7266">
              <w:rPr>
                <w:w w:val="105"/>
                <w:sz w:val="18"/>
                <w:szCs w:val="18"/>
                <w:lang w:val="nl-NL"/>
              </w:rPr>
              <w:t xml:space="preserve"> van partnerlanden</w:t>
            </w:r>
          </w:p>
        </w:tc>
        <w:tc>
          <w:tcPr>
            <w:tcW w:w="3260" w:type="dxa"/>
          </w:tcPr>
          <w:p w:rsidRPr="00CB7266" w:rsidR="002A020D" w:rsidP="009F48F2" w:rsidRDefault="002A020D" w14:paraId="6F97069F" w14:textId="3DC76DB3">
            <w:pPr>
              <w:pStyle w:val="TableParagraph"/>
              <w:spacing w:before="19"/>
              <w:ind w:left="101"/>
              <w:rPr>
                <w:sz w:val="18"/>
                <w:szCs w:val="18"/>
                <w:lang w:val="nl-NL"/>
              </w:rPr>
            </w:pPr>
            <w:r w:rsidRPr="00CB7266">
              <w:rPr>
                <w:w w:val="105"/>
                <w:sz w:val="18"/>
                <w:szCs w:val="18"/>
                <w:lang w:val="nl-NL"/>
              </w:rPr>
              <w:t xml:space="preserve">Onderhanden: In met name de stabiele landen zijn de eigen nationale </w:t>
            </w:r>
            <w:proofErr w:type="spellStart"/>
            <w:r w:rsidRPr="00CB7266">
              <w:rPr>
                <w:w w:val="105"/>
                <w:sz w:val="18"/>
                <w:szCs w:val="18"/>
                <w:lang w:val="nl-NL"/>
              </w:rPr>
              <w:t>langetermijn</w:t>
            </w:r>
            <w:proofErr w:type="spellEnd"/>
            <w:r w:rsidRPr="00CB7266">
              <w:rPr>
                <w:w w:val="105"/>
                <w:sz w:val="18"/>
                <w:szCs w:val="18"/>
                <w:lang w:val="nl-NL"/>
              </w:rPr>
              <w:t xml:space="preserve"> strategieën - </w:t>
            </w:r>
            <w:proofErr w:type="spellStart"/>
            <w:r w:rsidRPr="00414F5B">
              <w:rPr>
                <w:i/>
                <w:iCs/>
                <w:w w:val="105"/>
                <w:sz w:val="18"/>
                <w:szCs w:val="18"/>
                <w:lang w:val="nl-NL"/>
              </w:rPr>
              <w:t>national</w:t>
            </w:r>
            <w:proofErr w:type="spellEnd"/>
            <w:r w:rsidRPr="00414F5B">
              <w:rPr>
                <w:i/>
                <w:iCs/>
                <w:w w:val="105"/>
                <w:sz w:val="18"/>
                <w:szCs w:val="18"/>
                <w:lang w:val="nl-NL"/>
              </w:rPr>
              <w:t xml:space="preserve"> </w:t>
            </w:r>
            <w:proofErr w:type="spellStart"/>
            <w:r w:rsidRPr="00414F5B">
              <w:rPr>
                <w:i/>
                <w:iCs/>
                <w:w w:val="105"/>
                <w:sz w:val="18"/>
                <w:szCs w:val="18"/>
                <w:lang w:val="nl-NL"/>
              </w:rPr>
              <w:t>pathways</w:t>
            </w:r>
            <w:proofErr w:type="spellEnd"/>
            <w:r w:rsidRPr="00CB7266">
              <w:rPr>
                <w:w w:val="105"/>
                <w:sz w:val="18"/>
                <w:szCs w:val="18"/>
                <w:lang w:val="nl-NL"/>
              </w:rPr>
              <w:t xml:space="preserve"> voor voedselzekerheid, en waterstrategieën - een belangrijk kader. In 2025 </w:t>
            </w:r>
            <w:r w:rsidR="007015ED">
              <w:rPr>
                <w:w w:val="105"/>
                <w:sz w:val="18"/>
                <w:szCs w:val="18"/>
                <w:lang w:val="nl-NL"/>
              </w:rPr>
              <w:t xml:space="preserve">heeft </w:t>
            </w:r>
            <w:r w:rsidRPr="00CB7266">
              <w:rPr>
                <w:w w:val="105"/>
                <w:sz w:val="18"/>
                <w:szCs w:val="18"/>
                <w:lang w:val="nl-NL"/>
              </w:rPr>
              <w:t xml:space="preserve">het kabinet voor partnerlanden nieuwe </w:t>
            </w:r>
            <w:proofErr w:type="spellStart"/>
            <w:r w:rsidRPr="00CB7266">
              <w:rPr>
                <w:w w:val="105"/>
                <w:sz w:val="18"/>
                <w:szCs w:val="18"/>
                <w:lang w:val="nl-NL"/>
              </w:rPr>
              <w:t>meerjarenlandenstrategieën</w:t>
            </w:r>
            <w:proofErr w:type="spellEnd"/>
            <w:r w:rsidRPr="00CB7266">
              <w:rPr>
                <w:w w:val="105"/>
                <w:sz w:val="18"/>
                <w:szCs w:val="18"/>
                <w:lang w:val="nl-NL"/>
              </w:rPr>
              <w:t xml:space="preserve"> (MLS) op</w:t>
            </w:r>
            <w:r w:rsidR="007015ED">
              <w:rPr>
                <w:w w:val="105"/>
                <w:sz w:val="18"/>
                <w:szCs w:val="18"/>
                <w:lang w:val="nl-NL"/>
              </w:rPr>
              <w:t>gesteld</w:t>
            </w:r>
            <w:r w:rsidRPr="00CB7266">
              <w:rPr>
                <w:w w:val="105"/>
                <w:sz w:val="18"/>
                <w:szCs w:val="18"/>
                <w:lang w:val="nl-NL"/>
              </w:rPr>
              <w:t>.</w:t>
            </w:r>
            <w:r w:rsidR="00EE5BE2">
              <w:rPr>
                <w:w w:val="105"/>
                <w:sz w:val="18"/>
                <w:szCs w:val="18"/>
                <w:lang w:val="nl-NL"/>
              </w:rPr>
              <w:t xml:space="preserve"> </w:t>
            </w:r>
            <w:r w:rsidRPr="00EE5BE2" w:rsidR="00EE5BE2">
              <w:rPr>
                <w:w w:val="105"/>
                <w:sz w:val="18"/>
                <w:szCs w:val="18"/>
                <w:lang w:val="nl-NL"/>
              </w:rPr>
              <w:t>Daarbinnen wordt zoveel mogelijk aansluiting gezocht bij het beleid en bij robuuste plannen van de betreffende landen.</w:t>
            </w:r>
            <w:r w:rsidRPr="00CB7266">
              <w:rPr>
                <w:w w:val="105"/>
                <w:sz w:val="18"/>
                <w:szCs w:val="18"/>
                <w:lang w:val="nl-NL"/>
              </w:rPr>
              <w:t xml:space="preserve"> Ook vermindering van de lange-termijn negatieve gevolgen van klimaatverandering is hierbij een belangrijk aandachtspunt.</w:t>
            </w:r>
          </w:p>
          <w:p w:rsidRPr="00CB7266" w:rsidR="002A020D" w:rsidP="009F48F2" w:rsidRDefault="002A020D" w14:paraId="0FE5FA8D" w14:textId="77777777">
            <w:pPr>
              <w:pStyle w:val="TableParagraph"/>
              <w:spacing w:before="19"/>
              <w:ind w:left="101"/>
              <w:rPr>
                <w:w w:val="105"/>
                <w:sz w:val="18"/>
                <w:szCs w:val="18"/>
                <w:lang w:val="nl-NL"/>
              </w:rPr>
            </w:pPr>
          </w:p>
        </w:tc>
      </w:tr>
      <w:tr w:rsidRPr="00CB7266" w:rsidR="002A020D" w:rsidTr="00501CC4" w14:paraId="5B2E9A26" w14:textId="77777777">
        <w:trPr>
          <w:trHeight w:val="406"/>
        </w:trPr>
        <w:tc>
          <w:tcPr>
            <w:tcW w:w="4253" w:type="dxa"/>
          </w:tcPr>
          <w:p w:rsidRPr="00CB7266" w:rsidR="002A020D" w:rsidP="009F48F2" w:rsidRDefault="002A020D" w14:paraId="45ED7FA2" w14:textId="77777777">
            <w:pPr>
              <w:pStyle w:val="ListParagraph"/>
              <w:numPr>
                <w:ilvl w:val="0"/>
                <w:numId w:val="7"/>
              </w:numPr>
              <w:rPr>
                <w:rFonts w:eastAsia="Verdana" w:cs="Verdana"/>
                <w:lang w:val="nl-NL"/>
              </w:rPr>
            </w:pPr>
            <w:r w:rsidRPr="00CB7266">
              <w:rPr>
                <w:rFonts w:eastAsia="Verdana" w:cs="Verdana"/>
                <w:w w:val="105"/>
                <w:lang w:val="nl-NL"/>
              </w:rPr>
              <w:t>Zet beleidsdialoog voort en ondersteun de institutionele capaciteit van partnerlanden</w:t>
            </w:r>
          </w:p>
          <w:p w:rsidRPr="00CB7266" w:rsidR="002A020D" w:rsidP="009F48F2" w:rsidRDefault="002A020D" w14:paraId="4346395A" w14:textId="77777777">
            <w:pPr>
              <w:pStyle w:val="TableParagraph"/>
              <w:spacing w:before="19" w:line="268" w:lineRule="auto"/>
              <w:ind w:left="839" w:right="207" w:hanging="353"/>
              <w:rPr>
                <w:b/>
                <w:w w:val="105"/>
                <w:sz w:val="18"/>
                <w:szCs w:val="18"/>
                <w:lang w:val="nl-NL"/>
              </w:rPr>
            </w:pPr>
          </w:p>
        </w:tc>
        <w:tc>
          <w:tcPr>
            <w:tcW w:w="3260" w:type="dxa"/>
          </w:tcPr>
          <w:p w:rsidRPr="00501CC4" w:rsidR="002A020D" w:rsidP="00501CC4" w:rsidRDefault="002A020D" w14:paraId="0C134AF0" w14:textId="0258AA53">
            <w:pPr>
              <w:pStyle w:val="TableParagraph"/>
              <w:spacing w:before="19"/>
              <w:ind w:left="101"/>
              <w:rPr>
                <w:sz w:val="18"/>
                <w:szCs w:val="18"/>
                <w:lang w:val="nl-NL"/>
              </w:rPr>
            </w:pPr>
            <w:r w:rsidRPr="00CB7266">
              <w:rPr>
                <w:w w:val="105"/>
                <w:sz w:val="18"/>
                <w:szCs w:val="18"/>
                <w:lang w:val="nl-NL"/>
              </w:rPr>
              <w:t xml:space="preserve">Onderhanden: zie hierboven. </w:t>
            </w:r>
            <w:r w:rsidRPr="0037462D" w:rsidR="0037462D">
              <w:rPr>
                <w:w w:val="105"/>
                <w:sz w:val="18"/>
                <w:szCs w:val="18"/>
                <w:lang w:val="nl-NL"/>
              </w:rPr>
              <w:t>MLS-en zij</w:t>
            </w:r>
            <w:r w:rsidR="0037462D">
              <w:rPr>
                <w:w w:val="105"/>
                <w:sz w:val="18"/>
                <w:szCs w:val="18"/>
                <w:lang w:val="nl-NL"/>
              </w:rPr>
              <w:t>n</w:t>
            </w:r>
            <w:r w:rsidRPr="0037462D" w:rsidR="0037462D">
              <w:rPr>
                <w:w w:val="105"/>
                <w:sz w:val="18"/>
                <w:szCs w:val="18"/>
                <w:lang w:val="nl-NL"/>
              </w:rPr>
              <w:t xml:space="preserve"> in 2025 in dialoog met partnerlanden opgesteld en zullen de komende jaren </w:t>
            </w:r>
            <w:r w:rsidRPr="00CB7266">
              <w:rPr>
                <w:w w:val="105"/>
                <w:sz w:val="18"/>
                <w:szCs w:val="18"/>
                <w:lang w:val="nl-NL"/>
              </w:rPr>
              <w:t>daarna samen met/in dialoog met partnerorganisaties in die landen worden uitgevoerd. Ambassades spelen hierbij een belangrijke rol. Het kabinet ondersteunt interventies die als specifieke doel hebben om institutionele capaciteit</w:t>
            </w:r>
            <w:r w:rsidR="0037462D">
              <w:rPr>
                <w:w w:val="105"/>
                <w:sz w:val="18"/>
                <w:szCs w:val="18"/>
                <w:lang w:val="nl-NL"/>
              </w:rPr>
              <w:t xml:space="preserve"> te</w:t>
            </w:r>
            <w:r w:rsidRPr="00CB7266">
              <w:rPr>
                <w:w w:val="105"/>
                <w:sz w:val="18"/>
                <w:szCs w:val="18"/>
                <w:lang w:val="nl-NL"/>
              </w:rPr>
              <w:t xml:space="preserve"> versterken. Daarnaast is ook </w:t>
            </w:r>
            <w:r w:rsidR="00784339">
              <w:rPr>
                <w:w w:val="105"/>
                <w:sz w:val="18"/>
                <w:szCs w:val="18"/>
                <w:lang w:val="nl-NL"/>
              </w:rPr>
              <w:t>‘</w:t>
            </w:r>
            <w:r w:rsidRPr="00CB7266">
              <w:rPr>
                <w:w w:val="105"/>
                <w:sz w:val="18"/>
                <w:szCs w:val="18"/>
                <w:lang w:val="nl-NL"/>
              </w:rPr>
              <w:t>lokaal-geleide ontwikkeling</w:t>
            </w:r>
            <w:r w:rsidR="00784339">
              <w:rPr>
                <w:w w:val="105"/>
                <w:sz w:val="18"/>
                <w:szCs w:val="18"/>
                <w:lang w:val="nl-NL"/>
              </w:rPr>
              <w:t>’</w:t>
            </w:r>
            <w:r w:rsidRPr="00CB7266">
              <w:rPr>
                <w:w w:val="105"/>
                <w:sz w:val="18"/>
                <w:szCs w:val="18"/>
                <w:lang w:val="nl-NL"/>
              </w:rPr>
              <w:t xml:space="preserve"> een mechanisme om institutionele capaciteit van partnerlanden te versterken.   </w:t>
            </w:r>
          </w:p>
        </w:tc>
      </w:tr>
      <w:tr w:rsidRPr="00CB7266" w:rsidR="002A020D" w:rsidTr="009F48F2" w14:paraId="4F44F9E8" w14:textId="77777777">
        <w:trPr>
          <w:trHeight w:val="2237"/>
        </w:trPr>
        <w:tc>
          <w:tcPr>
            <w:tcW w:w="4253" w:type="dxa"/>
          </w:tcPr>
          <w:p w:rsidRPr="00CB7266" w:rsidR="002A020D" w:rsidP="009F48F2" w:rsidRDefault="002A020D" w14:paraId="25DC9027" w14:textId="28F569D0">
            <w:pPr>
              <w:pStyle w:val="ListParagraph"/>
              <w:numPr>
                <w:ilvl w:val="0"/>
                <w:numId w:val="7"/>
              </w:numPr>
              <w:rPr>
                <w:rFonts w:eastAsia="Verdana" w:cs="Verdana"/>
                <w:lang w:val="nl-NL"/>
              </w:rPr>
            </w:pPr>
            <w:r w:rsidRPr="00CB7266">
              <w:rPr>
                <w:rFonts w:eastAsia="Verdana" w:cs="Verdana"/>
                <w:w w:val="105"/>
                <w:lang w:val="nl-NL"/>
              </w:rPr>
              <w:t xml:space="preserve">Maak </w:t>
            </w:r>
            <w:proofErr w:type="spellStart"/>
            <w:r w:rsidRPr="00CB7266">
              <w:rPr>
                <w:rFonts w:eastAsia="Verdana" w:cs="Verdana"/>
                <w:w w:val="105"/>
                <w:lang w:val="nl-NL"/>
              </w:rPr>
              <w:t>langetermijnafspraken</w:t>
            </w:r>
            <w:proofErr w:type="spellEnd"/>
            <w:r w:rsidRPr="00CB7266">
              <w:rPr>
                <w:rFonts w:eastAsia="Verdana" w:cs="Verdana"/>
                <w:w w:val="105"/>
                <w:lang w:val="nl-NL"/>
              </w:rPr>
              <w:t xml:space="preserve"> voor programma’s</w:t>
            </w:r>
          </w:p>
        </w:tc>
        <w:tc>
          <w:tcPr>
            <w:tcW w:w="3260" w:type="dxa"/>
          </w:tcPr>
          <w:p w:rsidRPr="00CB7266" w:rsidR="002A020D" w:rsidP="009F48F2" w:rsidRDefault="002A020D" w14:paraId="1992F4AC" w14:textId="5265CD9C">
            <w:pPr>
              <w:pStyle w:val="TableParagraph"/>
              <w:spacing w:before="19"/>
              <w:ind w:left="101"/>
              <w:rPr>
                <w:sz w:val="18"/>
                <w:szCs w:val="18"/>
                <w:lang w:val="nl-NL"/>
              </w:rPr>
            </w:pPr>
            <w:r w:rsidRPr="00CB7266">
              <w:rPr>
                <w:w w:val="105"/>
                <w:sz w:val="18"/>
                <w:szCs w:val="18"/>
                <w:lang w:val="nl-NL"/>
              </w:rPr>
              <w:t xml:space="preserve">Onderhanden: de intensivering van de inzet van het kabinet op </w:t>
            </w:r>
            <w:r w:rsidR="00110C11">
              <w:rPr>
                <w:w w:val="105"/>
                <w:sz w:val="18"/>
                <w:szCs w:val="18"/>
                <w:lang w:val="nl-NL"/>
              </w:rPr>
              <w:t>voedselzekerheid</w:t>
            </w:r>
            <w:r w:rsidRPr="00CB7266">
              <w:rPr>
                <w:w w:val="105"/>
                <w:sz w:val="18"/>
                <w:szCs w:val="18"/>
                <w:lang w:val="nl-NL"/>
              </w:rPr>
              <w:t xml:space="preserve"> en</w:t>
            </w:r>
            <w:r w:rsidR="00501CC4">
              <w:rPr>
                <w:w w:val="105"/>
                <w:sz w:val="18"/>
                <w:szCs w:val="18"/>
                <w:lang w:val="nl-NL"/>
              </w:rPr>
              <w:t xml:space="preserve"> </w:t>
            </w:r>
            <w:r w:rsidR="00110C11">
              <w:rPr>
                <w:w w:val="105"/>
                <w:sz w:val="18"/>
                <w:szCs w:val="18"/>
                <w:lang w:val="nl-NL"/>
              </w:rPr>
              <w:t>water</w:t>
            </w:r>
            <w:r w:rsidRPr="00CB7266">
              <w:rPr>
                <w:w w:val="105"/>
                <w:sz w:val="18"/>
                <w:szCs w:val="18"/>
                <w:lang w:val="nl-NL"/>
              </w:rPr>
              <w:t xml:space="preserve"> vergroot de ruimte voor </w:t>
            </w:r>
            <w:proofErr w:type="spellStart"/>
            <w:r w:rsidRPr="00CB7266">
              <w:rPr>
                <w:w w:val="105"/>
                <w:sz w:val="18"/>
                <w:szCs w:val="18"/>
                <w:lang w:val="nl-NL"/>
              </w:rPr>
              <w:t>langetermijnafspraken</w:t>
            </w:r>
            <w:proofErr w:type="spellEnd"/>
            <w:r w:rsidRPr="00CB7266">
              <w:rPr>
                <w:w w:val="105"/>
                <w:sz w:val="18"/>
                <w:szCs w:val="18"/>
                <w:lang w:val="nl-NL"/>
              </w:rPr>
              <w:t xml:space="preserve"> in met name stabiele landen. Een deel van de </w:t>
            </w:r>
            <w:r w:rsidR="00C04802">
              <w:rPr>
                <w:w w:val="105"/>
                <w:sz w:val="18"/>
                <w:szCs w:val="18"/>
                <w:lang w:val="nl-NL"/>
              </w:rPr>
              <w:t>voedselzekerheid</w:t>
            </w:r>
            <w:r w:rsidRPr="00CB7266">
              <w:rPr>
                <w:w w:val="105"/>
                <w:sz w:val="18"/>
                <w:szCs w:val="18"/>
                <w:lang w:val="nl-NL"/>
              </w:rPr>
              <w:t xml:space="preserve">- en </w:t>
            </w:r>
            <w:r w:rsidR="00C04802">
              <w:rPr>
                <w:w w:val="105"/>
                <w:sz w:val="18"/>
                <w:szCs w:val="18"/>
                <w:lang w:val="nl-NL"/>
              </w:rPr>
              <w:t>water</w:t>
            </w:r>
            <w:r w:rsidRPr="00CB7266">
              <w:rPr>
                <w:w w:val="105"/>
                <w:sz w:val="18"/>
                <w:szCs w:val="18"/>
                <w:lang w:val="nl-NL"/>
              </w:rPr>
              <w:t xml:space="preserve">- programma’s heeft al een horizon van 6 tot 10 jaar. Met het nieuwe beleid kan dit aandeel verder groeien. Dit komt voorspelbaarheid van de hulp ten goede, bestendigt partnerschappen, creëert ruimte voor synergie, vermindert transactiekosten en vergroot impact. Waar opportuun, zal het kabinet </w:t>
            </w:r>
            <w:proofErr w:type="spellStart"/>
            <w:r w:rsidRPr="00CB7266">
              <w:rPr>
                <w:w w:val="105"/>
                <w:sz w:val="18"/>
                <w:szCs w:val="18"/>
                <w:lang w:val="nl-NL"/>
              </w:rPr>
              <w:t>langetermijnprogramma’s</w:t>
            </w:r>
            <w:proofErr w:type="spellEnd"/>
            <w:r w:rsidRPr="00CB7266">
              <w:rPr>
                <w:w w:val="105"/>
                <w:sz w:val="18"/>
                <w:szCs w:val="18"/>
                <w:lang w:val="nl-NL"/>
              </w:rPr>
              <w:t xml:space="preserve"> </w:t>
            </w:r>
            <w:r w:rsidRPr="00CB7266">
              <w:rPr>
                <w:w w:val="105"/>
                <w:sz w:val="18"/>
                <w:szCs w:val="18"/>
                <w:lang w:val="nl-NL"/>
              </w:rPr>
              <w:lastRenderedPageBreak/>
              <w:t xml:space="preserve">combineren met </w:t>
            </w:r>
            <w:proofErr w:type="spellStart"/>
            <w:r w:rsidRPr="00CB7266">
              <w:rPr>
                <w:w w:val="105"/>
                <w:sz w:val="18"/>
                <w:szCs w:val="18"/>
                <w:lang w:val="nl-NL"/>
              </w:rPr>
              <w:t>kortetermijninterventies</w:t>
            </w:r>
            <w:proofErr w:type="spellEnd"/>
            <w:r w:rsidRPr="00CB7266">
              <w:rPr>
                <w:w w:val="105"/>
                <w:sz w:val="18"/>
                <w:szCs w:val="18"/>
                <w:lang w:val="nl-NL"/>
              </w:rPr>
              <w:t xml:space="preserve">. Die combinatie doet recht aan de lange adem die nodig is voor ontwikkelingsprocessen, terwijl </w:t>
            </w:r>
            <w:proofErr w:type="spellStart"/>
            <w:r w:rsidRPr="00CB7266">
              <w:rPr>
                <w:w w:val="105"/>
                <w:sz w:val="18"/>
                <w:szCs w:val="18"/>
                <w:lang w:val="nl-NL"/>
              </w:rPr>
              <w:t>kortetermijnresultaten</w:t>
            </w:r>
            <w:proofErr w:type="spellEnd"/>
            <w:r w:rsidRPr="00CB7266">
              <w:rPr>
                <w:w w:val="105"/>
                <w:sz w:val="18"/>
                <w:szCs w:val="18"/>
                <w:lang w:val="nl-NL"/>
              </w:rPr>
              <w:t xml:space="preserve"> ook waardevol zijn om lange-termijnprogrammering bij te sturen.</w:t>
            </w:r>
          </w:p>
          <w:p w:rsidRPr="00CB7266" w:rsidR="002A020D" w:rsidP="009F48F2" w:rsidRDefault="002A020D" w14:paraId="35C12F6B" w14:textId="77777777">
            <w:pPr>
              <w:pStyle w:val="TableParagraph"/>
              <w:spacing w:before="19"/>
              <w:ind w:left="101"/>
              <w:rPr>
                <w:w w:val="105"/>
                <w:sz w:val="18"/>
                <w:szCs w:val="18"/>
                <w:lang w:val="nl-NL"/>
              </w:rPr>
            </w:pPr>
          </w:p>
        </w:tc>
      </w:tr>
      <w:tr w:rsidRPr="00AC268A" w:rsidR="002A020D" w:rsidTr="009F48F2" w14:paraId="72B7B941" w14:textId="77777777">
        <w:trPr>
          <w:trHeight w:val="2237"/>
        </w:trPr>
        <w:tc>
          <w:tcPr>
            <w:tcW w:w="4253" w:type="dxa"/>
          </w:tcPr>
          <w:p w:rsidRPr="00CB7266" w:rsidR="002A020D" w:rsidP="009F48F2" w:rsidRDefault="002A020D" w14:paraId="2434118C" w14:textId="77777777">
            <w:pPr>
              <w:pStyle w:val="ListParagraph"/>
              <w:numPr>
                <w:ilvl w:val="0"/>
                <w:numId w:val="7"/>
              </w:numPr>
              <w:rPr>
                <w:rFonts w:eastAsia="Verdana" w:cs="Verdana"/>
                <w:lang w:val="nl-NL"/>
              </w:rPr>
            </w:pPr>
            <w:r w:rsidRPr="00CB7266">
              <w:rPr>
                <w:rFonts w:eastAsia="Verdana" w:cs="Verdana"/>
                <w:w w:val="105"/>
                <w:lang w:val="nl-NL"/>
              </w:rPr>
              <w:lastRenderedPageBreak/>
              <w:t>Werk vanuit een geïntegreerde systeembenadering aan een gedifferentieerde aanpak</w:t>
            </w:r>
          </w:p>
          <w:p w:rsidRPr="00CB7266" w:rsidR="002A020D" w:rsidP="009F48F2" w:rsidRDefault="002A020D" w14:paraId="7C9200A5" w14:textId="77777777">
            <w:pPr>
              <w:rPr>
                <w:rFonts w:eastAsia="Verdana" w:cs="Verdana"/>
                <w:w w:val="105"/>
                <w:lang w:val="nl-NL"/>
              </w:rPr>
            </w:pPr>
          </w:p>
        </w:tc>
        <w:tc>
          <w:tcPr>
            <w:tcW w:w="3260" w:type="dxa"/>
          </w:tcPr>
          <w:p w:rsidRPr="00AC268A" w:rsidR="002A020D" w:rsidP="009F48F2" w:rsidRDefault="002A020D" w14:paraId="082FC383" w14:textId="5882D181">
            <w:pPr>
              <w:pStyle w:val="TableParagraph"/>
              <w:spacing w:before="19"/>
              <w:ind w:left="101"/>
              <w:rPr>
                <w:sz w:val="18"/>
                <w:szCs w:val="18"/>
              </w:rPr>
            </w:pPr>
            <w:r w:rsidRPr="00CB7266">
              <w:rPr>
                <w:w w:val="105"/>
                <w:sz w:val="18"/>
                <w:szCs w:val="18"/>
                <w:lang w:val="nl-NL"/>
              </w:rPr>
              <w:t xml:space="preserve">Onderhanden: zowel voor </w:t>
            </w:r>
            <w:r w:rsidR="005D6D04">
              <w:rPr>
                <w:w w:val="105"/>
                <w:sz w:val="18"/>
                <w:szCs w:val="18"/>
                <w:lang w:val="nl-NL"/>
              </w:rPr>
              <w:t xml:space="preserve">de </w:t>
            </w:r>
            <w:r w:rsidRPr="00CB7266">
              <w:rPr>
                <w:w w:val="105"/>
                <w:sz w:val="18"/>
                <w:szCs w:val="18"/>
                <w:lang w:val="nl-NL"/>
              </w:rPr>
              <w:t xml:space="preserve">voedselsysteembenadering als voor </w:t>
            </w:r>
            <w:r w:rsidR="005D6D04">
              <w:rPr>
                <w:w w:val="105"/>
                <w:sz w:val="18"/>
                <w:szCs w:val="18"/>
                <w:lang w:val="nl-NL"/>
              </w:rPr>
              <w:t xml:space="preserve">het </w:t>
            </w:r>
            <w:r w:rsidRPr="00CB7266">
              <w:rPr>
                <w:w w:val="105"/>
                <w:sz w:val="18"/>
                <w:szCs w:val="18"/>
                <w:lang w:val="nl-NL"/>
              </w:rPr>
              <w:t xml:space="preserve">geïntegreerd waterbeheer werkt het kabinet waar mogelijk vanuit een geïntegreerde systeembenadering, met aandacht voor directe impact op mensen en randvoorwaarden (informatie, beleid, regelgeving, instituties, financiering, enz.) om impact te bestendigen. In de MLS wordt dit uitgewerkt.  Hierbij differentieert het kabinet, afhankelijk van de context in een land of regio. Soms wordt intensiever samengewerkt met publieke partners, soms met private of maatschappelijke organisaties. De politieke situatie, specifieke doelgroepen waar het beleid zich op richt, of focus op specifieke Nederlandse belangen zullen dergelijke keuzes mede bepalen. </w:t>
            </w:r>
            <w:proofErr w:type="spellStart"/>
            <w:r w:rsidRPr="00AC268A">
              <w:rPr>
                <w:iCs/>
                <w:w w:val="105"/>
                <w:sz w:val="18"/>
                <w:szCs w:val="18"/>
              </w:rPr>
              <w:t>Maatwerk</w:t>
            </w:r>
            <w:proofErr w:type="spellEnd"/>
            <w:r w:rsidRPr="00AC268A">
              <w:rPr>
                <w:iCs/>
                <w:w w:val="105"/>
                <w:sz w:val="18"/>
                <w:szCs w:val="18"/>
              </w:rPr>
              <w:t xml:space="preserve"> is </w:t>
            </w:r>
            <w:proofErr w:type="spellStart"/>
            <w:r w:rsidRPr="00AC268A">
              <w:rPr>
                <w:iCs/>
                <w:w w:val="105"/>
                <w:sz w:val="18"/>
                <w:szCs w:val="18"/>
              </w:rPr>
              <w:t>een</w:t>
            </w:r>
            <w:proofErr w:type="spellEnd"/>
            <w:r w:rsidRPr="00AC268A">
              <w:rPr>
                <w:iCs/>
                <w:w w:val="105"/>
                <w:sz w:val="18"/>
                <w:szCs w:val="18"/>
              </w:rPr>
              <w:t xml:space="preserve"> </w:t>
            </w:r>
            <w:proofErr w:type="spellStart"/>
            <w:r w:rsidRPr="00AC268A">
              <w:rPr>
                <w:iCs/>
                <w:w w:val="105"/>
                <w:sz w:val="18"/>
                <w:szCs w:val="18"/>
              </w:rPr>
              <w:t>hierbij</w:t>
            </w:r>
            <w:proofErr w:type="spellEnd"/>
            <w:r w:rsidRPr="00AC268A">
              <w:rPr>
                <w:iCs/>
                <w:w w:val="105"/>
                <w:sz w:val="18"/>
                <w:szCs w:val="18"/>
              </w:rPr>
              <w:t xml:space="preserve"> </w:t>
            </w:r>
            <w:proofErr w:type="spellStart"/>
            <w:r w:rsidRPr="00AC268A">
              <w:rPr>
                <w:iCs/>
                <w:w w:val="105"/>
                <w:sz w:val="18"/>
                <w:szCs w:val="18"/>
              </w:rPr>
              <w:t>sleutelbegrip</w:t>
            </w:r>
            <w:proofErr w:type="spellEnd"/>
            <w:r w:rsidRPr="00AC268A">
              <w:rPr>
                <w:iCs/>
                <w:w w:val="105"/>
                <w:sz w:val="18"/>
                <w:szCs w:val="18"/>
              </w:rPr>
              <w:t>.</w:t>
            </w:r>
          </w:p>
          <w:p w:rsidRPr="00AC268A" w:rsidR="002A020D" w:rsidP="009F48F2" w:rsidRDefault="002A020D" w14:paraId="2B6C3EF3" w14:textId="77777777">
            <w:pPr>
              <w:pStyle w:val="TableParagraph"/>
              <w:spacing w:before="19"/>
              <w:ind w:left="101"/>
              <w:rPr>
                <w:iCs/>
                <w:w w:val="105"/>
                <w:sz w:val="18"/>
                <w:szCs w:val="18"/>
              </w:rPr>
            </w:pPr>
          </w:p>
        </w:tc>
      </w:tr>
      <w:tr w:rsidRPr="00CB7266" w:rsidR="002A020D" w:rsidTr="009F48F2" w14:paraId="4256006F" w14:textId="77777777">
        <w:trPr>
          <w:trHeight w:val="548"/>
        </w:trPr>
        <w:tc>
          <w:tcPr>
            <w:tcW w:w="4253" w:type="dxa"/>
          </w:tcPr>
          <w:p w:rsidRPr="00CB7266" w:rsidR="002A020D" w:rsidP="009F48F2" w:rsidRDefault="002A020D" w14:paraId="0D4AEFAC" w14:textId="77777777">
            <w:pPr>
              <w:pStyle w:val="ListParagraph"/>
              <w:numPr>
                <w:ilvl w:val="0"/>
                <w:numId w:val="7"/>
              </w:numPr>
              <w:rPr>
                <w:rFonts w:eastAsia="Verdana" w:cs="Verdana"/>
                <w:lang w:val="nl-NL"/>
              </w:rPr>
            </w:pPr>
            <w:r w:rsidRPr="00CB7266">
              <w:rPr>
                <w:rFonts w:eastAsia="Verdana" w:cs="Verdana"/>
                <w:w w:val="105"/>
                <w:lang w:val="nl-NL"/>
              </w:rPr>
              <w:t>Vergroot de rol van ambassades</w:t>
            </w:r>
          </w:p>
        </w:tc>
        <w:tc>
          <w:tcPr>
            <w:tcW w:w="3260" w:type="dxa"/>
          </w:tcPr>
          <w:p w:rsidR="002A020D" w:rsidP="009F48F2" w:rsidRDefault="002A020D" w14:paraId="61BEFE7D" w14:textId="3BED541E">
            <w:pPr>
              <w:pStyle w:val="TableParagraph"/>
              <w:spacing w:before="19"/>
              <w:ind w:left="101"/>
              <w:rPr>
                <w:w w:val="105"/>
                <w:sz w:val="18"/>
                <w:szCs w:val="18"/>
                <w:lang w:val="nl-NL"/>
              </w:rPr>
            </w:pPr>
            <w:r w:rsidRPr="00CB7266">
              <w:rPr>
                <w:w w:val="105"/>
                <w:sz w:val="18"/>
                <w:szCs w:val="18"/>
                <w:lang w:val="nl-NL"/>
              </w:rPr>
              <w:t xml:space="preserve">Onderhanden: het kabinet beoogt de capaciteit op ambassades effectief en efficiënt in te zetten, ook ten behoeve van coherente realisatie van beleidsdoelen op </w:t>
            </w:r>
            <w:r w:rsidR="00C04802">
              <w:rPr>
                <w:w w:val="105"/>
                <w:sz w:val="18"/>
                <w:szCs w:val="18"/>
                <w:lang w:val="nl-NL"/>
              </w:rPr>
              <w:t>voedselzekerheid</w:t>
            </w:r>
            <w:r w:rsidRPr="00CB7266">
              <w:rPr>
                <w:w w:val="105"/>
                <w:sz w:val="18"/>
                <w:szCs w:val="18"/>
                <w:lang w:val="nl-NL"/>
              </w:rPr>
              <w:t xml:space="preserve"> en </w:t>
            </w:r>
            <w:r w:rsidR="00C04802">
              <w:rPr>
                <w:w w:val="105"/>
                <w:sz w:val="18"/>
                <w:szCs w:val="18"/>
                <w:lang w:val="nl-NL"/>
              </w:rPr>
              <w:t>water</w:t>
            </w:r>
            <w:r w:rsidRPr="00CB7266">
              <w:rPr>
                <w:w w:val="105"/>
                <w:sz w:val="18"/>
                <w:szCs w:val="18"/>
                <w:lang w:val="nl-NL"/>
              </w:rPr>
              <w:t xml:space="preserve">. De taakstelling voor het postennetwerk en de veiligheidssituatie in partnerlanden beperken de mate waarin ambassades een grotere rol kunnen spelen. In stabiele landen zijn die beperkingen minder groot dan in conflictlanden, en de eerste groep landen biedt dan ook het meeste perspectief op dit punt. Het gaat om maatwerk. In 2025 </w:t>
            </w:r>
            <w:r w:rsidR="00ED427A">
              <w:rPr>
                <w:w w:val="105"/>
                <w:sz w:val="18"/>
                <w:szCs w:val="18"/>
                <w:lang w:val="nl-NL"/>
              </w:rPr>
              <w:t>is</w:t>
            </w:r>
            <w:r w:rsidRPr="00CB7266">
              <w:rPr>
                <w:w w:val="105"/>
                <w:sz w:val="18"/>
                <w:szCs w:val="18"/>
                <w:lang w:val="nl-NL"/>
              </w:rPr>
              <w:t xml:space="preserve"> dit in MLS-en uitgewerkt die </w:t>
            </w:r>
            <w:r w:rsidRPr="00CB7266">
              <w:rPr>
                <w:w w:val="105"/>
                <w:sz w:val="18"/>
                <w:szCs w:val="18"/>
                <w:lang w:val="nl-NL"/>
              </w:rPr>
              <w:lastRenderedPageBreak/>
              <w:t>vanaf 2026 worden uitgevoerd.</w:t>
            </w:r>
          </w:p>
          <w:p w:rsidRPr="00CB7266" w:rsidR="00501CC4" w:rsidP="009F48F2" w:rsidRDefault="00501CC4" w14:paraId="0ED9531C" w14:textId="77777777">
            <w:pPr>
              <w:pStyle w:val="TableParagraph"/>
              <w:spacing w:before="19"/>
              <w:ind w:left="101"/>
              <w:rPr>
                <w:sz w:val="18"/>
                <w:szCs w:val="18"/>
                <w:lang w:val="nl-NL"/>
              </w:rPr>
            </w:pPr>
          </w:p>
        </w:tc>
      </w:tr>
      <w:tr w:rsidRPr="00CB7266" w:rsidR="002A020D" w:rsidTr="009F48F2" w14:paraId="27080AD1" w14:textId="77777777">
        <w:trPr>
          <w:trHeight w:val="2237"/>
        </w:trPr>
        <w:tc>
          <w:tcPr>
            <w:tcW w:w="4253" w:type="dxa"/>
          </w:tcPr>
          <w:p w:rsidRPr="00CB7266" w:rsidR="002A020D" w:rsidP="009F48F2" w:rsidRDefault="002A020D" w14:paraId="785B830E" w14:textId="77777777">
            <w:pPr>
              <w:pStyle w:val="ListParagraph"/>
              <w:numPr>
                <w:ilvl w:val="0"/>
                <w:numId w:val="7"/>
              </w:numPr>
              <w:rPr>
                <w:rFonts w:eastAsia="Verdana" w:cs="Verdana"/>
                <w:lang w:val="nl-NL"/>
              </w:rPr>
            </w:pPr>
            <w:r w:rsidRPr="00CB7266">
              <w:rPr>
                <w:rFonts w:eastAsia="Verdana" w:cs="Verdana"/>
                <w:w w:val="105"/>
                <w:lang w:val="nl-NL"/>
              </w:rPr>
              <w:lastRenderedPageBreak/>
              <w:t>Verschuif de nadruk bij monitoring en evaluatie van project- naar programmaniveau</w:t>
            </w:r>
          </w:p>
        </w:tc>
        <w:tc>
          <w:tcPr>
            <w:tcW w:w="3260" w:type="dxa"/>
          </w:tcPr>
          <w:p w:rsidRPr="00CB7266" w:rsidR="002A020D" w:rsidP="009F48F2" w:rsidRDefault="002A020D" w14:paraId="69BF9D08" w14:textId="0B9E3D7C">
            <w:pPr>
              <w:pStyle w:val="TableParagraph"/>
              <w:spacing w:before="19"/>
              <w:ind w:left="101"/>
              <w:rPr>
                <w:sz w:val="18"/>
                <w:szCs w:val="18"/>
                <w:lang w:val="nl-NL"/>
              </w:rPr>
            </w:pPr>
            <w:r w:rsidRPr="00CB7266">
              <w:rPr>
                <w:w w:val="105"/>
                <w:sz w:val="18"/>
                <w:szCs w:val="18"/>
                <w:lang w:val="nl-NL"/>
              </w:rPr>
              <w:t xml:space="preserve">Onderhanden: ook bij deze aanbeveling geldt dat het perspectief voor programmatische evaluatie beter is in stabiele landen met goede randvoorwaarden voor </w:t>
            </w:r>
            <w:proofErr w:type="spellStart"/>
            <w:r w:rsidRPr="00CB7266">
              <w:rPr>
                <w:w w:val="105"/>
                <w:sz w:val="18"/>
                <w:szCs w:val="18"/>
                <w:lang w:val="nl-NL"/>
              </w:rPr>
              <w:t>langetermijnprogrammering</w:t>
            </w:r>
            <w:proofErr w:type="spellEnd"/>
            <w:r w:rsidRPr="00CB7266">
              <w:rPr>
                <w:w w:val="105"/>
                <w:sz w:val="18"/>
                <w:szCs w:val="18"/>
                <w:lang w:val="nl-NL"/>
              </w:rPr>
              <w:t xml:space="preserve"> dan in conflictlanden. Waar opportuun zullen in de MLS-en initiatieven tot dit soort evaluaties worden opgenomen.</w:t>
            </w:r>
          </w:p>
          <w:p w:rsidRPr="00CB7266" w:rsidR="002A020D" w:rsidP="009F48F2" w:rsidRDefault="002A020D" w14:paraId="76F819F0" w14:textId="77777777">
            <w:pPr>
              <w:pStyle w:val="TableParagraph"/>
              <w:spacing w:before="19"/>
              <w:ind w:left="101"/>
              <w:rPr>
                <w:w w:val="105"/>
                <w:sz w:val="18"/>
                <w:szCs w:val="18"/>
                <w:lang w:val="nl-NL"/>
              </w:rPr>
            </w:pPr>
          </w:p>
        </w:tc>
      </w:tr>
      <w:tr w:rsidRPr="00CB7266" w:rsidR="002A020D" w:rsidTr="009F48F2" w14:paraId="324BE311" w14:textId="77777777">
        <w:trPr>
          <w:trHeight w:val="2237"/>
        </w:trPr>
        <w:tc>
          <w:tcPr>
            <w:tcW w:w="4253" w:type="dxa"/>
          </w:tcPr>
          <w:p w:rsidRPr="00CB7266" w:rsidR="002A020D" w:rsidP="009F48F2" w:rsidRDefault="002A020D" w14:paraId="7A93CCDD" w14:textId="77777777">
            <w:pPr>
              <w:pStyle w:val="ListParagraph"/>
              <w:numPr>
                <w:ilvl w:val="0"/>
                <w:numId w:val="7"/>
              </w:numPr>
              <w:rPr>
                <w:rFonts w:eastAsia="Verdana" w:cs="Verdana"/>
                <w:lang w:val="nl-NL"/>
              </w:rPr>
            </w:pPr>
            <w:r w:rsidRPr="00CB7266">
              <w:rPr>
                <w:rFonts w:eastAsia="Verdana" w:cs="Verdana"/>
                <w:w w:val="105"/>
                <w:lang w:val="nl-NL"/>
              </w:rPr>
              <w:t>Ontwikkel coherent beleid dat productie, consumptie en milieudoelstellingen met elkaar verbindt</w:t>
            </w:r>
          </w:p>
          <w:p w:rsidRPr="00CB7266" w:rsidR="002A020D" w:rsidP="009F48F2" w:rsidRDefault="002A020D" w14:paraId="13272B6E" w14:textId="77777777">
            <w:pPr>
              <w:rPr>
                <w:rFonts w:eastAsia="Verdana" w:cs="Verdana"/>
                <w:w w:val="105"/>
                <w:lang w:val="nl-NL"/>
              </w:rPr>
            </w:pPr>
          </w:p>
        </w:tc>
        <w:tc>
          <w:tcPr>
            <w:tcW w:w="3260" w:type="dxa"/>
          </w:tcPr>
          <w:p w:rsidRPr="00CB7266" w:rsidR="002A020D" w:rsidP="009F48F2" w:rsidRDefault="002A020D" w14:paraId="60B9D93A" w14:textId="71F7F96D">
            <w:pPr>
              <w:pStyle w:val="TableParagraph"/>
              <w:spacing w:before="19"/>
              <w:ind w:left="101"/>
              <w:rPr>
                <w:sz w:val="18"/>
                <w:szCs w:val="18"/>
                <w:lang w:val="nl-NL"/>
              </w:rPr>
            </w:pPr>
            <w:r w:rsidRPr="00CB7266">
              <w:rPr>
                <w:w w:val="105"/>
                <w:sz w:val="18"/>
                <w:szCs w:val="18"/>
                <w:lang w:val="nl-NL"/>
              </w:rPr>
              <w:t>Onderhanden: zoals al aangegeven in de beleidsreactie op de Periodieke rapportage zal het kabinet op verschillende kanalen blijven inzetten: EU</w:t>
            </w:r>
            <w:r w:rsidR="000E3CF6">
              <w:rPr>
                <w:w w:val="105"/>
                <w:sz w:val="18"/>
                <w:szCs w:val="18"/>
                <w:lang w:val="nl-NL"/>
              </w:rPr>
              <w:t>-</w:t>
            </w:r>
            <w:r w:rsidRPr="00CB7266">
              <w:rPr>
                <w:w w:val="105"/>
                <w:sz w:val="18"/>
                <w:szCs w:val="18"/>
                <w:lang w:val="nl-NL"/>
              </w:rPr>
              <w:t>handelsverdragen, voedselsysteembenadering, en interdepartementale coördinatie via onder andere de Monitor Brede Welvaart en de Nationale SDG-rapportage.</w:t>
            </w:r>
          </w:p>
          <w:p w:rsidRPr="00CB7266" w:rsidR="002A020D" w:rsidP="009F48F2" w:rsidRDefault="002A020D" w14:paraId="54CF5DBC" w14:textId="77777777">
            <w:pPr>
              <w:pStyle w:val="TableParagraph"/>
              <w:spacing w:before="19"/>
              <w:ind w:left="101"/>
              <w:rPr>
                <w:w w:val="105"/>
                <w:sz w:val="18"/>
                <w:szCs w:val="18"/>
                <w:lang w:val="nl-NL"/>
              </w:rPr>
            </w:pPr>
          </w:p>
        </w:tc>
      </w:tr>
    </w:tbl>
    <w:p w:rsidR="002A020D" w:rsidRDefault="002A020D" w14:paraId="6D03FF85" w14:textId="77777777"/>
    <w:p w:rsidR="00E84CC1" w:rsidRDefault="00E84CC1" w14:paraId="00245161" w14:textId="77777777"/>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418"/>
        <w:gridCol w:w="1276"/>
        <w:gridCol w:w="1559"/>
        <w:gridCol w:w="1559"/>
        <w:gridCol w:w="1701"/>
      </w:tblGrid>
      <w:tr w:rsidRPr="00CB7266" w:rsidR="00E84CC1" w:rsidTr="009F48F2" w14:paraId="579981EF" w14:textId="77777777">
        <w:trPr>
          <w:trHeight w:val="300"/>
        </w:trPr>
        <w:tc>
          <w:tcPr>
            <w:tcW w:w="7513" w:type="dxa"/>
            <w:gridSpan w:val="5"/>
            <w:shd w:val="clear" w:color="auto" w:fill="215E99" w:themeFill="text2" w:themeFillTint="BF"/>
          </w:tcPr>
          <w:p w:rsidRPr="00CB7266" w:rsidR="00E84CC1" w:rsidP="009F48F2" w:rsidRDefault="00E84CC1" w14:paraId="0C5297E2" w14:textId="45D43CE9">
            <w:pPr>
              <w:pStyle w:val="TableParagraph"/>
              <w:spacing w:before="0" w:line="251" w:lineRule="exact"/>
              <w:rPr>
                <w:b/>
                <w:color w:val="FFFFFF" w:themeColor="background1"/>
                <w:sz w:val="18"/>
                <w:szCs w:val="18"/>
                <w:lang w:val="nl-NL"/>
              </w:rPr>
            </w:pPr>
            <w:r w:rsidRPr="00CB7266">
              <w:rPr>
                <w:b/>
                <w:color w:val="FFFFFF" w:themeColor="background1"/>
                <w:sz w:val="18"/>
                <w:szCs w:val="18"/>
                <w:lang w:val="nl-NL"/>
              </w:rPr>
              <w:t xml:space="preserve">SEA-THEMA: </w:t>
            </w:r>
            <w:r>
              <w:rPr>
                <w:b/>
                <w:color w:val="FFFFFF" w:themeColor="background1"/>
                <w:sz w:val="18"/>
                <w:szCs w:val="18"/>
                <w:lang w:val="nl-NL"/>
              </w:rPr>
              <w:t>Sociale vooruitgang</w:t>
            </w:r>
          </w:p>
        </w:tc>
      </w:tr>
      <w:tr w:rsidRPr="00CB7266" w:rsidR="00E84CC1" w:rsidTr="009F48F2" w14:paraId="43237435" w14:textId="77777777">
        <w:trPr>
          <w:trHeight w:val="1245"/>
        </w:trPr>
        <w:tc>
          <w:tcPr>
            <w:tcW w:w="7513" w:type="dxa"/>
            <w:gridSpan w:val="5"/>
          </w:tcPr>
          <w:p w:rsidRPr="00CB7266" w:rsidR="00E84CC1" w:rsidP="009F48F2" w:rsidRDefault="00E84CC1" w14:paraId="371A84F5" w14:textId="77777777">
            <w:pPr>
              <w:pStyle w:val="TableParagraph"/>
              <w:rPr>
                <w:b/>
                <w:bCs/>
                <w:color w:val="215E99" w:themeColor="text2" w:themeTint="BF"/>
                <w:sz w:val="18"/>
                <w:szCs w:val="18"/>
                <w:lang w:val="nl-NL"/>
              </w:rPr>
            </w:pPr>
            <w:r w:rsidRPr="00CB7266">
              <w:rPr>
                <w:b/>
                <w:bCs/>
                <w:color w:val="215E99" w:themeColor="text2" w:themeTint="BF"/>
                <w:w w:val="105"/>
                <w:sz w:val="18"/>
                <w:szCs w:val="18"/>
                <w:lang w:val="nl-NL"/>
              </w:rPr>
              <w:t>Overkoepelende</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toelichting</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SEA-thema:</w:t>
            </w:r>
            <w:r w:rsidRPr="00CB7266">
              <w:rPr>
                <w:b/>
                <w:bCs/>
                <w:color w:val="215E99" w:themeColor="text2" w:themeTint="BF"/>
                <w:spacing w:val="-3"/>
                <w:w w:val="105"/>
                <w:sz w:val="18"/>
                <w:szCs w:val="18"/>
                <w:lang w:val="nl-NL"/>
              </w:rPr>
              <w:t xml:space="preserve"> </w:t>
            </w:r>
          </w:p>
          <w:p w:rsidRPr="00BB1B31" w:rsidR="00BB1B31" w:rsidP="00BB1B31" w:rsidRDefault="00BB1B31" w14:paraId="2887D050" w14:textId="77777777">
            <w:pPr>
              <w:pStyle w:val="TableParagraph"/>
              <w:spacing w:before="18"/>
              <w:rPr>
                <w:color w:val="215E99" w:themeColor="text2" w:themeTint="BF"/>
                <w:sz w:val="18"/>
                <w:szCs w:val="18"/>
                <w:lang w:val="nl-NL"/>
              </w:rPr>
            </w:pPr>
            <w:r w:rsidRPr="00BB1B31">
              <w:rPr>
                <w:color w:val="215E99" w:themeColor="text2" w:themeTint="BF"/>
                <w:sz w:val="18"/>
                <w:szCs w:val="18"/>
                <w:lang w:val="nl-NL"/>
              </w:rPr>
              <w:t xml:space="preserve">Het Nederlandse beleid onder het thema Sociale vooruitgang beoogt menselijke ontplooiing en het bevorderen van sociale gelijkheid en inclusieve ontwikkeling. Er zijn vier </w:t>
            </w:r>
            <w:proofErr w:type="spellStart"/>
            <w:r w:rsidRPr="00BB1B31">
              <w:rPr>
                <w:color w:val="215E99" w:themeColor="text2" w:themeTint="BF"/>
                <w:sz w:val="18"/>
                <w:szCs w:val="18"/>
                <w:lang w:val="nl-NL"/>
              </w:rPr>
              <w:t>subthema’s</w:t>
            </w:r>
            <w:proofErr w:type="spellEnd"/>
            <w:r w:rsidRPr="00BB1B31">
              <w:rPr>
                <w:color w:val="215E99" w:themeColor="text2" w:themeTint="BF"/>
                <w:sz w:val="18"/>
                <w:szCs w:val="18"/>
                <w:lang w:val="nl-NL"/>
              </w:rPr>
              <w:t>:</w:t>
            </w:r>
          </w:p>
          <w:p w:rsidR="00BB1B31" w:rsidP="00BB1B31" w:rsidRDefault="00BB1B31" w14:paraId="5D37BD84" w14:textId="52BC4C2A">
            <w:pPr>
              <w:pStyle w:val="TableParagraph"/>
              <w:numPr>
                <w:ilvl w:val="0"/>
                <w:numId w:val="26"/>
              </w:numPr>
              <w:spacing w:before="18"/>
              <w:rPr>
                <w:color w:val="215E99" w:themeColor="text2" w:themeTint="BF"/>
                <w:sz w:val="18"/>
                <w:szCs w:val="18"/>
                <w:lang w:val="nl-NL"/>
              </w:rPr>
            </w:pPr>
            <w:proofErr w:type="spellStart"/>
            <w:r w:rsidRPr="00BB1B31">
              <w:rPr>
                <w:color w:val="215E99" w:themeColor="text2" w:themeTint="BF"/>
                <w:sz w:val="18"/>
                <w:szCs w:val="18"/>
                <w:lang w:val="nl-NL"/>
              </w:rPr>
              <w:t>Subthema</w:t>
            </w:r>
            <w:proofErr w:type="spellEnd"/>
            <w:r w:rsidRPr="00BB1B31">
              <w:rPr>
                <w:color w:val="215E99" w:themeColor="text2" w:themeTint="BF"/>
                <w:sz w:val="18"/>
                <w:szCs w:val="18"/>
                <w:lang w:val="nl-NL"/>
              </w:rPr>
              <w:t xml:space="preserve"> Mondiale gezondheid en seksuele en reproductieve gezondheid en rechten</w:t>
            </w:r>
            <w:r>
              <w:rPr>
                <w:color w:val="215E99" w:themeColor="text2" w:themeTint="BF"/>
                <w:sz w:val="18"/>
                <w:szCs w:val="18"/>
                <w:lang w:val="nl-NL"/>
              </w:rPr>
              <w:t>: h</w:t>
            </w:r>
            <w:r w:rsidRPr="00BB1B31">
              <w:rPr>
                <w:color w:val="215E99" w:themeColor="text2" w:themeTint="BF"/>
                <w:sz w:val="18"/>
                <w:szCs w:val="18"/>
                <w:lang w:val="nl-NL"/>
              </w:rPr>
              <w:t>et versterken van gezondheidssystemen en verbeteren van toegang tot basisgezondheidszorg en Seksuele en Reproductieve Gezondheid en Rechten (SRGR)</w:t>
            </w:r>
            <w:r>
              <w:rPr>
                <w:color w:val="215E99" w:themeColor="text2" w:themeTint="BF"/>
                <w:sz w:val="18"/>
                <w:szCs w:val="18"/>
                <w:lang w:val="nl-NL"/>
              </w:rPr>
              <w:t>;</w:t>
            </w:r>
          </w:p>
          <w:p w:rsidR="00BB1B31" w:rsidP="00BB1B31" w:rsidRDefault="00BB1B31" w14:paraId="4388EC7F" w14:textId="1CC2D495">
            <w:pPr>
              <w:pStyle w:val="TableParagraph"/>
              <w:numPr>
                <w:ilvl w:val="0"/>
                <w:numId w:val="26"/>
              </w:numPr>
              <w:spacing w:before="18"/>
              <w:rPr>
                <w:color w:val="215E99" w:themeColor="text2" w:themeTint="BF"/>
                <w:sz w:val="18"/>
                <w:szCs w:val="18"/>
                <w:lang w:val="nl-NL"/>
              </w:rPr>
            </w:pPr>
            <w:proofErr w:type="spellStart"/>
            <w:r w:rsidRPr="00BB1B31">
              <w:rPr>
                <w:color w:val="215E99" w:themeColor="text2" w:themeTint="BF"/>
                <w:sz w:val="18"/>
                <w:szCs w:val="18"/>
                <w:lang w:val="nl-NL"/>
              </w:rPr>
              <w:t>Subthema</w:t>
            </w:r>
            <w:proofErr w:type="spellEnd"/>
            <w:r w:rsidRPr="00BB1B31">
              <w:rPr>
                <w:color w:val="215E99" w:themeColor="text2" w:themeTint="BF"/>
                <w:sz w:val="18"/>
                <w:szCs w:val="18"/>
                <w:lang w:val="nl-NL"/>
              </w:rPr>
              <w:t xml:space="preserve"> Vrouwenrechten en gendergelijkheid: </w:t>
            </w:r>
            <w:r>
              <w:rPr>
                <w:color w:val="215E99" w:themeColor="text2" w:themeTint="BF"/>
                <w:sz w:val="18"/>
                <w:szCs w:val="18"/>
                <w:lang w:val="nl-NL"/>
              </w:rPr>
              <w:t>h</w:t>
            </w:r>
            <w:r w:rsidRPr="00BB1B31">
              <w:rPr>
                <w:color w:val="215E99" w:themeColor="text2" w:themeTint="BF"/>
                <w:sz w:val="18"/>
                <w:szCs w:val="18"/>
                <w:lang w:val="nl-NL"/>
              </w:rPr>
              <w:t>et bevorderen van vrouwenrechten en gendergelijkheid</w:t>
            </w:r>
            <w:r>
              <w:rPr>
                <w:color w:val="215E99" w:themeColor="text2" w:themeTint="BF"/>
                <w:sz w:val="18"/>
                <w:szCs w:val="18"/>
                <w:lang w:val="nl-NL"/>
              </w:rPr>
              <w:t>;</w:t>
            </w:r>
          </w:p>
          <w:p w:rsidR="00BB1B31" w:rsidP="00BB1B31" w:rsidRDefault="00BB1B31" w14:paraId="6203FEAA" w14:textId="79620C20">
            <w:pPr>
              <w:pStyle w:val="TableParagraph"/>
              <w:numPr>
                <w:ilvl w:val="0"/>
                <w:numId w:val="26"/>
              </w:numPr>
              <w:spacing w:before="18"/>
              <w:rPr>
                <w:color w:val="215E99" w:themeColor="text2" w:themeTint="BF"/>
                <w:sz w:val="18"/>
                <w:szCs w:val="18"/>
                <w:lang w:val="nl-NL"/>
              </w:rPr>
            </w:pPr>
            <w:proofErr w:type="spellStart"/>
            <w:r w:rsidRPr="00BB1B31">
              <w:rPr>
                <w:color w:val="215E99" w:themeColor="text2" w:themeTint="BF"/>
                <w:sz w:val="18"/>
                <w:szCs w:val="18"/>
                <w:lang w:val="nl-NL"/>
              </w:rPr>
              <w:t>Subthema</w:t>
            </w:r>
            <w:proofErr w:type="spellEnd"/>
            <w:r w:rsidRPr="00BB1B31">
              <w:rPr>
                <w:color w:val="215E99" w:themeColor="text2" w:themeTint="BF"/>
                <w:sz w:val="18"/>
                <w:szCs w:val="18"/>
                <w:lang w:val="nl-NL"/>
              </w:rPr>
              <w:t xml:space="preserve"> Maatschappelijk middenveld: </w:t>
            </w:r>
            <w:r>
              <w:rPr>
                <w:color w:val="215E99" w:themeColor="text2" w:themeTint="BF"/>
                <w:sz w:val="18"/>
                <w:szCs w:val="18"/>
                <w:lang w:val="nl-NL"/>
              </w:rPr>
              <w:t>v</w:t>
            </w:r>
            <w:r w:rsidRPr="00BB1B31">
              <w:rPr>
                <w:color w:val="215E99" w:themeColor="text2" w:themeTint="BF"/>
                <w:sz w:val="18"/>
                <w:szCs w:val="18"/>
                <w:lang w:val="nl-NL"/>
              </w:rPr>
              <w:t>ersterking van het maatschappelijk middenveld en bevordering en bescherming van de politieke ruimte voor maatschappelijke organisaties</w:t>
            </w:r>
            <w:r>
              <w:rPr>
                <w:color w:val="215E99" w:themeColor="text2" w:themeTint="BF"/>
                <w:sz w:val="18"/>
                <w:szCs w:val="18"/>
                <w:lang w:val="nl-NL"/>
              </w:rPr>
              <w:t>;</w:t>
            </w:r>
          </w:p>
          <w:p w:rsidRPr="00BB1B31" w:rsidR="00BB1B31" w:rsidP="00EF0B8D" w:rsidRDefault="00BB1B31" w14:paraId="716C4364" w14:textId="2AC7F4A6">
            <w:pPr>
              <w:pStyle w:val="TableParagraph"/>
              <w:numPr>
                <w:ilvl w:val="0"/>
                <w:numId w:val="26"/>
              </w:numPr>
              <w:spacing w:before="18"/>
              <w:rPr>
                <w:color w:val="215E99" w:themeColor="text2" w:themeTint="BF"/>
                <w:sz w:val="18"/>
                <w:szCs w:val="18"/>
                <w:lang w:val="nl-NL"/>
              </w:rPr>
            </w:pPr>
            <w:proofErr w:type="spellStart"/>
            <w:r w:rsidRPr="00BB1B31">
              <w:rPr>
                <w:color w:val="215E99" w:themeColor="text2" w:themeTint="BF"/>
                <w:sz w:val="18"/>
                <w:szCs w:val="18"/>
                <w:lang w:val="nl-NL"/>
              </w:rPr>
              <w:t>Subthema</w:t>
            </w:r>
            <w:proofErr w:type="spellEnd"/>
            <w:r w:rsidRPr="00BB1B31">
              <w:rPr>
                <w:color w:val="215E99" w:themeColor="text2" w:themeTint="BF"/>
                <w:sz w:val="18"/>
                <w:szCs w:val="18"/>
                <w:lang w:val="nl-NL"/>
              </w:rPr>
              <w:t xml:space="preserve"> Onderwijs: </w:t>
            </w:r>
            <w:r>
              <w:rPr>
                <w:color w:val="215E99" w:themeColor="text2" w:themeTint="BF"/>
                <w:sz w:val="18"/>
                <w:szCs w:val="18"/>
                <w:lang w:val="nl-NL"/>
              </w:rPr>
              <w:t>v</w:t>
            </w:r>
            <w:r w:rsidRPr="00BB1B31">
              <w:rPr>
                <w:color w:val="215E99" w:themeColor="text2" w:themeTint="BF"/>
                <w:sz w:val="18"/>
                <w:szCs w:val="18"/>
                <w:lang w:val="nl-NL"/>
              </w:rPr>
              <w:t>ersterken van het onderwijs en daarmee bijdragen aan het vergroten van kansen en perspectieven voor jongeren.</w:t>
            </w:r>
          </w:p>
          <w:p w:rsidRPr="00CB7266" w:rsidR="00E84CC1" w:rsidP="00BB1B31" w:rsidRDefault="00E84CC1" w14:paraId="7C4D78E2" w14:textId="77777777">
            <w:pPr>
              <w:pStyle w:val="TableParagraph"/>
              <w:spacing w:before="18"/>
              <w:rPr>
                <w:sz w:val="18"/>
                <w:szCs w:val="18"/>
                <w:lang w:val="nl-NL"/>
              </w:rPr>
            </w:pPr>
          </w:p>
        </w:tc>
      </w:tr>
      <w:tr w:rsidRPr="0061391E" w:rsidR="002A020D" w:rsidTr="009F48F2" w14:paraId="302409D9" w14:textId="77777777">
        <w:trPr>
          <w:trHeight w:val="861"/>
        </w:trPr>
        <w:tc>
          <w:tcPr>
            <w:tcW w:w="1418" w:type="dxa"/>
          </w:tcPr>
          <w:p w:rsidRPr="0061391E" w:rsidR="002A020D" w:rsidP="009F48F2" w:rsidRDefault="002A020D" w14:paraId="569FF538" w14:textId="77777777">
            <w:pPr>
              <w:pStyle w:val="TableParagraph"/>
              <w:spacing w:line="261" w:lineRule="auto"/>
              <w:ind w:left="101"/>
              <w:rPr>
                <w:b/>
                <w:bCs/>
                <w:color w:val="215E99" w:themeColor="text2" w:themeTint="BF"/>
                <w:sz w:val="18"/>
                <w:szCs w:val="18"/>
              </w:rPr>
            </w:pPr>
            <w:r w:rsidRPr="0061391E">
              <w:rPr>
                <w:b/>
                <w:bCs/>
                <w:color w:val="215E99" w:themeColor="text2" w:themeTint="BF"/>
                <w:spacing w:val="-2"/>
                <w:sz w:val="18"/>
                <w:szCs w:val="18"/>
              </w:rPr>
              <w:t xml:space="preserve">Titel </w:t>
            </w:r>
            <w:proofErr w:type="spellStart"/>
            <w:r w:rsidRPr="0061391E">
              <w:rPr>
                <w:b/>
                <w:bCs/>
                <w:color w:val="215E99" w:themeColor="text2" w:themeTint="BF"/>
                <w:spacing w:val="-2"/>
                <w:sz w:val="18"/>
                <w:szCs w:val="18"/>
              </w:rPr>
              <w:t>onderzoek</w:t>
            </w:r>
            <w:proofErr w:type="spellEnd"/>
          </w:p>
        </w:tc>
        <w:tc>
          <w:tcPr>
            <w:tcW w:w="1276" w:type="dxa"/>
          </w:tcPr>
          <w:p w:rsidRPr="0061391E" w:rsidR="002A020D" w:rsidP="009F48F2" w:rsidRDefault="002A020D" w14:paraId="518F476D" w14:textId="77777777">
            <w:pPr>
              <w:pStyle w:val="TableParagraph"/>
              <w:ind w:left="101"/>
              <w:rPr>
                <w:b/>
                <w:bCs/>
                <w:color w:val="215E99" w:themeColor="text2" w:themeTint="BF"/>
                <w:sz w:val="18"/>
                <w:szCs w:val="18"/>
              </w:rPr>
            </w:pPr>
            <w:r w:rsidRPr="0061391E">
              <w:rPr>
                <w:b/>
                <w:bCs/>
                <w:color w:val="215E99" w:themeColor="text2" w:themeTint="BF"/>
                <w:w w:val="105"/>
                <w:sz w:val="18"/>
                <w:szCs w:val="18"/>
              </w:rPr>
              <w:t>Type</w:t>
            </w:r>
            <w:r w:rsidRPr="0061391E">
              <w:rPr>
                <w:b/>
                <w:bCs/>
                <w:color w:val="215E99" w:themeColor="text2" w:themeTint="BF"/>
                <w:spacing w:val="-5"/>
                <w:w w:val="105"/>
                <w:sz w:val="18"/>
                <w:szCs w:val="18"/>
              </w:rPr>
              <w:t xml:space="preserve"> </w:t>
            </w:r>
            <w:proofErr w:type="spellStart"/>
            <w:r w:rsidRPr="0061391E">
              <w:rPr>
                <w:b/>
                <w:bCs/>
                <w:color w:val="215E99" w:themeColor="text2" w:themeTint="BF"/>
                <w:spacing w:val="-2"/>
                <w:w w:val="105"/>
                <w:sz w:val="18"/>
                <w:szCs w:val="18"/>
              </w:rPr>
              <w:t>onderzoek</w:t>
            </w:r>
            <w:proofErr w:type="spellEnd"/>
          </w:p>
        </w:tc>
        <w:tc>
          <w:tcPr>
            <w:tcW w:w="1559" w:type="dxa"/>
          </w:tcPr>
          <w:p w:rsidRPr="0061391E" w:rsidR="002A020D" w:rsidP="009F48F2" w:rsidRDefault="002A020D" w14:paraId="00B3F186" w14:textId="77777777">
            <w:pPr>
              <w:pStyle w:val="TableParagraph"/>
              <w:spacing w:line="261" w:lineRule="auto"/>
              <w:ind w:left="101" w:right="64"/>
              <w:rPr>
                <w:b/>
                <w:bCs/>
                <w:color w:val="215E99" w:themeColor="text2" w:themeTint="BF"/>
                <w:sz w:val="18"/>
                <w:szCs w:val="18"/>
              </w:rPr>
            </w:pPr>
            <w:r w:rsidRPr="0061391E">
              <w:rPr>
                <w:b/>
                <w:bCs/>
                <w:color w:val="215E99" w:themeColor="text2" w:themeTint="BF"/>
                <w:spacing w:val="-4"/>
                <w:w w:val="105"/>
                <w:sz w:val="18"/>
                <w:szCs w:val="18"/>
              </w:rPr>
              <w:t xml:space="preserve">Jaar </w:t>
            </w:r>
            <w:proofErr w:type="spellStart"/>
            <w:r w:rsidRPr="0061391E">
              <w:rPr>
                <w:b/>
                <w:bCs/>
                <w:color w:val="215E99" w:themeColor="text2" w:themeTint="BF"/>
                <w:spacing w:val="-2"/>
                <w:sz w:val="18"/>
                <w:szCs w:val="18"/>
              </w:rPr>
              <w:t>afronding</w:t>
            </w:r>
            <w:proofErr w:type="spellEnd"/>
          </w:p>
        </w:tc>
        <w:tc>
          <w:tcPr>
            <w:tcW w:w="1559" w:type="dxa"/>
          </w:tcPr>
          <w:p w:rsidR="002A020D" w:rsidP="009F48F2" w:rsidRDefault="002A020D" w14:paraId="12455BC1" w14:textId="77777777">
            <w:pPr>
              <w:pStyle w:val="TableParagraph"/>
              <w:ind w:left="101"/>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Begrotings</w:t>
            </w:r>
            <w:proofErr w:type="spellEnd"/>
            <w:r>
              <w:rPr>
                <w:b/>
                <w:bCs/>
                <w:color w:val="215E99" w:themeColor="text2" w:themeTint="BF"/>
                <w:spacing w:val="-2"/>
                <w:w w:val="105"/>
                <w:sz w:val="18"/>
                <w:szCs w:val="18"/>
              </w:rPr>
              <w:t>-</w:t>
            </w:r>
          </w:p>
          <w:p w:rsidRPr="0061391E" w:rsidR="002A020D" w:rsidP="009F48F2" w:rsidRDefault="002A020D" w14:paraId="09DDA5D4" w14:textId="77777777">
            <w:pPr>
              <w:pStyle w:val="TableParagraph"/>
              <w:ind w:left="101"/>
              <w:rPr>
                <w:b/>
                <w:bCs/>
                <w:color w:val="215E99" w:themeColor="text2" w:themeTint="BF"/>
                <w:sz w:val="18"/>
                <w:szCs w:val="18"/>
              </w:rPr>
            </w:pPr>
            <w:proofErr w:type="spellStart"/>
            <w:r w:rsidRPr="0061391E">
              <w:rPr>
                <w:b/>
                <w:bCs/>
                <w:color w:val="215E99" w:themeColor="text2" w:themeTint="BF"/>
                <w:spacing w:val="-2"/>
                <w:w w:val="105"/>
                <w:sz w:val="18"/>
                <w:szCs w:val="18"/>
              </w:rPr>
              <w:t>artikel</w:t>
            </w:r>
            <w:proofErr w:type="spellEnd"/>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en</w:t>
            </w:r>
            <w:proofErr w:type="spellEnd"/>
            <w:r w:rsidRPr="0061391E">
              <w:rPr>
                <w:b/>
                <w:bCs/>
                <w:color w:val="215E99" w:themeColor="text2" w:themeTint="BF"/>
                <w:spacing w:val="-2"/>
                <w:w w:val="105"/>
                <w:sz w:val="18"/>
                <w:szCs w:val="18"/>
              </w:rPr>
              <w:t>)</w:t>
            </w:r>
          </w:p>
        </w:tc>
        <w:tc>
          <w:tcPr>
            <w:tcW w:w="1701" w:type="dxa"/>
          </w:tcPr>
          <w:p w:rsidRPr="0061391E" w:rsidR="002A020D" w:rsidP="009F48F2" w:rsidRDefault="002A020D" w14:paraId="172F632A" w14:textId="77777777">
            <w:pPr>
              <w:pStyle w:val="TableParagraph"/>
              <w:spacing w:line="261" w:lineRule="auto"/>
              <w:rPr>
                <w:b/>
                <w:bCs/>
                <w:color w:val="215E99" w:themeColor="text2" w:themeTint="BF"/>
                <w:sz w:val="18"/>
                <w:szCs w:val="18"/>
              </w:rPr>
            </w:pPr>
            <w:proofErr w:type="spellStart"/>
            <w:r w:rsidRPr="0061391E">
              <w:rPr>
                <w:b/>
                <w:bCs/>
                <w:color w:val="215E99" w:themeColor="text2" w:themeTint="BF"/>
                <w:spacing w:val="-2"/>
                <w:sz w:val="18"/>
                <w:szCs w:val="18"/>
              </w:rPr>
              <w:t>Budgettaire</w:t>
            </w:r>
            <w:proofErr w:type="spellEnd"/>
            <w:r w:rsidRPr="0061391E">
              <w:rPr>
                <w:b/>
                <w:bCs/>
                <w:color w:val="215E99" w:themeColor="text2" w:themeTint="BF"/>
                <w:spacing w:val="-2"/>
                <w:sz w:val="18"/>
                <w:szCs w:val="18"/>
              </w:rPr>
              <w:t xml:space="preserve"> </w:t>
            </w:r>
            <w:proofErr w:type="spellStart"/>
            <w:r w:rsidRPr="0061391E">
              <w:rPr>
                <w:b/>
                <w:bCs/>
                <w:color w:val="215E99" w:themeColor="text2" w:themeTint="BF"/>
                <w:spacing w:val="-2"/>
                <w:w w:val="105"/>
                <w:sz w:val="18"/>
                <w:szCs w:val="18"/>
              </w:rPr>
              <w:t>grondslag</w:t>
            </w:r>
            <w:proofErr w:type="spellEnd"/>
          </w:p>
          <w:p w:rsidRPr="0061391E" w:rsidR="002A020D" w:rsidP="009F48F2" w:rsidRDefault="002A020D" w14:paraId="0FFBF360" w14:textId="77777777">
            <w:pPr>
              <w:pStyle w:val="TableParagraph"/>
              <w:spacing w:before="0" w:line="205" w:lineRule="exact"/>
              <w:rPr>
                <w:b/>
                <w:bCs/>
                <w:color w:val="215E99" w:themeColor="text2" w:themeTint="BF"/>
                <w:sz w:val="18"/>
                <w:szCs w:val="18"/>
              </w:rPr>
            </w:pPr>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laatste</w:t>
            </w:r>
            <w:proofErr w:type="spellEnd"/>
          </w:p>
          <w:p w:rsidR="002A020D" w:rsidP="009F48F2" w:rsidRDefault="002A020D" w14:paraId="4FB4730B" w14:textId="77777777">
            <w:pPr>
              <w:pStyle w:val="TableParagraph"/>
              <w:spacing w:before="2" w:line="181" w:lineRule="exact"/>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evaluatiejaar</w:t>
            </w:r>
            <w:proofErr w:type="spellEnd"/>
            <w:r w:rsidRPr="0061391E">
              <w:rPr>
                <w:b/>
                <w:bCs/>
                <w:color w:val="215E99" w:themeColor="text2" w:themeTint="BF"/>
                <w:spacing w:val="-2"/>
                <w:w w:val="105"/>
                <w:sz w:val="18"/>
                <w:szCs w:val="18"/>
              </w:rPr>
              <w:t>)</w:t>
            </w:r>
          </w:p>
          <w:p w:rsidRPr="0061391E" w:rsidR="002A020D" w:rsidP="009F48F2" w:rsidRDefault="002A020D" w14:paraId="58AE41ED" w14:textId="77777777">
            <w:pPr>
              <w:pStyle w:val="TableParagraph"/>
              <w:spacing w:before="2" w:line="181" w:lineRule="exact"/>
              <w:rPr>
                <w:b/>
                <w:bCs/>
                <w:color w:val="215E99" w:themeColor="text2" w:themeTint="BF"/>
                <w:sz w:val="18"/>
                <w:szCs w:val="18"/>
              </w:rPr>
            </w:pPr>
          </w:p>
        </w:tc>
      </w:tr>
      <w:tr w:rsidRPr="00AC268A" w:rsidR="002A020D" w:rsidTr="009F48F2" w14:paraId="3C49DFBA" w14:textId="77777777">
        <w:trPr>
          <w:trHeight w:val="988"/>
        </w:trPr>
        <w:tc>
          <w:tcPr>
            <w:tcW w:w="1418" w:type="dxa"/>
            <w:shd w:val="clear" w:color="auto" w:fill="83CAEB" w:themeFill="accent1" w:themeFillTint="66"/>
          </w:tcPr>
          <w:p w:rsidR="002A020D" w:rsidP="002A020D" w:rsidRDefault="002A020D" w14:paraId="1B7BE28B" w14:textId="285D1040">
            <w:pPr>
              <w:pStyle w:val="TableParagraph"/>
              <w:spacing w:line="261" w:lineRule="auto"/>
              <w:ind w:left="101"/>
              <w:rPr>
                <w:color w:val="215E99" w:themeColor="text2" w:themeTint="BF"/>
                <w:spacing w:val="-2"/>
                <w:sz w:val="18"/>
                <w:szCs w:val="18"/>
                <w:lang w:val="nl-NL"/>
              </w:rPr>
            </w:pPr>
            <w:r>
              <w:rPr>
                <w:color w:val="215E99" w:themeColor="text2" w:themeTint="BF"/>
                <w:spacing w:val="-2"/>
                <w:sz w:val="18"/>
                <w:szCs w:val="18"/>
                <w:lang w:val="nl-NL"/>
              </w:rPr>
              <w:t>Periodieke rapportage</w:t>
            </w:r>
            <w:r w:rsidR="00E057EA">
              <w:rPr>
                <w:color w:val="215E99" w:themeColor="text2" w:themeTint="BF"/>
                <w:spacing w:val="-2"/>
                <w:sz w:val="18"/>
                <w:szCs w:val="18"/>
                <w:lang w:val="nl-NL"/>
              </w:rPr>
              <w:t xml:space="preserve"> van Nederlandse </w:t>
            </w:r>
            <w:r w:rsidR="00E057EA">
              <w:rPr>
                <w:color w:val="215E99" w:themeColor="text2" w:themeTint="BF"/>
                <w:spacing w:val="-2"/>
                <w:sz w:val="18"/>
                <w:szCs w:val="18"/>
                <w:lang w:val="nl-NL"/>
              </w:rPr>
              <w:lastRenderedPageBreak/>
              <w:t xml:space="preserve">steun aan </w:t>
            </w:r>
            <w:r>
              <w:rPr>
                <w:color w:val="215E99" w:themeColor="text2" w:themeTint="BF"/>
                <w:spacing w:val="-2"/>
                <w:sz w:val="18"/>
                <w:szCs w:val="18"/>
                <w:lang w:val="nl-NL"/>
              </w:rPr>
              <w:t xml:space="preserve"> Sociale Vooruitgang</w:t>
            </w:r>
            <w:r w:rsidR="00E057EA">
              <w:rPr>
                <w:color w:val="215E99" w:themeColor="text2" w:themeTint="BF"/>
                <w:spacing w:val="-2"/>
                <w:sz w:val="18"/>
                <w:szCs w:val="18"/>
                <w:lang w:val="nl-NL"/>
              </w:rPr>
              <w:t>.</w:t>
            </w:r>
          </w:p>
          <w:p w:rsidRPr="00577500" w:rsidR="00E057EA" w:rsidP="002A020D" w:rsidRDefault="00E057EA" w14:paraId="070EFAA4" w14:textId="5E375045">
            <w:pPr>
              <w:pStyle w:val="TableParagraph"/>
              <w:spacing w:line="261" w:lineRule="auto"/>
              <w:ind w:left="101"/>
              <w:rPr>
                <w:color w:val="215E99" w:themeColor="text2" w:themeTint="BF"/>
                <w:spacing w:val="-2"/>
                <w:sz w:val="18"/>
                <w:szCs w:val="18"/>
                <w:lang w:val="nl-NL"/>
              </w:rPr>
            </w:pPr>
            <w:hyperlink w:history="1" r:id="rId15">
              <w:r w:rsidRPr="00E057EA">
                <w:rPr>
                  <w:rStyle w:val="Hyperlink"/>
                  <w:spacing w:val="-2"/>
                  <w:sz w:val="18"/>
                  <w:szCs w:val="18"/>
                  <w:lang w:val="nl-NL"/>
                </w:rPr>
                <w:t>Complexe routes naar blijvende sociale verandering</w:t>
              </w:r>
            </w:hyperlink>
          </w:p>
        </w:tc>
        <w:tc>
          <w:tcPr>
            <w:tcW w:w="1276" w:type="dxa"/>
            <w:shd w:val="clear" w:color="auto" w:fill="83CAEB" w:themeFill="accent1" w:themeFillTint="66"/>
          </w:tcPr>
          <w:p w:rsidRPr="00AC268A" w:rsidR="002A020D" w:rsidP="009F48F2" w:rsidRDefault="002A020D" w14:paraId="64B22710" w14:textId="4936F19A">
            <w:pPr>
              <w:pStyle w:val="TableParagraph"/>
              <w:spacing w:line="261" w:lineRule="auto"/>
              <w:ind w:left="101"/>
              <w:rPr>
                <w:color w:val="215E99" w:themeColor="text2" w:themeTint="BF"/>
                <w:sz w:val="18"/>
                <w:szCs w:val="18"/>
              </w:rPr>
            </w:pPr>
            <w:proofErr w:type="spellStart"/>
            <w:r w:rsidRPr="00AC268A">
              <w:rPr>
                <w:color w:val="215E99" w:themeColor="text2" w:themeTint="BF"/>
                <w:spacing w:val="-2"/>
                <w:sz w:val="18"/>
                <w:szCs w:val="18"/>
              </w:rPr>
              <w:lastRenderedPageBreak/>
              <w:t>Periodieke</w:t>
            </w:r>
            <w:proofErr w:type="spellEnd"/>
            <w:r w:rsidRPr="00AC268A">
              <w:rPr>
                <w:color w:val="215E99" w:themeColor="text2" w:themeTint="BF"/>
                <w:spacing w:val="-2"/>
                <w:sz w:val="18"/>
                <w:szCs w:val="18"/>
              </w:rPr>
              <w:t xml:space="preserve"> rapportage over </w:t>
            </w:r>
            <w:proofErr w:type="spellStart"/>
            <w:r w:rsidRPr="00AC268A">
              <w:rPr>
                <w:color w:val="215E99" w:themeColor="text2" w:themeTint="BF"/>
                <w:spacing w:val="-2"/>
                <w:sz w:val="18"/>
                <w:szCs w:val="18"/>
              </w:rPr>
              <w:t>periode</w:t>
            </w:r>
            <w:proofErr w:type="spellEnd"/>
            <w:r w:rsidRPr="00AC268A">
              <w:rPr>
                <w:color w:val="215E99" w:themeColor="text2" w:themeTint="BF"/>
                <w:spacing w:val="-2"/>
                <w:sz w:val="18"/>
                <w:szCs w:val="18"/>
              </w:rPr>
              <w:t xml:space="preserve"> </w:t>
            </w:r>
            <w:r w:rsidR="00E057EA">
              <w:rPr>
                <w:color w:val="215E99" w:themeColor="text2" w:themeTint="BF"/>
                <w:spacing w:val="-4"/>
                <w:w w:val="105"/>
                <w:sz w:val="18"/>
                <w:szCs w:val="18"/>
              </w:rPr>
              <w:t>2018</w:t>
            </w:r>
          </w:p>
          <w:p w:rsidRPr="00AC268A" w:rsidR="002A020D" w:rsidP="009F48F2" w:rsidRDefault="002A020D" w14:paraId="21918793" w14:textId="4153680E">
            <w:pPr>
              <w:pStyle w:val="TableParagraph"/>
              <w:spacing w:before="0" w:line="205" w:lineRule="exact"/>
              <w:ind w:left="101"/>
              <w:rPr>
                <w:color w:val="215E99" w:themeColor="text2" w:themeTint="BF"/>
                <w:sz w:val="18"/>
                <w:szCs w:val="18"/>
              </w:rPr>
            </w:pPr>
            <w:r w:rsidRPr="00AC268A">
              <w:rPr>
                <w:color w:val="215E99" w:themeColor="text2" w:themeTint="BF"/>
                <w:w w:val="105"/>
                <w:sz w:val="18"/>
                <w:szCs w:val="18"/>
              </w:rPr>
              <w:t>t/m</w:t>
            </w:r>
            <w:r w:rsidRPr="00AC268A">
              <w:rPr>
                <w:color w:val="215E99" w:themeColor="text2" w:themeTint="BF"/>
                <w:spacing w:val="-7"/>
                <w:w w:val="105"/>
                <w:sz w:val="18"/>
                <w:szCs w:val="18"/>
              </w:rPr>
              <w:t xml:space="preserve"> </w:t>
            </w:r>
            <w:r w:rsidR="00E057EA">
              <w:rPr>
                <w:color w:val="215E99" w:themeColor="text2" w:themeTint="BF"/>
                <w:spacing w:val="-7"/>
                <w:w w:val="105"/>
                <w:sz w:val="18"/>
                <w:szCs w:val="18"/>
              </w:rPr>
              <w:t>2024</w:t>
            </w:r>
          </w:p>
        </w:tc>
        <w:tc>
          <w:tcPr>
            <w:tcW w:w="1559" w:type="dxa"/>
            <w:shd w:val="clear" w:color="auto" w:fill="83CAEB" w:themeFill="accent1" w:themeFillTint="66"/>
          </w:tcPr>
          <w:p w:rsidRPr="00AC268A" w:rsidR="002A020D" w:rsidP="009F48F2" w:rsidRDefault="002A020D" w14:paraId="670AE86B" w14:textId="63088B34">
            <w:pPr>
              <w:pStyle w:val="TableParagraph"/>
              <w:ind w:left="101"/>
              <w:rPr>
                <w:color w:val="215E99" w:themeColor="text2" w:themeTint="BF"/>
                <w:sz w:val="18"/>
                <w:szCs w:val="18"/>
              </w:rPr>
            </w:pPr>
            <w:r w:rsidRPr="00AC268A">
              <w:rPr>
                <w:color w:val="215E99" w:themeColor="text2" w:themeTint="BF"/>
                <w:spacing w:val="-4"/>
                <w:w w:val="105"/>
                <w:sz w:val="18"/>
                <w:szCs w:val="18"/>
              </w:rPr>
              <w:t>202</w:t>
            </w:r>
            <w:r>
              <w:rPr>
                <w:color w:val="215E99" w:themeColor="text2" w:themeTint="BF"/>
                <w:spacing w:val="-4"/>
                <w:w w:val="105"/>
                <w:sz w:val="18"/>
                <w:szCs w:val="18"/>
              </w:rPr>
              <w:t>5</w:t>
            </w:r>
          </w:p>
        </w:tc>
        <w:tc>
          <w:tcPr>
            <w:tcW w:w="1559" w:type="dxa"/>
            <w:shd w:val="clear" w:color="auto" w:fill="83CAEB" w:themeFill="accent1" w:themeFillTint="66"/>
          </w:tcPr>
          <w:p w:rsidRPr="00AC268A" w:rsidR="002A020D" w:rsidP="009F48F2" w:rsidRDefault="002A020D" w14:paraId="28833ECB" w14:textId="4CA4316F">
            <w:pPr>
              <w:pStyle w:val="TableParagraph"/>
              <w:ind w:left="101"/>
              <w:rPr>
                <w:color w:val="215E99" w:themeColor="text2" w:themeTint="BF"/>
                <w:sz w:val="18"/>
                <w:szCs w:val="18"/>
              </w:rPr>
            </w:pPr>
            <w:r w:rsidRPr="00AC268A">
              <w:rPr>
                <w:color w:val="215E99" w:themeColor="text2" w:themeTint="BF"/>
                <w:w w:val="105"/>
                <w:sz w:val="18"/>
                <w:szCs w:val="18"/>
              </w:rPr>
              <w:t>H17,</w:t>
            </w:r>
            <w:r w:rsidRPr="00AC268A">
              <w:rPr>
                <w:color w:val="215E99" w:themeColor="text2" w:themeTint="BF"/>
                <w:spacing w:val="-6"/>
                <w:w w:val="105"/>
                <w:sz w:val="18"/>
                <w:szCs w:val="18"/>
              </w:rPr>
              <w:t xml:space="preserve"> </w:t>
            </w:r>
            <w:r w:rsidRPr="00AC268A">
              <w:rPr>
                <w:color w:val="215E99" w:themeColor="text2" w:themeTint="BF"/>
                <w:w w:val="105"/>
                <w:sz w:val="18"/>
                <w:szCs w:val="18"/>
              </w:rPr>
              <w:t>Artikel</w:t>
            </w:r>
            <w:r w:rsidRPr="00AC268A">
              <w:rPr>
                <w:color w:val="215E99" w:themeColor="text2" w:themeTint="BF"/>
                <w:spacing w:val="-6"/>
                <w:w w:val="105"/>
                <w:sz w:val="18"/>
                <w:szCs w:val="18"/>
              </w:rPr>
              <w:t xml:space="preserve"> </w:t>
            </w:r>
            <w:r>
              <w:rPr>
                <w:color w:val="215E99" w:themeColor="text2" w:themeTint="BF"/>
                <w:spacing w:val="-6"/>
                <w:w w:val="105"/>
                <w:sz w:val="18"/>
                <w:szCs w:val="18"/>
              </w:rPr>
              <w:t>3</w:t>
            </w:r>
          </w:p>
        </w:tc>
        <w:tc>
          <w:tcPr>
            <w:tcW w:w="1701" w:type="dxa"/>
            <w:shd w:val="clear" w:color="auto" w:fill="83CAEB" w:themeFill="accent1" w:themeFillTint="66"/>
          </w:tcPr>
          <w:p w:rsidR="002A020D" w:rsidP="002A020D" w:rsidRDefault="002A020D" w14:paraId="4E0CB721" w14:textId="4A08A202">
            <w:pPr>
              <w:pStyle w:val="TableParagraph"/>
              <w:ind w:left="0"/>
              <w:rPr>
                <w:color w:val="215E99" w:themeColor="text2" w:themeTint="BF"/>
                <w:spacing w:val="-4"/>
                <w:w w:val="105"/>
                <w:sz w:val="18"/>
                <w:szCs w:val="18"/>
                <w:lang w:val="nl-NL"/>
              </w:rPr>
            </w:pPr>
            <w:r>
              <w:rPr>
                <w:color w:val="215E99" w:themeColor="text2" w:themeTint="BF"/>
                <w:spacing w:val="-4"/>
                <w:w w:val="105"/>
                <w:sz w:val="18"/>
                <w:szCs w:val="18"/>
                <w:lang w:val="nl-NL"/>
              </w:rPr>
              <w:t xml:space="preserve"> </w:t>
            </w:r>
            <w:r w:rsidRPr="00CB7266">
              <w:rPr>
                <w:color w:val="215E99" w:themeColor="text2" w:themeTint="BF"/>
                <w:w w:val="105"/>
                <w:sz w:val="18"/>
                <w:szCs w:val="18"/>
                <w:lang w:val="nl-NL"/>
              </w:rPr>
              <w:t>€</w:t>
            </w:r>
            <w:r w:rsidR="00E057EA">
              <w:rPr>
                <w:color w:val="215E99" w:themeColor="text2" w:themeTint="BF"/>
                <w:spacing w:val="-4"/>
                <w:w w:val="105"/>
                <w:sz w:val="18"/>
                <w:szCs w:val="18"/>
                <w:lang w:val="nl-NL"/>
              </w:rPr>
              <w:t xml:space="preserve">543 </w:t>
            </w:r>
            <w:proofErr w:type="spellStart"/>
            <w:r w:rsidR="00E057EA">
              <w:rPr>
                <w:color w:val="215E99" w:themeColor="text2" w:themeTint="BF"/>
                <w:spacing w:val="-4"/>
                <w:w w:val="105"/>
                <w:sz w:val="18"/>
                <w:szCs w:val="18"/>
                <w:lang w:val="nl-NL"/>
              </w:rPr>
              <w:t>mln</w:t>
            </w:r>
            <w:proofErr w:type="spellEnd"/>
            <w:r w:rsidR="00E057EA">
              <w:rPr>
                <w:color w:val="215E99" w:themeColor="text2" w:themeTint="BF"/>
                <w:spacing w:val="-4"/>
                <w:w w:val="105"/>
                <w:sz w:val="18"/>
                <w:szCs w:val="18"/>
                <w:lang w:val="nl-NL"/>
              </w:rPr>
              <w:t xml:space="preserve"> voor Mondiale gezondheid/SRGR; </w:t>
            </w:r>
            <w:r w:rsidRPr="00CB7266" w:rsidR="00E057EA">
              <w:rPr>
                <w:color w:val="215E99" w:themeColor="text2" w:themeTint="BF"/>
                <w:w w:val="105"/>
                <w:sz w:val="18"/>
                <w:szCs w:val="18"/>
                <w:lang w:val="nl-NL"/>
              </w:rPr>
              <w:t>€</w:t>
            </w:r>
            <w:r w:rsidR="00E057EA">
              <w:rPr>
                <w:color w:val="215E99" w:themeColor="text2" w:themeTint="BF"/>
                <w:spacing w:val="-4"/>
                <w:w w:val="105"/>
                <w:sz w:val="18"/>
                <w:szCs w:val="18"/>
                <w:lang w:val="nl-NL"/>
              </w:rPr>
              <w:t xml:space="preserve">49 voor Vrouwenrechten </w:t>
            </w:r>
            <w:r w:rsidR="00E057EA">
              <w:rPr>
                <w:color w:val="215E99" w:themeColor="text2" w:themeTint="BF"/>
                <w:spacing w:val="-4"/>
                <w:w w:val="105"/>
                <w:sz w:val="18"/>
                <w:szCs w:val="18"/>
                <w:lang w:val="nl-NL"/>
              </w:rPr>
              <w:lastRenderedPageBreak/>
              <w:t>en gendergelijkheid;</w:t>
            </w:r>
          </w:p>
          <w:p w:rsidR="00E057EA" w:rsidP="002A020D" w:rsidRDefault="00E057EA" w14:paraId="4427873B" w14:textId="24431656">
            <w:pPr>
              <w:pStyle w:val="TableParagraph"/>
              <w:ind w:left="0"/>
              <w:rPr>
                <w:color w:val="215E99" w:themeColor="text2" w:themeTint="BF"/>
                <w:w w:val="105"/>
                <w:sz w:val="18"/>
                <w:szCs w:val="18"/>
                <w:lang w:val="nl-NL"/>
              </w:rPr>
            </w:pPr>
            <w:r>
              <w:rPr>
                <w:color w:val="215E99" w:themeColor="text2" w:themeTint="BF"/>
                <w:spacing w:val="-4"/>
                <w:w w:val="105"/>
                <w:sz w:val="18"/>
                <w:szCs w:val="18"/>
                <w:lang w:val="nl-NL"/>
              </w:rPr>
              <w:t xml:space="preserve"> </w:t>
            </w:r>
            <w:r w:rsidRPr="00CB7266">
              <w:rPr>
                <w:color w:val="215E99" w:themeColor="text2" w:themeTint="BF"/>
                <w:w w:val="105"/>
                <w:sz w:val="18"/>
                <w:szCs w:val="18"/>
                <w:lang w:val="nl-NL"/>
              </w:rPr>
              <w:t>€</w:t>
            </w:r>
            <w:r>
              <w:rPr>
                <w:color w:val="215E99" w:themeColor="text2" w:themeTint="BF"/>
                <w:w w:val="105"/>
                <w:sz w:val="18"/>
                <w:szCs w:val="18"/>
                <w:lang w:val="nl-NL"/>
              </w:rPr>
              <w:t xml:space="preserve">227 </w:t>
            </w:r>
            <w:proofErr w:type="spellStart"/>
            <w:r>
              <w:rPr>
                <w:color w:val="215E99" w:themeColor="text2" w:themeTint="BF"/>
                <w:w w:val="105"/>
                <w:sz w:val="18"/>
                <w:szCs w:val="18"/>
                <w:lang w:val="nl-NL"/>
              </w:rPr>
              <w:t>mln</w:t>
            </w:r>
            <w:proofErr w:type="spellEnd"/>
            <w:r>
              <w:rPr>
                <w:color w:val="215E99" w:themeColor="text2" w:themeTint="BF"/>
                <w:w w:val="105"/>
                <w:sz w:val="18"/>
                <w:szCs w:val="18"/>
                <w:lang w:val="nl-NL"/>
              </w:rPr>
              <w:t xml:space="preserve"> voor maatschappelijk middenveld;</w:t>
            </w:r>
          </w:p>
          <w:p w:rsidR="00E057EA" w:rsidP="002A020D" w:rsidRDefault="00E057EA" w14:paraId="29ECE528" w14:textId="29EBED0D">
            <w:pPr>
              <w:pStyle w:val="TableParagraph"/>
              <w:ind w:left="0"/>
              <w:rPr>
                <w:color w:val="215E99" w:themeColor="text2" w:themeTint="BF"/>
                <w:w w:val="105"/>
                <w:sz w:val="18"/>
                <w:szCs w:val="18"/>
                <w:lang w:val="nl-NL"/>
              </w:rPr>
            </w:pPr>
            <w:r w:rsidRPr="00CB7266">
              <w:rPr>
                <w:color w:val="215E99" w:themeColor="text2" w:themeTint="BF"/>
                <w:w w:val="105"/>
                <w:sz w:val="18"/>
                <w:szCs w:val="18"/>
                <w:lang w:val="nl-NL"/>
              </w:rPr>
              <w:t>€</w:t>
            </w:r>
            <w:r>
              <w:rPr>
                <w:color w:val="215E99" w:themeColor="text2" w:themeTint="BF"/>
                <w:w w:val="105"/>
                <w:sz w:val="18"/>
                <w:szCs w:val="18"/>
                <w:lang w:val="nl-NL"/>
              </w:rPr>
              <w:t xml:space="preserve">17 </w:t>
            </w:r>
            <w:proofErr w:type="spellStart"/>
            <w:r>
              <w:rPr>
                <w:color w:val="215E99" w:themeColor="text2" w:themeTint="BF"/>
                <w:w w:val="105"/>
                <w:sz w:val="18"/>
                <w:szCs w:val="18"/>
                <w:lang w:val="nl-NL"/>
              </w:rPr>
              <w:t>mln</w:t>
            </w:r>
            <w:proofErr w:type="spellEnd"/>
            <w:r>
              <w:rPr>
                <w:color w:val="215E99" w:themeColor="text2" w:themeTint="BF"/>
                <w:w w:val="105"/>
                <w:sz w:val="18"/>
                <w:szCs w:val="18"/>
                <w:lang w:val="nl-NL"/>
              </w:rPr>
              <w:t xml:space="preserve"> voor Onderwijs.</w:t>
            </w:r>
          </w:p>
          <w:p w:rsidRPr="00CB7266" w:rsidR="00E057EA" w:rsidP="002A020D" w:rsidRDefault="00E057EA" w14:paraId="07BF5383" w14:textId="063994C5">
            <w:pPr>
              <w:pStyle w:val="TableParagraph"/>
              <w:ind w:left="0"/>
              <w:rPr>
                <w:color w:val="215E99" w:themeColor="text2" w:themeTint="BF"/>
                <w:sz w:val="18"/>
                <w:szCs w:val="18"/>
                <w:lang w:val="nl-NL"/>
              </w:rPr>
            </w:pPr>
            <w:r>
              <w:rPr>
                <w:color w:val="215E99" w:themeColor="text2" w:themeTint="BF"/>
                <w:w w:val="105"/>
                <w:sz w:val="18"/>
                <w:szCs w:val="18"/>
                <w:lang w:val="nl-NL"/>
              </w:rPr>
              <w:t xml:space="preserve">Totaal: </w:t>
            </w:r>
            <w:r w:rsidRPr="00CB7266">
              <w:rPr>
                <w:color w:val="215E99" w:themeColor="text2" w:themeTint="BF"/>
                <w:w w:val="105"/>
                <w:sz w:val="18"/>
                <w:szCs w:val="18"/>
                <w:lang w:val="nl-NL"/>
              </w:rPr>
              <w:t>€</w:t>
            </w:r>
            <w:r>
              <w:rPr>
                <w:color w:val="215E99" w:themeColor="text2" w:themeTint="BF"/>
                <w:w w:val="105"/>
                <w:sz w:val="18"/>
                <w:szCs w:val="18"/>
                <w:lang w:val="nl-NL"/>
              </w:rPr>
              <w:t xml:space="preserve">835 </w:t>
            </w:r>
            <w:proofErr w:type="spellStart"/>
            <w:r>
              <w:rPr>
                <w:color w:val="215E99" w:themeColor="text2" w:themeTint="BF"/>
                <w:w w:val="105"/>
                <w:sz w:val="18"/>
                <w:szCs w:val="18"/>
                <w:lang w:val="nl-NL"/>
              </w:rPr>
              <w:t>mln</w:t>
            </w:r>
            <w:proofErr w:type="spellEnd"/>
          </w:p>
          <w:p w:rsidRPr="00E057EA" w:rsidR="002A020D" w:rsidP="009F48F2" w:rsidRDefault="002A020D" w14:paraId="2BBADE2D" w14:textId="22DCB975">
            <w:pPr>
              <w:pStyle w:val="TableParagraph"/>
              <w:rPr>
                <w:color w:val="215E99" w:themeColor="text2" w:themeTint="BF"/>
                <w:sz w:val="18"/>
                <w:szCs w:val="18"/>
                <w:lang w:val="nl-NL"/>
              </w:rPr>
            </w:pPr>
          </w:p>
          <w:p w:rsidRPr="00E057EA" w:rsidR="002A020D" w:rsidP="009F48F2" w:rsidRDefault="002A020D" w14:paraId="3AEA326C" w14:textId="77777777">
            <w:pPr>
              <w:pStyle w:val="TableParagraph"/>
              <w:rPr>
                <w:color w:val="215E99" w:themeColor="text2" w:themeTint="BF"/>
                <w:spacing w:val="-4"/>
                <w:w w:val="105"/>
                <w:sz w:val="18"/>
                <w:szCs w:val="18"/>
                <w:lang w:val="nl-NL"/>
              </w:rPr>
            </w:pPr>
          </w:p>
          <w:p w:rsidRPr="00E057EA" w:rsidR="002A020D" w:rsidP="009F48F2" w:rsidRDefault="002A020D" w14:paraId="459D3D6A" w14:textId="77777777">
            <w:pPr>
              <w:pStyle w:val="TableParagraph"/>
              <w:spacing w:before="18"/>
              <w:rPr>
                <w:color w:val="215E99" w:themeColor="text2" w:themeTint="BF"/>
                <w:sz w:val="18"/>
                <w:szCs w:val="18"/>
                <w:lang w:val="nl-NL"/>
              </w:rPr>
            </w:pPr>
          </w:p>
        </w:tc>
      </w:tr>
      <w:tr w:rsidRPr="00CB7266" w:rsidR="002A020D" w:rsidTr="009F48F2" w14:paraId="7BCBBF47" w14:textId="77777777">
        <w:trPr>
          <w:trHeight w:val="748"/>
        </w:trPr>
        <w:tc>
          <w:tcPr>
            <w:tcW w:w="7513" w:type="dxa"/>
            <w:gridSpan w:val="5"/>
          </w:tcPr>
          <w:p w:rsidRPr="00542942" w:rsidR="00542942" w:rsidP="00542942" w:rsidRDefault="002A020D" w14:paraId="288D0C8C" w14:textId="5221016C">
            <w:pPr>
              <w:pStyle w:val="TableParagraph"/>
              <w:spacing w:line="259" w:lineRule="auto"/>
              <w:ind w:right="168"/>
              <w:rPr>
                <w:color w:val="215E99" w:themeColor="text2" w:themeTint="BF"/>
                <w:sz w:val="18"/>
                <w:szCs w:val="18"/>
                <w:lang w:val="nl-NL"/>
              </w:rPr>
            </w:pPr>
            <w:r w:rsidRPr="00CB7266">
              <w:rPr>
                <w:b/>
                <w:bCs/>
                <w:color w:val="215E99" w:themeColor="text2" w:themeTint="BF"/>
                <w:w w:val="105"/>
                <w:sz w:val="18"/>
                <w:szCs w:val="18"/>
                <w:lang w:val="nl-NL"/>
              </w:rPr>
              <w:lastRenderedPageBreak/>
              <w:t>Toelichting evaluatie:</w:t>
            </w:r>
            <w:r w:rsidRPr="00CB7266">
              <w:rPr>
                <w:w w:val="105"/>
                <w:sz w:val="18"/>
                <w:szCs w:val="18"/>
                <w:lang w:val="nl-NL"/>
              </w:rPr>
              <w:t xml:space="preserve"> </w:t>
            </w:r>
            <w:r w:rsidRPr="00CB7266" w:rsidR="00CD71FB">
              <w:rPr>
                <w:color w:val="215E99" w:themeColor="text2" w:themeTint="BF"/>
                <w:sz w:val="18"/>
                <w:szCs w:val="18"/>
                <w:lang w:val="nl-NL"/>
              </w:rPr>
              <w:t xml:space="preserve">Deze Periodieke rapportage evalueert </w:t>
            </w:r>
            <w:r w:rsidR="00CD71FB">
              <w:rPr>
                <w:color w:val="215E99" w:themeColor="text2" w:themeTint="BF"/>
                <w:sz w:val="18"/>
                <w:szCs w:val="18"/>
                <w:lang w:val="nl-NL"/>
              </w:rPr>
              <w:t xml:space="preserve">de </w:t>
            </w:r>
            <w:r w:rsidR="00542942">
              <w:rPr>
                <w:color w:val="215E99" w:themeColor="text2" w:themeTint="BF"/>
                <w:sz w:val="18"/>
                <w:szCs w:val="18"/>
                <w:lang w:val="nl-NL"/>
              </w:rPr>
              <w:t>het Nederlandse sociale ontwikkelingsbeleid</w:t>
            </w:r>
            <w:r w:rsidR="00CD71FB">
              <w:rPr>
                <w:color w:val="215E99" w:themeColor="text2" w:themeTint="BF"/>
                <w:sz w:val="18"/>
                <w:szCs w:val="18"/>
                <w:lang w:val="nl-NL"/>
              </w:rPr>
              <w:t xml:space="preserve"> in de periode 2018 t/m 2024</w:t>
            </w:r>
            <w:r w:rsidRPr="00CB7266" w:rsidR="00CD71FB">
              <w:rPr>
                <w:color w:val="215E99" w:themeColor="text2" w:themeTint="BF"/>
                <w:sz w:val="18"/>
                <w:szCs w:val="18"/>
                <w:lang w:val="nl-NL"/>
              </w:rPr>
              <w:t xml:space="preserve">. </w:t>
            </w:r>
            <w:r w:rsidRPr="00542942" w:rsidR="00542942">
              <w:rPr>
                <w:color w:val="215E99" w:themeColor="text2" w:themeTint="BF"/>
                <w:sz w:val="18"/>
                <w:szCs w:val="18"/>
                <w:lang w:val="nl-NL"/>
              </w:rPr>
              <w:t>De rapportage richt zich op vier thema’s: mondiale gezondheid en</w:t>
            </w:r>
          </w:p>
          <w:p w:rsidRPr="00CB7266" w:rsidR="002A020D" w:rsidP="00542942" w:rsidRDefault="00542942" w14:paraId="7918C2B3" w14:textId="74FDBB57">
            <w:pPr>
              <w:pStyle w:val="TableParagraph"/>
              <w:spacing w:line="259" w:lineRule="auto"/>
              <w:ind w:right="168"/>
              <w:rPr>
                <w:color w:val="215E99" w:themeColor="text2" w:themeTint="BF"/>
                <w:sz w:val="18"/>
                <w:szCs w:val="18"/>
                <w:lang w:val="nl-NL"/>
              </w:rPr>
            </w:pPr>
            <w:r w:rsidRPr="00542942">
              <w:rPr>
                <w:color w:val="215E99" w:themeColor="text2" w:themeTint="BF"/>
                <w:sz w:val="18"/>
                <w:szCs w:val="18"/>
                <w:lang w:val="nl-NL"/>
              </w:rPr>
              <w:t>seksuele en reproductieve gezondheid en rechten (SRGR); vrouwenrechten en gendergelijkheid; maatschappelijk middenveld en onderwijs.</w:t>
            </w:r>
          </w:p>
          <w:p w:rsidRPr="00CB7266" w:rsidR="002A020D" w:rsidP="009F48F2" w:rsidRDefault="002A020D" w14:paraId="45F24EF4" w14:textId="77777777">
            <w:pPr>
              <w:pStyle w:val="TableParagraph"/>
              <w:spacing w:line="259" w:lineRule="auto"/>
              <w:ind w:right="168"/>
              <w:rPr>
                <w:sz w:val="18"/>
                <w:szCs w:val="18"/>
                <w:lang w:val="nl-NL"/>
              </w:rPr>
            </w:pPr>
          </w:p>
        </w:tc>
      </w:tr>
      <w:tr w:rsidRPr="0061391E" w:rsidR="002A020D" w:rsidTr="009F48F2" w14:paraId="2429D280" w14:textId="77777777">
        <w:trPr>
          <w:trHeight w:val="364"/>
        </w:trPr>
        <w:tc>
          <w:tcPr>
            <w:tcW w:w="4253" w:type="dxa"/>
            <w:gridSpan w:val="3"/>
          </w:tcPr>
          <w:p w:rsidRPr="0061391E" w:rsidR="002A020D" w:rsidP="009F48F2" w:rsidRDefault="002A020D" w14:paraId="5276026D" w14:textId="77777777">
            <w:pPr>
              <w:pStyle w:val="TableParagraph"/>
              <w:spacing w:before="19"/>
              <w:rPr>
                <w:b/>
                <w:bCs/>
                <w:iCs/>
                <w:color w:val="215E99" w:themeColor="text2" w:themeTint="BF"/>
                <w:sz w:val="18"/>
                <w:szCs w:val="18"/>
              </w:rPr>
            </w:pPr>
            <w:proofErr w:type="spellStart"/>
            <w:r w:rsidRPr="0061391E">
              <w:rPr>
                <w:b/>
                <w:bCs/>
                <w:iCs/>
                <w:color w:val="215E99" w:themeColor="text2" w:themeTint="BF"/>
                <w:spacing w:val="-2"/>
                <w:w w:val="105"/>
                <w:sz w:val="18"/>
                <w:szCs w:val="18"/>
              </w:rPr>
              <w:t>Aanbevelingen</w:t>
            </w:r>
            <w:proofErr w:type="spellEnd"/>
            <w:r w:rsidRPr="0061391E">
              <w:rPr>
                <w:b/>
                <w:bCs/>
                <w:iCs/>
                <w:color w:val="215E99" w:themeColor="text2" w:themeTint="BF"/>
                <w:spacing w:val="-2"/>
                <w:w w:val="105"/>
                <w:sz w:val="18"/>
                <w:szCs w:val="18"/>
              </w:rPr>
              <w:t>/</w:t>
            </w:r>
            <w:proofErr w:type="spellStart"/>
            <w:r w:rsidRPr="0061391E">
              <w:rPr>
                <w:b/>
                <w:bCs/>
                <w:iCs/>
                <w:color w:val="215E99" w:themeColor="text2" w:themeTint="BF"/>
                <w:spacing w:val="-2"/>
                <w:w w:val="105"/>
                <w:sz w:val="18"/>
                <w:szCs w:val="18"/>
              </w:rPr>
              <w:t>bevindingen</w:t>
            </w:r>
            <w:proofErr w:type="spellEnd"/>
            <w:r w:rsidRPr="0061391E">
              <w:rPr>
                <w:b/>
                <w:bCs/>
                <w:iCs/>
                <w:color w:val="215E99" w:themeColor="text2" w:themeTint="BF"/>
                <w:spacing w:val="-2"/>
                <w:w w:val="105"/>
                <w:sz w:val="18"/>
                <w:szCs w:val="18"/>
              </w:rPr>
              <w:t>:</w:t>
            </w:r>
          </w:p>
        </w:tc>
        <w:tc>
          <w:tcPr>
            <w:tcW w:w="3260" w:type="dxa"/>
            <w:gridSpan w:val="2"/>
          </w:tcPr>
          <w:p w:rsidRPr="0061391E" w:rsidR="002A020D" w:rsidP="009F48F2" w:rsidRDefault="002A020D" w14:paraId="1447DE5A" w14:textId="77777777">
            <w:pPr>
              <w:pStyle w:val="TableParagraph"/>
              <w:spacing w:before="19"/>
              <w:ind w:left="101"/>
              <w:rPr>
                <w:b/>
                <w:bCs/>
                <w:iCs/>
                <w:color w:val="215E99" w:themeColor="text2" w:themeTint="BF"/>
                <w:sz w:val="18"/>
                <w:szCs w:val="18"/>
              </w:rPr>
            </w:pPr>
            <w:proofErr w:type="spellStart"/>
            <w:r w:rsidRPr="0061391E">
              <w:rPr>
                <w:b/>
                <w:bCs/>
                <w:iCs/>
                <w:color w:val="215E99" w:themeColor="text2" w:themeTint="BF"/>
                <w:w w:val="105"/>
                <w:sz w:val="18"/>
                <w:szCs w:val="18"/>
              </w:rPr>
              <w:t>Toelichting</w:t>
            </w:r>
            <w:proofErr w:type="spellEnd"/>
            <w:r w:rsidRPr="0061391E">
              <w:rPr>
                <w:b/>
                <w:bCs/>
                <w:iCs/>
                <w:color w:val="215E99" w:themeColor="text2" w:themeTint="BF"/>
                <w:spacing w:val="-7"/>
                <w:w w:val="105"/>
                <w:sz w:val="18"/>
                <w:szCs w:val="18"/>
              </w:rPr>
              <w:t xml:space="preserve"> </w:t>
            </w:r>
            <w:r w:rsidRPr="0061391E">
              <w:rPr>
                <w:b/>
                <w:bCs/>
                <w:iCs/>
                <w:color w:val="215E99" w:themeColor="text2" w:themeTint="BF"/>
                <w:w w:val="105"/>
                <w:sz w:val="18"/>
                <w:szCs w:val="18"/>
              </w:rPr>
              <w:t>status</w:t>
            </w:r>
            <w:r w:rsidRPr="0061391E">
              <w:rPr>
                <w:b/>
                <w:bCs/>
                <w:iCs/>
                <w:color w:val="215E99" w:themeColor="text2" w:themeTint="BF"/>
                <w:spacing w:val="10"/>
                <w:w w:val="105"/>
                <w:sz w:val="18"/>
                <w:szCs w:val="18"/>
              </w:rPr>
              <w:t xml:space="preserve"> </w:t>
            </w:r>
            <w:proofErr w:type="spellStart"/>
            <w:r w:rsidRPr="0061391E">
              <w:rPr>
                <w:b/>
                <w:bCs/>
                <w:iCs/>
                <w:color w:val="215E99" w:themeColor="text2" w:themeTint="BF"/>
                <w:spacing w:val="-2"/>
                <w:w w:val="105"/>
                <w:sz w:val="18"/>
                <w:szCs w:val="18"/>
              </w:rPr>
              <w:t>opvolging</w:t>
            </w:r>
            <w:proofErr w:type="spellEnd"/>
            <w:r w:rsidRPr="0061391E">
              <w:rPr>
                <w:b/>
                <w:bCs/>
                <w:iCs/>
                <w:color w:val="215E99" w:themeColor="text2" w:themeTint="BF"/>
                <w:spacing w:val="-2"/>
                <w:w w:val="105"/>
                <w:sz w:val="18"/>
                <w:szCs w:val="18"/>
              </w:rPr>
              <w:t>:</w:t>
            </w:r>
          </w:p>
        </w:tc>
      </w:tr>
      <w:tr w:rsidRPr="00CB7266" w:rsidR="002A020D" w:rsidTr="00E00F8F" w14:paraId="325EA38A" w14:textId="77777777">
        <w:trPr>
          <w:trHeight w:val="547"/>
        </w:trPr>
        <w:tc>
          <w:tcPr>
            <w:tcW w:w="4253" w:type="dxa"/>
            <w:gridSpan w:val="3"/>
          </w:tcPr>
          <w:p w:rsidRPr="00072B3D" w:rsidR="002A020D" w:rsidP="00072B3D" w:rsidRDefault="00072B3D" w14:paraId="737D4DFE" w14:textId="2C933677">
            <w:pPr>
              <w:pStyle w:val="TableParagraph"/>
              <w:numPr>
                <w:ilvl w:val="0"/>
                <w:numId w:val="9"/>
              </w:numPr>
              <w:spacing w:before="19" w:line="268" w:lineRule="auto"/>
              <w:ind w:right="207"/>
              <w:rPr>
                <w:sz w:val="18"/>
                <w:szCs w:val="18"/>
                <w:lang w:val="nl-NL"/>
              </w:rPr>
            </w:pPr>
            <w:r w:rsidRPr="00072B3D">
              <w:rPr>
                <w:sz w:val="18"/>
                <w:szCs w:val="18"/>
                <w:lang w:val="nl-NL"/>
              </w:rPr>
              <w:t>Zet het principe van gecoördineerde en</w:t>
            </w:r>
            <w:r>
              <w:rPr>
                <w:sz w:val="18"/>
                <w:szCs w:val="18"/>
                <w:lang w:val="nl-NL"/>
              </w:rPr>
              <w:t xml:space="preserve"> </w:t>
            </w:r>
            <w:r w:rsidRPr="00072B3D">
              <w:rPr>
                <w:sz w:val="18"/>
                <w:szCs w:val="18"/>
                <w:lang w:val="nl-NL"/>
              </w:rPr>
              <w:t>voorspelbare financiering van Nederland op het gebied van</w:t>
            </w:r>
            <w:r>
              <w:rPr>
                <w:sz w:val="18"/>
                <w:szCs w:val="18"/>
                <w:lang w:val="nl-NL"/>
              </w:rPr>
              <w:t xml:space="preserve"> </w:t>
            </w:r>
            <w:r w:rsidRPr="00072B3D">
              <w:rPr>
                <w:sz w:val="18"/>
                <w:szCs w:val="18"/>
                <w:lang w:val="nl-NL"/>
              </w:rPr>
              <w:t>mondiale gezondheid en SRGR voort, met een focus op onder</w:t>
            </w:r>
            <w:r>
              <w:rPr>
                <w:sz w:val="18"/>
                <w:szCs w:val="18"/>
                <w:lang w:val="nl-NL"/>
              </w:rPr>
              <w:t>steuning van nationale overheden en systemen</w:t>
            </w:r>
          </w:p>
        </w:tc>
        <w:tc>
          <w:tcPr>
            <w:tcW w:w="3260" w:type="dxa"/>
            <w:gridSpan w:val="2"/>
          </w:tcPr>
          <w:p w:rsidRPr="003A3FFD" w:rsidR="002A020D" w:rsidP="003A3FFD" w:rsidRDefault="00030F13" w14:paraId="2CDE6D3F" w14:textId="3DF09544">
            <w:pPr>
              <w:pStyle w:val="TableParagraph"/>
              <w:spacing w:before="19"/>
              <w:ind w:left="101"/>
              <w:rPr>
                <w:w w:val="105"/>
                <w:sz w:val="18"/>
                <w:szCs w:val="18"/>
                <w:lang w:val="nl-NL"/>
              </w:rPr>
            </w:pPr>
            <w:r w:rsidRPr="003A3FFD">
              <w:rPr>
                <w:w w:val="105"/>
                <w:sz w:val="18"/>
                <w:szCs w:val="18"/>
                <w:lang w:val="nl-NL"/>
              </w:rPr>
              <w:t xml:space="preserve">Onderhanden: </w:t>
            </w:r>
            <w:r w:rsidRPr="003A3FFD" w:rsidR="00E00F8F">
              <w:rPr>
                <w:w w:val="105"/>
                <w:sz w:val="18"/>
                <w:szCs w:val="18"/>
                <w:lang w:val="nl-NL"/>
              </w:rPr>
              <w:t>o</w:t>
            </w:r>
            <w:r w:rsidRPr="003A3FFD">
              <w:rPr>
                <w:w w:val="105"/>
                <w:sz w:val="18"/>
                <w:szCs w:val="18"/>
                <w:lang w:val="nl-NL"/>
              </w:rPr>
              <w:t xml:space="preserve">p basis van de Mondiale Gezondheidsstrategie 2023-2030 zet Nederland zich in voor een toekomstbestendige mondiale </w:t>
            </w:r>
            <w:r w:rsidR="00734DDC">
              <w:rPr>
                <w:w w:val="105"/>
                <w:sz w:val="18"/>
                <w:szCs w:val="18"/>
                <w:lang w:val="nl-NL"/>
              </w:rPr>
              <w:t>g</w:t>
            </w:r>
            <w:r w:rsidRPr="003A3FFD">
              <w:rPr>
                <w:w w:val="105"/>
                <w:sz w:val="18"/>
                <w:szCs w:val="18"/>
                <w:lang w:val="nl-NL"/>
              </w:rPr>
              <w:t xml:space="preserve">ezondheidsarchitectuur. Het versterken van nationale gezondheidssystemen blijft daarom onderdeel van de Nederlandse inzet. In lijn met de aanbeveling zal het kabinet blijven inzetten op een combinatie van </w:t>
            </w:r>
            <w:proofErr w:type="spellStart"/>
            <w:r w:rsidRPr="003A3FFD">
              <w:rPr>
                <w:w w:val="105"/>
                <w:sz w:val="18"/>
                <w:szCs w:val="18"/>
                <w:lang w:val="nl-NL"/>
              </w:rPr>
              <w:t>ongeoormerkte</w:t>
            </w:r>
            <w:proofErr w:type="spellEnd"/>
            <w:r w:rsidRPr="003A3FFD">
              <w:rPr>
                <w:w w:val="105"/>
                <w:sz w:val="18"/>
                <w:szCs w:val="18"/>
                <w:lang w:val="nl-NL"/>
              </w:rPr>
              <w:t xml:space="preserve">, flexibele en meerjarige financiering van multilaterale organisaties en grote fondsen en ondersteuning van (lokale) maatschappelijke </w:t>
            </w:r>
            <w:r w:rsidRPr="003A3FFD" w:rsidR="00740C69">
              <w:rPr>
                <w:w w:val="105"/>
                <w:sz w:val="18"/>
                <w:szCs w:val="18"/>
                <w:lang w:val="nl-NL"/>
              </w:rPr>
              <w:t>o</w:t>
            </w:r>
            <w:r w:rsidRPr="003A3FFD">
              <w:rPr>
                <w:w w:val="105"/>
                <w:sz w:val="18"/>
                <w:szCs w:val="18"/>
                <w:lang w:val="nl-NL"/>
              </w:rPr>
              <w:t>rganisaties.</w:t>
            </w:r>
          </w:p>
          <w:p w:rsidRPr="003A3FFD" w:rsidR="00030F13" w:rsidP="003A3FFD" w:rsidRDefault="00030F13" w14:paraId="2EF97086" w14:textId="136F2C1F">
            <w:pPr>
              <w:pStyle w:val="TableParagraph"/>
              <w:spacing w:before="19"/>
              <w:ind w:left="101"/>
              <w:rPr>
                <w:w w:val="105"/>
                <w:sz w:val="18"/>
                <w:szCs w:val="18"/>
                <w:lang w:val="nl-NL"/>
              </w:rPr>
            </w:pPr>
          </w:p>
        </w:tc>
      </w:tr>
      <w:tr w:rsidRPr="00CB7266" w:rsidR="002A020D" w:rsidTr="009F48F2" w14:paraId="718AC4CF" w14:textId="77777777">
        <w:trPr>
          <w:trHeight w:val="2237"/>
        </w:trPr>
        <w:tc>
          <w:tcPr>
            <w:tcW w:w="4253" w:type="dxa"/>
            <w:gridSpan w:val="3"/>
          </w:tcPr>
          <w:p w:rsidRPr="003541AE" w:rsidR="002A020D" w:rsidP="003541AE" w:rsidRDefault="003541AE" w14:paraId="73B4BD52" w14:textId="32750EB8">
            <w:pPr>
              <w:pStyle w:val="ListParagraph"/>
              <w:numPr>
                <w:ilvl w:val="0"/>
                <w:numId w:val="9"/>
              </w:numPr>
              <w:rPr>
                <w:rFonts w:eastAsia="Verdana" w:cs="Verdana"/>
                <w:w w:val="105"/>
                <w:lang w:val="nl-NL"/>
              </w:rPr>
            </w:pPr>
            <w:r w:rsidRPr="003541AE">
              <w:rPr>
                <w:rFonts w:eastAsia="Verdana" w:cs="Verdana"/>
                <w:w w:val="105"/>
                <w:lang w:val="nl-NL"/>
              </w:rPr>
              <w:t>Zorg voor betrouwbare en verantwoorde partnerschappen met zowel multilaterale en internationale organisaties als met ngo’s/</w:t>
            </w:r>
            <w:proofErr w:type="spellStart"/>
            <w:r w:rsidRPr="003541AE">
              <w:rPr>
                <w:rFonts w:eastAsia="Verdana" w:cs="Verdana"/>
                <w:w w:val="105"/>
                <w:lang w:val="nl-NL"/>
              </w:rPr>
              <w:t>CSO’s</w:t>
            </w:r>
            <w:proofErr w:type="spellEnd"/>
          </w:p>
          <w:p w:rsidRPr="00CB7266" w:rsidR="002A020D" w:rsidP="009F48F2" w:rsidRDefault="002A020D" w14:paraId="77CFEAF9" w14:textId="77777777">
            <w:pPr>
              <w:pStyle w:val="TableParagraph"/>
              <w:spacing w:before="19" w:line="268" w:lineRule="auto"/>
              <w:ind w:left="839" w:right="207" w:hanging="353"/>
              <w:rPr>
                <w:b/>
                <w:w w:val="105"/>
                <w:sz w:val="18"/>
                <w:szCs w:val="18"/>
                <w:lang w:val="nl-NL"/>
              </w:rPr>
            </w:pPr>
          </w:p>
        </w:tc>
        <w:tc>
          <w:tcPr>
            <w:tcW w:w="3260" w:type="dxa"/>
            <w:gridSpan w:val="2"/>
          </w:tcPr>
          <w:p w:rsidRPr="003A3FFD" w:rsidR="00030F13" w:rsidP="00967CB5" w:rsidRDefault="00030F13" w14:paraId="72D6F2CA" w14:textId="1D6A07CD">
            <w:pPr>
              <w:pStyle w:val="TableParagraph"/>
              <w:spacing w:before="19"/>
              <w:ind w:left="101"/>
              <w:rPr>
                <w:w w:val="105"/>
                <w:sz w:val="18"/>
                <w:szCs w:val="18"/>
                <w:lang w:val="nl-NL"/>
              </w:rPr>
            </w:pPr>
            <w:r>
              <w:rPr>
                <w:w w:val="105"/>
                <w:sz w:val="18"/>
                <w:szCs w:val="18"/>
                <w:lang w:val="nl-NL"/>
              </w:rPr>
              <w:t>O</w:t>
            </w:r>
            <w:r w:rsidRPr="003A3FFD">
              <w:rPr>
                <w:w w:val="105"/>
                <w:sz w:val="18"/>
                <w:szCs w:val="18"/>
                <w:lang w:val="nl-NL"/>
              </w:rPr>
              <w:t>nderhanden:</w:t>
            </w:r>
            <w:r w:rsidRPr="003A3FFD" w:rsidR="00482581">
              <w:rPr>
                <w:w w:val="105"/>
                <w:sz w:val="18"/>
                <w:szCs w:val="18"/>
                <w:lang w:val="nl-NL"/>
              </w:rPr>
              <w:t xml:space="preserve"> </w:t>
            </w:r>
            <w:r w:rsidRPr="003A3FFD" w:rsidR="006C634E">
              <w:rPr>
                <w:w w:val="105"/>
                <w:sz w:val="18"/>
                <w:szCs w:val="18"/>
                <w:lang w:val="nl-NL"/>
              </w:rPr>
              <w:t>m</w:t>
            </w:r>
            <w:r w:rsidRPr="003A3FFD">
              <w:rPr>
                <w:w w:val="105"/>
                <w:sz w:val="18"/>
                <w:szCs w:val="18"/>
                <w:lang w:val="nl-NL"/>
              </w:rPr>
              <w:t xml:space="preserve">et multilaterale organisaties en maatschappelijke organisaties worden geregeld beleidsdialogen gehouden en Nederland speelt samen met gelijkgezinde donoren een actieve rol in bestuursorganen van mondiale gezondheidsfondsen als GAVI en Global Fund. </w:t>
            </w:r>
          </w:p>
          <w:p w:rsidRPr="003A3FFD" w:rsidR="00030F13" w:rsidP="00967CB5" w:rsidRDefault="00030F13" w14:paraId="4F2B6360" w14:textId="6276CBCB">
            <w:pPr>
              <w:spacing w:line="240" w:lineRule="auto"/>
              <w:ind w:left="101"/>
              <w:rPr>
                <w:rFonts w:eastAsia="Verdana" w:cs="Verdana"/>
                <w:color w:val="auto"/>
                <w:w w:val="105"/>
                <w:lang w:val="nl-NL"/>
              </w:rPr>
            </w:pPr>
            <w:r w:rsidRPr="003A3FFD">
              <w:rPr>
                <w:rFonts w:eastAsia="Verdana" w:cs="Verdana"/>
                <w:color w:val="auto"/>
                <w:w w:val="105"/>
                <w:lang w:val="nl-NL"/>
              </w:rPr>
              <w:t xml:space="preserve">Het kabinet onderschrijft de aanbeveling van IOB om in onze samenwerking met maatschappelijke organisaties grote, complexe partnerschappen te vermijden. Daarom wordt onder andere in het </w:t>
            </w:r>
            <w:r w:rsidR="004E56B2">
              <w:rPr>
                <w:rFonts w:eastAsia="Verdana" w:cs="Verdana"/>
                <w:color w:val="auto"/>
                <w:w w:val="105"/>
                <w:lang w:val="nl-NL"/>
              </w:rPr>
              <w:t xml:space="preserve">beleidskader </w:t>
            </w:r>
            <w:r w:rsidRPr="003A3FFD">
              <w:rPr>
                <w:rFonts w:eastAsia="Verdana" w:cs="Verdana"/>
                <w:color w:val="auto"/>
                <w:w w:val="105"/>
                <w:lang w:val="nl-NL"/>
              </w:rPr>
              <w:t>Focus (2026-</w:t>
            </w:r>
            <w:r w:rsidRPr="003A3FFD">
              <w:rPr>
                <w:rFonts w:eastAsia="Verdana" w:cs="Verdana"/>
                <w:color w:val="auto"/>
                <w:w w:val="105"/>
                <w:lang w:val="nl-NL"/>
              </w:rPr>
              <w:lastRenderedPageBreak/>
              <w:t xml:space="preserve">2030) geen consortia van maatschappelijke organisaties met veel </w:t>
            </w:r>
            <w:r w:rsidRPr="003A3FFD" w:rsidDel="002221CB">
              <w:rPr>
                <w:rFonts w:eastAsia="Verdana" w:cs="Verdana"/>
                <w:color w:val="auto"/>
                <w:w w:val="105"/>
                <w:lang w:val="nl-NL"/>
              </w:rPr>
              <w:t>tussenlagen</w:t>
            </w:r>
            <w:r w:rsidRPr="003A3FFD">
              <w:rPr>
                <w:rFonts w:eastAsia="Verdana" w:cs="Verdana"/>
                <w:color w:val="auto"/>
                <w:w w:val="105"/>
                <w:lang w:val="nl-NL"/>
              </w:rPr>
              <w:t xml:space="preserve"> gefinancierd.</w:t>
            </w:r>
            <w:r w:rsidRPr="000E3CF6">
              <w:rPr>
                <w:rFonts w:eastAsia="Verdana" w:cs="Verdana"/>
                <w:color w:val="auto"/>
                <w:w w:val="105"/>
                <w:vertAlign w:val="superscript"/>
                <w:lang w:val="nl-NL"/>
              </w:rPr>
              <w:footnoteReference w:id="1"/>
            </w:r>
            <w:r w:rsidRPr="003A3FFD">
              <w:rPr>
                <w:rFonts w:eastAsia="Verdana" w:cs="Verdana"/>
                <w:color w:val="auto"/>
                <w:w w:val="105"/>
                <w:lang w:val="nl-NL"/>
              </w:rPr>
              <w:t xml:space="preserve"> Op deze manier wordt de </w:t>
            </w:r>
            <w:proofErr w:type="spellStart"/>
            <w:r w:rsidRPr="003A3FFD">
              <w:rPr>
                <w:rFonts w:eastAsia="Verdana" w:cs="Verdana"/>
                <w:color w:val="auto"/>
                <w:w w:val="105"/>
                <w:lang w:val="nl-NL"/>
              </w:rPr>
              <w:t>beheerslast</w:t>
            </w:r>
            <w:proofErr w:type="spellEnd"/>
            <w:r w:rsidRPr="003A3FFD">
              <w:rPr>
                <w:rFonts w:eastAsia="Verdana" w:cs="Verdana"/>
                <w:color w:val="auto"/>
                <w:w w:val="105"/>
                <w:lang w:val="nl-NL"/>
              </w:rPr>
              <w:t xml:space="preserve"> van programma’s voor Buitenlandse Zaken en partnerorganisaties verminderd.  </w:t>
            </w:r>
          </w:p>
          <w:p w:rsidRPr="003A3FFD" w:rsidR="00030F13" w:rsidP="00967CB5" w:rsidRDefault="00030F13" w14:paraId="4E904B04" w14:textId="740EFF33">
            <w:pPr>
              <w:spacing w:line="240" w:lineRule="auto"/>
              <w:ind w:left="101"/>
              <w:rPr>
                <w:rFonts w:eastAsia="Verdana" w:cs="Verdana"/>
                <w:color w:val="auto"/>
                <w:w w:val="105"/>
                <w:lang w:val="nl-NL"/>
              </w:rPr>
            </w:pPr>
            <w:r w:rsidRPr="003A3FFD">
              <w:rPr>
                <w:rFonts w:eastAsia="Verdana" w:cs="Verdana"/>
                <w:color w:val="auto"/>
                <w:w w:val="105"/>
                <w:lang w:val="nl-NL"/>
              </w:rPr>
              <w:t xml:space="preserve">De aanbeveling om duurzaamheids- en exit-strategieën standaard onderdeel te maken van programmavoorstellen is meegenomen in de criteria voor de beoordeling van programmavoorstellen onder het </w:t>
            </w:r>
            <w:r w:rsidR="004E56B2">
              <w:rPr>
                <w:rFonts w:eastAsia="Verdana" w:cs="Verdana"/>
                <w:color w:val="auto"/>
                <w:w w:val="105"/>
                <w:lang w:val="nl-NL"/>
              </w:rPr>
              <w:t xml:space="preserve">beleidskader </w:t>
            </w:r>
            <w:r w:rsidRPr="003A3FFD">
              <w:rPr>
                <w:rFonts w:eastAsia="Verdana" w:cs="Verdana"/>
                <w:color w:val="auto"/>
                <w:w w:val="105"/>
                <w:lang w:val="nl-NL"/>
              </w:rPr>
              <w:t>Focus.</w:t>
            </w:r>
          </w:p>
          <w:p w:rsidRPr="00CB7266" w:rsidR="002A020D" w:rsidP="003A3FFD" w:rsidRDefault="002A020D" w14:paraId="18939A15" w14:textId="77777777">
            <w:pPr>
              <w:pStyle w:val="TableParagraph"/>
              <w:spacing w:before="19"/>
              <w:ind w:left="101"/>
              <w:rPr>
                <w:w w:val="105"/>
                <w:sz w:val="18"/>
                <w:szCs w:val="18"/>
                <w:lang w:val="nl-NL"/>
              </w:rPr>
            </w:pPr>
          </w:p>
        </w:tc>
      </w:tr>
      <w:tr w:rsidRPr="00CB7266" w:rsidR="002A020D" w:rsidTr="009F48F2" w14:paraId="53050565" w14:textId="77777777">
        <w:trPr>
          <w:trHeight w:val="2237"/>
        </w:trPr>
        <w:tc>
          <w:tcPr>
            <w:tcW w:w="4253" w:type="dxa"/>
            <w:gridSpan w:val="3"/>
          </w:tcPr>
          <w:p w:rsidRPr="004421DD" w:rsidR="002A020D" w:rsidP="004421DD" w:rsidRDefault="003541AE" w14:paraId="73AD2757" w14:textId="131D3472">
            <w:pPr>
              <w:pStyle w:val="ListParagraph"/>
              <w:numPr>
                <w:ilvl w:val="0"/>
                <w:numId w:val="9"/>
              </w:numPr>
              <w:rPr>
                <w:rFonts w:eastAsia="Verdana" w:cs="Verdana"/>
                <w:w w:val="105"/>
                <w:lang w:val="nl-NL"/>
              </w:rPr>
            </w:pPr>
            <w:r w:rsidRPr="004421DD">
              <w:rPr>
                <w:rFonts w:eastAsia="Verdana" w:cs="Verdana"/>
                <w:w w:val="105"/>
                <w:lang w:val="nl-NL"/>
              </w:rPr>
              <w:lastRenderedPageBreak/>
              <w:t>Ontwikkel realistische beleidskaders en programma’s binnen de invloedssfeer van Nederland</w:t>
            </w:r>
          </w:p>
        </w:tc>
        <w:tc>
          <w:tcPr>
            <w:tcW w:w="3260" w:type="dxa"/>
            <w:gridSpan w:val="2"/>
          </w:tcPr>
          <w:p w:rsidR="00030F13" w:rsidP="003A3FFD" w:rsidRDefault="00030F13" w14:paraId="47C7F553" w14:textId="31E2823B">
            <w:pPr>
              <w:pStyle w:val="TableParagraph"/>
              <w:spacing w:before="19"/>
              <w:ind w:left="101"/>
              <w:rPr>
                <w:w w:val="105"/>
                <w:sz w:val="18"/>
                <w:szCs w:val="18"/>
                <w:lang w:val="nl-NL"/>
              </w:rPr>
            </w:pPr>
            <w:r>
              <w:rPr>
                <w:w w:val="105"/>
                <w:sz w:val="18"/>
                <w:szCs w:val="18"/>
                <w:lang w:val="nl-NL"/>
              </w:rPr>
              <w:t>Onderhanden:</w:t>
            </w:r>
            <w:r w:rsidR="00B3192E">
              <w:rPr>
                <w:w w:val="105"/>
                <w:sz w:val="18"/>
                <w:szCs w:val="18"/>
                <w:lang w:val="nl-NL"/>
              </w:rPr>
              <w:t xml:space="preserve"> b</w:t>
            </w:r>
            <w:r>
              <w:rPr>
                <w:w w:val="105"/>
                <w:sz w:val="18"/>
                <w:szCs w:val="18"/>
                <w:lang w:val="nl-NL"/>
              </w:rPr>
              <w:t xml:space="preserve">ij het opstellen van het beleidskader Focus is ingezet op versimpeling van de monitoring en evaluatie met focus op directe haalbare resultaten. </w:t>
            </w:r>
          </w:p>
          <w:p w:rsidRPr="00CB7266" w:rsidR="002A020D" w:rsidP="003A3FFD" w:rsidRDefault="002A020D" w14:paraId="12CCB9EA" w14:textId="7684B3E5">
            <w:pPr>
              <w:pStyle w:val="TableParagraph"/>
              <w:spacing w:before="19"/>
              <w:ind w:left="101"/>
              <w:rPr>
                <w:w w:val="105"/>
                <w:sz w:val="18"/>
                <w:szCs w:val="18"/>
                <w:lang w:val="nl-NL"/>
              </w:rPr>
            </w:pPr>
          </w:p>
        </w:tc>
      </w:tr>
      <w:tr w:rsidRPr="00AC268A" w:rsidR="002A020D" w:rsidTr="009F48F2" w14:paraId="696C0338" w14:textId="77777777">
        <w:trPr>
          <w:trHeight w:val="2237"/>
        </w:trPr>
        <w:tc>
          <w:tcPr>
            <w:tcW w:w="4253" w:type="dxa"/>
            <w:gridSpan w:val="3"/>
          </w:tcPr>
          <w:p w:rsidRPr="00246081" w:rsidR="002A020D" w:rsidP="00246081" w:rsidRDefault="004421DD" w14:paraId="02ACE729" w14:textId="2200D6F2">
            <w:pPr>
              <w:pStyle w:val="ListParagraph"/>
              <w:numPr>
                <w:ilvl w:val="0"/>
                <w:numId w:val="9"/>
              </w:numPr>
              <w:rPr>
                <w:rFonts w:eastAsia="Verdana" w:cs="Verdana"/>
                <w:w w:val="105"/>
                <w:lang w:val="nl-NL"/>
              </w:rPr>
            </w:pPr>
            <w:r w:rsidRPr="00246081">
              <w:rPr>
                <w:rFonts w:eastAsia="Verdana" w:cs="Verdana"/>
                <w:w w:val="105"/>
                <w:lang w:val="nl-NL"/>
              </w:rPr>
              <w:t>Betrek lokale organisaties en doelgroepen vanaf de ontwerpfase bij programma’s, zodat de doelstellingen van het programma aansluiten bij behoeften van de doelgroepen</w:t>
            </w:r>
          </w:p>
          <w:p w:rsidRPr="00CB7266" w:rsidR="002A020D" w:rsidP="009F48F2" w:rsidRDefault="002A020D" w14:paraId="3E2CBFD9" w14:textId="77777777">
            <w:pPr>
              <w:rPr>
                <w:rFonts w:eastAsia="Verdana" w:cs="Verdana"/>
                <w:w w:val="105"/>
                <w:lang w:val="nl-NL"/>
              </w:rPr>
            </w:pPr>
          </w:p>
        </w:tc>
        <w:tc>
          <w:tcPr>
            <w:tcW w:w="3260" w:type="dxa"/>
            <w:gridSpan w:val="2"/>
          </w:tcPr>
          <w:p w:rsidRPr="003A3FFD" w:rsidR="00030F13" w:rsidP="003A3FFD" w:rsidRDefault="00030F13" w14:paraId="03A7BD75" w14:textId="101CFDF3">
            <w:pPr>
              <w:pStyle w:val="TableParagraph"/>
              <w:spacing w:before="19"/>
              <w:ind w:left="101"/>
              <w:rPr>
                <w:w w:val="105"/>
                <w:sz w:val="18"/>
                <w:szCs w:val="18"/>
                <w:lang w:val="nl-NL"/>
              </w:rPr>
            </w:pPr>
            <w:r>
              <w:rPr>
                <w:w w:val="105"/>
                <w:sz w:val="18"/>
                <w:szCs w:val="18"/>
                <w:lang w:val="nl-NL"/>
              </w:rPr>
              <w:t>Onderhanden:</w:t>
            </w:r>
            <w:r w:rsidR="004E56B2">
              <w:rPr>
                <w:w w:val="105"/>
                <w:sz w:val="18"/>
                <w:szCs w:val="18"/>
                <w:lang w:val="nl-NL"/>
              </w:rPr>
              <w:t xml:space="preserve"> l</w:t>
            </w:r>
            <w:r w:rsidRPr="003A3FFD">
              <w:rPr>
                <w:w w:val="105"/>
                <w:sz w:val="18"/>
                <w:szCs w:val="18"/>
                <w:lang w:val="nl-NL"/>
              </w:rPr>
              <w:t xml:space="preserve">okaal eigenaarschap is binnen het beleidskader Focus centraal gesteld. Een belangrijk beoordelingscriterium op basis waarvan partners worden geselecteerd, is de mate waarin de aanvrager een heldere visie en aanpak presenteert voor het stimuleren van lokaal eigenaarschap. </w:t>
            </w:r>
          </w:p>
          <w:p w:rsidRPr="003A3FFD" w:rsidR="00030F13" w:rsidP="003A3FFD" w:rsidRDefault="00030F13" w14:paraId="551BD8C4" w14:textId="77777777">
            <w:pPr>
              <w:pStyle w:val="TableParagraph"/>
              <w:spacing w:before="19"/>
              <w:ind w:left="101"/>
              <w:rPr>
                <w:w w:val="105"/>
                <w:sz w:val="18"/>
                <w:szCs w:val="18"/>
                <w:lang w:val="nl-NL"/>
              </w:rPr>
            </w:pPr>
            <w:r w:rsidRPr="003A3FFD">
              <w:rPr>
                <w:w w:val="105"/>
                <w:sz w:val="18"/>
                <w:szCs w:val="18"/>
                <w:lang w:val="nl-NL"/>
              </w:rPr>
              <w:t xml:space="preserve">Tijdens een </w:t>
            </w:r>
            <w:proofErr w:type="spellStart"/>
            <w:r w:rsidRPr="003A3FFD">
              <w:rPr>
                <w:w w:val="105"/>
                <w:sz w:val="18"/>
                <w:szCs w:val="18"/>
                <w:lang w:val="nl-NL"/>
              </w:rPr>
              <w:t>inceptiefase</w:t>
            </w:r>
            <w:proofErr w:type="spellEnd"/>
            <w:r w:rsidRPr="003A3FFD">
              <w:rPr>
                <w:w w:val="105"/>
                <w:sz w:val="18"/>
                <w:szCs w:val="18"/>
                <w:lang w:val="nl-NL"/>
              </w:rPr>
              <w:t xml:space="preserve"> werken de partners die middels dit kader financiering ontvangen hun programma’s verder uit met lokale organisaties. </w:t>
            </w:r>
          </w:p>
          <w:p w:rsidRPr="003A3FFD" w:rsidR="00030F13" w:rsidP="003A3FFD" w:rsidRDefault="00030F13" w14:paraId="483838C5" w14:textId="0B2B863C">
            <w:pPr>
              <w:pStyle w:val="TableParagraph"/>
              <w:spacing w:before="19"/>
              <w:ind w:left="101"/>
              <w:rPr>
                <w:w w:val="105"/>
                <w:sz w:val="18"/>
                <w:szCs w:val="18"/>
                <w:lang w:val="nl-NL"/>
              </w:rPr>
            </w:pPr>
            <w:r w:rsidRPr="003A3FFD">
              <w:rPr>
                <w:w w:val="105"/>
                <w:sz w:val="18"/>
                <w:szCs w:val="18"/>
                <w:lang w:val="nl-NL"/>
              </w:rPr>
              <w:t>In deze programma’s is conform de IOB</w:t>
            </w:r>
            <w:r w:rsidR="00A907B9">
              <w:rPr>
                <w:w w:val="105"/>
                <w:sz w:val="18"/>
                <w:szCs w:val="18"/>
                <w:lang w:val="nl-NL"/>
              </w:rPr>
              <w:t>-</w:t>
            </w:r>
            <w:r w:rsidRPr="003A3FFD">
              <w:rPr>
                <w:w w:val="105"/>
                <w:sz w:val="18"/>
                <w:szCs w:val="18"/>
                <w:lang w:val="nl-NL"/>
              </w:rPr>
              <w:t xml:space="preserve">aanbeveling ruimte voor zowel pleitbezorging als dienstverlening. </w:t>
            </w:r>
          </w:p>
          <w:p w:rsidRPr="003A3FFD" w:rsidR="002A020D" w:rsidP="003A3FFD" w:rsidRDefault="002A020D" w14:paraId="132ABB9C" w14:textId="77777777">
            <w:pPr>
              <w:pStyle w:val="TableParagraph"/>
              <w:spacing w:before="19"/>
              <w:ind w:left="101"/>
              <w:rPr>
                <w:w w:val="105"/>
                <w:sz w:val="18"/>
                <w:szCs w:val="18"/>
                <w:lang w:val="nl-NL"/>
              </w:rPr>
            </w:pPr>
          </w:p>
        </w:tc>
      </w:tr>
      <w:tr w:rsidRPr="00CB7266" w:rsidR="002A020D" w:rsidTr="009F48F2" w14:paraId="2B5D4BB2" w14:textId="77777777">
        <w:trPr>
          <w:trHeight w:val="548"/>
        </w:trPr>
        <w:tc>
          <w:tcPr>
            <w:tcW w:w="4253" w:type="dxa"/>
            <w:gridSpan w:val="3"/>
          </w:tcPr>
          <w:p w:rsidR="002A020D" w:rsidP="00246081" w:rsidRDefault="00246081" w14:paraId="43D1A3D5" w14:textId="77777777">
            <w:pPr>
              <w:pStyle w:val="ListParagraph"/>
              <w:numPr>
                <w:ilvl w:val="0"/>
                <w:numId w:val="9"/>
              </w:numPr>
              <w:rPr>
                <w:rFonts w:eastAsia="Verdana" w:cs="Verdana"/>
                <w:w w:val="105"/>
                <w:lang w:val="nl-NL"/>
              </w:rPr>
            </w:pPr>
            <w:r w:rsidRPr="00246081">
              <w:rPr>
                <w:rFonts w:eastAsia="Verdana" w:cs="Verdana"/>
                <w:w w:val="105"/>
                <w:lang w:val="nl-NL"/>
              </w:rPr>
              <w:t>Blijf voortbouwen op de goede resultaten en praktijken van lokaal geleide interventies</w:t>
            </w:r>
          </w:p>
          <w:p w:rsidR="008A28E5" w:rsidP="008A28E5" w:rsidRDefault="008A28E5" w14:paraId="21F7B46D" w14:textId="77777777">
            <w:pPr>
              <w:rPr>
                <w:rFonts w:eastAsia="Verdana" w:cs="Verdana"/>
                <w:w w:val="105"/>
                <w:lang w:val="nl-NL"/>
              </w:rPr>
            </w:pPr>
          </w:p>
          <w:p w:rsidRPr="008A28E5" w:rsidR="008A28E5" w:rsidP="008A28E5" w:rsidRDefault="008A28E5" w14:paraId="42FED465" w14:textId="77777777">
            <w:pPr>
              <w:rPr>
                <w:rFonts w:eastAsia="Verdana" w:cs="Verdana"/>
                <w:w w:val="105"/>
                <w:lang w:val="nl-NL"/>
              </w:rPr>
            </w:pPr>
          </w:p>
          <w:p w:rsidRPr="00246081" w:rsidR="00246081" w:rsidP="00246081" w:rsidRDefault="00246081" w14:paraId="6FC47A58" w14:textId="1DA8A730">
            <w:pPr>
              <w:pStyle w:val="ListParagraph"/>
              <w:ind w:left="478"/>
              <w:rPr>
                <w:rFonts w:eastAsia="Verdana" w:cs="Verdana"/>
                <w:w w:val="105"/>
                <w:lang w:val="nl-NL"/>
              </w:rPr>
            </w:pPr>
          </w:p>
        </w:tc>
        <w:tc>
          <w:tcPr>
            <w:tcW w:w="3260" w:type="dxa"/>
            <w:gridSpan w:val="2"/>
          </w:tcPr>
          <w:p w:rsidRPr="00D712F8" w:rsidR="00030F13" w:rsidP="009415CE" w:rsidRDefault="00030F13" w14:paraId="2E5EBAED" w14:textId="016B82D8">
            <w:pPr>
              <w:pStyle w:val="TableParagraph"/>
              <w:spacing w:before="19"/>
              <w:ind w:left="101"/>
              <w:rPr>
                <w:w w:val="105"/>
                <w:sz w:val="18"/>
                <w:szCs w:val="18"/>
                <w:lang w:val="nl-NL"/>
              </w:rPr>
            </w:pPr>
            <w:r>
              <w:rPr>
                <w:w w:val="105"/>
                <w:sz w:val="18"/>
                <w:szCs w:val="18"/>
                <w:lang w:val="nl-NL"/>
              </w:rPr>
              <w:lastRenderedPageBreak/>
              <w:t>Onderhanden:</w:t>
            </w:r>
            <w:r w:rsidR="00D712F8">
              <w:rPr>
                <w:w w:val="105"/>
                <w:sz w:val="18"/>
                <w:szCs w:val="18"/>
                <w:lang w:val="nl-NL"/>
              </w:rPr>
              <w:t xml:space="preserve"> g</w:t>
            </w:r>
            <w:r w:rsidRPr="00D712F8">
              <w:rPr>
                <w:w w:val="105"/>
                <w:sz w:val="18"/>
                <w:szCs w:val="18"/>
                <w:lang w:val="nl-NL"/>
              </w:rPr>
              <w:t>eleerde lessen met betrekking tot lokaal geleide interventies</w:t>
            </w:r>
            <w:r w:rsidR="00C6365A">
              <w:rPr>
                <w:w w:val="105"/>
                <w:sz w:val="18"/>
                <w:szCs w:val="18"/>
                <w:lang w:val="nl-NL"/>
              </w:rPr>
              <w:t xml:space="preserve"> </w:t>
            </w:r>
            <w:r w:rsidRPr="00D712F8">
              <w:rPr>
                <w:w w:val="105"/>
                <w:sz w:val="18"/>
                <w:szCs w:val="18"/>
                <w:lang w:val="nl-NL"/>
              </w:rPr>
              <w:t xml:space="preserve">zijn meegenomen in de uitwerking </w:t>
            </w:r>
            <w:r w:rsidRPr="00D712F8">
              <w:rPr>
                <w:w w:val="105"/>
                <w:sz w:val="18"/>
                <w:szCs w:val="18"/>
                <w:lang w:val="nl-NL"/>
              </w:rPr>
              <w:lastRenderedPageBreak/>
              <w:t xml:space="preserve">van het </w:t>
            </w:r>
            <w:r w:rsidR="00073241">
              <w:rPr>
                <w:w w:val="105"/>
                <w:sz w:val="18"/>
                <w:szCs w:val="18"/>
                <w:lang w:val="nl-NL"/>
              </w:rPr>
              <w:t xml:space="preserve">subsidiebeleidskader </w:t>
            </w:r>
            <w:r w:rsidRPr="00D712F8">
              <w:rPr>
                <w:w w:val="105"/>
                <w:sz w:val="18"/>
                <w:szCs w:val="18"/>
                <w:lang w:val="nl-NL"/>
              </w:rPr>
              <w:t xml:space="preserve">Focus. </w:t>
            </w:r>
          </w:p>
          <w:p w:rsidRPr="003A3FFD" w:rsidR="00030F13" w:rsidP="009415CE" w:rsidRDefault="00030F13" w14:paraId="0335EC0B" w14:textId="0ECF4914">
            <w:pPr>
              <w:spacing w:line="240" w:lineRule="auto"/>
              <w:ind w:left="101"/>
              <w:rPr>
                <w:rFonts w:eastAsia="Verdana" w:cs="Verdana"/>
                <w:color w:val="auto"/>
                <w:w w:val="105"/>
                <w:lang w:val="nl-NL"/>
              </w:rPr>
            </w:pPr>
            <w:r w:rsidRPr="003A3FFD">
              <w:rPr>
                <w:rFonts w:eastAsia="Verdana" w:cs="Verdana"/>
                <w:color w:val="auto"/>
                <w:w w:val="105"/>
                <w:lang w:val="nl-NL"/>
              </w:rPr>
              <w:t xml:space="preserve">Zo wordt het </w:t>
            </w:r>
            <w:proofErr w:type="spellStart"/>
            <w:r w:rsidRPr="003A3FFD">
              <w:rPr>
                <w:rFonts w:eastAsia="Verdana" w:cs="Verdana"/>
                <w:color w:val="auto"/>
                <w:w w:val="105"/>
                <w:lang w:val="nl-NL"/>
              </w:rPr>
              <w:t>FemFocus</w:t>
            </w:r>
            <w:proofErr w:type="spellEnd"/>
            <w:r w:rsidRPr="003A3FFD">
              <w:rPr>
                <w:rFonts w:eastAsia="Verdana" w:cs="Verdana"/>
                <w:color w:val="auto"/>
                <w:w w:val="105"/>
                <w:lang w:val="nl-NL"/>
              </w:rPr>
              <w:t xml:space="preserve"> budget </w:t>
            </w:r>
            <w:r w:rsidR="000E3CF6">
              <w:rPr>
                <w:rFonts w:eastAsia="Verdana" w:cs="Verdana"/>
                <w:color w:val="auto"/>
                <w:w w:val="105"/>
                <w:lang w:val="nl-NL"/>
              </w:rPr>
              <w:t xml:space="preserve">- </w:t>
            </w:r>
            <w:r w:rsidRPr="003A3FFD">
              <w:rPr>
                <w:rFonts w:eastAsia="Verdana" w:cs="Verdana"/>
                <w:color w:val="auto"/>
                <w:w w:val="105"/>
                <w:lang w:val="nl-NL"/>
              </w:rPr>
              <w:t xml:space="preserve">net als bij </w:t>
            </w:r>
            <w:proofErr w:type="spellStart"/>
            <w:r w:rsidRPr="003A3FFD">
              <w:rPr>
                <w:rFonts w:eastAsia="Verdana" w:cs="Verdana"/>
                <w:color w:val="auto"/>
                <w:w w:val="105"/>
                <w:lang w:val="nl-NL"/>
              </w:rPr>
              <w:t>Leading</w:t>
            </w:r>
            <w:proofErr w:type="spellEnd"/>
            <w:r w:rsidRPr="003A3FFD">
              <w:rPr>
                <w:rFonts w:eastAsia="Verdana" w:cs="Verdana"/>
                <w:color w:val="auto"/>
                <w:w w:val="105"/>
                <w:lang w:val="nl-NL"/>
              </w:rPr>
              <w:t xml:space="preserve"> </w:t>
            </w:r>
            <w:proofErr w:type="spellStart"/>
            <w:r w:rsidRPr="003A3FFD">
              <w:rPr>
                <w:rFonts w:eastAsia="Verdana" w:cs="Verdana"/>
                <w:color w:val="auto"/>
                <w:w w:val="105"/>
                <w:lang w:val="nl-NL"/>
              </w:rPr>
              <w:t>From</w:t>
            </w:r>
            <w:proofErr w:type="spellEnd"/>
            <w:r w:rsidRPr="003A3FFD">
              <w:rPr>
                <w:rFonts w:eastAsia="Verdana" w:cs="Verdana"/>
                <w:color w:val="auto"/>
                <w:w w:val="105"/>
                <w:lang w:val="nl-NL"/>
              </w:rPr>
              <w:t xml:space="preserve"> </w:t>
            </w:r>
            <w:proofErr w:type="spellStart"/>
            <w:r w:rsidRPr="003A3FFD">
              <w:rPr>
                <w:rFonts w:eastAsia="Verdana" w:cs="Verdana"/>
                <w:color w:val="auto"/>
                <w:w w:val="105"/>
                <w:lang w:val="nl-NL"/>
              </w:rPr>
              <w:t>the</w:t>
            </w:r>
            <w:proofErr w:type="spellEnd"/>
            <w:r w:rsidRPr="003A3FFD">
              <w:rPr>
                <w:rFonts w:eastAsia="Verdana" w:cs="Verdana"/>
                <w:color w:val="auto"/>
                <w:w w:val="105"/>
                <w:lang w:val="nl-NL"/>
              </w:rPr>
              <w:t xml:space="preserve"> Sout</w:t>
            </w:r>
            <w:r w:rsidR="000E3CF6">
              <w:rPr>
                <w:rFonts w:eastAsia="Verdana" w:cs="Verdana"/>
                <w:color w:val="auto"/>
                <w:w w:val="105"/>
                <w:lang w:val="nl-NL"/>
              </w:rPr>
              <w:t>h -</w:t>
            </w:r>
            <w:r w:rsidRPr="003A3FFD">
              <w:rPr>
                <w:rFonts w:eastAsia="Verdana" w:cs="Verdana"/>
                <w:color w:val="auto"/>
                <w:w w:val="105"/>
                <w:lang w:val="nl-NL"/>
              </w:rPr>
              <w:t xml:space="preserve"> via een support partner die uitsluitend financiering en capaciteitsversterking verstrekt</w:t>
            </w:r>
            <w:r w:rsidR="000E3CF6">
              <w:rPr>
                <w:rFonts w:eastAsia="Verdana" w:cs="Verdana"/>
                <w:color w:val="auto"/>
                <w:w w:val="105"/>
                <w:lang w:val="nl-NL"/>
              </w:rPr>
              <w:t xml:space="preserve">, </w:t>
            </w:r>
            <w:r w:rsidRPr="003A3FFD">
              <w:rPr>
                <w:rFonts w:eastAsia="Verdana" w:cs="Verdana"/>
                <w:color w:val="auto"/>
                <w:w w:val="105"/>
                <w:lang w:val="nl-NL"/>
              </w:rPr>
              <w:t>besteed aan zuidelijke organisaties.</w:t>
            </w:r>
          </w:p>
          <w:p w:rsidRPr="003A3FFD" w:rsidR="002A020D" w:rsidP="003A3FFD" w:rsidRDefault="002A020D" w14:paraId="5F967D99" w14:textId="615373EB">
            <w:pPr>
              <w:pStyle w:val="TableParagraph"/>
              <w:spacing w:before="19"/>
              <w:ind w:left="101"/>
              <w:rPr>
                <w:w w:val="105"/>
                <w:sz w:val="18"/>
                <w:szCs w:val="18"/>
                <w:lang w:val="nl-NL"/>
              </w:rPr>
            </w:pPr>
          </w:p>
        </w:tc>
      </w:tr>
      <w:tr w:rsidRPr="00CB7266" w:rsidR="002A020D" w:rsidTr="009F48F2" w14:paraId="5616852F" w14:textId="77777777">
        <w:trPr>
          <w:trHeight w:val="2237"/>
        </w:trPr>
        <w:tc>
          <w:tcPr>
            <w:tcW w:w="4253" w:type="dxa"/>
            <w:gridSpan w:val="3"/>
          </w:tcPr>
          <w:p w:rsidRPr="00BD19DD" w:rsidR="002A020D" w:rsidP="00BD19DD" w:rsidRDefault="00BD19DD" w14:paraId="352DC1D5" w14:textId="77DB818D">
            <w:pPr>
              <w:pStyle w:val="ListParagraph"/>
              <w:numPr>
                <w:ilvl w:val="0"/>
                <w:numId w:val="9"/>
              </w:numPr>
              <w:rPr>
                <w:rFonts w:eastAsia="Verdana" w:cs="Verdana"/>
                <w:w w:val="105"/>
                <w:lang w:val="nl-NL"/>
              </w:rPr>
            </w:pPr>
            <w:r w:rsidRPr="00BD19DD">
              <w:rPr>
                <w:rFonts w:eastAsia="Verdana" w:cs="Verdana"/>
                <w:w w:val="105"/>
                <w:lang w:val="nl-NL"/>
              </w:rPr>
              <w:lastRenderedPageBreak/>
              <w:t>Definieer duidelijke doelstellingen op het gebied van gelijkheid, en operationaliseer en monitor ze.</w:t>
            </w:r>
          </w:p>
        </w:tc>
        <w:tc>
          <w:tcPr>
            <w:tcW w:w="3260" w:type="dxa"/>
            <w:gridSpan w:val="2"/>
          </w:tcPr>
          <w:p w:rsidRPr="00624571" w:rsidR="002A020D" w:rsidP="00624571" w:rsidRDefault="00030F13" w14:paraId="26599785" w14:textId="52622BF7">
            <w:pPr>
              <w:pStyle w:val="TableParagraph"/>
              <w:spacing w:before="19"/>
              <w:ind w:left="101"/>
              <w:rPr>
                <w:w w:val="105"/>
                <w:sz w:val="18"/>
                <w:szCs w:val="18"/>
                <w:lang w:val="nl-NL"/>
              </w:rPr>
            </w:pPr>
            <w:r>
              <w:rPr>
                <w:w w:val="105"/>
                <w:sz w:val="18"/>
                <w:szCs w:val="18"/>
                <w:lang w:val="nl-NL"/>
              </w:rPr>
              <w:t>Onderhanden:</w:t>
            </w:r>
            <w:r w:rsidR="00624571">
              <w:rPr>
                <w:w w:val="105"/>
                <w:sz w:val="18"/>
                <w:szCs w:val="18"/>
                <w:lang w:val="nl-NL"/>
              </w:rPr>
              <w:t xml:space="preserve"> c</w:t>
            </w:r>
            <w:r w:rsidRPr="00624571">
              <w:rPr>
                <w:w w:val="105"/>
                <w:sz w:val="18"/>
                <w:szCs w:val="18"/>
                <w:lang w:val="nl-NL"/>
              </w:rPr>
              <w:t xml:space="preserve">onform de kabinetsreactie werkt het kabinet aan een structurele toepassing van de OESO-DAC gendermarker, onder andere via toepassing van genderanalyses en formulering van genderspecifieke doelstelling binnen de </w:t>
            </w:r>
            <w:proofErr w:type="spellStart"/>
            <w:r w:rsidRPr="00624571">
              <w:rPr>
                <w:w w:val="105"/>
                <w:sz w:val="18"/>
                <w:szCs w:val="18"/>
                <w:lang w:val="nl-NL"/>
              </w:rPr>
              <w:t>activiteitencyclus</w:t>
            </w:r>
            <w:proofErr w:type="spellEnd"/>
            <w:r w:rsidR="001D3CA5">
              <w:rPr>
                <w:w w:val="105"/>
                <w:sz w:val="18"/>
                <w:szCs w:val="18"/>
                <w:lang w:val="nl-NL"/>
              </w:rPr>
              <w:t>.</w:t>
            </w:r>
          </w:p>
        </w:tc>
      </w:tr>
    </w:tbl>
    <w:p w:rsidR="002A020D" w:rsidP="002A020D" w:rsidRDefault="002A020D" w14:paraId="1510E7EF" w14:textId="77777777"/>
    <w:p w:rsidR="006F7438" w:rsidP="002A020D" w:rsidRDefault="006F7438" w14:paraId="5EE3BF0A" w14:textId="77777777"/>
    <w:p w:rsidR="00061F5A" w:rsidP="002A020D" w:rsidRDefault="00061F5A" w14:paraId="7EF926AB" w14:textId="77777777"/>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418"/>
        <w:gridCol w:w="1276"/>
        <w:gridCol w:w="1559"/>
        <w:gridCol w:w="1559"/>
        <w:gridCol w:w="1701"/>
      </w:tblGrid>
      <w:tr w:rsidRPr="00CB7266" w:rsidR="00061F5A" w:rsidTr="009F48F2" w14:paraId="73BAD56F" w14:textId="77777777">
        <w:trPr>
          <w:trHeight w:val="300"/>
        </w:trPr>
        <w:tc>
          <w:tcPr>
            <w:tcW w:w="7513" w:type="dxa"/>
            <w:gridSpan w:val="5"/>
            <w:shd w:val="clear" w:color="auto" w:fill="215E99" w:themeFill="text2" w:themeFillTint="BF"/>
          </w:tcPr>
          <w:p w:rsidRPr="00CB7266" w:rsidR="00061F5A" w:rsidP="009F48F2" w:rsidRDefault="00061F5A" w14:paraId="0CA36733" w14:textId="5203ECF2">
            <w:pPr>
              <w:pStyle w:val="TableParagraph"/>
              <w:spacing w:before="0" w:line="251" w:lineRule="exact"/>
              <w:rPr>
                <w:b/>
                <w:color w:val="FFFFFF" w:themeColor="background1"/>
                <w:sz w:val="18"/>
                <w:szCs w:val="18"/>
                <w:lang w:val="nl-NL"/>
              </w:rPr>
            </w:pPr>
            <w:r w:rsidRPr="00CB7266">
              <w:rPr>
                <w:b/>
                <w:color w:val="FFFFFF" w:themeColor="background1"/>
                <w:sz w:val="18"/>
                <w:szCs w:val="18"/>
                <w:lang w:val="nl-NL"/>
              </w:rPr>
              <w:t xml:space="preserve">SEA-THEMA: </w:t>
            </w:r>
            <w:r w:rsidR="00224B8E">
              <w:rPr>
                <w:b/>
                <w:color w:val="FFFFFF" w:themeColor="background1"/>
                <w:sz w:val="18"/>
                <w:szCs w:val="18"/>
                <w:lang w:val="nl-NL"/>
              </w:rPr>
              <w:t>Vrede, veiligheid en duurzame ontwikkeling</w:t>
            </w:r>
          </w:p>
        </w:tc>
      </w:tr>
      <w:tr w:rsidRPr="00CB7266" w:rsidR="00061F5A" w:rsidTr="009F48F2" w14:paraId="066983FE" w14:textId="77777777">
        <w:trPr>
          <w:trHeight w:val="1245"/>
        </w:trPr>
        <w:tc>
          <w:tcPr>
            <w:tcW w:w="7513" w:type="dxa"/>
            <w:gridSpan w:val="5"/>
          </w:tcPr>
          <w:p w:rsidRPr="00CB7266" w:rsidR="00061F5A" w:rsidP="009F48F2" w:rsidRDefault="00061F5A" w14:paraId="619AEF38" w14:textId="77777777">
            <w:pPr>
              <w:pStyle w:val="TableParagraph"/>
              <w:rPr>
                <w:b/>
                <w:bCs/>
                <w:color w:val="215E99" w:themeColor="text2" w:themeTint="BF"/>
                <w:sz w:val="18"/>
                <w:szCs w:val="18"/>
                <w:lang w:val="nl-NL"/>
              </w:rPr>
            </w:pPr>
            <w:r w:rsidRPr="00CB7266">
              <w:rPr>
                <w:b/>
                <w:bCs/>
                <w:color w:val="215E99" w:themeColor="text2" w:themeTint="BF"/>
                <w:w w:val="105"/>
                <w:sz w:val="18"/>
                <w:szCs w:val="18"/>
                <w:lang w:val="nl-NL"/>
              </w:rPr>
              <w:t>Overkoepelende</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toelichting</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SEA-thema:</w:t>
            </w:r>
            <w:r w:rsidRPr="00CB7266">
              <w:rPr>
                <w:b/>
                <w:bCs/>
                <w:color w:val="215E99" w:themeColor="text2" w:themeTint="BF"/>
                <w:spacing w:val="-3"/>
                <w:w w:val="105"/>
                <w:sz w:val="18"/>
                <w:szCs w:val="18"/>
                <w:lang w:val="nl-NL"/>
              </w:rPr>
              <w:t xml:space="preserve"> </w:t>
            </w:r>
          </w:p>
          <w:p w:rsidRPr="00FF7024" w:rsidR="00724CC9" w:rsidP="00724CC9" w:rsidRDefault="00724CC9" w14:paraId="5A3D0D1B" w14:textId="2443CA1B">
            <w:pPr>
              <w:pStyle w:val="TableParagraph"/>
              <w:spacing w:before="18"/>
              <w:rPr>
                <w:color w:val="215E99" w:themeColor="text2" w:themeTint="BF"/>
                <w:sz w:val="18"/>
                <w:szCs w:val="18"/>
                <w:lang w:val="nl-NL"/>
              </w:rPr>
            </w:pPr>
            <w:r w:rsidRPr="00724CC9">
              <w:rPr>
                <w:color w:val="215E99" w:themeColor="text2" w:themeTint="BF"/>
                <w:sz w:val="18"/>
                <w:szCs w:val="18"/>
                <w:lang w:val="nl-NL"/>
              </w:rPr>
              <w:t>Het beleid op dit thema beoogt in landen met minder sterke overheden en kwetsbare samenlevingen bij te dragen aan stabiliteit en aan een maatschappelijke orde die is gebaseerd op recht en democratische waarden. De belangen van burgers en van kwetsbare en gemarginaliseerde groepen nemen daarin een belangrijke plaats in. Inspanningen richten zich op het helpen aanpakken van structurele onderliggende oorzaken van instabiliteit en conflict, op het bevorderen van basisvoorwaarden voor een menswaardig bestaan en op weerbaarheid en veerkracht van mensen en hun gemeenschappen. Dit draagt eraan bij dat mensen die door conflict, uitsluiting en rechteloosheid kwetsbaar zijn of door een humanitaire crisissituatie in nood verkeren, in veiligheid en waardigheid kunnen (over)leven en perspectief hebben. Het draagt ook bij aan internationale stabiliteit.</w:t>
            </w:r>
          </w:p>
          <w:p w:rsidRPr="00CB7266" w:rsidR="00724CC9" w:rsidP="00724CC9" w:rsidRDefault="00724CC9" w14:paraId="0856661F" w14:textId="16008A86">
            <w:pPr>
              <w:pStyle w:val="TableParagraph"/>
              <w:spacing w:before="18"/>
              <w:rPr>
                <w:color w:val="215E99" w:themeColor="text2" w:themeTint="BF"/>
                <w:sz w:val="18"/>
                <w:szCs w:val="18"/>
                <w:lang w:val="nl-NL"/>
              </w:rPr>
            </w:pPr>
            <w:r w:rsidRPr="00724CC9">
              <w:rPr>
                <w:color w:val="215E99" w:themeColor="text2" w:themeTint="BF"/>
                <w:sz w:val="18"/>
                <w:szCs w:val="18"/>
                <w:lang w:val="nl-NL"/>
              </w:rPr>
              <w:t xml:space="preserve">Dit beleidsthema heeft drie sub-thema’s: humanitaire hulp, opvang en bescherming in de regio (en migratiesamenwerking), en bevordering van veiligheid en rechtsorde. </w:t>
            </w:r>
          </w:p>
          <w:p w:rsidRPr="00CB7266" w:rsidR="00061F5A" w:rsidP="009F48F2" w:rsidRDefault="00061F5A" w14:paraId="1771DE4A" w14:textId="77777777">
            <w:pPr>
              <w:pStyle w:val="TableParagraph"/>
              <w:spacing w:before="18"/>
              <w:rPr>
                <w:sz w:val="18"/>
                <w:szCs w:val="18"/>
                <w:lang w:val="nl-NL"/>
              </w:rPr>
            </w:pPr>
          </w:p>
        </w:tc>
      </w:tr>
      <w:tr w:rsidRPr="0061391E" w:rsidR="002A020D" w:rsidTr="009F48F2" w14:paraId="75682D34" w14:textId="77777777">
        <w:trPr>
          <w:trHeight w:val="861"/>
        </w:trPr>
        <w:tc>
          <w:tcPr>
            <w:tcW w:w="1418" w:type="dxa"/>
          </w:tcPr>
          <w:p w:rsidRPr="0061391E" w:rsidR="002A020D" w:rsidP="009F48F2" w:rsidRDefault="002A020D" w14:paraId="449E8242" w14:textId="77777777">
            <w:pPr>
              <w:pStyle w:val="TableParagraph"/>
              <w:spacing w:line="261" w:lineRule="auto"/>
              <w:ind w:left="101"/>
              <w:rPr>
                <w:b/>
                <w:bCs/>
                <w:color w:val="215E99" w:themeColor="text2" w:themeTint="BF"/>
                <w:sz w:val="18"/>
                <w:szCs w:val="18"/>
              </w:rPr>
            </w:pPr>
            <w:r w:rsidRPr="0061391E">
              <w:rPr>
                <w:b/>
                <w:bCs/>
                <w:color w:val="215E99" w:themeColor="text2" w:themeTint="BF"/>
                <w:spacing w:val="-2"/>
                <w:sz w:val="18"/>
                <w:szCs w:val="18"/>
              </w:rPr>
              <w:t xml:space="preserve">Titel </w:t>
            </w:r>
            <w:proofErr w:type="spellStart"/>
            <w:r w:rsidRPr="0061391E">
              <w:rPr>
                <w:b/>
                <w:bCs/>
                <w:color w:val="215E99" w:themeColor="text2" w:themeTint="BF"/>
                <w:spacing w:val="-2"/>
                <w:sz w:val="18"/>
                <w:szCs w:val="18"/>
              </w:rPr>
              <w:t>onderzoek</w:t>
            </w:r>
            <w:proofErr w:type="spellEnd"/>
          </w:p>
        </w:tc>
        <w:tc>
          <w:tcPr>
            <w:tcW w:w="1276" w:type="dxa"/>
          </w:tcPr>
          <w:p w:rsidRPr="0061391E" w:rsidR="002A020D" w:rsidP="009F48F2" w:rsidRDefault="002A020D" w14:paraId="0FF7EDEE" w14:textId="77777777">
            <w:pPr>
              <w:pStyle w:val="TableParagraph"/>
              <w:ind w:left="101"/>
              <w:rPr>
                <w:b/>
                <w:bCs/>
                <w:color w:val="215E99" w:themeColor="text2" w:themeTint="BF"/>
                <w:sz w:val="18"/>
                <w:szCs w:val="18"/>
              </w:rPr>
            </w:pPr>
            <w:r w:rsidRPr="0061391E">
              <w:rPr>
                <w:b/>
                <w:bCs/>
                <w:color w:val="215E99" w:themeColor="text2" w:themeTint="BF"/>
                <w:w w:val="105"/>
                <w:sz w:val="18"/>
                <w:szCs w:val="18"/>
              </w:rPr>
              <w:t>Type</w:t>
            </w:r>
            <w:r w:rsidRPr="0061391E">
              <w:rPr>
                <w:b/>
                <w:bCs/>
                <w:color w:val="215E99" w:themeColor="text2" w:themeTint="BF"/>
                <w:spacing w:val="-5"/>
                <w:w w:val="105"/>
                <w:sz w:val="18"/>
                <w:szCs w:val="18"/>
              </w:rPr>
              <w:t xml:space="preserve"> </w:t>
            </w:r>
            <w:proofErr w:type="spellStart"/>
            <w:r w:rsidRPr="0061391E">
              <w:rPr>
                <w:b/>
                <w:bCs/>
                <w:color w:val="215E99" w:themeColor="text2" w:themeTint="BF"/>
                <w:spacing w:val="-2"/>
                <w:w w:val="105"/>
                <w:sz w:val="18"/>
                <w:szCs w:val="18"/>
              </w:rPr>
              <w:t>onderzoek</w:t>
            </w:r>
            <w:proofErr w:type="spellEnd"/>
          </w:p>
        </w:tc>
        <w:tc>
          <w:tcPr>
            <w:tcW w:w="1559" w:type="dxa"/>
          </w:tcPr>
          <w:p w:rsidRPr="0061391E" w:rsidR="002A020D" w:rsidP="009F48F2" w:rsidRDefault="002A020D" w14:paraId="356F6FAB" w14:textId="77777777">
            <w:pPr>
              <w:pStyle w:val="TableParagraph"/>
              <w:spacing w:line="261" w:lineRule="auto"/>
              <w:ind w:left="101" w:right="64"/>
              <w:rPr>
                <w:b/>
                <w:bCs/>
                <w:color w:val="215E99" w:themeColor="text2" w:themeTint="BF"/>
                <w:sz w:val="18"/>
                <w:szCs w:val="18"/>
              </w:rPr>
            </w:pPr>
            <w:r w:rsidRPr="0061391E">
              <w:rPr>
                <w:b/>
                <w:bCs/>
                <w:color w:val="215E99" w:themeColor="text2" w:themeTint="BF"/>
                <w:spacing w:val="-4"/>
                <w:w w:val="105"/>
                <w:sz w:val="18"/>
                <w:szCs w:val="18"/>
              </w:rPr>
              <w:t xml:space="preserve">Jaar </w:t>
            </w:r>
            <w:proofErr w:type="spellStart"/>
            <w:r w:rsidRPr="0061391E">
              <w:rPr>
                <w:b/>
                <w:bCs/>
                <w:color w:val="215E99" w:themeColor="text2" w:themeTint="BF"/>
                <w:spacing w:val="-2"/>
                <w:sz w:val="18"/>
                <w:szCs w:val="18"/>
              </w:rPr>
              <w:t>afronding</w:t>
            </w:r>
            <w:proofErr w:type="spellEnd"/>
          </w:p>
        </w:tc>
        <w:tc>
          <w:tcPr>
            <w:tcW w:w="1559" w:type="dxa"/>
          </w:tcPr>
          <w:p w:rsidR="002A020D" w:rsidP="009F48F2" w:rsidRDefault="002A020D" w14:paraId="0F1BD368" w14:textId="77777777">
            <w:pPr>
              <w:pStyle w:val="TableParagraph"/>
              <w:ind w:left="101"/>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Begrotings</w:t>
            </w:r>
            <w:proofErr w:type="spellEnd"/>
            <w:r>
              <w:rPr>
                <w:b/>
                <w:bCs/>
                <w:color w:val="215E99" w:themeColor="text2" w:themeTint="BF"/>
                <w:spacing w:val="-2"/>
                <w:w w:val="105"/>
                <w:sz w:val="18"/>
                <w:szCs w:val="18"/>
              </w:rPr>
              <w:t>-</w:t>
            </w:r>
          </w:p>
          <w:p w:rsidRPr="0061391E" w:rsidR="002A020D" w:rsidP="009F48F2" w:rsidRDefault="002A020D" w14:paraId="3989FFEB" w14:textId="77777777">
            <w:pPr>
              <w:pStyle w:val="TableParagraph"/>
              <w:ind w:left="101"/>
              <w:rPr>
                <w:b/>
                <w:bCs/>
                <w:color w:val="215E99" w:themeColor="text2" w:themeTint="BF"/>
                <w:sz w:val="18"/>
                <w:szCs w:val="18"/>
              </w:rPr>
            </w:pPr>
            <w:proofErr w:type="spellStart"/>
            <w:r w:rsidRPr="0061391E">
              <w:rPr>
                <w:b/>
                <w:bCs/>
                <w:color w:val="215E99" w:themeColor="text2" w:themeTint="BF"/>
                <w:spacing w:val="-2"/>
                <w:w w:val="105"/>
                <w:sz w:val="18"/>
                <w:szCs w:val="18"/>
              </w:rPr>
              <w:t>artikel</w:t>
            </w:r>
            <w:proofErr w:type="spellEnd"/>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en</w:t>
            </w:r>
            <w:proofErr w:type="spellEnd"/>
            <w:r w:rsidRPr="0061391E">
              <w:rPr>
                <w:b/>
                <w:bCs/>
                <w:color w:val="215E99" w:themeColor="text2" w:themeTint="BF"/>
                <w:spacing w:val="-2"/>
                <w:w w:val="105"/>
                <w:sz w:val="18"/>
                <w:szCs w:val="18"/>
              </w:rPr>
              <w:t>)</w:t>
            </w:r>
          </w:p>
        </w:tc>
        <w:tc>
          <w:tcPr>
            <w:tcW w:w="1701" w:type="dxa"/>
          </w:tcPr>
          <w:p w:rsidRPr="0061391E" w:rsidR="002A020D" w:rsidP="009F48F2" w:rsidRDefault="002A020D" w14:paraId="7E2BAA9E" w14:textId="77777777">
            <w:pPr>
              <w:pStyle w:val="TableParagraph"/>
              <w:spacing w:line="261" w:lineRule="auto"/>
              <w:rPr>
                <w:b/>
                <w:bCs/>
                <w:color w:val="215E99" w:themeColor="text2" w:themeTint="BF"/>
                <w:sz w:val="18"/>
                <w:szCs w:val="18"/>
              </w:rPr>
            </w:pPr>
            <w:proofErr w:type="spellStart"/>
            <w:r w:rsidRPr="0061391E">
              <w:rPr>
                <w:b/>
                <w:bCs/>
                <w:color w:val="215E99" w:themeColor="text2" w:themeTint="BF"/>
                <w:spacing w:val="-2"/>
                <w:sz w:val="18"/>
                <w:szCs w:val="18"/>
              </w:rPr>
              <w:t>Budgettaire</w:t>
            </w:r>
            <w:proofErr w:type="spellEnd"/>
            <w:r w:rsidRPr="0061391E">
              <w:rPr>
                <w:b/>
                <w:bCs/>
                <w:color w:val="215E99" w:themeColor="text2" w:themeTint="BF"/>
                <w:spacing w:val="-2"/>
                <w:sz w:val="18"/>
                <w:szCs w:val="18"/>
              </w:rPr>
              <w:t xml:space="preserve"> </w:t>
            </w:r>
            <w:proofErr w:type="spellStart"/>
            <w:r w:rsidRPr="0061391E">
              <w:rPr>
                <w:b/>
                <w:bCs/>
                <w:color w:val="215E99" w:themeColor="text2" w:themeTint="BF"/>
                <w:spacing w:val="-2"/>
                <w:w w:val="105"/>
                <w:sz w:val="18"/>
                <w:szCs w:val="18"/>
              </w:rPr>
              <w:t>grondslag</w:t>
            </w:r>
            <w:proofErr w:type="spellEnd"/>
          </w:p>
          <w:p w:rsidRPr="0061391E" w:rsidR="002A020D" w:rsidP="009F48F2" w:rsidRDefault="002A020D" w14:paraId="6C3D5DD7" w14:textId="77777777">
            <w:pPr>
              <w:pStyle w:val="TableParagraph"/>
              <w:spacing w:before="0" w:line="205" w:lineRule="exact"/>
              <w:rPr>
                <w:b/>
                <w:bCs/>
                <w:color w:val="215E99" w:themeColor="text2" w:themeTint="BF"/>
                <w:sz w:val="18"/>
                <w:szCs w:val="18"/>
              </w:rPr>
            </w:pPr>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laatste</w:t>
            </w:r>
            <w:proofErr w:type="spellEnd"/>
          </w:p>
          <w:p w:rsidR="002A020D" w:rsidP="009F48F2" w:rsidRDefault="002A020D" w14:paraId="0945F76C" w14:textId="77777777">
            <w:pPr>
              <w:pStyle w:val="TableParagraph"/>
              <w:spacing w:before="2" w:line="181" w:lineRule="exact"/>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evaluatiejaar</w:t>
            </w:r>
            <w:proofErr w:type="spellEnd"/>
            <w:r w:rsidRPr="0061391E">
              <w:rPr>
                <w:b/>
                <w:bCs/>
                <w:color w:val="215E99" w:themeColor="text2" w:themeTint="BF"/>
                <w:spacing w:val="-2"/>
                <w:w w:val="105"/>
                <w:sz w:val="18"/>
                <w:szCs w:val="18"/>
              </w:rPr>
              <w:t>)</w:t>
            </w:r>
          </w:p>
          <w:p w:rsidRPr="0061391E" w:rsidR="002A020D" w:rsidP="009F48F2" w:rsidRDefault="002A020D" w14:paraId="5C319684" w14:textId="77777777">
            <w:pPr>
              <w:pStyle w:val="TableParagraph"/>
              <w:spacing w:before="2" w:line="181" w:lineRule="exact"/>
              <w:rPr>
                <w:b/>
                <w:bCs/>
                <w:color w:val="215E99" w:themeColor="text2" w:themeTint="BF"/>
                <w:sz w:val="18"/>
                <w:szCs w:val="18"/>
              </w:rPr>
            </w:pPr>
          </w:p>
        </w:tc>
      </w:tr>
      <w:tr w:rsidRPr="00AC268A" w:rsidR="002A020D" w:rsidTr="009F48F2" w14:paraId="4F72DF73" w14:textId="77777777">
        <w:trPr>
          <w:trHeight w:val="988"/>
        </w:trPr>
        <w:tc>
          <w:tcPr>
            <w:tcW w:w="1418" w:type="dxa"/>
            <w:shd w:val="clear" w:color="auto" w:fill="83CAEB" w:themeFill="accent1" w:themeFillTint="66"/>
          </w:tcPr>
          <w:p w:rsidR="002A020D" w:rsidP="009F48F2" w:rsidRDefault="002A020D" w14:paraId="0150D99D" w14:textId="52B7353B">
            <w:pPr>
              <w:pStyle w:val="TableParagraph"/>
              <w:spacing w:line="261" w:lineRule="auto"/>
              <w:ind w:left="101"/>
              <w:rPr>
                <w:color w:val="215E99" w:themeColor="text2" w:themeTint="BF"/>
                <w:spacing w:val="-2"/>
                <w:sz w:val="18"/>
                <w:szCs w:val="18"/>
                <w:lang w:val="nl-NL"/>
              </w:rPr>
            </w:pPr>
            <w:r>
              <w:rPr>
                <w:color w:val="215E99" w:themeColor="text2" w:themeTint="BF"/>
                <w:spacing w:val="-2"/>
                <w:sz w:val="18"/>
                <w:szCs w:val="18"/>
                <w:lang w:val="nl-NL"/>
              </w:rPr>
              <w:t xml:space="preserve">Periodieke rapportage </w:t>
            </w:r>
            <w:hyperlink w:history="1" r:id="rId16">
              <w:r w:rsidRPr="00E86674" w:rsidR="00E86674">
                <w:rPr>
                  <w:rStyle w:val="Hyperlink"/>
                  <w:spacing w:val="-2"/>
                  <w:sz w:val="18"/>
                  <w:szCs w:val="18"/>
                  <w:lang w:val="nl-NL"/>
                </w:rPr>
                <w:t>Vrede, Veiligheid en duurzame ontwikkeling</w:t>
              </w:r>
            </w:hyperlink>
            <w:r w:rsidR="00E86674">
              <w:rPr>
                <w:color w:val="215E99" w:themeColor="text2" w:themeTint="BF"/>
                <w:spacing w:val="-2"/>
                <w:sz w:val="18"/>
                <w:szCs w:val="18"/>
                <w:lang w:val="nl-NL"/>
              </w:rPr>
              <w:t>.</w:t>
            </w:r>
          </w:p>
          <w:p w:rsidRPr="00577500" w:rsidR="00E86674" w:rsidP="009F48F2" w:rsidRDefault="00E86674" w14:paraId="389B0945" w14:textId="365912AA">
            <w:pPr>
              <w:pStyle w:val="TableParagraph"/>
              <w:spacing w:line="261" w:lineRule="auto"/>
              <w:ind w:left="101"/>
              <w:rPr>
                <w:color w:val="215E99" w:themeColor="text2" w:themeTint="BF"/>
                <w:spacing w:val="-2"/>
                <w:sz w:val="18"/>
                <w:szCs w:val="18"/>
                <w:lang w:val="nl-NL"/>
              </w:rPr>
            </w:pPr>
          </w:p>
        </w:tc>
        <w:tc>
          <w:tcPr>
            <w:tcW w:w="1276" w:type="dxa"/>
            <w:shd w:val="clear" w:color="auto" w:fill="83CAEB" w:themeFill="accent1" w:themeFillTint="66"/>
          </w:tcPr>
          <w:p w:rsidRPr="00AC268A" w:rsidR="002A020D" w:rsidP="009F48F2" w:rsidRDefault="002A020D" w14:paraId="2EBF6CC4" w14:textId="42D182E9">
            <w:pPr>
              <w:pStyle w:val="TableParagraph"/>
              <w:spacing w:line="261" w:lineRule="auto"/>
              <w:ind w:left="101"/>
              <w:rPr>
                <w:color w:val="215E99" w:themeColor="text2" w:themeTint="BF"/>
                <w:sz w:val="18"/>
                <w:szCs w:val="18"/>
              </w:rPr>
            </w:pPr>
            <w:proofErr w:type="spellStart"/>
            <w:r w:rsidRPr="00AC268A">
              <w:rPr>
                <w:color w:val="215E99" w:themeColor="text2" w:themeTint="BF"/>
                <w:spacing w:val="-2"/>
                <w:sz w:val="18"/>
                <w:szCs w:val="18"/>
              </w:rPr>
              <w:t>Periodieke</w:t>
            </w:r>
            <w:proofErr w:type="spellEnd"/>
            <w:r w:rsidRPr="00AC268A">
              <w:rPr>
                <w:color w:val="215E99" w:themeColor="text2" w:themeTint="BF"/>
                <w:spacing w:val="-2"/>
                <w:sz w:val="18"/>
                <w:szCs w:val="18"/>
              </w:rPr>
              <w:t xml:space="preserve"> rapportage over </w:t>
            </w:r>
            <w:proofErr w:type="spellStart"/>
            <w:r w:rsidRPr="00AC268A">
              <w:rPr>
                <w:color w:val="215E99" w:themeColor="text2" w:themeTint="BF"/>
                <w:spacing w:val="-2"/>
                <w:sz w:val="18"/>
                <w:szCs w:val="18"/>
              </w:rPr>
              <w:t>periode</w:t>
            </w:r>
            <w:proofErr w:type="spellEnd"/>
            <w:r w:rsidRPr="00AC268A">
              <w:rPr>
                <w:color w:val="215E99" w:themeColor="text2" w:themeTint="BF"/>
                <w:spacing w:val="-2"/>
                <w:sz w:val="18"/>
                <w:szCs w:val="18"/>
              </w:rPr>
              <w:t xml:space="preserve"> </w:t>
            </w:r>
            <w:r w:rsidR="00F530AA">
              <w:rPr>
                <w:color w:val="215E99" w:themeColor="text2" w:themeTint="BF"/>
                <w:spacing w:val="-4"/>
                <w:w w:val="105"/>
                <w:sz w:val="18"/>
                <w:szCs w:val="18"/>
              </w:rPr>
              <w:t>2015</w:t>
            </w:r>
          </w:p>
          <w:p w:rsidR="002A020D" w:rsidP="009F48F2" w:rsidRDefault="002A020D" w14:paraId="65A33C9C" w14:textId="77777777">
            <w:pPr>
              <w:pStyle w:val="TableParagraph"/>
              <w:spacing w:before="0" w:line="205" w:lineRule="exact"/>
              <w:ind w:left="101"/>
              <w:rPr>
                <w:color w:val="215E99" w:themeColor="text2" w:themeTint="BF"/>
                <w:spacing w:val="-7"/>
                <w:w w:val="105"/>
                <w:sz w:val="18"/>
                <w:szCs w:val="18"/>
              </w:rPr>
            </w:pPr>
            <w:r w:rsidRPr="00AC268A">
              <w:rPr>
                <w:color w:val="215E99" w:themeColor="text2" w:themeTint="BF"/>
                <w:w w:val="105"/>
                <w:sz w:val="18"/>
                <w:szCs w:val="18"/>
              </w:rPr>
              <w:t>t/m</w:t>
            </w:r>
            <w:r w:rsidRPr="00AC268A">
              <w:rPr>
                <w:color w:val="215E99" w:themeColor="text2" w:themeTint="BF"/>
                <w:spacing w:val="-7"/>
                <w:w w:val="105"/>
                <w:sz w:val="18"/>
                <w:szCs w:val="18"/>
              </w:rPr>
              <w:t xml:space="preserve"> </w:t>
            </w:r>
            <w:r w:rsidR="00F530AA">
              <w:rPr>
                <w:color w:val="215E99" w:themeColor="text2" w:themeTint="BF"/>
                <w:spacing w:val="-7"/>
                <w:w w:val="105"/>
                <w:sz w:val="18"/>
                <w:szCs w:val="18"/>
              </w:rPr>
              <w:t>2023</w:t>
            </w:r>
          </w:p>
          <w:p w:rsidRPr="00AC268A" w:rsidR="00F530AA" w:rsidP="009F48F2" w:rsidRDefault="00F530AA" w14:paraId="00BC66BC" w14:textId="721DFAA9">
            <w:pPr>
              <w:pStyle w:val="TableParagraph"/>
              <w:spacing w:before="0" w:line="205" w:lineRule="exact"/>
              <w:ind w:left="101"/>
              <w:rPr>
                <w:color w:val="215E99" w:themeColor="text2" w:themeTint="BF"/>
                <w:sz w:val="18"/>
                <w:szCs w:val="18"/>
              </w:rPr>
            </w:pPr>
          </w:p>
        </w:tc>
        <w:tc>
          <w:tcPr>
            <w:tcW w:w="1559" w:type="dxa"/>
            <w:shd w:val="clear" w:color="auto" w:fill="83CAEB" w:themeFill="accent1" w:themeFillTint="66"/>
          </w:tcPr>
          <w:p w:rsidRPr="00AC268A" w:rsidR="002A020D" w:rsidP="009F48F2" w:rsidRDefault="002A020D" w14:paraId="56BDF15E" w14:textId="77777777">
            <w:pPr>
              <w:pStyle w:val="TableParagraph"/>
              <w:ind w:left="101"/>
              <w:rPr>
                <w:color w:val="215E99" w:themeColor="text2" w:themeTint="BF"/>
                <w:sz w:val="18"/>
                <w:szCs w:val="18"/>
              </w:rPr>
            </w:pPr>
            <w:r w:rsidRPr="00AC268A">
              <w:rPr>
                <w:color w:val="215E99" w:themeColor="text2" w:themeTint="BF"/>
                <w:spacing w:val="-4"/>
                <w:w w:val="105"/>
                <w:sz w:val="18"/>
                <w:szCs w:val="18"/>
              </w:rPr>
              <w:t>202</w:t>
            </w:r>
            <w:r>
              <w:rPr>
                <w:color w:val="215E99" w:themeColor="text2" w:themeTint="BF"/>
                <w:spacing w:val="-4"/>
                <w:w w:val="105"/>
                <w:sz w:val="18"/>
                <w:szCs w:val="18"/>
              </w:rPr>
              <w:t>5</w:t>
            </w:r>
          </w:p>
        </w:tc>
        <w:tc>
          <w:tcPr>
            <w:tcW w:w="1559" w:type="dxa"/>
            <w:shd w:val="clear" w:color="auto" w:fill="83CAEB" w:themeFill="accent1" w:themeFillTint="66"/>
          </w:tcPr>
          <w:p w:rsidRPr="00AC268A" w:rsidR="002A020D" w:rsidP="009F48F2" w:rsidRDefault="002A020D" w14:paraId="4FE19065" w14:textId="0096CEF0">
            <w:pPr>
              <w:pStyle w:val="TableParagraph"/>
              <w:ind w:left="101"/>
              <w:rPr>
                <w:color w:val="215E99" w:themeColor="text2" w:themeTint="BF"/>
                <w:sz w:val="18"/>
                <w:szCs w:val="18"/>
              </w:rPr>
            </w:pPr>
            <w:r w:rsidRPr="00AC268A">
              <w:rPr>
                <w:color w:val="215E99" w:themeColor="text2" w:themeTint="BF"/>
                <w:w w:val="105"/>
                <w:sz w:val="18"/>
                <w:szCs w:val="18"/>
              </w:rPr>
              <w:t>H17,</w:t>
            </w:r>
            <w:r w:rsidRPr="00AC268A">
              <w:rPr>
                <w:color w:val="215E99" w:themeColor="text2" w:themeTint="BF"/>
                <w:spacing w:val="-6"/>
                <w:w w:val="105"/>
                <w:sz w:val="18"/>
                <w:szCs w:val="18"/>
              </w:rPr>
              <w:t xml:space="preserve"> </w:t>
            </w:r>
            <w:r w:rsidRPr="00AC268A">
              <w:rPr>
                <w:color w:val="215E99" w:themeColor="text2" w:themeTint="BF"/>
                <w:w w:val="105"/>
                <w:sz w:val="18"/>
                <w:szCs w:val="18"/>
              </w:rPr>
              <w:t>Artikel</w:t>
            </w:r>
            <w:r w:rsidRPr="00AC268A">
              <w:rPr>
                <w:color w:val="215E99" w:themeColor="text2" w:themeTint="BF"/>
                <w:spacing w:val="-6"/>
                <w:w w:val="105"/>
                <w:sz w:val="18"/>
                <w:szCs w:val="18"/>
              </w:rPr>
              <w:t xml:space="preserve"> </w:t>
            </w:r>
            <w:r w:rsidR="00243DBB">
              <w:rPr>
                <w:color w:val="215E99" w:themeColor="text2" w:themeTint="BF"/>
                <w:spacing w:val="-6"/>
                <w:w w:val="105"/>
                <w:sz w:val="18"/>
                <w:szCs w:val="18"/>
              </w:rPr>
              <w:t>4</w:t>
            </w:r>
          </w:p>
        </w:tc>
        <w:tc>
          <w:tcPr>
            <w:tcW w:w="1701" w:type="dxa"/>
            <w:shd w:val="clear" w:color="auto" w:fill="83CAEB" w:themeFill="accent1" w:themeFillTint="66"/>
          </w:tcPr>
          <w:p w:rsidR="00E54BB2" w:rsidP="009F48F2" w:rsidRDefault="00E54BB2" w14:paraId="4F981D40" w14:textId="3D78661F">
            <w:pPr>
              <w:pStyle w:val="TableParagraph"/>
              <w:ind w:left="0"/>
              <w:rPr>
                <w:color w:val="215E99" w:themeColor="text2" w:themeTint="BF"/>
                <w:spacing w:val="-4"/>
                <w:w w:val="105"/>
                <w:sz w:val="18"/>
                <w:szCs w:val="18"/>
                <w:lang w:val="nl-NL"/>
              </w:rPr>
            </w:pPr>
            <w:r>
              <w:rPr>
                <w:color w:val="215E99" w:themeColor="text2" w:themeTint="BF"/>
                <w:spacing w:val="-4"/>
                <w:w w:val="105"/>
                <w:sz w:val="18"/>
                <w:szCs w:val="18"/>
                <w:lang w:val="nl-NL"/>
              </w:rPr>
              <w:t xml:space="preserve"> </w:t>
            </w:r>
            <w:r w:rsidRPr="00CB7266">
              <w:rPr>
                <w:color w:val="215E99" w:themeColor="text2" w:themeTint="BF"/>
                <w:w w:val="105"/>
                <w:sz w:val="18"/>
                <w:szCs w:val="18"/>
                <w:lang w:val="nl-NL"/>
              </w:rPr>
              <w:t>€</w:t>
            </w:r>
            <w:r>
              <w:rPr>
                <w:color w:val="215E99" w:themeColor="text2" w:themeTint="BF"/>
                <w:spacing w:val="-4"/>
                <w:w w:val="105"/>
                <w:sz w:val="18"/>
                <w:szCs w:val="18"/>
                <w:lang w:val="nl-NL"/>
              </w:rPr>
              <w:t xml:space="preserve">638 </w:t>
            </w:r>
            <w:proofErr w:type="spellStart"/>
            <w:r>
              <w:rPr>
                <w:color w:val="215E99" w:themeColor="text2" w:themeTint="BF"/>
                <w:spacing w:val="-4"/>
                <w:w w:val="105"/>
                <w:sz w:val="18"/>
                <w:szCs w:val="18"/>
                <w:lang w:val="nl-NL"/>
              </w:rPr>
              <w:t>mln</w:t>
            </w:r>
            <w:proofErr w:type="spellEnd"/>
            <w:r>
              <w:rPr>
                <w:color w:val="215E99" w:themeColor="text2" w:themeTint="BF"/>
                <w:spacing w:val="-4"/>
                <w:w w:val="105"/>
                <w:sz w:val="18"/>
                <w:szCs w:val="18"/>
                <w:lang w:val="nl-NL"/>
              </w:rPr>
              <w:t xml:space="preserve"> humanitaire hulp;</w:t>
            </w:r>
          </w:p>
          <w:p w:rsidR="00E54BB2" w:rsidP="009F48F2" w:rsidRDefault="00E54BB2" w14:paraId="4493308D" w14:textId="4ED85C9E">
            <w:pPr>
              <w:pStyle w:val="TableParagraph"/>
              <w:ind w:left="0"/>
              <w:rPr>
                <w:color w:val="215E99" w:themeColor="text2" w:themeTint="BF"/>
                <w:spacing w:val="-4"/>
                <w:w w:val="105"/>
                <w:sz w:val="18"/>
                <w:szCs w:val="18"/>
                <w:lang w:val="nl-NL"/>
              </w:rPr>
            </w:pPr>
            <w:r>
              <w:rPr>
                <w:color w:val="215E99" w:themeColor="text2" w:themeTint="BF"/>
                <w:spacing w:val="-4"/>
                <w:w w:val="105"/>
                <w:sz w:val="18"/>
                <w:szCs w:val="18"/>
                <w:lang w:val="nl-NL"/>
              </w:rPr>
              <w:t xml:space="preserve"> </w:t>
            </w:r>
            <w:r w:rsidRPr="00CB7266">
              <w:rPr>
                <w:color w:val="215E99" w:themeColor="text2" w:themeTint="BF"/>
                <w:w w:val="105"/>
                <w:sz w:val="18"/>
                <w:szCs w:val="18"/>
                <w:lang w:val="nl-NL"/>
              </w:rPr>
              <w:t>€</w:t>
            </w:r>
            <w:r>
              <w:rPr>
                <w:color w:val="215E99" w:themeColor="text2" w:themeTint="BF"/>
                <w:spacing w:val="-4"/>
                <w:w w:val="105"/>
                <w:sz w:val="18"/>
                <w:szCs w:val="18"/>
                <w:lang w:val="nl-NL"/>
              </w:rPr>
              <w:t xml:space="preserve">267 </w:t>
            </w:r>
            <w:proofErr w:type="spellStart"/>
            <w:r>
              <w:rPr>
                <w:color w:val="215E99" w:themeColor="text2" w:themeTint="BF"/>
                <w:spacing w:val="-4"/>
                <w:w w:val="105"/>
                <w:sz w:val="18"/>
                <w:szCs w:val="18"/>
                <w:lang w:val="nl-NL"/>
              </w:rPr>
              <w:t>mln</w:t>
            </w:r>
            <w:proofErr w:type="spellEnd"/>
            <w:r>
              <w:rPr>
                <w:color w:val="215E99" w:themeColor="text2" w:themeTint="BF"/>
                <w:spacing w:val="-4"/>
                <w:w w:val="105"/>
                <w:sz w:val="18"/>
                <w:szCs w:val="18"/>
                <w:lang w:val="nl-NL"/>
              </w:rPr>
              <w:t xml:space="preserve"> </w:t>
            </w:r>
            <w:r w:rsidRPr="00E54BB2">
              <w:rPr>
                <w:color w:val="215E99" w:themeColor="text2" w:themeTint="BF"/>
                <w:spacing w:val="-4"/>
                <w:w w:val="105"/>
                <w:sz w:val="18"/>
                <w:szCs w:val="18"/>
                <w:lang w:val="nl-NL"/>
              </w:rPr>
              <w:t>O</w:t>
            </w:r>
            <w:r w:rsidR="007B2C16">
              <w:rPr>
                <w:color w:val="215E99" w:themeColor="text2" w:themeTint="BF"/>
                <w:spacing w:val="-4"/>
                <w:w w:val="105"/>
                <w:sz w:val="18"/>
                <w:szCs w:val="18"/>
                <w:lang w:val="nl-NL"/>
              </w:rPr>
              <w:t>pvang in de regio</w:t>
            </w:r>
            <w:r w:rsidRPr="00E54BB2">
              <w:rPr>
                <w:color w:val="215E99" w:themeColor="text2" w:themeTint="BF"/>
                <w:spacing w:val="-4"/>
                <w:w w:val="105"/>
                <w:sz w:val="18"/>
                <w:szCs w:val="18"/>
                <w:lang w:val="nl-NL"/>
              </w:rPr>
              <w:t xml:space="preserve"> en migratiesamenwerking</w:t>
            </w:r>
            <w:r>
              <w:rPr>
                <w:color w:val="215E99" w:themeColor="text2" w:themeTint="BF"/>
                <w:spacing w:val="-4"/>
                <w:w w:val="105"/>
                <w:sz w:val="18"/>
                <w:szCs w:val="18"/>
                <w:lang w:val="nl-NL"/>
              </w:rPr>
              <w:t>;</w:t>
            </w:r>
          </w:p>
          <w:p w:rsidR="00E54BB2" w:rsidP="009F48F2" w:rsidRDefault="00E54BB2" w14:paraId="330AFE54" w14:textId="1D6907F0">
            <w:pPr>
              <w:pStyle w:val="TableParagraph"/>
              <w:ind w:left="0"/>
              <w:rPr>
                <w:color w:val="215E99" w:themeColor="text2" w:themeTint="BF"/>
                <w:spacing w:val="-4"/>
                <w:w w:val="105"/>
                <w:sz w:val="18"/>
                <w:szCs w:val="18"/>
                <w:lang w:val="nl-NL"/>
              </w:rPr>
            </w:pPr>
            <w:r>
              <w:rPr>
                <w:color w:val="215E99" w:themeColor="text2" w:themeTint="BF"/>
                <w:w w:val="105"/>
                <w:sz w:val="18"/>
                <w:szCs w:val="18"/>
                <w:lang w:val="nl-NL"/>
              </w:rPr>
              <w:t xml:space="preserve"> </w:t>
            </w:r>
            <w:r w:rsidRPr="00CB7266">
              <w:rPr>
                <w:color w:val="215E99" w:themeColor="text2" w:themeTint="BF"/>
                <w:w w:val="105"/>
                <w:sz w:val="18"/>
                <w:szCs w:val="18"/>
                <w:lang w:val="nl-NL"/>
              </w:rPr>
              <w:t>€</w:t>
            </w:r>
            <w:r>
              <w:rPr>
                <w:color w:val="215E99" w:themeColor="text2" w:themeTint="BF"/>
                <w:spacing w:val="-4"/>
                <w:w w:val="105"/>
                <w:sz w:val="18"/>
                <w:szCs w:val="18"/>
                <w:lang w:val="nl-NL"/>
              </w:rPr>
              <w:t xml:space="preserve">209 </w:t>
            </w:r>
            <w:proofErr w:type="spellStart"/>
            <w:r>
              <w:rPr>
                <w:color w:val="215E99" w:themeColor="text2" w:themeTint="BF"/>
                <w:spacing w:val="-4"/>
                <w:w w:val="105"/>
                <w:sz w:val="18"/>
                <w:szCs w:val="18"/>
                <w:lang w:val="nl-NL"/>
              </w:rPr>
              <w:t>mln</w:t>
            </w:r>
            <w:proofErr w:type="spellEnd"/>
            <w:r>
              <w:rPr>
                <w:color w:val="215E99" w:themeColor="text2" w:themeTint="BF"/>
                <w:spacing w:val="-4"/>
                <w:w w:val="105"/>
                <w:sz w:val="18"/>
                <w:szCs w:val="18"/>
                <w:lang w:val="nl-NL"/>
              </w:rPr>
              <w:t xml:space="preserve"> </w:t>
            </w:r>
            <w:r w:rsidRPr="00E54BB2">
              <w:rPr>
                <w:color w:val="215E99" w:themeColor="text2" w:themeTint="BF"/>
                <w:spacing w:val="-4"/>
                <w:w w:val="105"/>
                <w:sz w:val="18"/>
                <w:szCs w:val="18"/>
                <w:lang w:val="nl-NL"/>
              </w:rPr>
              <w:t>Veiligheid en Rechtsstaatontwik</w:t>
            </w:r>
            <w:r w:rsidRPr="00E54BB2">
              <w:rPr>
                <w:color w:val="215E99" w:themeColor="text2" w:themeTint="BF"/>
                <w:spacing w:val="-4"/>
                <w:w w:val="105"/>
                <w:sz w:val="18"/>
                <w:szCs w:val="18"/>
                <w:lang w:val="nl-NL"/>
              </w:rPr>
              <w:lastRenderedPageBreak/>
              <w:t>keling</w:t>
            </w:r>
            <w:r>
              <w:rPr>
                <w:color w:val="215E99" w:themeColor="text2" w:themeTint="BF"/>
                <w:spacing w:val="-4"/>
                <w:w w:val="105"/>
                <w:sz w:val="18"/>
                <w:szCs w:val="18"/>
                <w:lang w:val="nl-NL"/>
              </w:rPr>
              <w:t>.</w:t>
            </w:r>
          </w:p>
          <w:p w:rsidR="00E54BB2" w:rsidP="009F48F2" w:rsidRDefault="00E54BB2" w14:paraId="6BAAAA23" w14:textId="2ADACF0E">
            <w:pPr>
              <w:pStyle w:val="TableParagraph"/>
              <w:ind w:left="0"/>
              <w:rPr>
                <w:color w:val="215E99" w:themeColor="text2" w:themeTint="BF"/>
                <w:spacing w:val="-4"/>
                <w:w w:val="105"/>
                <w:sz w:val="18"/>
                <w:szCs w:val="18"/>
                <w:lang w:val="nl-NL"/>
              </w:rPr>
            </w:pPr>
            <w:r>
              <w:rPr>
                <w:color w:val="215E99" w:themeColor="text2" w:themeTint="BF"/>
                <w:spacing w:val="-4"/>
                <w:w w:val="105"/>
                <w:sz w:val="18"/>
                <w:szCs w:val="18"/>
                <w:lang w:val="nl-NL"/>
              </w:rPr>
              <w:t xml:space="preserve">Totaal: </w:t>
            </w:r>
            <w:r w:rsidRPr="00CB7266">
              <w:rPr>
                <w:color w:val="215E99" w:themeColor="text2" w:themeTint="BF"/>
                <w:w w:val="105"/>
                <w:sz w:val="18"/>
                <w:szCs w:val="18"/>
                <w:lang w:val="nl-NL"/>
              </w:rPr>
              <w:t>€</w:t>
            </w:r>
            <w:r>
              <w:rPr>
                <w:color w:val="215E99" w:themeColor="text2" w:themeTint="BF"/>
                <w:spacing w:val="-4"/>
                <w:w w:val="105"/>
                <w:sz w:val="18"/>
                <w:szCs w:val="18"/>
                <w:lang w:val="nl-NL"/>
              </w:rPr>
              <w:t>1</w:t>
            </w:r>
            <w:r w:rsidR="00F223BC">
              <w:rPr>
                <w:color w:val="215E99" w:themeColor="text2" w:themeTint="BF"/>
                <w:spacing w:val="-4"/>
                <w:w w:val="105"/>
                <w:sz w:val="18"/>
                <w:szCs w:val="18"/>
                <w:lang w:val="nl-NL"/>
              </w:rPr>
              <w:t>.</w:t>
            </w:r>
            <w:r>
              <w:rPr>
                <w:color w:val="215E99" w:themeColor="text2" w:themeTint="BF"/>
                <w:spacing w:val="-4"/>
                <w:w w:val="105"/>
                <w:sz w:val="18"/>
                <w:szCs w:val="18"/>
                <w:lang w:val="nl-NL"/>
              </w:rPr>
              <w:t xml:space="preserve">114 </w:t>
            </w:r>
            <w:proofErr w:type="spellStart"/>
            <w:r>
              <w:rPr>
                <w:color w:val="215E99" w:themeColor="text2" w:themeTint="BF"/>
                <w:spacing w:val="-4"/>
                <w:w w:val="105"/>
                <w:sz w:val="18"/>
                <w:szCs w:val="18"/>
                <w:lang w:val="nl-NL"/>
              </w:rPr>
              <w:t>m</w:t>
            </w:r>
            <w:r w:rsidR="00F223BC">
              <w:rPr>
                <w:color w:val="215E99" w:themeColor="text2" w:themeTint="BF"/>
                <w:spacing w:val="-4"/>
                <w:w w:val="105"/>
                <w:sz w:val="18"/>
                <w:szCs w:val="18"/>
                <w:lang w:val="nl-NL"/>
              </w:rPr>
              <w:t>ln</w:t>
            </w:r>
            <w:proofErr w:type="spellEnd"/>
          </w:p>
          <w:p w:rsidRPr="00CB7266" w:rsidR="00E54BB2" w:rsidP="009F48F2" w:rsidRDefault="00E54BB2" w14:paraId="71F0D5A3" w14:textId="77777777">
            <w:pPr>
              <w:pStyle w:val="TableParagraph"/>
              <w:ind w:left="0"/>
              <w:rPr>
                <w:color w:val="215E99" w:themeColor="text2" w:themeTint="BF"/>
                <w:sz w:val="18"/>
                <w:szCs w:val="18"/>
                <w:lang w:val="nl-NL"/>
              </w:rPr>
            </w:pPr>
          </w:p>
          <w:p w:rsidRPr="00E54BB2" w:rsidR="002A020D" w:rsidP="009F48F2" w:rsidRDefault="002A020D" w14:paraId="4BDE666A" w14:textId="77777777">
            <w:pPr>
              <w:pStyle w:val="TableParagraph"/>
              <w:rPr>
                <w:color w:val="215E99" w:themeColor="text2" w:themeTint="BF"/>
                <w:sz w:val="18"/>
                <w:szCs w:val="18"/>
                <w:lang w:val="nl-NL"/>
              </w:rPr>
            </w:pPr>
          </w:p>
          <w:p w:rsidRPr="00E54BB2" w:rsidR="002A020D" w:rsidP="009F48F2" w:rsidRDefault="002A020D" w14:paraId="2E0BC255" w14:textId="77777777">
            <w:pPr>
              <w:pStyle w:val="TableParagraph"/>
              <w:rPr>
                <w:color w:val="215E99" w:themeColor="text2" w:themeTint="BF"/>
                <w:spacing w:val="-4"/>
                <w:w w:val="105"/>
                <w:sz w:val="18"/>
                <w:szCs w:val="18"/>
                <w:lang w:val="nl-NL"/>
              </w:rPr>
            </w:pPr>
          </w:p>
          <w:p w:rsidRPr="00E54BB2" w:rsidR="002A020D" w:rsidP="009F48F2" w:rsidRDefault="002A020D" w14:paraId="142AF7D8" w14:textId="77777777">
            <w:pPr>
              <w:pStyle w:val="TableParagraph"/>
              <w:spacing w:before="18"/>
              <w:rPr>
                <w:color w:val="215E99" w:themeColor="text2" w:themeTint="BF"/>
                <w:sz w:val="18"/>
                <w:szCs w:val="18"/>
                <w:lang w:val="nl-NL"/>
              </w:rPr>
            </w:pPr>
          </w:p>
        </w:tc>
      </w:tr>
      <w:tr w:rsidRPr="00CB7266" w:rsidR="002A020D" w:rsidTr="009F48F2" w14:paraId="059FAE6A" w14:textId="77777777">
        <w:trPr>
          <w:trHeight w:val="748"/>
        </w:trPr>
        <w:tc>
          <w:tcPr>
            <w:tcW w:w="7513" w:type="dxa"/>
            <w:gridSpan w:val="5"/>
          </w:tcPr>
          <w:p w:rsidRPr="00CB7266" w:rsidR="002A020D" w:rsidP="009F48F2" w:rsidRDefault="002A020D" w14:paraId="04F331A5" w14:textId="4D9A8944">
            <w:pPr>
              <w:pStyle w:val="TableParagraph"/>
              <w:spacing w:line="259" w:lineRule="auto"/>
              <w:ind w:right="168"/>
              <w:rPr>
                <w:color w:val="215E99" w:themeColor="text2" w:themeTint="BF"/>
                <w:sz w:val="18"/>
                <w:szCs w:val="18"/>
                <w:lang w:val="nl-NL"/>
              </w:rPr>
            </w:pPr>
            <w:r w:rsidRPr="00CB7266">
              <w:rPr>
                <w:b/>
                <w:bCs/>
                <w:color w:val="215E99" w:themeColor="text2" w:themeTint="BF"/>
                <w:w w:val="105"/>
                <w:sz w:val="18"/>
                <w:szCs w:val="18"/>
                <w:lang w:val="nl-NL"/>
              </w:rPr>
              <w:lastRenderedPageBreak/>
              <w:t>Toelichting evaluatie:</w:t>
            </w:r>
            <w:r w:rsidRPr="00CB7266">
              <w:rPr>
                <w:w w:val="105"/>
                <w:sz w:val="18"/>
                <w:szCs w:val="18"/>
                <w:lang w:val="nl-NL"/>
              </w:rPr>
              <w:t xml:space="preserve"> </w:t>
            </w:r>
            <w:r w:rsidRPr="003D393C" w:rsidR="003D393C">
              <w:rPr>
                <w:color w:val="215E99" w:themeColor="text2" w:themeTint="BF"/>
                <w:w w:val="105"/>
                <w:sz w:val="18"/>
                <w:szCs w:val="18"/>
                <w:lang w:val="nl-NL"/>
              </w:rPr>
              <w:t>Tussen 2015 en 2023 richtte artikel 4 van de begroting voor Buitenlandse Handel en Ontwikkelingssamenwerking (BHOS) zich op vrede, veiligheid en duurzame ontwikkeling. Deze periodieke rapportage biedt inzicht in de (voorwaarden voor) doeltreffendheid en doelmatigheid van de beleidsinstrumenten en uitgaven.</w:t>
            </w:r>
          </w:p>
          <w:p w:rsidRPr="00CB7266" w:rsidR="002A020D" w:rsidP="009F48F2" w:rsidRDefault="002A020D" w14:paraId="00C44BE1" w14:textId="77777777">
            <w:pPr>
              <w:pStyle w:val="TableParagraph"/>
              <w:spacing w:line="259" w:lineRule="auto"/>
              <w:ind w:right="168"/>
              <w:rPr>
                <w:sz w:val="18"/>
                <w:szCs w:val="18"/>
                <w:lang w:val="nl-NL"/>
              </w:rPr>
            </w:pPr>
          </w:p>
        </w:tc>
      </w:tr>
      <w:tr w:rsidRPr="0061391E" w:rsidR="002A020D" w:rsidTr="009F48F2" w14:paraId="49062036" w14:textId="77777777">
        <w:trPr>
          <w:trHeight w:val="364"/>
        </w:trPr>
        <w:tc>
          <w:tcPr>
            <w:tcW w:w="4253" w:type="dxa"/>
            <w:gridSpan w:val="3"/>
          </w:tcPr>
          <w:p w:rsidRPr="0061391E" w:rsidR="002A020D" w:rsidP="009F48F2" w:rsidRDefault="002A020D" w14:paraId="59F2CA69" w14:textId="77777777">
            <w:pPr>
              <w:pStyle w:val="TableParagraph"/>
              <w:spacing w:before="19"/>
              <w:rPr>
                <w:b/>
                <w:bCs/>
                <w:iCs/>
                <w:color w:val="215E99" w:themeColor="text2" w:themeTint="BF"/>
                <w:sz w:val="18"/>
                <w:szCs w:val="18"/>
              </w:rPr>
            </w:pPr>
            <w:proofErr w:type="spellStart"/>
            <w:r w:rsidRPr="0061391E">
              <w:rPr>
                <w:b/>
                <w:bCs/>
                <w:iCs/>
                <w:color w:val="215E99" w:themeColor="text2" w:themeTint="BF"/>
                <w:spacing w:val="-2"/>
                <w:w w:val="105"/>
                <w:sz w:val="18"/>
                <w:szCs w:val="18"/>
              </w:rPr>
              <w:t>Aanbevelingen</w:t>
            </w:r>
            <w:proofErr w:type="spellEnd"/>
            <w:r w:rsidRPr="0061391E">
              <w:rPr>
                <w:b/>
                <w:bCs/>
                <w:iCs/>
                <w:color w:val="215E99" w:themeColor="text2" w:themeTint="BF"/>
                <w:spacing w:val="-2"/>
                <w:w w:val="105"/>
                <w:sz w:val="18"/>
                <w:szCs w:val="18"/>
              </w:rPr>
              <w:t>/</w:t>
            </w:r>
            <w:proofErr w:type="spellStart"/>
            <w:r w:rsidRPr="0061391E">
              <w:rPr>
                <w:b/>
                <w:bCs/>
                <w:iCs/>
                <w:color w:val="215E99" w:themeColor="text2" w:themeTint="BF"/>
                <w:spacing w:val="-2"/>
                <w:w w:val="105"/>
                <w:sz w:val="18"/>
                <w:szCs w:val="18"/>
              </w:rPr>
              <w:t>bevindingen</w:t>
            </w:r>
            <w:proofErr w:type="spellEnd"/>
            <w:r w:rsidRPr="0061391E">
              <w:rPr>
                <w:b/>
                <w:bCs/>
                <w:iCs/>
                <w:color w:val="215E99" w:themeColor="text2" w:themeTint="BF"/>
                <w:spacing w:val="-2"/>
                <w:w w:val="105"/>
                <w:sz w:val="18"/>
                <w:szCs w:val="18"/>
              </w:rPr>
              <w:t>:</w:t>
            </w:r>
          </w:p>
        </w:tc>
        <w:tc>
          <w:tcPr>
            <w:tcW w:w="3260" w:type="dxa"/>
            <w:gridSpan w:val="2"/>
          </w:tcPr>
          <w:p w:rsidRPr="0061391E" w:rsidR="002A020D" w:rsidP="009F48F2" w:rsidRDefault="002A020D" w14:paraId="524C026E" w14:textId="77777777">
            <w:pPr>
              <w:pStyle w:val="TableParagraph"/>
              <w:spacing w:before="19"/>
              <w:ind w:left="101"/>
              <w:rPr>
                <w:b/>
                <w:bCs/>
                <w:iCs/>
                <w:color w:val="215E99" w:themeColor="text2" w:themeTint="BF"/>
                <w:sz w:val="18"/>
                <w:szCs w:val="18"/>
              </w:rPr>
            </w:pPr>
            <w:proofErr w:type="spellStart"/>
            <w:r w:rsidRPr="0061391E">
              <w:rPr>
                <w:b/>
                <w:bCs/>
                <w:iCs/>
                <w:color w:val="215E99" w:themeColor="text2" w:themeTint="BF"/>
                <w:w w:val="105"/>
                <w:sz w:val="18"/>
                <w:szCs w:val="18"/>
              </w:rPr>
              <w:t>Toelichting</w:t>
            </w:r>
            <w:proofErr w:type="spellEnd"/>
            <w:r w:rsidRPr="0061391E">
              <w:rPr>
                <w:b/>
                <w:bCs/>
                <w:iCs/>
                <w:color w:val="215E99" w:themeColor="text2" w:themeTint="BF"/>
                <w:spacing w:val="-7"/>
                <w:w w:val="105"/>
                <w:sz w:val="18"/>
                <w:szCs w:val="18"/>
              </w:rPr>
              <w:t xml:space="preserve"> </w:t>
            </w:r>
            <w:r w:rsidRPr="0061391E">
              <w:rPr>
                <w:b/>
                <w:bCs/>
                <w:iCs/>
                <w:color w:val="215E99" w:themeColor="text2" w:themeTint="BF"/>
                <w:w w:val="105"/>
                <w:sz w:val="18"/>
                <w:szCs w:val="18"/>
              </w:rPr>
              <w:t>status</w:t>
            </w:r>
            <w:r w:rsidRPr="0061391E">
              <w:rPr>
                <w:b/>
                <w:bCs/>
                <w:iCs/>
                <w:color w:val="215E99" w:themeColor="text2" w:themeTint="BF"/>
                <w:spacing w:val="10"/>
                <w:w w:val="105"/>
                <w:sz w:val="18"/>
                <w:szCs w:val="18"/>
              </w:rPr>
              <w:t xml:space="preserve"> </w:t>
            </w:r>
            <w:proofErr w:type="spellStart"/>
            <w:r w:rsidRPr="0061391E">
              <w:rPr>
                <w:b/>
                <w:bCs/>
                <w:iCs/>
                <w:color w:val="215E99" w:themeColor="text2" w:themeTint="BF"/>
                <w:spacing w:val="-2"/>
                <w:w w:val="105"/>
                <w:sz w:val="18"/>
                <w:szCs w:val="18"/>
              </w:rPr>
              <w:t>opvolging</w:t>
            </w:r>
            <w:proofErr w:type="spellEnd"/>
            <w:r w:rsidRPr="0061391E">
              <w:rPr>
                <w:b/>
                <w:bCs/>
                <w:iCs/>
                <w:color w:val="215E99" w:themeColor="text2" w:themeTint="BF"/>
                <w:spacing w:val="-2"/>
                <w:w w:val="105"/>
                <w:sz w:val="18"/>
                <w:szCs w:val="18"/>
              </w:rPr>
              <w:t>:</w:t>
            </w:r>
          </w:p>
        </w:tc>
      </w:tr>
      <w:tr w:rsidRPr="00CB7266" w:rsidR="002A020D" w:rsidTr="009F48F2" w14:paraId="725AEDDE" w14:textId="77777777">
        <w:trPr>
          <w:trHeight w:val="2237"/>
        </w:trPr>
        <w:tc>
          <w:tcPr>
            <w:tcW w:w="4253" w:type="dxa"/>
            <w:gridSpan w:val="3"/>
          </w:tcPr>
          <w:p w:rsidRPr="00AB5E81" w:rsidR="002A020D" w:rsidP="00AB5E81" w:rsidRDefault="00AB5E81" w14:paraId="0B0E80D3" w14:textId="2B4B8F59">
            <w:pPr>
              <w:pStyle w:val="TableParagraph"/>
              <w:numPr>
                <w:ilvl w:val="0"/>
                <w:numId w:val="12"/>
              </w:numPr>
              <w:spacing w:before="19" w:line="268" w:lineRule="auto"/>
              <w:ind w:right="207"/>
              <w:rPr>
                <w:sz w:val="18"/>
                <w:szCs w:val="18"/>
                <w:lang w:val="nl-NL"/>
              </w:rPr>
            </w:pPr>
            <w:r w:rsidRPr="00AB5E81">
              <w:rPr>
                <w:sz w:val="18"/>
                <w:szCs w:val="18"/>
                <w:lang w:val="nl-NL"/>
              </w:rPr>
              <w:t>Het ministerie moet doorgaan met het verstrekken van voorspelbare,</w:t>
            </w:r>
            <w:r>
              <w:rPr>
                <w:sz w:val="18"/>
                <w:szCs w:val="18"/>
                <w:lang w:val="nl-NL"/>
              </w:rPr>
              <w:t xml:space="preserve"> </w:t>
            </w:r>
            <w:r w:rsidRPr="00AB5E81">
              <w:rPr>
                <w:sz w:val="18"/>
                <w:szCs w:val="18"/>
                <w:lang w:val="nl-NL"/>
              </w:rPr>
              <w:t xml:space="preserve">meerjarige en </w:t>
            </w:r>
            <w:proofErr w:type="spellStart"/>
            <w:r w:rsidRPr="00AB5E81">
              <w:rPr>
                <w:sz w:val="18"/>
                <w:szCs w:val="18"/>
                <w:lang w:val="nl-NL"/>
              </w:rPr>
              <w:t>ongeoormerkte</w:t>
            </w:r>
            <w:proofErr w:type="spellEnd"/>
            <w:r w:rsidRPr="00AB5E81">
              <w:rPr>
                <w:sz w:val="18"/>
                <w:szCs w:val="18"/>
                <w:lang w:val="nl-NL"/>
              </w:rPr>
              <w:t xml:space="preserve"> financiering aan humanitaire organis</w:t>
            </w:r>
            <w:r>
              <w:rPr>
                <w:sz w:val="18"/>
                <w:szCs w:val="18"/>
                <w:lang w:val="nl-NL"/>
              </w:rPr>
              <w:t>a</w:t>
            </w:r>
            <w:r w:rsidRPr="00AB5E81">
              <w:rPr>
                <w:sz w:val="18"/>
                <w:szCs w:val="18"/>
                <w:lang w:val="nl-NL"/>
              </w:rPr>
              <w:t>ties. Deze benadering is bewezen doeltreffend en doelmatig.</w:t>
            </w:r>
          </w:p>
        </w:tc>
        <w:tc>
          <w:tcPr>
            <w:tcW w:w="3260" w:type="dxa"/>
            <w:gridSpan w:val="2"/>
          </w:tcPr>
          <w:p w:rsidRPr="00BF3A22" w:rsidR="002A020D" w:rsidP="00BF3A22" w:rsidRDefault="00BF3A22" w14:paraId="4670E3E3" w14:textId="20525E77">
            <w:pPr>
              <w:pStyle w:val="TableParagraph"/>
              <w:spacing w:before="19"/>
              <w:ind w:left="101"/>
              <w:rPr>
                <w:w w:val="105"/>
                <w:sz w:val="18"/>
                <w:szCs w:val="18"/>
                <w:lang w:val="nl-NL"/>
              </w:rPr>
            </w:pPr>
            <w:r>
              <w:rPr>
                <w:w w:val="105"/>
                <w:sz w:val="18"/>
                <w:szCs w:val="18"/>
                <w:lang w:val="nl-NL"/>
              </w:rPr>
              <w:t>Onderhanden</w:t>
            </w:r>
            <w:r w:rsidR="00BF6D1D">
              <w:rPr>
                <w:w w:val="105"/>
                <w:sz w:val="18"/>
                <w:szCs w:val="18"/>
                <w:lang w:val="nl-NL"/>
              </w:rPr>
              <w:t>: h</w:t>
            </w:r>
            <w:r>
              <w:rPr>
                <w:w w:val="105"/>
                <w:sz w:val="18"/>
                <w:szCs w:val="18"/>
                <w:lang w:val="nl-NL"/>
              </w:rPr>
              <w:t>et kabinet blijft investeren en pleiten voor meerjarige, vrijwillige partnerschappen omdat daarmee de hulp zo tijdig en efficiënt mogelijk wordt geleverd. M</w:t>
            </w:r>
            <w:r w:rsidRPr="008E463D">
              <w:rPr>
                <w:w w:val="105"/>
                <w:sz w:val="18"/>
                <w:szCs w:val="18"/>
                <w:lang w:val="nl-NL"/>
              </w:rPr>
              <w:t>eer dan de helft van het budget voor humanitaire hulp w</w:t>
            </w:r>
            <w:r w:rsidR="00A83D35">
              <w:rPr>
                <w:w w:val="105"/>
                <w:sz w:val="18"/>
                <w:szCs w:val="18"/>
                <w:lang w:val="nl-NL"/>
              </w:rPr>
              <w:t>ordt</w:t>
            </w:r>
            <w:r w:rsidRPr="008E463D">
              <w:rPr>
                <w:w w:val="105"/>
                <w:sz w:val="18"/>
                <w:szCs w:val="18"/>
                <w:lang w:val="nl-NL"/>
              </w:rPr>
              <w:t xml:space="preserve"> verstrekt via voorspelbare, meerjarige en </w:t>
            </w:r>
            <w:proofErr w:type="spellStart"/>
            <w:r w:rsidRPr="008E463D">
              <w:rPr>
                <w:w w:val="105"/>
                <w:sz w:val="18"/>
                <w:szCs w:val="18"/>
                <w:lang w:val="nl-NL"/>
              </w:rPr>
              <w:t>ongeoormerkte</w:t>
            </w:r>
            <w:proofErr w:type="spellEnd"/>
            <w:r w:rsidRPr="008E463D">
              <w:rPr>
                <w:w w:val="105"/>
                <w:sz w:val="18"/>
                <w:szCs w:val="18"/>
                <w:lang w:val="nl-NL"/>
              </w:rPr>
              <w:t xml:space="preserve"> financiering aan humanitaire organisaties.</w:t>
            </w:r>
          </w:p>
          <w:p w:rsidRPr="00CB7266" w:rsidR="002A020D" w:rsidP="009F48F2" w:rsidRDefault="002A020D" w14:paraId="73E34F02" w14:textId="77777777">
            <w:pPr>
              <w:pStyle w:val="TableParagraph"/>
              <w:spacing w:before="19"/>
              <w:ind w:left="101"/>
              <w:rPr>
                <w:w w:val="105"/>
                <w:sz w:val="18"/>
                <w:szCs w:val="18"/>
                <w:lang w:val="nl-NL"/>
              </w:rPr>
            </w:pPr>
          </w:p>
        </w:tc>
      </w:tr>
      <w:tr w:rsidRPr="00CB7266" w:rsidR="002A020D" w:rsidTr="00B34888" w14:paraId="599AAED4" w14:textId="77777777">
        <w:trPr>
          <w:trHeight w:val="973"/>
        </w:trPr>
        <w:tc>
          <w:tcPr>
            <w:tcW w:w="4253" w:type="dxa"/>
            <w:gridSpan w:val="3"/>
          </w:tcPr>
          <w:p w:rsidRPr="00AB5E81" w:rsidR="00AB5E81" w:rsidP="00AB5E81" w:rsidRDefault="00AB5E81" w14:paraId="4F32BC93" w14:textId="511BBEA9">
            <w:pPr>
              <w:pStyle w:val="TableParagraph"/>
              <w:numPr>
                <w:ilvl w:val="0"/>
                <w:numId w:val="12"/>
              </w:numPr>
              <w:spacing w:before="19" w:line="268" w:lineRule="auto"/>
              <w:ind w:right="207"/>
              <w:rPr>
                <w:sz w:val="18"/>
                <w:szCs w:val="18"/>
                <w:lang w:val="nl-NL"/>
              </w:rPr>
            </w:pPr>
            <w:r w:rsidRPr="00AB5E81">
              <w:rPr>
                <w:sz w:val="18"/>
                <w:szCs w:val="18"/>
                <w:lang w:val="nl-NL"/>
              </w:rPr>
              <w:t>Nederland moet de vaak te ambitieuze overkoepelende beleidsdoelstellingen van het opereren in fragiele en door conflict getroffen</w:t>
            </w:r>
            <w:r>
              <w:rPr>
                <w:sz w:val="18"/>
                <w:szCs w:val="18"/>
                <w:lang w:val="nl-NL"/>
              </w:rPr>
              <w:t xml:space="preserve"> </w:t>
            </w:r>
            <w:r w:rsidRPr="00AB5E81">
              <w:rPr>
                <w:sz w:val="18"/>
                <w:szCs w:val="18"/>
                <w:lang w:val="nl-NL"/>
              </w:rPr>
              <w:t>gebieden heroverwegen. Daarnaast dienen de overkoepelende</w:t>
            </w:r>
            <w:r>
              <w:rPr>
                <w:sz w:val="18"/>
                <w:szCs w:val="18"/>
                <w:lang w:val="nl-NL"/>
              </w:rPr>
              <w:t xml:space="preserve"> </w:t>
            </w:r>
            <w:r w:rsidRPr="00AB5E81">
              <w:rPr>
                <w:sz w:val="18"/>
                <w:szCs w:val="18"/>
                <w:lang w:val="nl-NL"/>
              </w:rPr>
              <w:t xml:space="preserve">doelstellingen vertaald te worden naar concrete, realistische </w:t>
            </w:r>
            <w:proofErr w:type="spellStart"/>
            <w:r w:rsidRPr="00AB5E81">
              <w:rPr>
                <w:sz w:val="18"/>
                <w:szCs w:val="18"/>
                <w:lang w:val="nl-NL"/>
              </w:rPr>
              <w:t>landspecifieke</w:t>
            </w:r>
            <w:proofErr w:type="spellEnd"/>
            <w:r w:rsidRPr="00AB5E81">
              <w:rPr>
                <w:sz w:val="18"/>
                <w:szCs w:val="18"/>
                <w:lang w:val="nl-NL"/>
              </w:rPr>
              <w:t xml:space="preserve"> doelstellingen die binnen de Nederlandse invloedssfeer</w:t>
            </w:r>
          </w:p>
          <w:p w:rsidRPr="00AB5E81" w:rsidR="002A020D" w:rsidP="00AB5E81" w:rsidRDefault="00B44DBF" w14:paraId="25645E74" w14:textId="28E67ECC">
            <w:pPr>
              <w:pStyle w:val="TableParagraph"/>
              <w:spacing w:before="19" w:line="268" w:lineRule="auto"/>
              <w:ind w:left="478" w:right="207"/>
              <w:rPr>
                <w:sz w:val="18"/>
                <w:szCs w:val="18"/>
                <w:lang w:val="nl-NL"/>
              </w:rPr>
            </w:pPr>
            <w:r>
              <w:rPr>
                <w:sz w:val="18"/>
                <w:szCs w:val="18"/>
                <w:lang w:val="nl-NL"/>
              </w:rPr>
              <w:t>l</w:t>
            </w:r>
            <w:r w:rsidRPr="00AB5E81" w:rsidR="00AB5E81">
              <w:rPr>
                <w:sz w:val="18"/>
                <w:szCs w:val="18"/>
                <w:lang w:val="nl-NL"/>
              </w:rPr>
              <w:t>iggen</w:t>
            </w:r>
            <w:r w:rsidR="00AB5E81">
              <w:rPr>
                <w:sz w:val="18"/>
                <w:szCs w:val="18"/>
                <w:lang w:val="nl-NL"/>
              </w:rPr>
              <w:t>.</w:t>
            </w:r>
          </w:p>
          <w:p w:rsidRPr="00CB7266" w:rsidR="002A020D" w:rsidP="009F48F2" w:rsidRDefault="002A020D" w14:paraId="168844E9" w14:textId="77777777">
            <w:pPr>
              <w:pStyle w:val="TableParagraph"/>
              <w:spacing w:before="19" w:line="268" w:lineRule="auto"/>
              <w:ind w:left="839" w:right="207" w:hanging="353"/>
              <w:rPr>
                <w:b/>
                <w:w w:val="105"/>
                <w:sz w:val="18"/>
                <w:szCs w:val="18"/>
                <w:lang w:val="nl-NL"/>
              </w:rPr>
            </w:pPr>
          </w:p>
        </w:tc>
        <w:tc>
          <w:tcPr>
            <w:tcW w:w="3260" w:type="dxa"/>
            <w:gridSpan w:val="2"/>
          </w:tcPr>
          <w:p w:rsidR="008D251C" w:rsidP="00BF6D1D" w:rsidRDefault="008D251C" w14:paraId="3977D34A" w14:textId="24DC4776">
            <w:pPr>
              <w:pStyle w:val="TableParagraph"/>
              <w:spacing w:before="19"/>
              <w:ind w:left="101"/>
              <w:rPr>
                <w:w w:val="105"/>
                <w:sz w:val="18"/>
                <w:szCs w:val="18"/>
                <w:lang w:val="nl-NL"/>
              </w:rPr>
            </w:pPr>
            <w:r>
              <w:rPr>
                <w:w w:val="105"/>
                <w:sz w:val="18"/>
                <w:szCs w:val="18"/>
                <w:lang w:val="nl-NL"/>
              </w:rPr>
              <w:t>Onderhanden</w:t>
            </w:r>
            <w:r w:rsidR="00BF6D1D">
              <w:rPr>
                <w:w w:val="105"/>
                <w:sz w:val="18"/>
                <w:szCs w:val="18"/>
                <w:lang w:val="nl-NL"/>
              </w:rPr>
              <w:t>: c</w:t>
            </w:r>
            <w:r>
              <w:rPr>
                <w:w w:val="105"/>
                <w:sz w:val="18"/>
                <w:szCs w:val="18"/>
                <w:lang w:val="nl-NL"/>
              </w:rPr>
              <w:t>onform de beleidsbrie</w:t>
            </w:r>
            <w:r w:rsidR="005F0A33">
              <w:rPr>
                <w:w w:val="105"/>
                <w:sz w:val="18"/>
                <w:szCs w:val="18"/>
                <w:lang w:val="nl-NL"/>
              </w:rPr>
              <w:t>ven</w:t>
            </w:r>
            <w:r>
              <w:rPr>
                <w:w w:val="105"/>
                <w:sz w:val="18"/>
                <w:szCs w:val="18"/>
                <w:lang w:val="nl-NL"/>
              </w:rPr>
              <w:t xml:space="preserve"> </w:t>
            </w:r>
            <w:r w:rsidR="005F0A33">
              <w:rPr>
                <w:w w:val="105"/>
                <w:sz w:val="18"/>
                <w:szCs w:val="18"/>
                <w:lang w:val="nl-NL"/>
              </w:rPr>
              <w:t>(</w:t>
            </w:r>
            <w:r w:rsidRPr="00CB7266" w:rsidR="00C1729B">
              <w:rPr>
                <w:w w:val="105"/>
                <w:sz w:val="18"/>
                <w:szCs w:val="18"/>
                <w:lang w:val="nl-NL"/>
              </w:rPr>
              <w:t>beleidsbrief Ontwikkelingshulp (Kamerstuk 36180, nr. 133)</w:t>
            </w:r>
            <w:r w:rsidR="00C1729B">
              <w:rPr>
                <w:w w:val="105"/>
                <w:sz w:val="18"/>
                <w:szCs w:val="18"/>
                <w:lang w:val="nl-NL"/>
              </w:rPr>
              <w:t xml:space="preserve"> en </w:t>
            </w:r>
            <w:r w:rsidRPr="00CB7266" w:rsidR="005F0A33">
              <w:rPr>
                <w:w w:val="105"/>
                <w:sz w:val="18"/>
                <w:szCs w:val="18"/>
                <w:lang w:val="nl-NL"/>
              </w:rPr>
              <w:t xml:space="preserve">beleidsbrief </w:t>
            </w:r>
            <w:r w:rsidR="005F0A33">
              <w:rPr>
                <w:w w:val="105"/>
                <w:sz w:val="18"/>
                <w:szCs w:val="18"/>
                <w:lang w:val="nl-NL"/>
              </w:rPr>
              <w:t>Buitenlandse Zaken 2026</w:t>
            </w:r>
            <w:r w:rsidRPr="00CB7266" w:rsidR="005F0A33">
              <w:rPr>
                <w:w w:val="105"/>
                <w:sz w:val="18"/>
                <w:szCs w:val="18"/>
                <w:lang w:val="nl-NL"/>
              </w:rPr>
              <w:t xml:space="preserve"> (Kamerstuk 36</w:t>
            </w:r>
            <w:r w:rsidR="005F0A33">
              <w:rPr>
                <w:w w:val="105"/>
                <w:sz w:val="18"/>
                <w:szCs w:val="18"/>
                <w:lang w:val="nl-NL"/>
              </w:rPr>
              <w:t>800</w:t>
            </w:r>
            <w:r w:rsidR="00F3434D">
              <w:rPr>
                <w:w w:val="105"/>
                <w:sz w:val="18"/>
                <w:szCs w:val="18"/>
                <w:lang w:val="nl-NL"/>
              </w:rPr>
              <w:t>,</w:t>
            </w:r>
            <w:r w:rsidRPr="00CB7266" w:rsidR="005F0A33">
              <w:rPr>
                <w:w w:val="105"/>
                <w:sz w:val="18"/>
                <w:szCs w:val="18"/>
                <w:lang w:val="nl-NL"/>
              </w:rPr>
              <w:t xml:space="preserve"> nr. 1</w:t>
            </w:r>
            <w:r w:rsidR="005F0A33">
              <w:rPr>
                <w:w w:val="105"/>
                <w:sz w:val="18"/>
                <w:szCs w:val="18"/>
                <w:lang w:val="nl-NL"/>
              </w:rPr>
              <w:t>03</w:t>
            </w:r>
            <w:r w:rsidRPr="00CB7266" w:rsidR="005F0A33">
              <w:rPr>
                <w:w w:val="105"/>
                <w:sz w:val="18"/>
                <w:szCs w:val="18"/>
                <w:lang w:val="nl-NL"/>
              </w:rPr>
              <w:t>)</w:t>
            </w:r>
            <w:r w:rsidR="005F0A33">
              <w:rPr>
                <w:w w:val="105"/>
                <w:sz w:val="18"/>
                <w:szCs w:val="18"/>
                <w:lang w:val="nl-NL"/>
              </w:rPr>
              <w:t xml:space="preserve">) </w:t>
            </w:r>
            <w:r>
              <w:rPr>
                <w:w w:val="105"/>
                <w:sz w:val="18"/>
                <w:szCs w:val="18"/>
                <w:lang w:val="nl-NL"/>
              </w:rPr>
              <w:t xml:space="preserve">en de </w:t>
            </w:r>
            <w:r w:rsidR="009657B9">
              <w:rPr>
                <w:w w:val="105"/>
                <w:sz w:val="18"/>
                <w:szCs w:val="18"/>
                <w:lang w:val="nl-NL"/>
              </w:rPr>
              <w:t xml:space="preserve">IOB </w:t>
            </w:r>
            <w:r>
              <w:rPr>
                <w:w w:val="105"/>
                <w:sz w:val="18"/>
                <w:szCs w:val="18"/>
                <w:lang w:val="nl-NL"/>
              </w:rPr>
              <w:t>evaluatie heeft het kabinet het beleid o</w:t>
            </w:r>
            <w:r w:rsidRPr="007A4B0A">
              <w:rPr>
                <w:w w:val="105"/>
                <w:sz w:val="18"/>
                <w:szCs w:val="18"/>
                <w:lang w:val="nl-NL"/>
              </w:rPr>
              <w:t xml:space="preserve">p het gebied van veiligheid en stabiliteit </w:t>
            </w:r>
            <w:r>
              <w:rPr>
                <w:w w:val="105"/>
                <w:sz w:val="18"/>
                <w:szCs w:val="18"/>
                <w:lang w:val="nl-NL"/>
              </w:rPr>
              <w:t>meer gefocust op</w:t>
            </w:r>
            <w:r w:rsidRPr="007A4B0A">
              <w:rPr>
                <w:w w:val="105"/>
                <w:sz w:val="18"/>
                <w:szCs w:val="18"/>
                <w:lang w:val="nl-NL"/>
              </w:rPr>
              <w:t xml:space="preserve"> landen die belangrijk zijn voor Nederland. </w:t>
            </w:r>
          </w:p>
          <w:p w:rsidR="008D251C" w:rsidP="00BF6D1D" w:rsidRDefault="008D251C" w14:paraId="003FE973" w14:textId="0499E459">
            <w:pPr>
              <w:pStyle w:val="TableParagraph"/>
              <w:spacing w:before="19"/>
              <w:ind w:left="101"/>
              <w:rPr>
                <w:w w:val="105"/>
                <w:sz w:val="18"/>
                <w:szCs w:val="18"/>
                <w:lang w:val="nl-NL"/>
              </w:rPr>
            </w:pPr>
            <w:r>
              <w:rPr>
                <w:w w:val="105"/>
                <w:sz w:val="18"/>
                <w:szCs w:val="18"/>
                <w:lang w:val="nl-NL"/>
              </w:rPr>
              <w:t>We</w:t>
            </w:r>
            <w:r w:rsidRPr="007A4B0A">
              <w:rPr>
                <w:w w:val="105"/>
                <w:sz w:val="18"/>
                <w:szCs w:val="18"/>
                <w:lang w:val="nl-NL"/>
              </w:rPr>
              <w:t xml:space="preserve"> werken </w:t>
            </w:r>
            <w:r>
              <w:rPr>
                <w:w w:val="105"/>
                <w:sz w:val="18"/>
                <w:szCs w:val="18"/>
                <w:lang w:val="nl-NL"/>
              </w:rPr>
              <w:t xml:space="preserve">momenteel </w:t>
            </w:r>
            <w:r w:rsidRPr="007A4B0A">
              <w:rPr>
                <w:w w:val="105"/>
                <w:sz w:val="18"/>
                <w:szCs w:val="18"/>
                <w:lang w:val="nl-NL"/>
              </w:rPr>
              <w:t>in drie nabuurregio’s</w:t>
            </w:r>
            <w:r>
              <w:rPr>
                <w:w w:val="105"/>
                <w:sz w:val="18"/>
                <w:szCs w:val="18"/>
                <w:lang w:val="nl-NL"/>
              </w:rPr>
              <w:t>, zijnde</w:t>
            </w:r>
            <w:r w:rsidRPr="007A4B0A">
              <w:rPr>
                <w:w w:val="105"/>
                <w:sz w:val="18"/>
                <w:szCs w:val="18"/>
                <w:lang w:val="nl-NL"/>
              </w:rPr>
              <w:t xml:space="preserve"> West-Afrika (</w:t>
            </w:r>
            <w:r>
              <w:rPr>
                <w:w w:val="105"/>
                <w:sz w:val="18"/>
                <w:szCs w:val="18"/>
                <w:lang w:val="nl-NL"/>
              </w:rPr>
              <w:t>inclusief</w:t>
            </w:r>
            <w:r w:rsidRPr="007A4B0A">
              <w:rPr>
                <w:w w:val="105"/>
                <w:sz w:val="18"/>
                <w:szCs w:val="18"/>
                <w:lang w:val="nl-NL"/>
              </w:rPr>
              <w:t xml:space="preserve"> de </w:t>
            </w:r>
            <w:proofErr w:type="spellStart"/>
            <w:r w:rsidRPr="007A4B0A">
              <w:rPr>
                <w:w w:val="105"/>
                <w:sz w:val="18"/>
                <w:szCs w:val="18"/>
                <w:lang w:val="nl-NL"/>
              </w:rPr>
              <w:t>Sahel</w:t>
            </w:r>
            <w:proofErr w:type="spellEnd"/>
            <w:r w:rsidRPr="007A4B0A">
              <w:rPr>
                <w:w w:val="105"/>
                <w:sz w:val="18"/>
                <w:szCs w:val="18"/>
                <w:lang w:val="nl-NL"/>
              </w:rPr>
              <w:t>)</w:t>
            </w:r>
            <w:r>
              <w:rPr>
                <w:w w:val="105"/>
                <w:sz w:val="18"/>
                <w:szCs w:val="18"/>
                <w:lang w:val="nl-NL"/>
              </w:rPr>
              <w:t xml:space="preserve">; </w:t>
            </w:r>
            <w:r w:rsidRPr="007A4B0A">
              <w:rPr>
                <w:w w:val="105"/>
                <w:sz w:val="18"/>
                <w:szCs w:val="18"/>
                <w:lang w:val="nl-NL"/>
              </w:rPr>
              <w:t xml:space="preserve">de Hoorn van Afrika </w:t>
            </w:r>
            <w:r>
              <w:rPr>
                <w:w w:val="105"/>
                <w:sz w:val="18"/>
                <w:szCs w:val="18"/>
                <w:lang w:val="nl-NL"/>
              </w:rPr>
              <w:t xml:space="preserve">en </w:t>
            </w:r>
            <w:r w:rsidRPr="007A4B0A">
              <w:rPr>
                <w:w w:val="105"/>
                <w:sz w:val="18"/>
                <w:szCs w:val="18"/>
                <w:lang w:val="nl-NL"/>
              </w:rPr>
              <w:t>het Midden-Oosten en Noord-Afrika (de MENA-regio)</w:t>
            </w:r>
            <w:r>
              <w:rPr>
                <w:w w:val="105"/>
                <w:sz w:val="18"/>
                <w:szCs w:val="18"/>
                <w:lang w:val="nl-NL"/>
              </w:rPr>
              <w:t xml:space="preserve">. Er zijn overkoepelende doelstellingen voor deze regio’s opgesteld, die zijn vertaald in meerjarige </w:t>
            </w:r>
            <w:r w:rsidR="006117F6">
              <w:rPr>
                <w:w w:val="105"/>
                <w:sz w:val="18"/>
                <w:szCs w:val="18"/>
                <w:lang w:val="nl-NL"/>
              </w:rPr>
              <w:t>landenstrategieën</w:t>
            </w:r>
            <w:r>
              <w:rPr>
                <w:w w:val="105"/>
                <w:sz w:val="18"/>
                <w:szCs w:val="18"/>
                <w:lang w:val="nl-NL"/>
              </w:rPr>
              <w:t xml:space="preserve">. </w:t>
            </w:r>
          </w:p>
          <w:p w:rsidRPr="008D251C" w:rsidR="002A020D" w:rsidP="008D251C" w:rsidRDefault="008D251C" w14:paraId="04C85E0A" w14:textId="73E4891E">
            <w:pPr>
              <w:pStyle w:val="TableParagraph"/>
              <w:spacing w:before="19"/>
              <w:ind w:left="101"/>
              <w:rPr>
                <w:w w:val="105"/>
                <w:sz w:val="18"/>
                <w:szCs w:val="18"/>
                <w:lang w:val="nl-NL"/>
              </w:rPr>
            </w:pPr>
            <w:r w:rsidRPr="00010A32">
              <w:rPr>
                <w:w w:val="105"/>
                <w:sz w:val="18"/>
                <w:szCs w:val="18"/>
                <w:lang w:val="nl-NL"/>
              </w:rPr>
              <w:t>Er is hierbij goed gekeken naar de toegevoegde waarde en aansluiting op de inzet van andere donoren</w:t>
            </w:r>
            <w:r w:rsidR="006117F6">
              <w:rPr>
                <w:w w:val="105"/>
                <w:sz w:val="18"/>
                <w:szCs w:val="18"/>
                <w:lang w:val="nl-NL"/>
              </w:rPr>
              <w:t>.</w:t>
            </w:r>
          </w:p>
          <w:p w:rsidRPr="00CB7266" w:rsidR="002A020D" w:rsidP="009F48F2" w:rsidRDefault="002A020D" w14:paraId="15CC4C60" w14:textId="77777777">
            <w:pPr>
              <w:pStyle w:val="TableParagraph"/>
              <w:spacing w:before="19"/>
              <w:ind w:left="101"/>
              <w:rPr>
                <w:w w:val="105"/>
                <w:sz w:val="18"/>
                <w:szCs w:val="18"/>
                <w:lang w:val="nl-NL"/>
              </w:rPr>
            </w:pPr>
          </w:p>
        </w:tc>
      </w:tr>
      <w:tr w:rsidRPr="00CB7266" w:rsidR="002A020D" w:rsidTr="009F48F2" w14:paraId="0EB44DD5" w14:textId="77777777">
        <w:trPr>
          <w:trHeight w:val="2237"/>
        </w:trPr>
        <w:tc>
          <w:tcPr>
            <w:tcW w:w="4253" w:type="dxa"/>
            <w:gridSpan w:val="3"/>
          </w:tcPr>
          <w:p w:rsidRPr="00AB5E81" w:rsidR="002A020D" w:rsidP="00AB5E81" w:rsidRDefault="00AB5E81" w14:paraId="1E31DE73" w14:textId="36B2BAA7">
            <w:pPr>
              <w:pStyle w:val="TableParagraph"/>
              <w:numPr>
                <w:ilvl w:val="0"/>
                <w:numId w:val="12"/>
              </w:numPr>
              <w:spacing w:before="19" w:line="268" w:lineRule="auto"/>
              <w:ind w:right="207"/>
              <w:rPr>
                <w:sz w:val="18"/>
                <w:szCs w:val="18"/>
                <w:lang w:val="nl-NL"/>
              </w:rPr>
            </w:pPr>
            <w:r w:rsidRPr="00AB5E81">
              <w:rPr>
                <w:sz w:val="18"/>
                <w:szCs w:val="18"/>
                <w:lang w:val="nl-NL"/>
              </w:rPr>
              <w:lastRenderedPageBreak/>
              <w:t>De coherentie van het BHO</w:t>
            </w:r>
            <w:r w:rsidR="009011E3">
              <w:rPr>
                <w:sz w:val="18"/>
                <w:szCs w:val="18"/>
                <w:lang w:val="nl-NL"/>
              </w:rPr>
              <w:t>S</w:t>
            </w:r>
            <w:r w:rsidRPr="00AB5E81">
              <w:rPr>
                <w:sz w:val="18"/>
                <w:szCs w:val="18"/>
                <w:lang w:val="nl-NL"/>
              </w:rPr>
              <w:t>-artikel 4 beleid moet worden verbeterd en</w:t>
            </w:r>
            <w:r>
              <w:rPr>
                <w:sz w:val="18"/>
                <w:szCs w:val="18"/>
                <w:lang w:val="nl-NL"/>
              </w:rPr>
              <w:t xml:space="preserve"> </w:t>
            </w:r>
            <w:r w:rsidRPr="00AB5E81">
              <w:rPr>
                <w:sz w:val="18"/>
                <w:szCs w:val="18"/>
                <w:lang w:val="nl-NL"/>
              </w:rPr>
              <w:t>het ministerie moet doorgaan met het adresseren van fragmentatie.</w:t>
            </w:r>
          </w:p>
        </w:tc>
        <w:tc>
          <w:tcPr>
            <w:tcW w:w="3260" w:type="dxa"/>
            <w:gridSpan w:val="2"/>
          </w:tcPr>
          <w:p w:rsidR="00BF6D1D" w:rsidP="009F6A38" w:rsidRDefault="00BF6D1D" w14:paraId="3CF1F40B" w14:textId="35D16C78">
            <w:pPr>
              <w:pStyle w:val="TableParagraph"/>
              <w:spacing w:before="19"/>
              <w:ind w:left="101"/>
              <w:rPr>
                <w:w w:val="105"/>
                <w:sz w:val="18"/>
                <w:szCs w:val="18"/>
                <w:lang w:val="nl-NL"/>
              </w:rPr>
            </w:pPr>
            <w:r>
              <w:rPr>
                <w:w w:val="105"/>
                <w:sz w:val="18"/>
                <w:szCs w:val="18"/>
                <w:lang w:val="nl-NL"/>
              </w:rPr>
              <w:t>Onderhanden:</w:t>
            </w:r>
            <w:r w:rsidR="00694D49">
              <w:rPr>
                <w:w w:val="105"/>
                <w:sz w:val="18"/>
                <w:szCs w:val="18"/>
                <w:lang w:val="nl-NL"/>
              </w:rPr>
              <w:t xml:space="preserve"> </w:t>
            </w:r>
            <w:r>
              <w:rPr>
                <w:w w:val="105"/>
                <w:sz w:val="18"/>
                <w:szCs w:val="18"/>
                <w:lang w:val="nl-NL"/>
              </w:rPr>
              <w:t xml:space="preserve">om fragmentatie tegen te gaan is het totaal aantal activiteiten in fragiele landen sterk teruggedrongen en wordt nog verder gecentraliseerd. </w:t>
            </w:r>
          </w:p>
          <w:p w:rsidR="00BF6D1D" w:rsidP="009F6A38" w:rsidRDefault="00BF6D1D" w14:paraId="1CCC6166" w14:textId="6C185507">
            <w:pPr>
              <w:pStyle w:val="TableParagraph"/>
              <w:spacing w:before="19"/>
              <w:ind w:left="101"/>
              <w:rPr>
                <w:w w:val="105"/>
                <w:sz w:val="18"/>
                <w:szCs w:val="18"/>
                <w:lang w:val="nl-NL"/>
              </w:rPr>
            </w:pPr>
            <w:r w:rsidRPr="00010A32">
              <w:rPr>
                <w:w w:val="105"/>
                <w:sz w:val="18"/>
                <w:szCs w:val="18"/>
                <w:lang w:val="nl-NL"/>
              </w:rPr>
              <w:t>Om de</w:t>
            </w:r>
            <w:r w:rsidR="009830A8">
              <w:rPr>
                <w:w w:val="105"/>
                <w:sz w:val="18"/>
                <w:szCs w:val="18"/>
                <w:lang w:val="nl-NL"/>
              </w:rPr>
              <w:t xml:space="preserve"> </w:t>
            </w:r>
            <w:r w:rsidRPr="00010A32">
              <w:rPr>
                <w:w w:val="105"/>
                <w:sz w:val="18"/>
                <w:szCs w:val="18"/>
                <w:lang w:val="nl-NL"/>
              </w:rPr>
              <w:t>coherentie</w:t>
            </w:r>
            <w:r>
              <w:rPr>
                <w:w w:val="105"/>
                <w:sz w:val="18"/>
                <w:szCs w:val="18"/>
                <w:lang w:val="nl-NL"/>
              </w:rPr>
              <w:t xml:space="preserve"> te verbeteren zijn nieuwe </w:t>
            </w:r>
            <w:r w:rsidR="00E329D8">
              <w:rPr>
                <w:w w:val="105"/>
                <w:sz w:val="18"/>
                <w:szCs w:val="18"/>
                <w:lang w:val="nl-NL"/>
              </w:rPr>
              <w:t>beleidstheorieën</w:t>
            </w:r>
            <w:r>
              <w:rPr>
                <w:w w:val="105"/>
                <w:sz w:val="18"/>
                <w:szCs w:val="18"/>
                <w:lang w:val="nl-NL"/>
              </w:rPr>
              <w:t xml:space="preserve">  en een aansluitend resultatenkader opgesteld. </w:t>
            </w:r>
          </w:p>
          <w:p w:rsidR="00BF6D1D" w:rsidP="009F6A38" w:rsidRDefault="00BF6D1D" w14:paraId="7F5233D4" w14:textId="726B32BE">
            <w:pPr>
              <w:pStyle w:val="TableParagraph"/>
              <w:spacing w:before="19"/>
              <w:ind w:left="101"/>
              <w:rPr>
                <w:w w:val="105"/>
                <w:sz w:val="18"/>
                <w:szCs w:val="18"/>
                <w:lang w:val="nl-NL"/>
              </w:rPr>
            </w:pPr>
            <w:r>
              <w:rPr>
                <w:w w:val="105"/>
                <w:sz w:val="18"/>
                <w:szCs w:val="18"/>
                <w:lang w:val="nl-NL"/>
              </w:rPr>
              <w:t xml:space="preserve">De resultaten hierin zijn zo geformuleerd dat we beter kunnen inspelen op lokale, steeds veranderde contexten. </w:t>
            </w:r>
          </w:p>
          <w:p w:rsidR="002A020D" w:rsidP="009F6A38" w:rsidRDefault="00BF6D1D" w14:paraId="13E0FF5B" w14:textId="1ED9DF3C">
            <w:pPr>
              <w:pStyle w:val="TableParagraph"/>
              <w:spacing w:before="19"/>
              <w:ind w:left="101"/>
              <w:rPr>
                <w:w w:val="105"/>
                <w:sz w:val="18"/>
                <w:szCs w:val="18"/>
                <w:lang w:val="nl-NL"/>
              </w:rPr>
            </w:pPr>
            <w:r>
              <w:rPr>
                <w:w w:val="105"/>
                <w:sz w:val="18"/>
                <w:szCs w:val="18"/>
                <w:lang w:val="nl-NL"/>
              </w:rPr>
              <w:t>Ook vindt regulier overleg met andere departementen plaats om de OS-inzet in fragiele landen beter af te stemmen op bijvoorbeeld de inzet van de ministeries van Defensie en V&amp;J.</w:t>
            </w:r>
          </w:p>
          <w:p w:rsidRPr="00CB7266" w:rsidR="00BF6D1D" w:rsidP="00BF6D1D" w:rsidRDefault="00BF6D1D" w14:paraId="7A2F96AC" w14:textId="1586893B">
            <w:pPr>
              <w:pStyle w:val="TableParagraph"/>
              <w:spacing w:before="19"/>
              <w:ind w:left="0"/>
              <w:rPr>
                <w:w w:val="105"/>
                <w:sz w:val="18"/>
                <w:szCs w:val="18"/>
                <w:lang w:val="nl-NL"/>
              </w:rPr>
            </w:pPr>
          </w:p>
        </w:tc>
      </w:tr>
      <w:tr w:rsidRPr="00AC268A" w:rsidR="002A020D" w:rsidTr="009F48F2" w14:paraId="43AD85E6" w14:textId="77777777">
        <w:trPr>
          <w:trHeight w:val="2237"/>
        </w:trPr>
        <w:tc>
          <w:tcPr>
            <w:tcW w:w="4253" w:type="dxa"/>
            <w:gridSpan w:val="3"/>
          </w:tcPr>
          <w:p w:rsidRPr="009F6A38" w:rsidR="002A020D" w:rsidP="009F6A38" w:rsidRDefault="00AB5E81" w14:paraId="361A95E8" w14:textId="6DC385E8">
            <w:pPr>
              <w:pStyle w:val="TableParagraph"/>
              <w:spacing w:before="19"/>
              <w:ind w:left="101"/>
              <w:rPr>
                <w:w w:val="105"/>
                <w:sz w:val="18"/>
                <w:szCs w:val="18"/>
                <w:lang w:val="nl-NL"/>
              </w:rPr>
            </w:pPr>
            <w:r w:rsidRPr="009F6A38">
              <w:rPr>
                <w:w w:val="105"/>
                <w:sz w:val="18"/>
                <w:szCs w:val="18"/>
                <w:lang w:val="nl-NL"/>
              </w:rPr>
              <w:t>Het ministerie moet de ambities met betrekking tot lokalisering in de praktijk gaan brengen</w:t>
            </w:r>
          </w:p>
          <w:p w:rsidRPr="009F6A38" w:rsidR="002A020D" w:rsidP="009F6A38" w:rsidRDefault="002A020D" w14:paraId="34F5C198" w14:textId="77777777">
            <w:pPr>
              <w:pStyle w:val="TableParagraph"/>
              <w:spacing w:before="19"/>
              <w:ind w:left="101"/>
              <w:rPr>
                <w:w w:val="105"/>
                <w:sz w:val="18"/>
                <w:szCs w:val="18"/>
                <w:lang w:val="nl-NL"/>
              </w:rPr>
            </w:pPr>
          </w:p>
        </w:tc>
        <w:tc>
          <w:tcPr>
            <w:tcW w:w="3260" w:type="dxa"/>
            <w:gridSpan w:val="2"/>
          </w:tcPr>
          <w:p w:rsidRPr="009F6A38" w:rsidR="002A020D" w:rsidP="009F6A38" w:rsidRDefault="00BF6D1D" w14:paraId="0B06B5DB" w14:textId="63D547E2">
            <w:pPr>
              <w:pStyle w:val="TableParagraph"/>
              <w:spacing w:before="19"/>
              <w:ind w:left="101"/>
              <w:rPr>
                <w:w w:val="105"/>
                <w:sz w:val="18"/>
                <w:szCs w:val="18"/>
                <w:lang w:val="nl-NL"/>
              </w:rPr>
            </w:pPr>
            <w:r w:rsidRPr="009F6A38">
              <w:rPr>
                <w:w w:val="105"/>
                <w:sz w:val="18"/>
                <w:szCs w:val="18"/>
                <w:lang w:val="nl-NL"/>
              </w:rPr>
              <w:t>Onderhanden</w:t>
            </w:r>
            <w:r w:rsidRPr="009F6A38" w:rsidR="00E91845">
              <w:rPr>
                <w:w w:val="105"/>
                <w:sz w:val="18"/>
                <w:szCs w:val="18"/>
                <w:lang w:val="nl-NL"/>
              </w:rPr>
              <w:t>: h</w:t>
            </w:r>
            <w:r w:rsidRPr="009F6A38">
              <w:rPr>
                <w:w w:val="105"/>
                <w:sz w:val="18"/>
                <w:szCs w:val="18"/>
                <w:lang w:val="nl-NL"/>
              </w:rPr>
              <w:t>et kabinet blijft zich inspannen om meer samen te werken met lokale (hulp)organisaties, in plaats van met internationaal opererende ngo’s. Lokaal werken is een expliciet resultaatgebied in</w:t>
            </w:r>
            <w:r w:rsidR="00E94A5F">
              <w:rPr>
                <w:w w:val="105"/>
                <w:sz w:val="18"/>
                <w:szCs w:val="18"/>
                <w:lang w:val="nl-NL"/>
              </w:rPr>
              <w:t xml:space="preserve"> het</w:t>
            </w:r>
            <w:r w:rsidRPr="009F6A38">
              <w:rPr>
                <w:w w:val="105"/>
                <w:sz w:val="18"/>
                <w:szCs w:val="18"/>
                <w:lang w:val="nl-NL"/>
              </w:rPr>
              <w:t xml:space="preserve"> onder 3</w:t>
            </w:r>
            <w:r w:rsidRPr="009F6A38" w:rsidR="00540DA5">
              <w:rPr>
                <w:w w:val="105"/>
                <w:sz w:val="18"/>
                <w:szCs w:val="18"/>
                <w:lang w:val="nl-NL"/>
              </w:rPr>
              <w:t>.</w:t>
            </w:r>
            <w:r w:rsidRPr="009F6A38">
              <w:rPr>
                <w:w w:val="105"/>
                <w:sz w:val="18"/>
                <w:szCs w:val="18"/>
                <w:lang w:val="nl-NL"/>
              </w:rPr>
              <w:t xml:space="preserve"> genoemd</w:t>
            </w:r>
            <w:r w:rsidR="00EA6FC5">
              <w:rPr>
                <w:w w:val="105"/>
                <w:sz w:val="18"/>
                <w:szCs w:val="18"/>
                <w:lang w:val="nl-NL"/>
              </w:rPr>
              <w:t>e</w:t>
            </w:r>
            <w:r w:rsidRPr="009F6A38">
              <w:rPr>
                <w:w w:val="105"/>
                <w:sz w:val="18"/>
                <w:szCs w:val="18"/>
                <w:lang w:val="nl-NL"/>
              </w:rPr>
              <w:t xml:space="preserve"> resultatenkader. Ook maakt het standaard deel uit van de beleidsdialoog met partners en worden resultaten op lokalisatie meegenomen in de monitoring en evaluaties.</w:t>
            </w:r>
          </w:p>
          <w:p w:rsidRPr="009F6A38" w:rsidR="00BF6D1D" w:rsidP="009F6A38" w:rsidRDefault="00BF6D1D" w14:paraId="4316259B" w14:textId="32ED60EE">
            <w:pPr>
              <w:pStyle w:val="TableParagraph"/>
              <w:spacing w:before="19"/>
              <w:ind w:left="101"/>
              <w:rPr>
                <w:w w:val="105"/>
                <w:sz w:val="18"/>
                <w:szCs w:val="18"/>
                <w:lang w:val="nl-NL"/>
              </w:rPr>
            </w:pPr>
          </w:p>
        </w:tc>
      </w:tr>
    </w:tbl>
    <w:p w:rsidR="002A020D" w:rsidP="002A020D" w:rsidRDefault="002A020D" w14:paraId="657657A8" w14:textId="77777777"/>
    <w:p w:rsidR="00B34888" w:rsidP="002A020D" w:rsidRDefault="00B34888" w14:paraId="3DE3281C" w14:textId="77777777"/>
    <w:p w:rsidR="00B34888" w:rsidP="002A020D" w:rsidRDefault="00B34888" w14:paraId="5372CB2B" w14:textId="77777777"/>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418"/>
        <w:gridCol w:w="1276"/>
        <w:gridCol w:w="1559"/>
        <w:gridCol w:w="1559"/>
        <w:gridCol w:w="1701"/>
      </w:tblGrid>
      <w:tr w:rsidRPr="00CB7266" w:rsidR="00061F5A" w:rsidTr="009F48F2" w14:paraId="6F5FC206" w14:textId="77777777">
        <w:trPr>
          <w:trHeight w:val="300"/>
        </w:trPr>
        <w:tc>
          <w:tcPr>
            <w:tcW w:w="7513" w:type="dxa"/>
            <w:gridSpan w:val="5"/>
            <w:shd w:val="clear" w:color="auto" w:fill="215E99" w:themeFill="text2" w:themeFillTint="BF"/>
          </w:tcPr>
          <w:p w:rsidRPr="00CB7266" w:rsidR="00061F5A" w:rsidP="009F48F2" w:rsidRDefault="00061F5A" w14:paraId="0F634BCD" w14:textId="5BB806DC">
            <w:pPr>
              <w:pStyle w:val="TableParagraph"/>
              <w:spacing w:before="0" w:line="251" w:lineRule="exact"/>
              <w:rPr>
                <w:b/>
                <w:color w:val="FFFFFF" w:themeColor="background1"/>
                <w:sz w:val="18"/>
                <w:szCs w:val="18"/>
                <w:lang w:val="nl-NL"/>
              </w:rPr>
            </w:pPr>
            <w:r w:rsidRPr="00CB7266">
              <w:rPr>
                <w:b/>
                <w:color w:val="FFFFFF" w:themeColor="background1"/>
                <w:sz w:val="18"/>
                <w:szCs w:val="18"/>
                <w:lang w:val="nl-NL"/>
              </w:rPr>
              <w:t xml:space="preserve">SEA-THEMA: </w:t>
            </w:r>
            <w:r w:rsidR="00224B8E">
              <w:rPr>
                <w:b/>
                <w:color w:val="FFFFFF" w:themeColor="background1"/>
                <w:sz w:val="18"/>
                <w:szCs w:val="18"/>
                <w:lang w:val="nl-NL"/>
              </w:rPr>
              <w:t>Multilaterale samenwerking en overige inzet</w:t>
            </w:r>
          </w:p>
        </w:tc>
      </w:tr>
      <w:tr w:rsidRPr="00CB7266" w:rsidR="00061F5A" w:rsidTr="009F48F2" w14:paraId="4042CB90" w14:textId="77777777">
        <w:trPr>
          <w:trHeight w:val="1245"/>
        </w:trPr>
        <w:tc>
          <w:tcPr>
            <w:tcW w:w="7513" w:type="dxa"/>
            <w:gridSpan w:val="5"/>
          </w:tcPr>
          <w:p w:rsidRPr="00CB7266" w:rsidR="00061F5A" w:rsidP="009F48F2" w:rsidRDefault="00061F5A" w14:paraId="47A3561E" w14:textId="77777777">
            <w:pPr>
              <w:pStyle w:val="TableParagraph"/>
              <w:rPr>
                <w:b/>
                <w:bCs/>
                <w:color w:val="215E99" w:themeColor="text2" w:themeTint="BF"/>
                <w:sz w:val="18"/>
                <w:szCs w:val="18"/>
                <w:lang w:val="nl-NL"/>
              </w:rPr>
            </w:pPr>
            <w:r w:rsidRPr="00CB7266">
              <w:rPr>
                <w:b/>
                <w:bCs/>
                <w:color w:val="215E99" w:themeColor="text2" w:themeTint="BF"/>
                <w:w w:val="105"/>
                <w:sz w:val="18"/>
                <w:szCs w:val="18"/>
                <w:lang w:val="nl-NL"/>
              </w:rPr>
              <w:t>Overkoepelende</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toelichting</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SEA-thema:</w:t>
            </w:r>
            <w:r w:rsidRPr="00CB7266">
              <w:rPr>
                <w:b/>
                <w:bCs/>
                <w:color w:val="215E99" w:themeColor="text2" w:themeTint="BF"/>
                <w:spacing w:val="-3"/>
                <w:w w:val="105"/>
                <w:sz w:val="18"/>
                <w:szCs w:val="18"/>
                <w:lang w:val="nl-NL"/>
              </w:rPr>
              <w:t xml:space="preserve"> </w:t>
            </w:r>
          </w:p>
          <w:p w:rsidRPr="005061D6" w:rsidR="00061F5A" w:rsidP="005061D6" w:rsidRDefault="005061D6" w14:paraId="3E4EC73D" w14:textId="599ADE00">
            <w:pPr>
              <w:pStyle w:val="TableParagraph"/>
              <w:spacing w:before="18"/>
              <w:rPr>
                <w:color w:val="215E99" w:themeColor="text2" w:themeTint="BF"/>
                <w:sz w:val="18"/>
                <w:szCs w:val="18"/>
                <w:lang w:val="nl-NL"/>
              </w:rPr>
            </w:pPr>
            <w:r w:rsidRPr="005061D6">
              <w:rPr>
                <w:color w:val="215E99" w:themeColor="text2" w:themeTint="BF"/>
                <w:sz w:val="18"/>
                <w:szCs w:val="18"/>
                <w:lang w:val="nl-NL"/>
              </w:rPr>
              <w:t xml:space="preserve">Nederland zet in op multilaterale samenwerking om mondiale uitdagingen zoals extreme armoede, klimaatverandering en migratie aan te pakken. Onder artikel 5.1 BHOS gaat het merendeel van de middelen naar VN-organisaties en regionale ontwikkelingsbanken die </w:t>
            </w:r>
            <w:proofErr w:type="spellStart"/>
            <w:r w:rsidRPr="005061D6">
              <w:rPr>
                <w:color w:val="215E99" w:themeColor="text2" w:themeTint="BF"/>
                <w:sz w:val="18"/>
                <w:szCs w:val="18"/>
                <w:lang w:val="nl-NL"/>
              </w:rPr>
              <w:t>ongeoormerkte</w:t>
            </w:r>
            <w:proofErr w:type="spellEnd"/>
            <w:r w:rsidRPr="005061D6">
              <w:rPr>
                <w:color w:val="215E99" w:themeColor="text2" w:themeTint="BF"/>
                <w:sz w:val="18"/>
                <w:szCs w:val="18"/>
                <w:lang w:val="nl-NL"/>
              </w:rPr>
              <w:t xml:space="preserve"> bijdragen ontvangen om hun brede mandaat flexibel uit te voeren. </w:t>
            </w:r>
          </w:p>
          <w:p w:rsidRPr="00CB7266" w:rsidR="005061D6" w:rsidP="005061D6" w:rsidRDefault="005061D6" w14:paraId="01269585" w14:textId="7474EDC5">
            <w:pPr>
              <w:pStyle w:val="TableParagraph"/>
              <w:spacing w:before="18"/>
              <w:rPr>
                <w:sz w:val="18"/>
                <w:szCs w:val="18"/>
                <w:lang w:val="nl-NL"/>
              </w:rPr>
            </w:pPr>
          </w:p>
        </w:tc>
      </w:tr>
      <w:tr w:rsidRPr="0002274E" w:rsidR="002A020D" w:rsidTr="009F48F2" w14:paraId="197D6606" w14:textId="77777777">
        <w:trPr>
          <w:trHeight w:val="861"/>
        </w:trPr>
        <w:tc>
          <w:tcPr>
            <w:tcW w:w="1418" w:type="dxa"/>
          </w:tcPr>
          <w:p w:rsidRPr="0061391E" w:rsidR="002A020D" w:rsidP="009F48F2" w:rsidRDefault="002A020D" w14:paraId="724062B4" w14:textId="77777777">
            <w:pPr>
              <w:pStyle w:val="TableParagraph"/>
              <w:spacing w:line="261" w:lineRule="auto"/>
              <w:ind w:left="101"/>
              <w:rPr>
                <w:b/>
                <w:bCs/>
                <w:color w:val="215E99" w:themeColor="text2" w:themeTint="BF"/>
                <w:sz w:val="18"/>
                <w:szCs w:val="18"/>
              </w:rPr>
            </w:pPr>
            <w:r w:rsidRPr="0061391E">
              <w:rPr>
                <w:b/>
                <w:bCs/>
                <w:color w:val="215E99" w:themeColor="text2" w:themeTint="BF"/>
                <w:spacing w:val="-2"/>
                <w:sz w:val="18"/>
                <w:szCs w:val="18"/>
              </w:rPr>
              <w:t xml:space="preserve">Titel </w:t>
            </w:r>
            <w:proofErr w:type="spellStart"/>
            <w:r w:rsidRPr="0061391E">
              <w:rPr>
                <w:b/>
                <w:bCs/>
                <w:color w:val="215E99" w:themeColor="text2" w:themeTint="BF"/>
                <w:spacing w:val="-2"/>
                <w:sz w:val="18"/>
                <w:szCs w:val="18"/>
              </w:rPr>
              <w:t>onderzoek</w:t>
            </w:r>
            <w:proofErr w:type="spellEnd"/>
          </w:p>
        </w:tc>
        <w:tc>
          <w:tcPr>
            <w:tcW w:w="1276" w:type="dxa"/>
          </w:tcPr>
          <w:p w:rsidRPr="0061391E" w:rsidR="002A020D" w:rsidP="009F48F2" w:rsidRDefault="002A020D" w14:paraId="2B1795B1" w14:textId="77777777">
            <w:pPr>
              <w:pStyle w:val="TableParagraph"/>
              <w:ind w:left="101"/>
              <w:rPr>
                <w:b/>
                <w:bCs/>
                <w:color w:val="215E99" w:themeColor="text2" w:themeTint="BF"/>
                <w:sz w:val="18"/>
                <w:szCs w:val="18"/>
              </w:rPr>
            </w:pPr>
            <w:r w:rsidRPr="0061391E">
              <w:rPr>
                <w:b/>
                <w:bCs/>
                <w:color w:val="215E99" w:themeColor="text2" w:themeTint="BF"/>
                <w:w w:val="105"/>
                <w:sz w:val="18"/>
                <w:szCs w:val="18"/>
              </w:rPr>
              <w:t>Type</w:t>
            </w:r>
            <w:r w:rsidRPr="0061391E">
              <w:rPr>
                <w:b/>
                <w:bCs/>
                <w:color w:val="215E99" w:themeColor="text2" w:themeTint="BF"/>
                <w:spacing w:val="-5"/>
                <w:w w:val="105"/>
                <w:sz w:val="18"/>
                <w:szCs w:val="18"/>
              </w:rPr>
              <w:t xml:space="preserve"> </w:t>
            </w:r>
            <w:proofErr w:type="spellStart"/>
            <w:r w:rsidRPr="0061391E">
              <w:rPr>
                <w:b/>
                <w:bCs/>
                <w:color w:val="215E99" w:themeColor="text2" w:themeTint="BF"/>
                <w:spacing w:val="-2"/>
                <w:w w:val="105"/>
                <w:sz w:val="18"/>
                <w:szCs w:val="18"/>
              </w:rPr>
              <w:t>onderzoek</w:t>
            </w:r>
            <w:proofErr w:type="spellEnd"/>
          </w:p>
        </w:tc>
        <w:tc>
          <w:tcPr>
            <w:tcW w:w="1559" w:type="dxa"/>
          </w:tcPr>
          <w:p w:rsidRPr="0061391E" w:rsidR="002A020D" w:rsidP="009F48F2" w:rsidRDefault="002A020D" w14:paraId="42D67C58" w14:textId="77777777">
            <w:pPr>
              <w:pStyle w:val="TableParagraph"/>
              <w:spacing w:line="261" w:lineRule="auto"/>
              <w:ind w:left="101" w:right="64"/>
              <w:rPr>
                <w:b/>
                <w:bCs/>
                <w:color w:val="215E99" w:themeColor="text2" w:themeTint="BF"/>
                <w:sz w:val="18"/>
                <w:szCs w:val="18"/>
              </w:rPr>
            </w:pPr>
            <w:r w:rsidRPr="0061391E">
              <w:rPr>
                <w:b/>
                <w:bCs/>
                <w:color w:val="215E99" w:themeColor="text2" w:themeTint="BF"/>
                <w:spacing w:val="-4"/>
                <w:w w:val="105"/>
                <w:sz w:val="18"/>
                <w:szCs w:val="18"/>
              </w:rPr>
              <w:t xml:space="preserve">Jaar </w:t>
            </w:r>
            <w:proofErr w:type="spellStart"/>
            <w:r w:rsidRPr="0061391E">
              <w:rPr>
                <w:b/>
                <w:bCs/>
                <w:color w:val="215E99" w:themeColor="text2" w:themeTint="BF"/>
                <w:spacing w:val="-2"/>
                <w:sz w:val="18"/>
                <w:szCs w:val="18"/>
              </w:rPr>
              <w:t>afronding</w:t>
            </w:r>
            <w:proofErr w:type="spellEnd"/>
          </w:p>
        </w:tc>
        <w:tc>
          <w:tcPr>
            <w:tcW w:w="1559" w:type="dxa"/>
          </w:tcPr>
          <w:p w:rsidR="002A020D" w:rsidP="009F48F2" w:rsidRDefault="002A020D" w14:paraId="396D1C07" w14:textId="77777777">
            <w:pPr>
              <w:pStyle w:val="TableParagraph"/>
              <w:ind w:left="101"/>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Begrotings</w:t>
            </w:r>
            <w:proofErr w:type="spellEnd"/>
            <w:r>
              <w:rPr>
                <w:b/>
                <w:bCs/>
                <w:color w:val="215E99" w:themeColor="text2" w:themeTint="BF"/>
                <w:spacing w:val="-2"/>
                <w:w w:val="105"/>
                <w:sz w:val="18"/>
                <w:szCs w:val="18"/>
              </w:rPr>
              <w:t>-</w:t>
            </w:r>
          </w:p>
          <w:p w:rsidRPr="0061391E" w:rsidR="002A020D" w:rsidP="009F48F2" w:rsidRDefault="002A020D" w14:paraId="29D90D24" w14:textId="77777777">
            <w:pPr>
              <w:pStyle w:val="TableParagraph"/>
              <w:ind w:left="101"/>
              <w:rPr>
                <w:b/>
                <w:bCs/>
                <w:color w:val="215E99" w:themeColor="text2" w:themeTint="BF"/>
                <w:sz w:val="18"/>
                <w:szCs w:val="18"/>
              </w:rPr>
            </w:pPr>
            <w:proofErr w:type="spellStart"/>
            <w:r w:rsidRPr="0061391E">
              <w:rPr>
                <w:b/>
                <w:bCs/>
                <w:color w:val="215E99" w:themeColor="text2" w:themeTint="BF"/>
                <w:spacing w:val="-2"/>
                <w:w w:val="105"/>
                <w:sz w:val="18"/>
                <w:szCs w:val="18"/>
              </w:rPr>
              <w:t>artikel</w:t>
            </w:r>
            <w:proofErr w:type="spellEnd"/>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en</w:t>
            </w:r>
            <w:proofErr w:type="spellEnd"/>
            <w:r w:rsidRPr="0061391E">
              <w:rPr>
                <w:b/>
                <w:bCs/>
                <w:color w:val="215E99" w:themeColor="text2" w:themeTint="BF"/>
                <w:spacing w:val="-2"/>
                <w:w w:val="105"/>
                <w:sz w:val="18"/>
                <w:szCs w:val="18"/>
              </w:rPr>
              <w:t>)</w:t>
            </w:r>
          </w:p>
        </w:tc>
        <w:tc>
          <w:tcPr>
            <w:tcW w:w="1701" w:type="dxa"/>
          </w:tcPr>
          <w:p w:rsidRPr="0061391E" w:rsidR="002A020D" w:rsidP="009F48F2" w:rsidRDefault="002A020D" w14:paraId="06D9D454" w14:textId="77777777">
            <w:pPr>
              <w:pStyle w:val="TableParagraph"/>
              <w:spacing w:line="261" w:lineRule="auto"/>
              <w:rPr>
                <w:b/>
                <w:bCs/>
                <w:color w:val="215E99" w:themeColor="text2" w:themeTint="BF"/>
                <w:sz w:val="18"/>
                <w:szCs w:val="18"/>
              </w:rPr>
            </w:pPr>
            <w:proofErr w:type="spellStart"/>
            <w:r w:rsidRPr="0061391E">
              <w:rPr>
                <w:b/>
                <w:bCs/>
                <w:color w:val="215E99" w:themeColor="text2" w:themeTint="BF"/>
                <w:spacing w:val="-2"/>
                <w:sz w:val="18"/>
                <w:szCs w:val="18"/>
              </w:rPr>
              <w:t>Budgettaire</w:t>
            </w:r>
            <w:proofErr w:type="spellEnd"/>
            <w:r w:rsidRPr="0061391E">
              <w:rPr>
                <w:b/>
                <w:bCs/>
                <w:color w:val="215E99" w:themeColor="text2" w:themeTint="BF"/>
                <w:spacing w:val="-2"/>
                <w:sz w:val="18"/>
                <w:szCs w:val="18"/>
              </w:rPr>
              <w:t xml:space="preserve"> </w:t>
            </w:r>
            <w:proofErr w:type="spellStart"/>
            <w:r w:rsidRPr="0061391E">
              <w:rPr>
                <w:b/>
                <w:bCs/>
                <w:color w:val="215E99" w:themeColor="text2" w:themeTint="BF"/>
                <w:spacing w:val="-2"/>
                <w:w w:val="105"/>
                <w:sz w:val="18"/>
                <w:szCs w:val="18"/>
              </w:rPr>
              <w:t>grondslag</w:t>
            </w:r>
            <w:proofErr w:type="spellEnd"/>
          </w:p>
          <w:p w:rsidRPr="0061391E" w:rsidR="002A020D" w:rsidP="009F48F2" w:rsidRDefault="002A020D" w14:paraId="6DB36178" w14:textId="77777777">
            <w:pPr>
              <w:pStyle w:val="TableParagraph"/>
              <w:spacing w:before="0" w:line="205" w:lineRule="exact"/>
              <w:rPr>
                <w:b/>
                <w:bCs/>
                <w:color w:val="215E99" w:themeColor="text2" w:themeTint="BF"/>
                <w:sz w:val="18"/>
                <w:szCs w:val="18"/>
              </w:rPr>
            </w:pPr>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laatste</w:t>
            </w:r>
            <w:proofErr w:type="spellEnd"/>
          </w:p>
          <w:p w:rsidR="002A020D" w:rsidP="009F48F2" w:rsidRDefault="002A020D" w14:paraId="15AF3953" w14:textId="77777777">
            <w:pPr>
              <w:pStyle w:val="TableParagraph"/>
              <w:spacing w:before="2" w:line="181" w:lineRule="exact"/>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evaluatiejaar</w:t>
            </w:r>
            <w:proofErr w:type="spellEnd"/>
            <w:r w:rsidRPr="0061391E">
              <w:rPr>
                <w:b/>
                <w:bCs/>
                <w:color w:val="215E99" w:themeColor="text2" w:themeTint="BF"/>
                <w:spacing w:val="-2"/>
                <w:w w:val="105"/>
                <w:sz w:val="18"/>
                <w:szCs w:val="18"/>
              </w:rPr>
              <w:t>)</w:t>
            </w:r>
          </w:p>
          <w:p w:rsidRPr="0061391E" w:rsidR="002A020D" w:rsidP="009F48F2" w:rsidRDefault="002A020D" w14:paraId="7E36DB06" w14:textId="77777777">
            <w:pPr>
              <w:pStyle w:val="TableParagraph"/>
              <w:spacing w:before="2" w:line="181" w:lineRule="exact"/>
              <w:rPr>
                <w:b/>
                <w:bCs/>
                <w:color w:val="215E99" w:themeColor="text2" w:themeTint="BF"/>
                <w:sz w:val="18"/>
                <w:szCs w:val="18"/>
              </w:rPr>
            </w:pPr>
          </w:p>
        </w:tc>
      </w:tr>
      <w:tr w:rsidRPr="00AC268A" w:rsidR="002A020D" w:rsidTr="009F48F2" w14:paraId="2172E250" w14:textId="77777777">
        <w:trPr>
          <w:trHeight w:val="988"/>
        </w:trPr>
        <w:tc>
          <w:tcPr>
            <w:tcW w:w="1418" w:type="dxa"/>
            <w:shd w:val="clear" w:color="auto" w:fill="83CAEB" w:themeFill="accent1" w:themeFillTint="66"/>
          </w:tcPr>
          <w:p w:rsidR="002A020D" w:rsidP="009F48F2" w:rsidRDefault="002A020D" w14:paraId="648AF01A" w14:textId="776186FC">
            <w:pPr>
              <w:pStyle w:val="TableParagraph"/>
              <w:spacing w:line="261" w:lineRule="auto"/>
              <w:ind w:left="101"/>
              <w:rPr>
                <w:color w:val="215E99" w:themeColor="text2" w:themeTint="BF"/>
                <w:spacing w:val="-2"/>
                <w:sz w:val="18"/>
                <w:szCs w:val="18"/>
                <w:lang w:val="nl-NL"/>
              </w:rPr>
            </w:pPr>
            <w:r>
              <w:rPr>
                <w:color w:val="215E99" w:themeColor="text2" w:themeTint="BF"/>
                <w:spacing w:val="-2"/>
                <w:sz w:val="18"/>
                <w:szCs w:val="18"/>
                <w:lang w:val="nl-NL"/>
              </w:rPr>
              <w:lastRenderedPageBreak/>
              <w:t>Periodieke rapportage</w:t>
            </w:r>
            <w:r w:rsidR="00826182">
              <w:rPr>
                <w:color w:val="215E99" w:themeColor="text2" w:themeTint="BF"/>
                <w:spacing w:val="-2"/>
                <w:sz w:val="18"/>
                <w:szCs w:val="18"/>
                <w:lang w:val="nl-NL"/>
              </w:rPr>
              <w:t xml:space="preserve"> </w:t>
            </w:r>
            <w:r w:rsidR="00F223BC">
              <w:rPr>
                <w:color w:val="215E99" w:themeColor="text2" w:themeTint="BF"/>
                <w:spacing w:val="-2"/>
                <w:sz w:val="18"/>
                <w:szCs w:val="18"/>
                <w:lang w:val="nl-NL"/>
              </w:rPr>
              <w:t>Multilaterale samenwerking</w:t>
            </w:r>
          </w:p>
          <w:p w:rsidRPr="00577500" w:rsidR="00826182" w:rsidP="009F48F2" w:rsidRDefault="00826182" w14:paraId="7ABFBCEF" w14:textId="77C77AA5">
            <w:pPr>
              <w:pStyle w:val="TableParagraph"/>
              <w:spacing w:line="261" w:lineRule="auto"/>
              <w:ind w:left="101"/>
              <w:rPr>
                <w:color w:val="215E99" w:themeColor="text2" w:themeTint="BF"/>
                <w:spacing w:val="-2"/>
                <w:sz w:val="18"/>
                <w:szCs w:val="18"/>
                <w:lang w:val="nl-NL"/>
              </w:rPr>
            </w:pPr>
            <w:hyperlink w:history="1" r:id="rId17">
              <w:r w:rsidRPr="00826182">
                <w:rPr>
                  <w:rStyle w:val="Hyperlink"/>
                  <w:spacing w:val="-2"/>
                  <w:sz w:val="18"/>
                  <w:szCs w:val="18"/>
                  <w:lang w:val="nl-NL"/>
                </w:rPr>
                <w:t>Mondiale uitdagingen, gezamenlijke oplossingen</w:t>
              </w:r>
            </w:hyperlink>
          </w:p>
        </w:tc>
        <w:tc>
          <w:tcPr>
            <w:tcW w:w="1276" w:type="dxa"/>
            <w:shd w:val="clear" w:color="auto" w:fill="83CAEB" w:themeFill="accent1" w:themeFillTint="66"/>
          </w:tcPr>
          <w:p w:rsidRPr="00AC268A" w:rsidR="002A020D" w:rsidP="009F48F2" w:rsidRDefault="002A020D" w14:paraId="28C004FA" w14:textId="09E92B2B">
            <w:pPr>
              <w:pStyle w:val="TableParagraph"/>
              <w:spacing w:line="261" w:lineRule="auto"/>
              <w:ind w:left="101"/>
              <w:rPr>
                <w:color w:val="215E99" w:themeColor="text2" w:themeTint="BF"/>
                <w:sz w:val="18"/>
                <w:szCs w:val="18"/>
              </w:rPr>
            </w:pPr>
            <w:proofErr w:type="spellStart"/>
            <w:r w:rsidRPr="00AC268A">
              <w:rPr>
                <w:color w:val="215E99" w:themeColor="text2" w:themeTint="BF"/>
                <w:spacing w:val="-2"/>
                <w:sz w:val="18"/>
                <w:szCs w:val="18"/>
              </w:rPr>
              <w:t>Periodieke</w:t>
            </w:r>
            <w:proofErr w:type="spellEnd"/>
            <w:r w:rsidRPr="00AC268A">
              <w:rPr>
                <w:color w:val="215E99" w:themeColor="text2" w:themeTint="BF"/>
                <w:spacing w:val="-2"/>
                <w:sz w:val="18"/>
                <w:szCs w:val="18"/>
              </w:rPr>
              <w:t xml:space="preserve"> rapportage over </w:t>
            </w:r>
            <w:proofErr w:type="spellStart"/>
            <w:r w:rsidRPr="00AC268A">
              <w:rPr>
                <w:color w:val="215E99" w:themeColor="text2" w:themeTint="BF"/>
                <w:spacing w:val="-2"/>
                <w:sz w:val="18"/>
                <w:szCs w:val="18"/>
              </w:rPr>
              <w:t>periode</w:t>
            </w:r>
            <w:proofErr w:type="spellEnd"/>
            <w:r w:rsidRPr="00AC268A">
              <w:rPr>
                <w:color w:val="215E99" w:themeColor="text2" w:themeTint="BF"/>
                <w:spacing w:val="-2"/>
                <w:sz w:val="18"/>
                <w:szCs w:val="18"/>
              </w:rPr>
              <w:t xml:space="preserve"> </w:t>
            </w:r>
            <w:r w:rsidR="00832312">
              <w:rPr>
                <w:color w:val="215E99" w:themeColor="text2" w:themeTint="BF"/>
                <w:spacing w:val="-4"/>
                <w:w w:val="105"/>
                <w:sz w:val="18"/>
                <w:szCs w:val="18"/>
              </w:rPr>
              <w:t>2017</w:t>
            </w:r>
          </w:p>
          <w:p w:rsidRPr="00AC268A" w:rsidR="002A020D" w:rsidP="009F48F2" w:rsidRDefault="002A020D" w14:paraId="698BB0E0" w14:textId="782A1A3A">
            <w:pPr>
              <w:pStyle w:val="TableParagraph"/>
              <w:spacing w:before="0" w:line="205" w:lineRule="exact"/>
              <w:ind w:left="101"/>
              <w:rPr>
                <w:color w:val="215E99" w:themeColor="text2" w:themeTint="BF"/>
                <w:sz w:val="18"/>
                <w:szCs w:val="18"/>
              </w:rPr>
            </w:pPr>
            <w:r w:rsidRPr="00AC268A">
              <w:rPr>
                <w:color w:val="215E99" w:themeColor="text2" w:themeTint="BF"/>
                <w:w w:val="105"/>
                <w:sz w:val="18"/>
                <w:szCs w:val="18"/>
              </w:rPr>
              <w:t>t/m</w:t>
            </w:r>
            <w:r w:rsidRPr="00AC268A">
              <w:rPr>
                <w:color w:val="215E99" w:themeColor="text2" w:themeTint="BF"/>
                <w:spacing w:val="-7"/>
                <w:w w:val="105"/>
                <w:sz w:val="18"/>
                <w:szCs w:val="18"/>
              </w:rPr>
              <w:t xml:space="preserve"> </w:t>
            </w:r>
            <w:r w:rsidR="00832312">
              <w:rPr>
                <w:color w:val="215E99" w:themeColor="text2" w:themeTint="BF"/>
                <w:spacing w:val="-7"/>
                <w:w w:val="105"/>
                <w:sz w:val="18"/>
                <w:szCs w:val="18"/>
              </w:rPr>
              <w:t>2023</w:t>
            </w:r>
          </w:p>
        </w:tc>
        <w:tc>
          <w:tcPr>
            <w:tcW w:w="1559" w:type="dxa"/>
            <w:shd w:val="clear" w:color="auto" w:fill="83CAEB" w:themeFill="accent1" w:themeFillTint="66"/>
          </w:tcPr>
          <w:p w:rsidRPr="00AC268A" w:rsidR="002A020D" w:rsidP="009F48F2" w:rsidRDefault="002A020D" w14:paraId="2F0D7B36" w14:textId="77777777">
            <w:pPr>
              <w:pStyle w:val="TableParagraph"/>
              <w:ind w:left="101"/>
              <w:rPr>
                <w:color w:val="215E99" w:themeColor="text2" w:themeTint="BF"/>
                <w:sz w:val="18"/>
                <w:szCs w:val="18"/>
              </w:rPr>
            </w:pPr>
            <w:r w:rsidRPr="00AC268A">
              <w:rPr>
                <w:color w:val="215E99" w:themeColor="text2" w:themeTint="BF"/>
                <w:spacing w:val="-4"/>
                <w:w w:val="105"/>
                <w:sz w:val="18"/>
                <w:szCs w:val="18"/>
              </w:rPr>
              <w:t>202</w:t>
            </w:r>
            <w:r>
              <w:rPr>
                <w:color w:val="215E99" w:themeColor="text2" w:themeTint="BF"/>
                <w:spacing w:val="-4"/>
                <w:w w:val="105"/>
                <w:sz w:val="18"/>
                <w:szCs w:val="18"/>
              </w:rPr>
              <w:t>5</w:t>
            </w:r>
          </w:p>
        </w:tc>
        <w:tc>
          <w:tcPr>
            <w:tcW w:w="1559" w:type="dxa"/>
            <w:shd w:val="clear" w:color="auto" w:fill="83CAEB" w:themeFill="accent1" w:themeFillTint="66"/>
          </w:tcPr>
          <w:p w:rsidRPr="00AC268A" w:rsidR="002A020D" w:rsidP="009F48F2" w:rsidRDefault="002A020D" w14:paraId="333C876E" w14:textId="582DF9F9">
            <w:pPr>
              <w:pStyle w:val="TableParagraph"/>
              <w:ind w:left="101"/>
              <w:rPr>
                <w:color w:val="215E99" w:themeColor="text2" w:themeTint="BF"/>
                <w:sz w:val="18"/>
                <w:szCs w:val="18"/>
              </w:rPr>
            </w:pPr>
            <w:r w:rsidRPr="00AC268A">
              <w:rPr>
                <w:color w:val="215E99" w:themeColor="text2" w:themeTint="BF"/>
                <w:w w:val="105"/>
                <w:sz w:val="18"/>
                <w:szCs w:val="18"/>
              </w:rPr>
              <w:t>H17,</w:t>
            </w:r>
            <w:r w:rsidRPr="00AC268A">
              <w:rPr>
                <w:color w:val="215E99" w:themeColor="text2" w:themeTint="BF"/>
                <w:spacing w:val="-6"/>
                <w:w w:val="105"/>
                <w:sz w:val="18"/>
                <w:szCs w:val="18"/>
              </w:rPr>
              <w:t xml:space="preserve"> </w:t>
            </w:r>
            <w:r w:rsidRPr="00AC268A">
              <w:rPr>
                <w:color w:val="215E99" w:themeColor="text2" w:themeTint="BF"/>
                <w:w w:val="105"/>
                <w:sz w:val="18"/>
                <w:szCs w:val="18"/>
              </w:rPr>
              <w:t>Artikel</w:t>
            </w:r>
            <w:r w:rsidRPr="00AC268A">
              <w:rPr>
                <w:color w:val="215E99" w:themeColor="text2" w:themeTint="BF"/>
                <w:spacing w:val="-6"/>
                <w:w w:val="105"/>
                <w:sz w:val="18"/>
                <w:szCs w:val="18"/>
              </w:rPr>
              <w:t xml:space="preserve"> </w:t>
            </w:r>
            <w:r w:rsidR="00243DBB">
              <w:rPr>
                <w:color w:val="215E99" w:themeColor="text2" w:themeTint="BF"/>
                <w:spacing w:val="-6"/>
                <w:w w:val="105"/>
                <w:sz w:val="18"/>
                <w:szCs w:val="18"/>
              </w:rPr>
              <w:t>5.1</w:t>
            </w:r>
          </w:p>
        </w:tc>
        <w:tc>
          <w:tcPr>
            <w:tcW w:w="1701" w:type="dxa"/>
            <w:shd w:val="clear" w:color="auto" w:fill="83CAEB" w:themeFill="accent1" w:themeFillTint="66"/>
          </w:tcPr>
          <w:p w:rsidR="00F223BC" w:rsidP="009F48F2" w:rsidRDefault="00F223BC" w14:paraId="4D282A6D" w14:textId="5CBD0BC0">
            <w:pPr>
              <w:pStyle w:val="TableParagraph"/>
              <w:ind w:left="0"/>
              <w:rPr>
                <w:color w:val="215E99" w:themeColor="text2" w:themeTint="BF"/>
                <w:spacing w:val="-4"/>
                <w:w w:val="105"/>
                <w:sz w:val="18"/>
                <w:szCs w:val="18"/>
                <w:lang w:val="nl-NL"/>
              </w:rPr>
            </w:pPr>
            <w:r w:rsidRPr="00CB7266">
              <w:rPr>
                <w:color w:val="215E99" w:themeColor="text2" w:themeTint="BF"/>
                <w:w w:val="105"/>
                <w:sz w:val="18"/>
                <w:szCs w:val="18"/>
                <w:lang w:val="nl-NL"/>
              </w:rPr>
              <w:t>€</w:t>
            </w:r>
            <w:r w:rsidR="0025059E">
              <w:rPr>
                <w:color w:val="215E99" w:themeColor="text2" w:themeTint="BF"/>
                <w:w w:val="105"/>
                <w:sz w:val="18"/>
                <w:szCs w:val="18"/>
                <w:lang w:val="nl-NL"/>
              </w:rPr>
              <w:t>86,4</w:t>
            </w:r>
            <w:r>
              <w:rPr>
                <w:color w:val="215E99" w:themeColor="text2" w:themeTint="BF"/>
                <w:w w:val="105"/>
                <w:sz w:val="18"/>
                <w:szCs w:val="18"/>
                <w:lang w:val="nl-NL"/>
              </w:rPr>
              <w:t xml:space="preserve"> </w:t>
            </w:r>
            <w:proofErr w:type="spellStart"/>
            <w:r>
              <w:rPr>
                <w:color w:val="215E99" w:themeColor="text2" w:themeTint="BF"/>
                <w:w w:val="105"/>
                <w:sz w:val="18"/>
                <w:szCs w:val="18"/>
                <w:lang w:val="nl-NL"/>
              </w:rPr>
              <w:t>mln</w:t>
            </w:r>
            <w:proofErr w:type="spellEnd"/>
            <w:r>
              <w:rPr>
                <w:color w:val="215E99" w:themeColor="text2" w:themeTint="BF"/>
                <w:w w:val="105"/>
                <w:sz w:val="18"/>
                <w:szCs w:val="18"/>
                <w:lang w:val="nl-NL"/>
              </w:rPr>
              <w:t xml:space="preserve"> </w:t>
            </w:r>
            <w:r>
              <w:rPr>
                <w:color w:val="215E99" w:themeColor="text2" w:themeTint="BF"/>
                <w:spacing w:val="-4"/>
                <w:w w:val="105"/>
                <w:sz w:val="18"/>
                <w:szCs w:val="18"/>
                <w:lang w:val="nl-NL"/>
              </w:rPr>
              <w:t>Regionale ontwikkelingsbanken</w:t>
            </w:r>
          </w:p>
          <w:p w:rsidR="00F223BC" w:rsidP="009F48F2" w:rsidRDefault="00F223BC" w14:paraId="7FDBA336" w14:textId="07475A57">
            <w:pPr>
              <w:pStyle w:val="TableParagraph"/>
              <w:ind w:left="0"/>
              <w:rPr>
                <w:color w:val="215E99" w:themeColor="text2" w:themeTint="BF"/>
                <w:spacing w:val="-4"/>
                <w:w w:val="105"/>
                <w:sz w:val="18"/>
                <w:szCs w:val="18"/>
                <w:lang w:val="nl-NL"/>
              </w:rPr>
            </w:pPr>
            <w:r w:rsidRPr="00CB7266">
              <w:rPr>
                <w:color w:val="215E99" w:themeColor="text2" w:themeTint="BF"/>
                <w:w w:val="105"/>
                <w:sz w:val="18"/>
                <w:szCs w:val="18"/>
                <w:lang w:val="nl-NL"/>
              </w:rPr>
              <w:t>€</w:t>
            </w:r>
            <w:r w:rsidR="0025059E">
              <w:rPr>
                <w:color w:val="215E99" w:themeColor="text2" w:themeTint="BF"/>
                <w:w w:val="105"/>
                <w:sz w:val="18"/>
                <w:szCs w:val="18"/>
                <w:lang w:val="nl-NL"/>
              </w:rPr>
              <w:t>73,4</w:t>
            </w:r>
            <w:r>
              <w:rPr>
                <w:color w:val="215E99" w:themeColor="text2" w:themeTint="BF"/>
                <w:w w:val="105"/>
                <w:sz w:val="18"/>
                <w:szCs w:val="18"/>
                <w:lang w:val="nl-NL"/>
              </w:rPr>
              <w:t xml:space="preserve"> </w:t>
            </w:r>
            <w:proofErr w:type="spellStart"/>
            <w:r>
              <w:rPr>
                <w:color w:val="215E99" w:themeColor="text2" w:themeTint="BF"/>
                <w:w w:val="105"/>
                <w:sz w:val="18"/>
                <w:szCs w:val="18"/>
                <w:lang w:val="nl-NL"/>
              </w:rPr>
              <w:t>mln</w:t>
            </w:r>
            <w:proofErr w:type="spellEnd"/>
            <w:r>
              <w:rPr>
                <w:color w:val="215E99" w:themeColor="text2" w:themeTint="BF"/>
                <w:w w:val="105"/>
                <w:sz w:val="18"/>
                <w:szCs w:val="18"/>
                <w:lang w:val="nl-NL"/>
              </w:rPr>
              <w:t xml:space="preserve"> </w:t>
            </w:r>
            <w:r>
              <w:rPr>
                <w:color w:val="215E99" w:themeColor="text2" w:themeTint="BF"/>
                <w:spacing w:val="-4"/>
                <w:w w:val="105"/>
                <w:sz w:val="18"/>
                <w:szCs w:val="18"/>
                <w:lang w:val="nl-NL"/>
              </w:rPr>
              <w:t>VN-organisaties</w:t>
            </w:r>
          </w:p>
          <w:p w:rsidR="00F223BC" w:rsidP="009F48F2" w:rsidRDefault="00F223BC" w14:paraId="73C3CA20" w14:textId="37F06F5D">
            <w:pPr>
              <w:pStyle w:val="TableParagraph"/>
              <w:ind w:left="0"/>
              <w:rPr>
                <w:color w:val="215E99" w:themeColor="text2" w:themeTint="BF"/>
                <w:spacing w:val="-4"/>
                <w:w w:val="105"/>
                <w:sz w:val="18"/>
                <w:szCs w:val="18"/>
                <w:lang w:val="nl-NL"/>
              </w:rPr>
            </w:pPr>
            <w:r w:rsidRPr="00CB7266">
              <w:rPr>
                <w:color w:val="215E99" w:themeColor="text2" w:themeTint="BF"/>
                <w:w w:val="105"/>
                <w:sz w:val="18"/>
                <w:szCs w:val="18"/>
                <w:lang w:val="nl-NL"/>
              </w:rPr>
              <w:t>€</w:t>
            </w:r>
            <w:r w:rsidR="0025059E">
              <w:rPr>
                <w:color w:val="215E99" w:themeColor="text2" w:themeTint="BF"/>
                <w:w w:val="105"/>
                <w:sz w:val="18"/>
                <w:szCs w:val="18"/>
                <w:lang w:val="nl-NL"/>
              </w:rPr>
              <w:t>14,3</w:t>
            </w:r>
            <w:r>
              <w:rPr>
                <w:color w:val="215E99" w:themeColor="text2" w:themeTint="BF"/>
                <w:w w:val="105"/>
                <w:sz w:val="18"/>
                <w:szCs w:val="18"/>
                <w:lang w:val="nl-NL"/>
              </w:rPr>
              <w:t xml:space="preserve"> </w:t>
            </w:r>
            <w:proofErr w:type="spellStart"/>
            <w:r>
              <w:rPr>
                <w:color w:val="215E99" w:themeColor="text2" w:themeTint="BF"/>
                <w:w w:val="105"/>
                <w:sz w:val="18"/>
                <w:szCs w:val="18"/>
                <w:lang w:val="nl-NL"/>
              </w:rPr>
              <w:t>mln</w:t>
            </w:r>
            <w:proofErr w:type="spellEnd"/>
            <w:r w:rsidR="0025059E">
              <w:rPr>
                <w:color w:val="215E99" w:themeColor="text2" w:themeTint="BF"/>
                <w:w w:val="105"/>
                <w:sz w:val="18"/>
                <w:szCs w:val="18"/>
                <w:lang w:val="nl-NL"/>
              </w:rPr>
              <w:t xml:space="preserve"> </w:t>
            </w:r>
            <w:r>
              <w:rPr>
                <w:color w:val="215E99" w:themeColor="text2" w:themeTint="BF"/>
                <w:spacing w:val="-4"/>
                <w:w w:val="105"/>
                <w:sz w:val="18"/>
                <w:szCs w:val="18"/>
                <w:lang w:val="nl-NL"/>
              </w:rPr>
              <w:t>Overig</w:t>
            </w:r>
          </w:p>
          <w:p w:rsidR="00F223BC" w:rsidP="009F48F2" w:rsidRDefault="00F223BC" w14:paraId="45991FD5" w14:textId="69AC1BCF">
            <w:pPr>
              <w:pStyle w:val="TableParagraph"/>
              <w:ind w:left="0"/>
              <w:rPr>
                <w:color w:val="215E99" w:themeColor="text2" w:themeTint="BF"/>
                <w:spacing w:val="-4"/>
                <w:w w:val="105"/>
                <w:sz w:val="18"/>
                <w:szCs w:val="18"/>
                <w:lang w:val="nl-NL"/>
              </w:rPr>
            </w:pPr>
            <w:r>
              <w:rPr>
                <w:color w:val="215E99" w:themeColor="text2" w:themeTint="BF"/>
                <w:spacing w:val="-4"/>
                <w:w w:val="105"/>
                <w:sz w:val="18"/>
                <w:szCs w:val="18"/>
                <w:lang w:val="nl-NL"/>
              </w:rPr>
              <w:t xml:space="preserve">Totaal: </w:t>
            </w:r>
            <w:r w:rsidR="002A020D">
              <w:rPr>
                <w:color w:val="215E99" w:themeColor="text2" w:themeTint="BF"/>
                <w:spacing w:val="-4"/>
                <w:w w:val="105"/>
                <w:sz w:val="18"/>
                <w:szCs w:val="18"/>
                <w:lang w:val="nl-NL"/>
              </w:rPr>
              <w:t xml:space="preserve"> </w:t>
            </w:r>
          </w:p>
          <w:p w:rsidRPr="00CB7266" w:rsidR="002A020D" w:rsidP="009F48F2" w:rsidRDefault="002A020D" w14:paraId="3424655F" w14:textId="55C9B2EC">
            <w:pPr>
              <w:pStyle w:val="TableParagraph"/>
              <w:ind w:left="0"/>
              <w:rPr>
                <w:color w:val="215E99" w:themeColor="text2" w:themeTint="BF"/>
                <w:sz w:val="18"/>
                <w:szCs w:val="18"/>
                <w:lang w:val="nl-NL"/>
              </w:rPr>
            </w:pPr>
            <w:r w:rsidRPr="00CB7266">
              <w:rPr>
                <w:color w:val="215E99" w:themeColor="text2" w:themeTint="BF"/>
                <w:w w:val="105"/>
                <w:sz w:val="18"/>
                <w:szCs w:val="18"/>
                <w:lang w:val="nl-NL"/>
              </w:rPr>
              <w:t>€</w:t>
            </w:r>
            <w:r w:rsidR="00F223BC">
              <w:rPr>
                <w:color w:val="215E99" w:themeColor="text2" w:themeTint="BF"/>
                <w:spacing w:val="-4"/>
                <w:w w:val="105"/>
                <w:sz w:val="18"/>
                <w:szCs w:val="18"/>
                <w:lang w:val="nl-NL"/>
              </w:rPr>
              <w:t>1</w:t>
            </w:r>
            <w:r w:rsidR="0025059E">
              <w:rPr>
                <w:color w:val="215E99" w:themeColor="text2" w:themeTint="BF"/>
                <w:spacing w:val="-4"/>
                <w:w w:val="105"/>
                <w:sz w:val="18"/>
                <w:szCs w:val="18"/>
                <w:lang w:val="nl-NL"/>
              </w:rPr>
              <w:t>74</w:t>
            </w:r>
            <w:r w:rsidRPr="00CB7266">
              <w:rPr>
                <w:color w:val="215E99" w:themeColor="text2" w:themeTint="BF"/>
                <w:spacing w:val="-4"/>
                <w:w w:val="105"/>
                <w:sz w:val="18"/>
                <w:szCs w:val="18"/>
                <w:lang w:val="nl-NL"/>
              </w:rPr>
              <w:t xml:space="preserve"> </w:t>
            </w:r>
            <w:proofErr w:type="spellStart"/>
            <w:r w:rsidRPr="00CB7266">
              <w:rPr>
                <w:color w:val="215E99" w:themeColor="text2" w:themeTint="BF"/>
                <w:spacing w:val="-4"/>
                <w:w w:val="105"/>
                <w:sz w:val="18"/>
                <w:szCs w:val="18"/>
                <w:lang w:val="nl-NL"/>
              </w:rPr>
              <w:t>mln</w:t>
            </w:r>
            <w:proofErr w:type="spellEnd"/>
          </w:p>
          <w:p w:rsidRPr="00AC268A" w:rsidR="002A020D" w:rsidP="009F48F2" w:rsidRDefault="002A020D" w14:paraId="7351C241" w14:textId="77777777">
            <w:pPr>
              <w:pStyle w:val="TableParagraph"/>
              <w:rPr>
                <w:color w:val="215E99" w:themeColor="text2" w:themeTint="BF"/>
                <w:sz w:val="18"/>
                <w:szCs w:val="18"/>
              </w:rPr>
            </w:pPr>
          </w:p>
          <w:p w:rsidRPr="00AC268A" w:rsidR="002A020D" w:rsidP="009F48F2" w:rsidRDefault="002A020D" w14:paraId="2296222A" w14:textId="77777777">
            <w:pPr>
              <w:pStyle w:val="TableParagraph"/>
              <w:rPr>
                <w:color w:val="215E99" w:themeColor="text2" w:themeTint="BF"/>
                <w:spacing w:val="-4"/>
                <w:w w:val="105"/>
                <w:sz w:val="18"/>
                <w:szCs w:val="18"/>
              </w:rPr>
            </w:pPr>
          </w:p>
          <w:p w:rsidRPr="00AC268A" w:rsidR="002A020D" w:rsidP="009F48F2" w:rsidRDefault="002A020D" w14:paraId="74A9641F" w14:textId="77777777">
            <w:pPr>
              <w:pStyle w:val="TableParagraph"/>
              <w:spacing w:before="18"/>
              <w:rPr>
                <w:color w:val="215E99" w:themeColor="text2" w:themeTint="BF"/>
                <w:sz w:val="18"/>
                <w:szCs w:val="18"/>
              </w:rPr>
            </w:pPr>
          </w:p>
        </w:tc>
      </w:tr>
      <w:tr w:rsidRPr="00CB7266" w:rsidR="002A020D" w:rsidTr="009F48F2" w14:paraId="62D6180D" w14:textId="77777777">
        <w:trPr>
          <w:trHeight w:val="748"/>
        </w:trPr>
        <w:tc>
          <w:tcPr>
            <w:tcW w:w="7513" w:type="dxa"/>
            <w:gridSpan w:val="5"/>
          </w:tcPr>
          <w:p w:rsidRPr="00CB7266" w:rsidR="002A020D" w:rsidP="00806B23" w:rsidRDefault="002A020D" w14:paraId="4F60E403" w14:textId="6B95E8F8">
            <w:pPr>
              <w:pStyle w:val="TableParagraph"/>
              <w:spacing w:line="259" w:lineRule="auto"/>
              <w:ind w:right="168"/>
              <w:rPr>
                <w:color w:val="215E99" w:themeColor="text2" w:themeTint="BF"/>
                <w:sz w:val="18"/>
                <w:szCs w:val="18"/>
                <w:lang w:val="nl-NL"/>
              </w:rPr>
            </w:pPr>
            <w:r w:rsidRPr="00CB7266">
              <w:rPr>
                <w:b/>
                <w:bCs/>
                <w:color w:val="215E99" w:themeColor="text2" w:themeTint="BF"/>
                <w:w w:val="105"/>
                <w:sz w:val="18"/>
                <w:szCs w:val="18"/>
                <w:lang w:val="nl-NL"/>
              </w:rPr>
              <w:t>Toelichting evaluatie:</w:t>
            </w:r>
            <w:r w:rsidRPr="00CB7266">
              <w:rPr>
                <w:w w:val="105"/>
                <w:sz w:val="18"/>
                <w:szCs w:val="18"/>
                <w:lang w:val="nl-NL"/>
              </w:rPr>
              <w:t xml:space="preserve"> </w:t>
            </w:r>
            <w:r w:rsidR="00806B23">
              <w:rPr>
                <w:color w:val="215E99" w:themeColor="text2" w:themeTint="BF"/>
                <w:w w:val="105"/>
                <w:sz w:val="18"/>
                <w:szCs w:val="18"/>
                <w:lang w:val="nl-NL"/>
              </w:rPr>
              <w:t>Deze periodieke rapportage richt zich op de vraag w</w:t>
            </w:r>
            <w:r w:rsidRPr="00806B23" w:rsidR="00806B23">
              <w:rPr>
                <w:color w:val="215E99" w:themeColor="text2" w:themeTint="BF"/>
                <w:w w:val="105"/>
                <w:sz w:val="18"/>
                <w:szCs w:val="18"/>
                <w:lang w:val="nl-NL"/>
              </w:rPr>
              <w:t xml:space="preserve">elke inzichten er beschikbaar </w:t>
            </w:r>
            <w:r w:rsidR="00806B23">
              <w:rPr>
                <w:color w:val="215E99" w:themeColor="text2" w:themeTint="BF"/>
                <w:w w:val="105"/>
                <w:sz w:val="18"/>
                <w:szCs w:val="18"/>
                <w:lang w:val="nl-NL"/>
              </w:rPr>
              <w:t xml:space="preserve">zijn </w:t>
            </w:r>
            <w:r w:rsidRPr="00806B23" w:rsidR="00806B23">
              <w:rPr>
                <w:color w:val="215E99" w:themeColor="text2" w:themeTint="BF"/>
                <w:w w:val="105"/>
                <w:sz w:val="18"/>
                <w:szCs w:val="18"/>
                <w:lang w:val="nl-NL"/>
              </w:rPr>
              <w:t>over (de voorwaarden voor) doeltreffendheid en</w:t>
            </w:r>
            <w:r w:rsidR="00806B23">
              <w:rPr>
                <w:color w:val="215E99" w:themeColor="text2" w:themeTint="BF"/>
                <w:w w:val="105"/>
                <w:sz w:val="18"/>
                <w:szCs w:val="18"/>
                <w:lang w:val="nl-NL"/>
              </w:rPr>
              <w:t xml:space="preserve"> </w:t>
            </w:r>
            <w:r w:rsidRPr="00806B23" w:rsidR="00806B23">
              <w:rPr>
                <w:color w:val="215E99" w:themeColor="text2" w:themeTint="BF"/>
                <w:w w:val="105"/>
                <w:sz w:val="18"/>
                <w:szCs w:val="18"/>
                <w:lang w:val="nl-NL"/>
              </w:rPr>
              <w:t xml:space="preserve">doelmatigheid van multilaterale organisaties die tussen 2017 en 2023 </w:t>
            </w:r>
            <w:proofErr w:type="spellStart"/>
            <w:r w:rsidRPr="00806B23" w:rsidR="00806B23">
              <w:rPr>
                <w:color w:val="215E99" w:themeColor="text2" w:themeTint="BF"/>
                <w:w w:val="105"/>
                <w:sz w:val="18"/>
                <w:szCs w:val="18"/>
                <w:lang w:val="nl-NL"/>
              </w:rPr>
              <w:t>ongeoormerkte</w:t>
            </w:r>
            <w:proofErr w:type="spellEnd"/>
            <w:r w:rsidRPr="00806B23" w:rsidR="00806B23">
              <w:rPr>
                <w:color w:val="215E99" w:themeColor="text2" w:themeTint="BF"/>
                <w:w w:val="105"/>
                <w:sz w:val="18"/>
                <w:szCs w:val="18"/>
                <w:lang w:val="nl-NL"/>
              </w:rPr>
              <w:t xml:space="preserve"> financiering van Nederland hebben ontvangen? Wat zegt dit over de Nederlandse inzet op het gebied van multilaterale samenwerking ten behoeve van de Nederlandse BHOS</w:t>
            </w:r>
            <w:r w:rsidR="00806B23">
              <w:rPr>
                <w:color w:val="215E99" w:themeColor="text2" w:themeTint="BF"/>
                <w:w w:val="105"/>
                <w:sz w:val="18"/>
                <w:szCs w:val="18"/>
                <w:lang w:val="nl-NL"/>
              </w:rPr>
              <w:t>-</w:t>
            </w:r>
            <w:r w:rsidRPr="00806B23" w:rsidR="00806B23">
              <w:rPr>
                <w:color w:val="215E99" w:themeColor="text2" w:themeTint="BF"/>
                <w:w w:val="105"/>
                <w:sz w:val="18"/>
                <w:szCs w:val="18"/>
                <w:lang w:val="nl-NL"/>
              </w:rPr>
              <w:t>doelstellingen en welke lessen kunnen hieruit getrokken worden voor huidig en toekomstig beleid?</w:t>
            </w:r>
            <w:r w:rsidR="00B708FE">
              <w:rPr>
                <w:color w:val="215E99" w:themeColor="text2" w:themeTint="BF"/>
                <w:w w:val="105"/>
                <w:sz w:val="18"/>
                <w:szCs w:val="18"/>
                <w:lang w:val="nl-NL"/>
              </w:rPr>
              <w:t xml:space="preserve"> </w:t>
            </w:r>
            <w:r w:rsidRPr="005061D6" w:rsidR="00B708FE">
              <w:rPr>
                <w:color w:val="215E99" w:themeColor="text2" w:themeTint="BF"/>
                <w:sz w:val="18"/>
                <w:szCs w:val="18"/>
                <w:lang w:val="nl-NL"/>
              </w:rPr>
              <w:t>Deze PR laat zien hoe de vier grootste ontvangers – UNICEF, UNDP, de Afrikaanse Ontwikkelingsbank (</w:t>
            </w:r>
            <w:proofErr w:type="spellStart"/>
            <w:r w:rsidRPr="005061D6" w:rsidR="00B708FE">
              <w:rPr>
                <w:color w:val="215E99" w:themeColor="text2" w:themeTint="BF"/>
                <w:sz w:val="18"/>
                <w:szCs w:val="18"/>
                <w:lang w:val="nl-NL"/>
              </w:rPr>
              <w:t>AfDB</w:t>
            </w:r>
            <w:proofErr w:type="spellEnd"/>
            <w:r w:rsidRPr="005061D6" w:rsidR="00B708FE">
              <w:rPr>
                <w:color w:val="215E99" w:themeColor="text2" w:themeTint="BF"/>
                <w:sz w:val="18"/>
                <w:szCs w:val="18"/>
                <w:lang w:val="nl-NL"/>
              </w:rPr>
              <w:t>) en de Aziatische Ontwikkelingsbank (</w:t>
            </w:r>
            <w:proofErr w:type="spellStart"/>
            <w:r w:rsidRPr="005061D6" w:rsidR="00B708FE">
              <w:rPr>
                <w:color w:val="215E99" w:themeColor="text2" w:themeTint="BF"/>
                <w:sz w:val="18"/>
                <w:szCs w:val="18"/>
                <w:lang w:val="nl-NL"/>
              </w:rPr>
              <w:t>AsDB</w:t>
            </w:r>
            <w:proofErr w:type="spellEnd"/>
            <w:r w:rsidRPr="005061D6" w:rsidR="00B708FE">
              <w:rPr>
                <w:color w:val="215E99" w:themeColor="text2" w:themeTint="BF"/>
                <w:sz w:val="18"/>
                <w:szCs w:val="18"/>
                <w:lang w:val="nl-NL"/>
              </w:rPr>
              <w:t xml:space="preserve">) – bijdragen aan de BHOS-doelstellingen en welke rol </w:t>
            </w:r>
            <w:proofErr w:type="spellStart"/>
            <w:r w:rsidRPr="005061D6" w:rsidR="00B708FE">
              <w:rPr>
                <w:color w:val="215E99" w:themeColor="text2" w:themeTint="BF"/>
                <w:sz w:val="18"/>
                <w:szCs w:val="18"/>
                <w:lang w:val="nl-NL"/>
              </w:rPr>
              <w:t>ongeoormerkte</w:t>
            </w:r>
            <w:proofErr w:type="spellEnd"/>
            <w:r w:rsidRPr="005061D6" w:rsidR="00B708FE">
              <w:rPr>
                <w:color w:val="215E99" w:themeColor="text2" w:themeTint="BF"/>
                <w:sz w:val="18"/>
                <w:szCs w:val="18"/>
                <w:lang w:val="nl-NL"/>
              </w:rPr>
              <w:t xml:space="preserve"> financiering daarbij speelt.</w:t>
            </w:r>
          </w:p>
          <w:p w:rsidRPr="00CB7266" w:rsidR="002A020D" w:rsidP="009F48F2" w:rsidRDefault="002A020D" w14:paraId="531835D5" w14:textId="77777777">
            <w:pPr>
              <w:pStyle w:val="TableParagraph"/>
              <w:spacing w:line="259" w:lineRule="auto"/>
              <w:ind w:right="168"/>
              <w:rPr>
                <w:sz w:val="18"/>
                <w:szCs w:val="18"/>
                <w:lang w:val="nl-NL"/>
              </w:rPr>
            </w:pPr>
          </w:p>
        </w:tc>
      </w:tr>
      <w:tr w:rsidRPr="0061391E" w:rsidR="002A020D" w:rsidTr="009F48F2" w14:paraId="4A51AAF4" w14:textId="77777777">
        <w:trPr>
          <w:trHeight w:val="364"/>
        </w:trPr>
        <w:tc>
          <w:tcPr>
            <w:tcW w:w="4253" w:type="dxa"/>
            <w:gridSpan w:val="3"/>
          </w:tcPr>
          <w:p w:rsidRPr="0061391E" w:rsidR="002A020D" w:rsidP="009F48F2" w:rsidRDefault="002A020D" w14:paraId="4A65853C" w14:textId="77777777">
            <w:pPr>
              <w:pStyle w:val="TableParagraph"/>
              <w:spacing w:before="19"/>
              <w:rPr>
                <w:b/>
                <w:bCs/>
                <w:iCs/>
                <w:color w:val="215E99" w:themeColor="text2" w:themeTint="BF"/>
                <w:sz w:val="18"/>
                <w:szCs w:val="18"/>
              </w:rPr>
            </w:pPr>
            <w:proofErr w:type="spellStart"/>
            <w:r w:rsidRPr="0061391E">
              <w:rPr>
                <w:b/>
                <w:bCs/>
                <w:iCs/>
                <w:color w:val="215E99" w:themeColor="text2" w:themeTint="BF"/>
                <w:spacing w:val="-2"/>
                <w:w w:val="105"/>
                <w:sz w:val="18"/>
                <w:szCs w:val="18"/>
              </w:rPr>
              <w:t>Aanbevelingen</w:t>
            </w:r>
            <w:proofErr w:type="spellEnd"/>
            <w:r w:rsidRPr="0061391E">
              <w:rPr>
                <w:b/>
                <w:bCs/>
                <w:iCs/>
                <w:color w:val="215E99" w:themeColor="text2" w:themeTint="BF"/>
                <w:spacing w:val="-2"/>
                <w:w w:val="105"/>
                <w:sz w:val="18"/>
                <w:szCs w:val="18"/>
              </w:rPr>
              <w:t>/</w:t>
            </w:r>
            <w:proofErr w:type="spellStart"/>
            <w:r w:rsidRPr="0061391E">
              <w:rPr>
                <w:b/>
                <w:bCs/>
                <w:iCs/>
                <w:color w:val="215E99" w:themeColor="text2" w:themeTint="BF"/>
                <w:spacing w:val="-2"/>
                <w:w w:val="105"/>
                <w:sz w:val="18"/>
                <w:szCs w:val="18"/>
              </w:rPr>
              <w:t>bevindingen</w:t>
            </w:r>
            <w:proofErr w:type="spellEnd"/>
            <w:r w:rsidRPr="0061391E">
              <w:rPr>
                <w:b/>
                <w:bCs/>
                <w:iCs/>
                <w:color w:val="215E99" w:themeColor="text2" w:themeTint="BF"/>
                <w:spacing w:val="-2"/>
                <w:w w:val="105"/>
                <w:sz w:val="18"/>
                <w:szCs w:val="18"/>
              </w:rPr>
              <w:t>:</w:t>
            </w:r>
          </w:p>
        </w:tc>
        <w:tc>
          <w:tcPr>
            <w:tcW w:w="3260" w:type="dxa"/>
            <w:gridSpan w:val="2"/>
          </w:tcPr>
          <w:p w:rsidRPr="0061391E" w:rsidR="002A020D" w:rsidP="009F48F2" w:rsidRDefault="002A020D" w14:paraId="33B538D2" w14:textId="77777777">
            <w:pPr>
              <w:pStyle w:val="TableParagraph"/>
              <w:spacing w:before="19"/>
              <w:ind w:left="101"/>
              <w:rPr>
                <w:b/>
                <w:bCs/>
                <w:iCs/>
                <w:color w:val="215E99" w:themeColor="text2" w:themeTint="BF"/>
                <w:sz w:val="18"/>
                <w:szCs w:val="18"/>
              </w:rPr>
            </w:pPr>
            <w:proofErr w:type="spellStart"/>
            <w:r w:rsidRPr="0061391E">
              <w:rPr>
                <w:b/>
                <w:bCs/>
                <w:iCs/>
                <w:color w:val="215E99" w:themeColor="text2" w:themeTint="BF"/>
                <w:w w:val="105"/>
                <w:sz w:val="18"/>
                <w:szCs w:val="18"/>
              </w:rPr>
              <w:t>Toelichting</w:t>
            </w:r>
            <w:proofErr w:type="spellEnd"/>
            <w:r w:rsidRPr="0061391E">
              <w:rPr>
                <w:b/>
                <w:bCs/>
                <w:iCs/>
                <w:color w:val="215E99" w:themeColor="text2" w:themeTint="BF"/>
                <w:spacing w:val="-7"/>
                <w:w w:val="105"/>
                <w:sz w:val="18"/>
                <w:szCs w:val="18"/>
              </w:rPr>
              <w:t xml:space="preserve"> </w:t>
            </w:r>
            <w:r w:rsidRPr="0061391E">
              <w:rPr>
                <w:b/>
                <w:bCs/>
                <w:iCs/>
                <w:color w:val="215E99" w:themeColor="text2" w:themeTint="BF"/>
                <w:w w:val="105"/>
                <w:sz w:val="18"/>
                <w:szCs w:val="18"/>
              </w:rPr>
              <w:t>status</w:t>
            </w:r>
            <w:r w:rsidRPr="0061391E">
              <w:rPr>
                <w:b/>
                <w:bCs/>
                <w:iCs/>
                <w:color w:val="215E99" w:themeColor="text2" w:themeTint="BF"/>
                <w:spacing w:val="10"/>
                <w:w w:val="105"/>
                <w:sz w:val="18"/>
                <w:szCs w:val="18"/>
              </w:rPr>
              <w:t xml:space="preserve"> </w:t>
            </w:r>
            <w:proofErr w:type="spellStart"/>
            <w:r w:rsidRPr="0061391E">
              <w:rPr>
                <w:b/>
                <w:bCs/>
                <w:iCs/>
                <w:color w:val="215E99" w:themeColor="text2" w:themeTint="BF"/>
                <w:spacing w:val="-2"/>
                <w:w w:val="105"/>
                <w:sz w:val="18"/>
                <w:szCs w:val="18"/>
              </w:rPr>
              <w:t>opvolging</w:t>
            </w:r>
            <w:proofErr w:type="spellEnd"/>
            <w:r w:rsidRPr="0061391E">
              <w:rPr>
                <w:b/>
                <w:bCs/>
                <w:iCs/>
                <w:color w:val="215E99" w:themeColor="text2" w:themeTint="BF"/>
                <w:spacing w:val="-2"/>
                <w:w w:val="105"/>
                <w:sz w:val="18"/>
                <w:szCs w:val="18"/>
              </w:rPr>
              <w:t>:</w:t>
            </w:r>
          </w:p>
        </w:tc>
      </w:tr>
      <w:tr w:rsidRPr="00CB7266" w:rsidR="002A020D" w:rsidTr="009F48F2" w14:paraId="5DFCBBB2" w14:textId="77777777">
        <w:trPr>
          <w:trHeight w:val="2237"/>
        </w:trPr>
        <w:tc>
          <w:tcPr>
            <w:tcW w:w="4253" w:type="dxa"/>
            <w:gridSpan w:val="3"/>
          </w:tcPr>
          <w:p w:rsidRPr="00A276F1" w:rsidR="002A020D" w:rsidP="00A276F1" w:rsidRDefault="00A276F1" w14:paraId="3A18243D" w14:textId="7E2DEED0">
            <w:pPr>
              <w:pStyle w:val="TableParagraph"/>
              <w:numPr>
                <w:ilvl w:val="0"/>
                <w:numId w:val="13"/>
              </w:numPr>
              <w:spacing w:before="19" w:line="268" w:lineRule="auto"/>
              <w:ind w:right="207"/>
              <w:rPr>
                <w:sz w:val="18"/>
                <w:szCs w:val="18"/>
                <w:lang w:val="nl-NL"/>
              </w:rPr>
            </w:pPr>
            <w:r w:rsidRPr="00A276F1">
              <w:rPr>
                <w:sz w:val="18"/>
                <w:szCs w:val="18"/>
                <w:lang w:val="nl-NL"/>
              </w:rPr>
              <w:t xml:space="preserve">Versterk de </w:t>
            </w:r>
            <w:proofErr w:type="spellStart"/>
            <w:r w:rsidRPr="00A276F1">
              <w:rPr>
                <w:sz w:val="18"/>
                <w:szCs w:val="18"/>
                <w:lang w:val="nl-NL"/>
              </w:rPr>
              <w:t>rijksbrede</w:t>
            </w:r>
            <w:proofErr w:type="spellEnd"/>
            <w:r w:rsidRPr="00A276F1">
              <w:rPr>
                <w:sz w:val="18"/>
                <w:szCs w:val="18"/>
                <w:lang w:val="nl-NL"/>
              </w:rPr>
              <w:t xml:space="preserve"> afstemming van de multilaterale</w:t>
            </w:r>
            <w:r>
              <w:rPr>
                <w:sz w:val="18"/>
                <w:szCs w:val="18"/>
                <w:lang w:val="nl-NL"/>
              </w:rPr>
              <w:t xml:space="preserve"> </w:t>
            </w:r>
            <w:r w:rsidRPr="00A276F1">
              <w:rPr>
                <w:sz w:val="18"/>
                <w:szCs w:val="18"/>
                <w:lang w:val="nl-NL"/>
              </w:rPr>
              <w:t>inzet</w:t>
            </w:r>
          </w:p>
        </w:tc>
        <w:tc>
          <w:tcPr>
            <w:tcW w:w="3260" w:type="dxa"/>
            <w:gridSpan w:val="2"/>
          </w:tcPr>
          <w:p w:rsidRPr="003A3FFD" w:rsidR="002A020D" w:rsidP="003A3FFD" w:rsidRDefault="00FF7024" w14:paraId="4B330A95" w14:textId="7074F1B3">
            <w:pPr>
              <w:pStyle w:val="TableParagraph"/>
              <w:spacing w:before="19"/>
              <w:ind w:left="101"/>
              <w:rPr>
                <w:w w:val="105"/>
                <w:sz w:val="18"/>
                <w:szCs w:val="18"/>
                <w:lang w:val="nl-NL"/>
              </w:rPr>
            </w:pPr>
            <w:r>
              <w:rPr>
                <w:w w:val="105"/>
                <w:sz w:val="18"/>
                <w:szCs w:val="18"/>
                <w:lang w:val="nl-NL"/>
              </w:rPr>
              <w:t xml:space="preserve">Onderhanden: </w:t>
            </w:r>
            <w:r w:rsidR="0088425B">
              <w:rPr>
                <w:w w:val="105"/>
                <w:sz w:val="18"/>
                <w:szCs w:val="18"/>
                <w:lang w:val="nl-NL"/>
              </w:rPr>
              <w:t>h</w:t>
            </w:r>
            <w:r>
              <w:rPr>
                <w:w w:val="105"/>
                <w:sz w:val="18"/>
                <w:szCs w:val="18"/>
                <w:lang w:val="nl-NL"/>
              </w:rPr>
              <w:t xml:space="preserve">et belang van </w:t>
            </w:r>
            <w:proofErr w:type="spellStart"/>
            <w:r w:rsidR="004B4C0C">
              <w:rPr>
                <w:w w:val="105"/>
                <w:sz w:val="18"/>
                <w:szCs w:val="18"/>
                <w:lang w:val="nl-NL"/>
              </w:rPr>
              <w:t>r</w:t>
            </w:r>
            <w:r>
              <w:rPr>
                <w:w w:val="105"/>
                <w:sz w:val="18"/>
                <w:szCs w:val="18"/>
                <w:lang w:val="nl-NL"/>
              </w:rPr>
              <w:t>ijksbrede</w:t>
            </w:r>
            <w:proofErr w:type="spellEnd"/>
            <w:r>
              <w:rPr>
                <w:w w:val="105"/>
                <w:sz w:val="18"/>
                <w:szCs w:val="18"/>
                <w:lang w:val="nl-NL"/>
              </w:rPr>
              <w:t xml:space="preserve"> afstemming wordt onderkend, en is integraal onderdeel van de uitvoering van het Beleidskader Mondiaal </w:t>
            </w:r>
            <w:proofErr w:type="spellStart"/>
            <w:r>
              <w:rPr>
                <w:w w:val="105"/>
                <w:sz w:val="18"/>
                <w:szCs w:val="18"/>
                <w:lang w:val="nl-NL"/>
              </w:rPr>
              <w:t>Multilaterisme</w:t>
            </w:r>
            <w:proofErr w:type="spellEnd"/>
            <w:r>
              <w:rPr>
                <w:w w:val="105"/>
                <w:sz w:val="18"/>
                <w:szCs w:val="18"/>
                <w:lang w:val="nl-NL"/>
              </w:rPr>
              <w:t xml:space="preserve"> dat in 2023 werd vastgesteld. Hierbij wordt ook meer gebruik gemaakt van kaderinstructies.</w:t>
            </w:r>
          </w:p>
          <w:p w:rsidRPr="00CB7266" w:rsidR="002A020D" w:rsidP="003A3FFD" w:rsidRDefault="002A020D" w14:paraId="0029C87B" w14:textId="77777777">
            <w:pPr>
              <w:pStyle w:val="TableParagraph"/>
              <w:spacing w:before="19"/>
              <w:ind w:left="101"/>
              <w:rPr>
                <w:w w:val="105"/>
                <w:sz w:val="18"/>
                <w:szCs w:val="18"/>
                <w:lang w:val="nl-NL"/>
              </w:rPr>
            </w:pPr>
          </w:p>
        </w:tc>
      </w:tr>
      <w:tr w:rsidRPr="00CB7266" w:rsidR="002A020D" w:rsidTr="009F48F2" w14:paraId="39DAEEF3" w14:textId="77777777">
        <w:trPr>
          <w:trHeight w:val="2237"/>
        </w:trPr>
        <w:tc>
          <w:tcPr>
            <w:tcW w:w="4253" w:type="dxa"/>
            <w:gridSpan w:val="3"/>
          </w:tcPr>
          <w:p w:rsidRPr="00A276F1" w:rsidR="002A020D" w:rsidP="00A276F1" w:rsidRDefault="00A276F1" w14:paraId="43B99187" w14:textId="00303048">
            <w:pPr>
              <w:pStyle w:val="ListParagraph"/>
              <w:numPr>
                <w:ilvl w:val="0"/>
                <w:numId w:val="13"/>
              </w:numPr>
              <w:rPr>
                <w:rFonts w:eastAsia="Verdana" w:cs="Verdana"/>
                <w:w w:val="105"/>
                <w:lang w:val="nl-NL"/>
              </w:rPr>
            </w:pPr>
            <w:r w:rsidRPr="00A276F1">
              <w:rPr>
                <w:rFonts w:eastAsia="Verdana" w:cs="Verdana"/>
                <w:w w:val="105"/>
                <w:lang w:val="nl-NL"/>
              </w:rPr>
              <w:t>Bewaak de omvang van het thematische mandaat van</w:t>
            </w:r>
            <w:r>
              <w:rPr>
                <w:rFonts w:eastAsia="Verdana" w:cs="Verdana"/>
                <w:w w:val="105"/>
                <w:lang w:val="nl-NL"/>
              </w:rPr>
              <w:t xml:space="preserve"> </w:t>
            </w:r>
            <w:r w:rsidRPr="00A276F1">
              <w:rPr>
                <w:rFonts w:eastAsia="Verdana" w:cs="Verdana"/>
                <w:w w:val="105"/>
                <w:lang w:val="nl-NL"/>
              </w:rPr>
              <w:t>multilaterale organisaties</w:t>
            </w:r>
          </w:p>
          <w:p w:rsidRPr="00CB7266" w:rsidR="002A020D" w:rsidP="009F48F2" w:rsidRDefault="002A020D" w14:paraId="4110C58E" w14:textId="77777777">
            <w:pPr>
              <w:pStyle w:val="TableParagraph"/>
              <w:spacing w:before="19" w:line="268" w:lineRule="auto"/>
              <w:ind w:left="839" w:right="207" w:hanging="353"/>
              <w:rPr>
                <w:b/>
                <w:w w:val="105"/>
                <w:sz w:val="18"/>
                <w:szCs w:val="18"/>
                <w:lang w:val="nl-NL"/>
              </w:rPr>
            </w:pPr>
          </w:p>
        </w:tc>
        <w:tc>
          <w:tcPr>
            <w:tcW w:w="3260" w:type="dxa"/>
            <w:gridSpan w:val="2"/>
          </w:tcPr>
          <w:p w:rsidRPr="003A3FFD" w:rsidR="002A020D" w:rsidP="003A3FFD" w:rsidRDefault="00FF7024" w14:paraId="3B77A670" w14:textId="5E369B58">
            <w:pPr>
              <w:pStyle w:val="TableParagraph"/>
              <w:spacing w:before="19"/>
              <w:ind w:left="101"/>
              <w:rPr>
                <w:w w:val="105"/>
                <w:sz w:val="18"/>
                <w:szCs w:val="18"/>
                <w:lang w:val="nl-NL"/>
              </w:rPr>
            </w:pPr>
            <w:r>
              <w:rPr>
                <w:w w:val="105"/>
                <w:sz w:val="18"/>
                <w:szCs w:val="18"/>
                <w:lang w:val="nl-NL"/>
              </w:rPr>
              <w:t xml:space="preserve">Onderhanden: </w:t>
            </w:r>
            <w:r w:rsidR="00F23597">
              <w:rPr>
                <w:w w:val="105"/>
                <w:sz w:val="18"/>
                <w:szCs w:val="18"/>
                <w:lang w:val="nl-NL"/>
              </w:rPr>
              <w:t>h</w:t>
            </w:r>
            <w:r>
              <w:rPr>
                <w:w w:val="105"/>
                <w:sz w:val="18"/>
                <w:szCs w:val="18"/>
                <w:lang w:val="nl-NL"/>
              </w:rPr>
              <w:t>et bewaken van het thematische mandaat vindt plaats via de kiesgroepen (bij multilaterale banken) en bestuursraden. Dit betreft onder meer het meesturen op de strategische plannen en overige besluiten. Bij de hervormingen wordt ook ingezet op het beschermen van mandaten op thema’s als gender en klimaat.</w:t>
            </w:r>
          </w:p>
          <w:p w:rsidRPr="00CB7266" w:rsidR="002A020D" w:rsidP="003A3FFD" w:rsidRDefault="002A020D" w14:paraId="7838E5F5" w14:textId="77777777">
            <w:pPr>
              <w:pStyle w:val="TableParagraph"/>
              <w:spacing w:before="19"/>
              <w:ind w:left="101"/>
              <w:rPr>
                <w:w w:val="105"/>
                <w:sz w:val="18"/>
                <w:szCs w:val="18"/>
                <w:lang w:val="nl-NL"/>
              </w:rPr>
            </w:pPr>
          </w:p>
        </w:tc>
      </w:tr>
      <w:tr w:rsidRPr="00CB7266" w:rsidR="002A020D" w:rsidTr="009F48F2" w14:paraId="73A6C8C6" w14:textId="77777777">
        <w:trPr>
          <w:trHeight w:val="2237"/>
        </w:trPr>
        <w:tc>
          <w:tcPr>
            <w:tcW w:w="4253" w:type="dxa"/>
            <w:gridSpan w:val="3"/>
          </w:tcPr>
          <w:p w:rsidRPr="00B67BEF" w:rsidR="002A020D" w:rsidP="00B67BEF" w:rsidRDefault="00B67BEF" w14:paraId="1F0DBF5D" w14:textId="38C0C793">
            <w:pPr>
              <w:pStyle w:val="ListParagraph"/>
              <w:numPr>
                <w:ilvl w:val="0"/>
                <w:numId w:val="13"/>
              </w:numPr>
              <w:rPr>
                <w:rFonts w:eastAsia="Verdana" w:cs="Verdana"/>
                <w:w w:val="105"/>
                <w:lang w:val="nl-NL"/>
              </w:rPr>
            </w:pPr>
            <w:r w:rsidRPr="00B67BEF">
              <w:rPr>
                <w:rFonts w:eastAsia="Verdana" w:cs="Verdana"/>
                <w:w w:val="105"/>
                <w:lang w:val="nl-NL"/>
              </w:rPr>
              <w:lastRenderedPageBreak/>
              <w:t>Spoor multilaterale organisaties aan om goed bestuur in partnerlanden structureler te versterken</w:t>
            </w:r>
          </w:p>
        </w:tc>
        <w:tc>
          <w:tcPr>
            <w:tcW w:w="3260" w:type="dxa"/>
            <w:gridSpan w:val="2"/>
          </w:tcPr>
          <w:p w:rsidR="002A020D" w:rsidP="003A3FFD" w:rsidRDefault="00FF7024" w14:paraId="1BE6AA06" w14:textId="77777777">
            <w:pPr>
              <w:pStyle w:val="TableParagraph"/>
              <w:spacing w:before="19"/>
              <w:ind w:left="101"/>
              <w:rPr>
                <w:w w:val="105"/>
                <w:sz w:val="18"/>
                <w:szCs w:val="18"/>
                <w:lang w:val="nl-NL"/>
              </w:rPr>
            </w:pPr>
            <w:r>
              <w:rPr>
                <w:w w:val="105"/>
                <w:sz w:val="18"/>
                <w:szCs w:val="18"/>
                <w:lang w:val="nl-NL"/>
              </w:rPr>
              <w:t>Onderhanden:</w:t>
            </w:r>
            <w:r w:rsidR="00577A49">
              <w:rPr>
                <w:w w:val="105"/>
                <w:sz w:val="18"/>
                <w:szCs w:val="18"/>
                <w:lang w:val="nl-NL"/>
              </w:rPr>
              <w:t xml:space="preserve"> </w:t>
            </w:r>
            <w:r w:rsidR="00223C8B">
              <w:rPr>
                <w:w w:val="105"/>
                <w:sz w:val="18"/>
                <w:szCs w:val="18"/>
                <w:lang w:val="nl-NL"/>
              </w:rPr>
              <w:t>g</w:t>
            </w:r>
            <w:r w:rsidR="00577A49">
              <w:rPr>
                <w:w w:val="105"/>
                <w:sz w:val="18"/>
                <w:szCs w:val="18"/>
                <w:lang w:val="nl-NL"/>
              </w:rPr>
              <w:t>oed bestuur is een belangrijke factor voor effectieve ontwikkeling. We ondersteunen multilaterale organisaties in het verbeteren hiervan. Daarnaast draagt Nederland ook bij aan specifieke instrumenten die bijdragen aan betere capaciteit en aan het maatschappelijk middenveld.</w:t>
            </w:r>
          </w:p>
          <w:p w:rsidRPr="00CB7266" w:rsidR="00516B03" w:rsidP="003A3FFD" w:rsidRDefault="00516B03" w14:paraId="6D731984" w14:textId="044004E7">
            <w:pPr>
              <w:pStyle w:val="TableParagraph"/>
              <w:spacing w:before="19"/>
              <w:ind w:left="101"/>
              <w:rPr>
                <w:w w:val="105"/>
                <w:sz w:val="18"/>
                <w:szCs w:val="18"/>
                <w:lang w:val="nl-NL"/>
              </w:rPr>
            </w:pPr>
          </w:p>
        </w:tc>
      </w:tr>
      <w:tr w:rsidRPr="00AC268A" w:rsidR="002A020D" w:rsidTr="009F48F2" w14:paraId="0FBBE3CD" w14:textId="77777777">
        <w:trPr>
          <w:trHeight w:val="2237"/>
        </w:trPr>
        <w:tc>
          <w:tcPr>
            <w:tcW w:w="4253" w:type="dxa"/>
            <w:gridSpan w:val="3"/>
          </w:tcPr>
          <w:p w:rsidRPr="00B67BEF" w:rsidR="002A020D" w:rsidP="00B67BEF" w:rsidRDefault="00B67BEF" w14:paraId="60713C74" w14:textId="1FF50EB2">
            <w:pPr>
              <w:pStyle w:val="ListParagraph"/>
              <w:numPr>
                <w:ilvl w:val="0"/>
                <w:numId w:val="13"/>
              </w:numPr>
              <w:rPr>
                <w:rFonts w:eastAsia="Verdana" w:cs="Verdana"/>
                <w:w w:val="105"/>
                <w:lang w:val="nl-NL"/>
              </w:rPr>
            </w:pPr>
            <w:r w:rsidRPr="00B67BEF">
              <w:rPr>
                <w:rFonts w:eastAsia="Verdana" w:cs="Verdana"/>
                <w:w w:val="105"/>
                <w:lang w:val="nl-NL"/>
              </w:rPr>
              <w:t>Spreek multilaterale organisaties via executive boards en</w:t>
            </w:r>
            <w:r>
              <w:rPr>
                <w:rFonts w:eastAsia="Verdana" w:cs="Verdana"/>
                <w:w w:val="105"/>
                <w:lang w:val="nl-NL"/>
              </w:rPr>
              <w:t xml:space="preserve"> </w:t>
            </w:r>
            <w:r w:rsidRPr="00B67BEF">
              <w:rPr>
                <w:rFonts w:eastAsia="Verdana" w:cs="Verdana"/>
                <w:w w:val="105"/>
                <w:lang w:val="nl-NL"/>
              </w:rPr>
              <w:t>werkgroepen aan op het belang van het versterken van hun onafhankelijke evaluatieafdelingen</w:t>
            </w:r>
          </w:p>
          <w:p w:rsidRPr="00CB7266" w:rsidR="002A020D" w:rsidP="009F48F2" w:rsidRDefault="002A020D" w14:paraId="732916F6" w14:textId="77777777">
            <w:pPr>
              <w:rPr>
                <w:rFonts w:eastAsia="Verdana" w:cs="Verdana"/>
                <w:w w:val="105"/>
                <w:lang w:val="nl-NL"/>
              </w:rPr>
            </w:pPr>
          </w:p>
        </w:tc>
        <w:tc>
          <w:tcPr>
            <w:tcW w:w="3260" w:type="dxa"/>
            <w:gridSpan w:val="2"/>
          </w:tcPr>
          <w:p w:rsidRPr="003A3FFD" w:rsidR="002A020D" w:rsidP="003A3FFD" w:rsidRDefault="00FF7024" w14:paraId="0A62DFFE" w14:textId="3E008CAF">
            <w:pPr>
              <w:pStyle w:val="TableParagraph"/>
              <w:spacing w:before="19"/>
              <w:ind w:left="101"/>
              <w:rPr>
                <w:w w:val="105"/>
                <w:sz w:val="18"/>
                <w:szCs w:val="18"/>
                <w:lang w:val="nl-NL"/>
              </w:rPr>
            </w:pPr>
            <w:r>
              <w:rPr>
                <w:w w:val="105"/>
                <w:sz w:val="18"/>
                <w:szCs w:val="18"/>
                <w:lang w:val="nl-NL"/>
              </w:rPr>
              <w:t xml:space="preserve">Onderhanden: Nederland dringt bij alle organisaties aan op een goede kwaliteit van de interne evaluatie. Daarnaast was Nederland in 2025 als voorzitter van de </w:t>
            </w:r>
            <w:proofErr w:type="spellStart"/>
            <w:r w:rsidRPr="006B5103" w:rsidR="0058341C">
              <w:rPr>
                <w:i/>
                <w:iCs/>
                <w:w w:val="105"/>
                <w:sz w:val="18"/>
                <w:szCs w:val="18"/>
                <w:lang w:val="nl-NL"/>
              </w:rPr>
              <w:t>Multilateral</w:t>
            </w:r>
            <w:proofErr w:type="spellEnd"/>
            <w:r w:rsidRPr="006B5103" w:rsidR="0058341C">
              <w:rPr>
                <w:i/>
                <w:iCs/>
                <w:w w:val="105"/>
                <w:sz w:val="18"/>
                <w:szCs w:val="18"/>
                <w:lang w:val="nl-NL"/>
              </w:rPr>
              <w:t xml:space="preserve"> Performance Network</w:t>
            </w:r>
            <w:r w:rsidR="006B5103">
              <w:rPr>
                <w:w w:val="105"/>
                <w:sz w:val="18"/>
                <w:szCs w:val="18"/>
                <w:lang w:val="nl-NL"/>
              </w:rPr>
              <w:t xml:space="preserve"> (MOPAN)</w:t>
            </w:r>
            <w:r>
              <w:rPr>
                <w:w w:val="105"/>
                <w:sz w:val="18"/>
                <w:szCs w:val="18"/>
                <w:lang w:val="nl-NL"/>
              </w:rPr>
              <w:t xml:space="preserve"> betrokken bij het versterken van de toetsing van multilaterale organisaties.</w:t>
            </w:r>
          </w:p>
          <w:p w:rsidRPr="003A3FFD" w:rsidR="002A020D" w:rsidP="003A3FFD" w:rsidRDefault="002A020D" w14:paraId="0E37DA3C" w14:textId="77777777">
            <w:pPr>
              <w:pStyle w:val="TableParagraph"/>
              <w:spacing w:before="19"/>
              <w:ind w:left="101"/>
              <w:rPr>
                <w:w w:val="105"/>
                <w:sz w:val="18"/>
                <w:szCs w:val="18"/>
                <w:lang w:val="nl-NL"/>
              </w:rPr>
            </w:pPr>
          </w:p>
        </w:tc>
      </w:tr>
      <w:tr w:rsidRPr="00CB7266" w:rsidR="002A020D" w:rsidTr="009F48F2" w14:paraId="202F8D64" w14:textId="77777777">
        <w:trPr>
          <w:trHeight w:val="548"/>
        </w:trPr>
        <w:tc>
          <w:tcPr>
            <w:tcW w:w="4253" w:type="dxa"/>
            <w:gridSpan w:val="3"/>
          </w:tcPr>
          <w:p w:rsidRPr="00E62465" w:rsidR="002A020D" w:rsidP="00E62465" w:rsidRDefault="00E62465" w14:paraId="361EE532" w14:textId="1B6A2BA7">
            <w:pPr>
              <w:pStyle w:val="ListParagraph"/>
              <w:numPr>
                <w:ilvl w:val="0"/>
                <w:numId w:val="13"/>
              </w:numPr>
              <w:rPr>
                <w:rFonts w:eastAsia="Verdana" w:cs="Verdana"/>
                <w:w w:val="105"/>
                <w:lang w:val="nl-NL"/>
              </w:rPr>
            </w:pPr>
            <w:r w:rsidRPr="00E62465">
              <w:rPr>
                <w:rFonts w:eastAsia="Verdana" w:cs="Verdana"/>
                <w:w w:val="105"/>
                <w:lang w:val="nl-NL"/>
              </w:rPr>
              <w:t>Blijf inzetten op de systematiek van meerjarige financiering om voorspelbaarheid en doelmatigheid te versterken en stimuleer</w:t>
            </w:r>
            <w:r>
              <w:rPr>
                <w:rFonts w:eastAsia="Verdana" w:cs="Verdana"/>
                <w:w w:val="105"/>
                <w:lang w:val="nl-NL"/>
              </w:rPr>
              <w:t xml:space="preserve"> </w:t>
            </w:r>
            <w:r w:rsidRPr="00E62465">
              <w:rPr>
                <w:rFonts w:eastAsia="Verdana" w:cs="Verdana"/>
                <w:w w:val="105"/>
                <w:lang w:val="nl-NL"/>
              </w:rPr>
              <w:t>andere donoren dit eveneens te doen</w:t>
            </w:r>
          </w:p>
        </w:tc>
        <w:tc>
          <w:tcPr>
            <w:tcW w:w="3260" w:type="dxa"/>
            <w:gridSpan w:val="2"/>
          </w:tcPr>
          <w:p w:rsidR="002A020D" w:rsidP="003A3FFD" w:rsidRDefault="00FF7024" w14:paraId="6931CB21" w14:textId="77777777">
            <w:pPr>
              <w:pStyle w:val="TableParagraph"/>
              <w:spacing w:before="19"/>
              <w:ind w:left="101"/>
              <w:rPr>
                <w:w w:val="105"/>
                <w:sz w:val="18"/>
                <w:szCs w:val="18"/>
                <w:lang w:val="nl-NL"/>
              </w:rPr>
            </w:pPr>
            <w:r>
              <w:rPr>
                <w:w w:val="105"/>
                <w:sz w:val="18"/>
                <w:szCs w:val="18"/>
                <w:lang w:val="nl-NL"/>
              </w:rPr>
              <w:t xml:space="preserve">Onderhanden: Nederland blijft inzetten op meerjarige financiering en tijdige betaling, en zal ook anderen aansporen om dit te realiseren. </w:t>
            </w:r>
          </w:p>
          <w:p w:rsidRPr="003A3FFD" w:rsidR="00676F72" w:rsidP="003A3FFD" w:rsidRDefault="00676F72" w14:paraId="5A4B9211" w14:textId="28B2D86D">
            <w:pPr>
              <w:pStyle w:val="TableParagraph"/>
              <w:spacing w:before="19"/>
              <w:ind w:left="101"/>
              <w:rPr>
                <w:w w:val="105"/>
                <w:sz w:val="18"/>
                <w:szCs w:val="18"/>
                <w:lang w:val="nl-NL"/>
              </w:rPr>
            </w:pPr>
          </w:p>
        </w:tc>
      </w:tr>
      <w:tr w:rsidRPr="00CB7266" w:rsidR="002A020D" w:rsidTr="009F48F2" w14:paraId="05EA269D" w14:textId="77777777">
        <w:trPr>
          <w:trHeight w:val="2237"/>
        </w:trPr>
        <w:tc>
          <w:tcPr>
            <w:tcW w:w="4253" w:type="dxa"/>
            <w:gridSpan w:val="3"/>
          </w:tcPr>
          <w:p w:rsidRPr="00E62465" w:rsidR="002A020D" w:rsidP="00E62465" w:rsidRDefault="00E62465" w14:paraId="5B4FE86E" w14:textId="7C0BC15E">
            <w:pPr>
              <w:pStyle w:val="ListParagraph"/>
              <w:numPr>
                <w:ilvl w:val="0"/>
                <w:numId w:val="13"/>
              </w:numPr>
              <w:rPr>
                <w:rFonts w:eastAsia="Verdana" w:cs="Verdana"/>
                <w:w w:val="105"/>
                <w:lang w:val="nl-NL"/>
              </w:rPr>
            </w:pPr>
            <w:r w:rsidRPr="00E62465">
              <w:rPr>
                <w:rFonts w:eastAsia="Verdana" w:cs="Verdana"/>
                <w:w w:val="105"/>
                <w:lang w:val="nl-NL"/>
              </w:rPr>
              <w:t>Zet in op gerichte institutionele hervormingen bij</w:t>
            </w:r>
            <w:r>
              <w:rPr>
                <w:rFonts w:eastAsia="Verdana" w:cs="Verdana"/>
                <w:w w:val="105"/>
                <w:lang w:val="nl-NL"/>
              </w:rPr>
              <w:t xml:space="preserve"> </w:t>
            </w:r>
            <w:r w:rsidRPr="00E62465">
              <w:rPr>
                <w:rFonts w:eastAsia="Verdana" w:cs="Verdana"/>
                <w:w w:val="105"/>
                <w:lang w:val="nl-NL"/>
              </w:rPr>
              <w:t>multilaterale organisaties op cruciale aspecten van doelmatigheid waar zij</w:t>
            </w:r>
            <w:r>
              <w:rPr>
                <w:rFonts w:eastAsia="Verdana" w:cs="Verdana"/>
                <w:w w:val="105"/>
                <w:lang w:val="nl-NL"/>
              </w:rPr>
              <w:t xml:space="preserve"> </w:t>
            </w:r>
            <w:r w:rsidRPr="00E62465">
              <w:rPr>
                <w:rFonts w:eastAsia="Verdana" w:cs="Verdana"/>
                <w:w w:val="105"/>
                <w:lang w:val="nl-NL"/>
              </w:rPr>
              <w:t>soms onvoldoende presteerden</w:t>
            </w:r>
          </w:p>
        </w:tc>
        <w:tc>
          <w:tcPr>
            <w:tcW w:w="3260" w:type="dxa"/>
            <w:gridSpan w:val="2"/>
          </w:tcPr>
          <w:p w:rsidRPr="00E62465" w:rsidR="002A020D" w:rsidP="001B22C2" w:rsidRDefault="00FF7024" w14:paraId="23949928" w14:textId="4901B554">
            <w:pPr>
              <w:pStyle w:val="TableParagraph"/>
              <w:spacing w:before="19"/>
              <w:ind w:left="101"/>
              <w:rPr>
                <w:w w:val="105"/>
                <w:sz w:val="18"/>
                <w:szCs w:val="18"/>
                <w:lang w:val="nl-NL"/>
              </w:rPr>
            </w:pPr>
            <w:r>
              <w:rPr>
                <w:w w:val="105"/>
                <w:sz w:val="18"/>
                <w:szCs w:val="18"/>
                <w:lang w:val="nl-NL"/>
              </w:rPr>
              <w:t xml:space="preserve">Onderhanden: </w:t>
            </w:r>
            <w:r w:rsidR="00E61922">
              <w:rPr>
                <w:w w:val="105"/>
                <w:sz w:val="18"/>
                <w:szCs w:val="18"/>
                <w:lang w:val="nl-NL"/>
              </w:rPr>
              <w:t>v</w:t>
            </w:r>
            <w:r w:rsidR="00465FA5">
              <w:rPr>
                <w:w w:val="105"/>
                <w:sz w:val="18"/>
                <w:szCs w:val="18"/>
                <w:lang w:val="nl-NL"/>
              </w:rPr>
              <w:t xml:space="preserve">ia MOPAN assessments worden multilaterale organisatie getoetst waar verbeteringen nodig zijn. Dit doen we in </w:t>
            </w:r>
            <w:proofErr w:type="spellStart"/>
            <w:r w:rsidR="00465FA5">
              <w:rPr>
                <w:w w:val="105"/>
                <w:sz w:val="18"/>
                <w:szCs w:val="18"/>
                <w:lang w:val="nl-NL"/>
              </w:rPr>
              <w:t>multidonorverband</w:t>
            </w:r>
            <w:proofErr w:type="spellEnd"/>
            <w:r w:rsidR="00465FA5">
              <w:rPr>
                <w:w w:val="105"/>
                <w:sz w:val="18"/>
                <w:szCs w:val="18"/>
                <w:lang w:val="nl-NL"/>
              </w:rPr>
              <w:t>. De conclusies en aanbevelingen worden gebruikt om via boards en kiesgroepen verbeteringen na te streven.</w:t>
            </w:r>
          </w:p>
          <w:p w:rsidRPr="00CB7266" w:rsidR="002A020D" w:rsidP="001B22C2" w:rsidRDefault="002A020D" w14:paraId="16C45B2A" w14:textId="77777777">
            <w:pPr>
              <w:pStyle w:val="TableParagraph"/>
              <w:spacing w:before="19"/>
              <w:ind w:left="101"/>
              <w:rPr>
                <w:w w:val="105"/>
                <w:sz w:val="18"/>
                <w:szCs w:val="18"/>
                <w:lang w:val="nl-NL"/>
              </w:rPr>
            </w:pPr>
          </w:p>
        </w:tc>
      </w:tr>
      <w:tr w:rsidRPr="00CB7266" w:rsidR="002A020D" w:rsidTr="009F48F2" w14:paraId="32F9F94A" w14:textId="77777777">
        <w:trPr>
          <w:trHeight w:val="2237"/>
        </w:trPr>
        <w:tc>
          <w:tcPr>
            <w:tcW w:w="4253" w:type="dxa"/>
            <w:gridSpan w:val="3"/>
          </w:tcPr>
          <w:p w:rsidRPr="001374C9" w:rsidR="002A020D" w:rsidP="001374C9" w:rsidRDefault="001374C9" w14:paraId="02D80C09" w14:textId="7689CE63">
            <w:pPr>
              <w:pStyle w:val="ListParagraph"/>
              <w:numPr>
                <w:ilvl w:val="0"/>
                <w:numId w:val="13"/>
              </w:numPr>
              <w:rPr>
                <w:rFonts w:eastAsia="Verdana" w:cs="Verdana"/>
                <w:w w:val="105"/>
                <w:lang w:val="nl-NL"/>
              </w:rPr>
            </w:pPr>
            <w:r w:rsidRPr="001374C9">
              <w:rPr>
                <w:rFonts w:eastAsia="Verdana" w:cs="Verdana"/>
                <w:w w:val="105"/>
                <w:lang w:val="nl-NL"/>
              </w:rPr>
              <w:t>Verbeter de informatievoorziening over Nederlandse verdienkansen én behaalde verdiensten in het kader van multilaterale samenwerking</w:t>
            </w:r>
          </w:p>
          <w:p w:rsidRPr="00CB7266" w:rsidR="002A020D" w:rsidP="009F48F2" w:rsidRDefault="002A020D" w14:paraId="3552752F" w14:textId="77777777">
            <w:pPr>
              <w:rPr>
                <w:rFonts w:eastAsia="Verdana" w:cs="Verdana"/>
                <w:w w:val="105"/>
                <w:lang w:val="nl-NL"/>
              </w:rPr>
            </w:pPr>
          </w:p>
        </w:tc>
        <w:tc>
          <w:tcPr>
            <w:tcW w:w="3260" w:type="dxa"/>
            <w:gridSpan w:val="2"/>
          </w:tcPr>
          <w:p w:rsidRPr="001B22C2" w:rsidR="002A020D" w:rsidP="001B22C2" w:rsidRDefault="00FF7024" w14:paraId="37666398" w14:textId="054F5419">
            <w:pPr>
              <w:pStyle w:val="TableParagraph"/>
              <w:spacing w:before="19"/>
              <w:ind w:left="101"/>
              <w:rPr>
                <w:w w:val="105"/>
                <w:sz w:val="18"/>
                <w:szCs w:val="18"/>
                <w:lang w:val="nl-NL"/>
              </w:rPr>
            </w:pPr>
            <w:r>
              <w:rPr>
                <w:w w:val="105"/>
                <w:sz w:val="18"/>
                <w:szCs w:val="18"/>
                <w:lang w:val="nl-NL"/>
              </w:rPr>
              <w:t xml:space="preserve">Onderhanden: </w:t>
            </w:r>
            <w:r w:rsidR="001B22C2">
              <w:rPr>
                <w:w w:val="105"/>
                <w:sz w:val="18"/>
                <w:szCs w:val="18"/>
                <w:lang w:val="nl-NL"/>
              </w:rPr>
              <w:t>m</w:t>
            </w:r>
            <w:r>
              <w:rPr>
                <w:w w:val="105"/>
                <w:sz w:val="18"/>
                <w:szCs w:val="18"/>
                <w:lang w:val="nl-NL"/>
              </w:rPr>
              <w:t xml:space="preserve">eerdere initiatieven zijn ondernomen om de koppeling tussen de inzet van multilaterale organisaties en  Nederlandse verdienkansen te vergroten, onder meer gericht op IFAD en de Afrikaanse ontwikkelingsbank. </w:t>
            </w:r>
          </w:p>
          <w:p w:rsidRPr="00CB7266" w:rsidR="002A020D" w:rsidP="001B22C2" w:rsidRDefault="002A020D" w14:paraId="6E078EB0" w14:textId="77777777">
            <w:pPr>
              <w:pStyle w:val="TableParagraph"/>
              <w:spacing w:before="19"/>
              <w:ind w:left="101"/>
              <w:rPr>
                <w:w w:val="105"/>
                <w:sz w:val="18"/>
                <w:szCs w:val="18"/>
                <w:lang w:val="nl-NL"/>
              </w:rPr>
            </w:pPr>
          </w:p>
        </w:tc>
      </w:tr>
      <w:tr w:rsidRPr="00CB7266" w:rsidR="001374C9" w:rsidTr="009F48F2" w14:paraId="27F045FF" w14:textId="77777777">
        <w:trPr>
          <w:trHeight w:val="2237"/>
        </w:trPr>
        <w:tc>
          <w:tcPr>
            <w:tcW w:w="4253" w:type="dxa"/>
            <w:gridSpan w:val="3"/>
          </w:tcPr>
          <w:p w:rsidRPr="001846CC" w:rsidR="001374C9" w:rsidP="001374C9" w:rsidRDefault="001846CC" w14:paraId="4413AE5A" w14:textId="5A118B34">
            <w:pPr>
              <w:pStyle w:val="ListParagraph"/>
              <w:numPr>
                <w:ilvl w:val="0"/>
                <w:numId w:val="13"/>
              </w:numPr>
              <w:rPr>
                <w:rFonts w:eastAsia="Verdana" w:cs="Verdana"/>
                <w:w w:val="105"/>
                <w:lang w:val="nl-NL"/>
              </w:rPr>
            </w:pPr>
            <w:r w:rsidRPr="001846CC">
              <w:rPr>
                <w:rFonts w:eastAsia="Verdana" w:cs="Verdana"/>
                <w:w w:val="105"/>
                <w:lang w:val="nl-NL"/>
              </w:rPr>
              <w:lastRenderedPageBreak/>
              <w:t>Voer vervolgonderzoek uit om de doeltreffendheid en doelmatigheid van multilaterale samenwerking verder te verbeteren</w:t>
            </w:r>
          </w:p>
        </w:tc>
        <w:tc>
          <w:tcPr>
            <w:tcW w:w="3260" w:type="dxa"/>
            <w:gridSpan w:val="2"/>
          </w:tcPr>
          <w:p w:rsidRPr="001846CC" w:rsidR="001374C9" w:rsidP="001B22C2" w:rsidRDefault="00465FA5" w14:paraId="421482F2" w14:textId="58DF1A89">
            <w:pPr>
              <w:pStyle w:val="TableParagraph"/>
              <w:spacing w:before="19"/>
              <w:ind w:left="101"/>
              <w:rPr>
                <w:w w:val="105"/>
                <w:sz w:val="18"/>
                <w:szCs w:val="18"/>
                <w:lang w:val="nl-NL"/>
              </w:rPr>
            </w:pPr>
            <w:r>
              <w:rPr>
                <w:w w:val="105"/>
                <w:sz w:val="18"/>
                <w:szCs w:val="18"/>
                <w:lang w:val="nl-NL"/>
              </w:rPr>
              <w:t xml:space="preserve">Onderhanden: Nederland maakt zo veel mogelijk gebruik van bestaande onderzoeken en evaluaties. Het beleidskader Mondiaal Multilateralisme is onderworpen aan een tussentijdse review </w:t>
            </w:r>
            <w:r w:rsidR="00803D2A">
              <w:rPr>
                <w:w w:val="105"/>
                <w:sz w:val="18"/>
                <w:szCs w:val="18"/>
                <w:lang w:val="nl-NL"/>
              </w:rPr>
              <w:t xml:space="preserve">in 2026 </w:t>
            </w:r>
            <w:r>
              <w:rPr>
                <w:w w:val="105"/>
                <w:sz w:val="18"/>
                <w:szCs w:val="18"/>
                <w:lang w:val="nl-NL"/>
              </w:rPr>
              <w:t>om voortgang en relevantie hiervan te toetsen.</w:t>
            </w:r>
          </w:p>
        </w:tc>
      </w:tr>
    </w:tbl>
    <w:p w:rsidR="002A020D" w:rsidP="002A020D" w:rsidRDefault="002A020D" w14:paraId="3ADD4F65" w14:textId="77777777"/>
    <w:p w:rsidR="002A020D" w:rsidP="002A020D" w:rsidRDefault="002A020D" w14:paraId="11E48D33" w14:textId="77777777"/>
    <w:p w:rsidR="001C039B" w:rsidP="001C039B" w:rsidRDefault="001C039B" w14:paraId="04938448" w14:textId="77777777"/>
    <w:p w:rsidR="001C039B" w:rsidP="001C039B" w:rsidRDefault="001C039B" w14:paraId="6CA75854" w14:textId="77777777"/>
    <w:p w:rsidR="00E6735E" w:rsidP="001C039B" w:rsidRDefault="001C039B" w14:paraId="698E399C" w14:textId="77777777">
      <w:r>
        <w:t>De minister van Buitenlandse Handel</w:t>
      </w:r>
    </w:p>
    <w:p w:rsidR="001C039B" w:rsidP="001C039B" w:rsidRDefault="001C039B" w14:paraId="5C4D02B2" w14:textId="1044F522">
      <w:r>
        <w:t>en Ontwikkelingssamenwerking,</w:t>
      </w:r>
    </w:p>
    <w:p w:rsidR="001C039B" w:rsidP="001C039B" w:rsidRDefault="001C039B" w14:paraId="116D5E2E" w14:textId="77777777"/>
    <w:p w:rsidR="001C039B" w:rsidP="001C039B" w:rsidRDefault="001C039B" w14:paraId="2BC2B353" w14:textId="77777777"/>
    <w:p w:rsidR="001C039B" w:rsidP="001C039B" w:rsidRDefault="001C039B" w14:paraId="67663BDC" w14:textId="77777777"/>
    <w:p w:rsidR="001C039B" w:rsidP="001C039B" w:rsidRDefault="001C039B" w14:paraId="5813566A" w14:textId="77777777"/>
    <w:p w:rsidR="001C039B" w:rsidP="001C039B" w:rsidRDefault="001C039B" w14:paraId="78E70522" w14:textId="77777777"/>
    <w:p w:rsidR="001C039B" w:rsidP="001C039B" w:rsidRDefault="001C039B" w14:paraId="2D9461CD" w14:textId="51BCE761">
      <w:r>
        <w:t xml:space="preserve">S.W. </w:t>
      </w:r>
      <w:proofErr w:type="spellStart"/>
      <w:r>
        <w:t>Sjoerdsma</w:t>
      </w:r>
      <w:proofErr w:type="spellEnd"/>
    </w:p>
    <w:sectPr w:rsidR="001C039B" w:rsidSect="004270B0">
      <w:headerReference w:type="even" r:id="rId18"/>
      <w:headerReference w:type="default" r:id="rId19"/>
      <w:footerReference w:type="even" r:id="rId20"/>
      <w:footerReference w:type="default" r:id="rId21"/>
      <w:headerReference w:type="first" r:id="rId22"/>
      <w:footerReference w:type="first" r:id="rId23"/>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04E7" w14:textId="77777777" w:rsidR="005159BC" w:rsidRDefault="005159BC">
      <w:pPr>
        <w:spacing w:line="240" w:lineRule="auto"/>
      </w:pPr>
      <w:r>
        <w:separator/>
      </w:r>
    </w:p>
  </w:endnote>
  <w:endnote w:type="continuationSeparator" w:id="0">
    <w:p w14:paraId="54EB04E9" w14:textId="77777777" w:rsidR="005159BC" w:rsidRDefault="00515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altName w:val="Courier New"/>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647C" w14:textId="77777777" w:rsidR="00E208E1" w:rsidRDefault="00E20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844115"/>
      <w:docPartObj>
        <w:docPartGallery w:val="Page Numbers (Bottom of Page)"/>
        <w:docPartUnique/>
      </w:docPartObj>
    </w:sdtPr>
    <w:sdtEndPr/>
    <w:sdtContent>
      <w:p w14:paraId="797C2C6C" w14:textId="75F06A0F" w:rsidR="006C03B3" w:rsidRDefault="006C03B3">
        <w:pPr>
          <w:pStyle w:val="Footer"/>
          <w:jc w:val="center"/>
        </w:pPr>
        <w:r>
          <w:fldChar w:fldCharType="begin"/>
        </w:r>
        <w:r>
          <w:instrText>PAGE   \* MERGEFORMAT</w:instrText>
        </w:r>
        <w:r>
          <w:fldChar w:fldCharType="separate"/>
        </w:r>
        <w:r>
          <w:t>2</w:t>
        </w:r>
        <w:r>
          <w:fldChar w:fldCharType="end"/>
        </w:r>
      </w:p>
    </w:sdtContent>
  </w:sdt>
  <w:p w14:paraId="45055AE0" w14:textId="77777777" w:rsidR="006C03B3" w:rsidRDefault="006C0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193494"/>
      <w:docPartObj>
        <w:docPartGallery w:val="Page Numbers (Bottom of Page)"/>
        <w:docPartUnique/>
      </w:docPartObj>
    </w:sdtPr>
    <w:sdtEndPr/>
    <w:sdtContent>
      <w:p w14:paraId="10569D22" w14:textId="038CCCD5" w:rsidR="006C03B3" w:rsidRDefault="006C03B3">
        <w:pPr>
          <w:pStyle w:val="Footer"/>
          <w:jc w:val="center"/>
        </w:pPr>
        <w:r>
          <w:fldChar w:fldCharType="begin"/>
        </w:r>
        <w:r>
          <w:instrText>PAGE   \* MERGEFORMAT</w:instrText>
        </w:r>
        <w:r>
          <w:fldChar w:fldCharType="separate"/>
        </w:r>
        <w:r>
          <w:t>2</w:t>
        </w:r>
        <w:r>
          <w:fldChar w:fldCharType="end"/>
        </w:r>
      </w:p>
    </w:sdtContent>
  </w:sdt>
  <w:p w14:paraId="7F4EE290" w14:textId="77777777" w:rsidR="006C03B3" w:rsidRDefault="006C0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04E3" w14:textId="77777777" w:rsidR="005159BC" w:rsidRDefault="005159BC">
      <w:pPr>
        <w:spacing w:line="240" w:lineRule="auto"/>
      </w:pPr>
      <w:r>
        <w:separator/>
      </w:r>
    </w:p>
  </w:footnote>
  <w:footnote w:type="continuationSeparator" w:id="0">
    <w:p w14:paraId="54EB04E5" w14:textId="77777777" w:rsidR="005159BC" w:rsidRDefault="005159BC">
      <w:pPr>
        <w:spacing w:line="240" w:lineRule="auto"/>
      </w:pPr>
      <w:r>
        <w:continuationSeparator/>
      </w:r>
    </w:p>
  </w:footnote>
  <w:footnote w:id="1">
    <w:p w14:paraId="3CEFA53C" w14:textId="77777777" w:rsidR="00030F13" w:rsidRPr="00D62456" w:rsidRDefault="00030F13" w:rsidP="00030F13">
      <w:pPr>
        <w:pStyle w:val="FootnoteText"/>
        <w:rPr>
          <w:sz w:val="16"/>
          <w:szCs w:val="16"/>
        </w:rPr>
      </w:pPr>
      <w:r w:rsidRPr="00FB470E">
        <w:rPr>
          <w:rStyle w:val="FootnoteReference"/>
          <w:rFonts w:ascii="Verdana" w:hAnsi="Verdana"/>
          <w:sz w:val="16"/>
          <w:szCs w:val="16"/>
        </w:rPr>
        <w:footnoteRef/>
      </w:r>
      <w:r w:rsidRPr="00FB470E">
        <w:rPr>
          <w:rFonts w:ascii="Verdana" w:hAnsi="Verdana"/>
          <w:sz w:val="16"/>
          <w:szCs w:val="16"/>
        </w:rPr>
        <w:t xml:space="preserve"> Zie Kamerbrief over het beleidskader voor samenwerking met maatschappelijke organisaties in ontwikkelingshulp 2026-2030 (Kamerstuk 31865, nr. 282) d.d. 27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7D7F" w14:textId="77777777" w:rsidR="00E208E1" w:rsidRDefault="00E20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04DF" w14:textId="1673001D" w:rsidR="00E22D8B" w:rsidRDefault="005159BC">
    <w:r>
      <w:rPr>
        <w:noProof/>
      </w:rPr>
      <mc:AlternateContent>
        <mc:Choice Requires="wps">
          <w:drawing>
            <wp:anchor distT="0" distB="0" distL="0" distR="0" simplePos="0" relativeHeight="251652608" behindDoc="0" locked="1" layoutInCell="1" allowOverlap="1" wp14:anchorId="54EB04E3" wp14:editId="05347F64">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54EB0511" w14:textId="77777777" w:rsidR="00E22D8B" w:rsidRDefault="005159BC">
                          <w:pPr>
                            <w:pStyle w:val="Referentiegegevensbold"/>
                          </w:pPr>
                          <w:r>
                            <w:t>Ministerie van Buitenlandse Zaken</w:t>
                          </w:r>
                        </w:p>
                        <w:p w14:paraId="54EB0512" w14:textId="77777777" w:rsidR="00E22D8B" w:rsidRDefault="00E22D8B">
                          <w:pPr>
                            <w:pStyle w:val="WitregelW2"/>
                          </w:pPr>
                        </w:p>
                        <w:p w14:paraId="54EB0513" w14:textId="77777777" w:rsidR="00E22D8B" w:rsidRDefault="005159BC">
                          <w:pPr>
                            <w:pStyle w:val="Referentiegegevensbold"/>
                          </w:pPr>
                          <w:r>
                            <w:t>Onze referentie</w:t>
                          </w:r>
                        </w:p>
                        <w:p w14:paraId="54EB0514" w14:textId="0876D4DD" w:rsidR="00E22D8B" w:rsidRDefault="005159BC">
                          <w:pPr>
                            <w:pStyle w:val="Referentiegegevens"/>
                          </w:pPr>
                          <w:r>
                            <w:t>BZ262</w:t>
                          </w:r>
                          <w:r w:rsidR="006C03B3">
                            <w:t>7746</w:t>
                          </w:r>
                        </w:p>
                      </w:txbxContent>
                    </wps:txbx>
                    <wps:bodyPr vert="horz" wrap="square" lIns="0" tIns="0" rIns="0" bIns="0" anchor="t" anchorCtr="0"/>
                  </wps:wsp>
                </a:graphicData>
              </a:graphic>
              <wp14:sizeRelH relativeFrom="margin">
                <wp14:pctWidth>0</wp14:pctWidth>
              </wp14:sizeRelH>
            </wp:anchor>
          </w:drawing>
        </mc:Choice>
        <mc:Fallback>
          <w:pict>
            <v:shapetype w14:anchorId="54EB04E3"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54EB0511" w14:textId="77777777" w:rsidR="00E22D8B" w:rsidRDefault="005159BC">
                    <w:pPr>
                      <w:pStyle w:val="Referentiegegevensbold"/>
                    </w:pPr>
                    <w:r>
                      <w:t>Ministerie van Buitenlandse Zaken</w:t>
                    </w:r>
                  </w:p>
                  <w:p w14:paraId="54EB0512" w14:textId="77777777" w:rsidR="00E22D8B" w:rsidRDefault="00E22D8B">
                    <w:pPr>
                      <w:pStyle w:val="WitregelW2"/>
                    </w:pPr>
                  </w:p>
                  <w:p w14:paraId="54EB0513" w14:textId="77777777" w:rsidR="00E22D8B" w:rsidRDefault="005159BC">
                    <w:pPr>
                      <w:pStyle w:val="Referentiegegevensbold"/>
                    </w:pPr>
                    <w:r>
                      <w:t>Onze referentie</w:t>
                    </w:r>
                  </w:p>
                  <w:p w14:paraId="54EB0514" w14:textId="0876D4DD" w:rsidR="00E22D8B" w:rsidRDefault="005159BC">
                    <w:pPr>
                      <w:pStyle w:val="Referentiegegevens"/>
                    </w:pPr>
                    <w:r>
                      <w:t>BZ262</w:t>
                    </w:r>
                    <w:r w:rsidR="006C03B3">
                      <w:t>7746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4EB04E7" wp14:editId="5FA6451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EB0523" w14:textId="77777777" w:rsidR="005159BC" w:rsidRDefault="005159BC"/>
                      </w:txbxContent>
                    </wps:txbx>
                    <wps:bodyPr vert="horz" wrap="square" lIns="0" tIns="0" rIns="0" bIns="0" anchor="t" anchorCtr="0"/>
                  </wps:wsp>
                </a:graphicData>
              </a:graphic>
            </wp:anchor>
          </w:drawing>
        </mc:Choice>
        <mc:Fallback>
          <w:pict>
            <v:shape w14:anchorId="54EB04E7"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4EB0523" w14:textId="77777777" w:rsidR="005159BC" w:rsidRDefault="005159B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04E1" w14:textId="6BC4224A" w:rsidR="00E22D8B" w:rsidRDefault="005159BC">
    <w:pPr>
      <w:spacing w:after="7131" w:line="14" w:lineRule="exact"/>
    </w:pPr>
    <w:r>
      <w:rPr>
        <w:noProof/>
      </w:rPr>
      <mc:AlternateContent>
        <mc:Choice Requires="wps">
          <w:drawing>
            <wp:anchor distT="0" distB="0" distL="0" distR="0" simplePos="0" relativeHeight="251655680" behindDoc="0" locked="1" layoutInCell="1" allowOverlap="1" wp14:anchorId="54EB04E9" wp14:editId="54EB04E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4EB0516" w14:textId="77777777" w:rsidR="005159BC" w:rsidRDefault="005159BC"/>
                      </w:txbxContent>
                    </wps:txbx>
                    <wps:bodyPr vert="horz" wrap="square" lIns="0" tIns="0" rIns="0" bIns="0" anchor="t" anchorCtr="0"/>
                  </wps:wsp>
                </a:graphicData>
              </a:graphic>
            </wp:anchor>
          </w:drawing>
        </mc:Choice>
        <mc:Fallback>
          <w:pict>
            <v:shapetype w14:anchorId="54EB04E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4EB0516" w14:textId="77777777" w:rsidR="005159BC" w:rsidRDefault="005159B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4EB04EB" wp14:editId="54EB04E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EB04FA" w14:textId="77777777" w:rsidR="00E22D8B" w:rsidRDefault="005159B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4EB04EB"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4EB04FA" w14:textId="77777777" w:rsidR="00E22D8B" w:rsidRDefault="005159B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4EB04ED" wp14:editId="54EB04E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22D8B" w14:paraId="54EB04FD" w14:textId="77777777">
                            <w:tc>
                              <w:tcPr>
                                <w:tcW w:w="678" w:type="dxa"/>
                              </w:tcPr>
                              <w:p w14:paraId="54EB04FB" w14:textId="77777777" w:rsidR="00E22D8B" w:rsidRDefault="005159BC">
                                <w:r>
                                  <w:t>Datum</w:t>
                                </w:r>
                              </w:p>
                            </w:tc>
                            <w:tc>
                              <w:tcPr>
                                <w:tcW w:w="6851" w:type="dxa"/>
                              </w:tcPr>
                              <w:p w14:paraId="54EB04FC" w14:textId="5EFE4462" w:rsidR="00E22D8B" w:rsidRDefault="005159BC">
                                <w:r>
                                  <w:t xml:space="preserve"> </w:t>
                                </w:r>
                                <w:r w:rsidR="00E208E1">
                                  <w:t xml:space="preserve">18 </w:t>
                                </w:r>
                                <w:r w:rsidR="00D12913">
                                  <w:t xml:space="preserve">mei </w:t>
                                </w:r>
                                <w:r>
                                  <w:t>2026</w:t>
                                </w:r>
                              </w:p>
                            </w:tc>
                          </w:tr>
                          <w:tr w:rsidR="00E22D8B" w14:paraId="54EB0502" w14:textId="77777777">
                            <w:tc>
                              <w:tcPr>
                                <w:tcW w:w="678" w:type="dxa"/>
                              </w:tcPr>
                              <w:p w14:paraId="54EB04FE" w14:textId="77777777" w:rsidR="00E22D8B" w:rsidRDefault="005159BC">
                                <w:r>
                                  <w:t>Betreft</w:t>
                                </w:r>
                              </w:p>
                              <w:p w14:paraId="54EB04FF" w14:textId="77777777" w:rsidR="00E22D8B" w:rsidRDefault="00E22D8B"/>
                            </w:tc>
                            <w:tc>
                              <w:tcPr>
                                <w:tcW w:w="6851" w:type="dxa"/>
                              </w:tcPr>
                              <w:p w14:paraId="54EB0500" w14:textId="5A20FEDF" w:rsidR="00E22D8B" w:rsidRDefault="00DA31FA">
                                <w:r>
                                  <w:t>Opvolging in beeld: Periodieke rapportages ministerie van Buitenlandse Zaken vanaf 2024 (BHO</w:t>
                                </w:r>
                                <w:r w:rsidR="009011E3">
                                  <w:t>S</w:t>
                                </w:r>
                                <w:r>
                                  <w:t>-begroting)</w:t>
                                </w:r>
                              </w:p>
                              <w:p w14:paraId="54EB0501" w14:textId="77777777" w:rsidR="00E22D8B" w:rsidRDefault="00E22D8B"/>
                            </w:tc>
                          </w:tr>
                        </w:tbl>
                        <w:p w14:paraId="54EB0503" w14:textId="77777777" w:rsidR="00E22D8B" w:rsidRDefault="00E22D8B"/>
                        <w:p w14:paraId="54EB0504" w14:textId="77777777" w:rsidR="00E22D8B" w:rsidRDefault="00E22D8B"/>
                      </w:txbxContent>
                    </wps:txbx>
                    <wps:bodyPr vert="horz" wrap="square" lIns="0" tIns="0" rIns="0" bIns="0" anchor="t" anchorCtr="0"/>
                  </wps:wsp>
                </a:graphicData>
              </a:graphic>
            </wp:anchor>
          </w:drawing>
        </mc:Choice>
        <mc:Fallback>
          <w:pict>
            <v:shape w14:anchorId="54EB04ED"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22D8B" w14:paraId="54EB04FD" w14:textId="77777777">
                      <w:tc>
                        <w:tcPr>
                          <w:tcW w:w="678" w:type="dxa"/>
                        </w:tcPr>
                        <w:p w14:paraId="54EB04FB" w14:textId="77777777" w:rsidR="00E22D8B" w:rsidRDefault="005159BC">
                          <w:r>
                            <w:t>Datum</w:t>
                          </w:r>
                        </w:p>
                      </w:tc>
                      <w:tc>
                        <w:tcPr>
                          <w:tcW w:w="6851" w:type="dxa"/>
                        </w:tcPr>
                        <w:p w14:paraId="54EB04FC" w14:textId="5EFE4462" w:rsidR="00E22D8B" w:rsidRDefault="005159BC">
                          <w:r>
                            <w:t xml:space="preserve"> </w:t>
                          </w:r>
                          <w:r w:rsidR="00E208E1">
                            <w:t xml:space="preserve">18 </w:t>
                          </w:r>
                          <w:r w:rsidR="00D12913">
                            <w:t xml:space="preserve">mei </w:t>
                          </w:r>
                          <w:r>
                            <w:t>2026</w:t>
                          </w:r>
                        </w:p>
                      </w:tc>
                    </w:tr>
                    <w:tr w:rsidR="00E22D8B" w14:paraId="54EB0502" w14:textId="77777777">
                      <w:tc>
                        <w:tcPr>
                          <w:tcW w:w="678" w:type="dxa"/>
                        </w:tcPr>
                        <w:p w14:paraId="54EB04FE" w14:textId="77777777" w:rsidR="00E22D8B" w:rsidRDefault="005159BC">
                          <w:r>
                            <w:t>Betreft</w:t>
                          </w:r>
                        </w:p>
                        <w:p w14:paraId="54EB04FF" w14:textId="77777777" w:rsidR="00E22D8B" w:rsidRDefault="00E22D8B"/>
                      </w:tc>
                      <w:tc>
                        <w:tcPr>
                          <w:tcW w:w="6851" w:type="dxa"/>
                        </w:tcPr>
                        <w:p w14:paraId="54EB0500" w14:textId="5A20FEDF" w:rsidR="00E22D8B" w:rsidRDefault="00DA31FA">
                          <w:r>
                            <w:t>Opvolging in beeld: Periodieke rapportages ministerie van Buitenlandse Zaken vanaf 2024 (BHO</w:t>
                          </w:r>
                          <w:r w:rsidR="009011E3">
                            <w:t>S</w:t>
                          </w:r>
                          <w:r>
                            <w:t>-begroting)</w:t>
                          </w:r>
                        </w:p>
                        <w:p w14:paraId="54EB0501" w14:textId="77777777" w:rsidR="00E22D8B" w:rsidRDefault="00E22D8B"/>
                      </w:tc>
                    </w:tr>
                  </w:tbl>
                  <w:p w14:paraId="54EB0503" w14:textId="77777777" w:rsidR="00E22D8B" w:rsidRDefault="00E22D8B"/>
                  <w:p w14:paraId="54EB0504" w14:textId="77777777" w:rsidR="00E22D8B" w:rsidRDefault="00E22D8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4EB04EF" wp14:editId="790C4E6C">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4EB0506" w14:textId="684DEC8D" w:rsidR="00E22D8B" w:rsidRDefault="005159BC" w:rsidP="00426D98">
                          <w:pPr>
                            <w:pStyle w:val="Referentiegegevensbold"/>
                          </w:pPr>
                          <w:r>
                            <w:t>Ministerie van Buitenlandse Zaken</w:t>
                          </w:r>
                        </w:p>
                        <w:p w14:paraId="54EB0507" w14:textId="0791FFE2" w:rsidR="00E22D8B" w:rsidRPr="006C03B3" w:rsidRDefault="006C03B3">
                          <w:pPr>
                            <w:pStyle w:val="Referentiegegevens"/>
                          </w:pPr>
                          <w:r w:rsidRPr="006C03B3">
                            <w:t>Rijnstraat 8</w:t>
                          </w:r>
                        </w:p>
                        <w:p w14:paraId="60B160D9" w14:textId="2C5DA108" w:rsidR="006C03B3" w:rsidRPr="006C03B3" w:rsidRDefault="006C03B3" w:rsidP="006C03B3">
                          <w:pPr>
                            <w:rPr>
                              <w:sz w:val="13"/>
                              <w:szCs w:val="13"/>
                              <w:lang w:val="da-DK"/>
                            </w:rPr>
                          </w:pPr>
                          <w:r w:rsidRPr="006C03B3">
                            <w:rPr>
                              <w:sz w:val="13"/>
                              <w:szCs w:val="13"/>
                              <w:lang w:val="da-DK"/>
                            </w:rPr>
                            <w:t>2515XP Den Haag</w:t>
                          </w:r>
                        </w:p>
                        <w:p w14:paraId="14F42989" w14:textId="0AB63BE2" w:rsidR="006C03B3" w:rsidRPr="006C03B3" w:rsidRDefault="006C03B3" w:rsidP="006C03B3">
                          <w:pPr>
                            <w:rPr>
                              <w:sz w:val="13"/>
                              <w:szCs w:val="13"/>
                              <w:lang w:val="da-DK"/>
                            </w:rPr>
                          </w:pPr>
                          <w:proofErr w:type="spellStart"/>
                          <w:r w:rsidRPr="006C03B3">
                            <w:rPr>
                              <w:sz w:val="13"/>
                              <w:szCs w:val="13"/>
                              <w:lang w:val="da-DK"/>
                            </w:rPr>
                            <w:t>Postbus</w:t>
                          </w:r>
                          <w:proofErr w:type="spellEnd"/>
                          <w:r w:rsidRPr="006C03B3">
                            <w:rPr>
                              <w:sz w:val="13"/>
                              <w:szCs w:val="13"/>
                              <w:lang w:val="da-DK"/>
                            </w:rPr>
                            <w:t xml:space="preserve"> 20061</w:t>
                          </w:r>
                        </w:p>
                        <w:p w14:paraId="5BEF22AB" w14:textId="531C83C3" w:rsidR="006C03B3" w:rsidRPr="006C03B3" w:rsidRDefault="006C03B3" w:rsidP="006C03B3">
                          <w:pPr>
                            <w:rPr>
                              <w:sz w:val="13"/>
                              <w:szCs w:val="13"/>
                              <w:lang w:val="da-DK"/>
                            </w:rPr>
                          </w:pPr>
                          <w:r w:rsidRPr="006C03B3">
                            <w:rPr>
                              <w:sz w:val="13"/>
                              <w:szCs w:val="13"/>
                              <w:lang w:val="da-DK"/>
                            </w:rPr>
                            <w:t>Nederland</w:t>
                          </w:r>
                        </w:p>
                        <w:p w14:paraId="54EB0508" w14:textId="77777777" w:rsidR="00E22D8B" w:rsidRPr="006C03B3" w:rsidRDefault="005159BC">
                          <w:pPr>
                            <w:pStyle w:val="Referentiegegevens"/>
                            <w:rPr>
                              <w:lang w:val="da-DK"/>
                            </w:rPr>
                          </w:pPr>
                          <w:r w:rsidRPr="006C03B3">
                            <w:rPr>
                              <w:lang w:val="da-DK"/>
                            </w:rPr>
                            <w:t>www.minbuza.nl</w:t>
                          </w:r>
                        </w:p>
                        <w:p w14:paraId="54EB0509" w14:textId="77777777" w:rsidR="00E22D8B" w:rsidRPr="006C03B3" w:rsidRDefault="00E22D8B">
                          <w:pPr>
                            <w:pStyle w:val="WitregelW2"/>
                            <w:rPr>
                              <w:lang w:val="da-DK"/>
                            </w:rPr>
                          </w:pPr>
                        </w:p>
                        <w:p w14:paraId="54EB050A" w14:textId="77777777" w:rsidR="00E22D8B" w:rsidRDefault="005159BC">
                          <w:pPr>
                            <w:pStyle w:val="Referentiegegevensbold"/>
                          </w:pPr>
                          <w:r>
                            <w:t>Onze referentie</w:t>
                          </w:r>
                        </w:p>
                        <w:p w14:paraId="54EB050B" w14:textId="3CC2ED26" w:rsidR="00E22D8B" w:rsidRDefault="005159BC">
                          <w:pPr>
                            <w:pStyle w:val="Referentiegegevens"/>
                          </w:pPr>
                          <w:r>
                            <w:t>BZ262</w:t>
                          </w:r>
                          <w:r w:rsidR="006C03B3">
                            <w:t>7746</w:t>
                          </w:r>
                        </w:p>
                        <w:p w14:paraId="54EB050C" w14:textId="77777777" w:rsidR="00E22D8B" w:rsidRDefault="00E22D8B">
                          <w:pPr>
                            <w:pStyle w:val="WitregelW1"/>
                          </w:pPr>
                        </w:p>
                        <w:p w14:paraId="54EB050D" w14:textId="77777777" w:rsidR="00E22D8B" w:rsidRDefault="005159BC">
                          <w:pPr>
                            <w:pStyle w:val="Referentiegegevensbold"/>
                          </w:pPr>
                          <w:r>
                            <w:t>Bijlage(n)</w:t>
                          </w:r>
                        </w:p>
                        <w:p w14:paraId="54EB050E" w14:textId="6BE3C5C5" w:rsidR="00E22D8B" w:rsidRDefault="006C03B3">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54EB04EF" id="41b10cd4-80a4-11ea-b356-6230a4311406" o:spid="_x0000_s1031"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p w14:paraId="54EB0506" w14:textId="684DEC8D" w:rsidR="00E22D8B" w:rsidRDefault="005159BC" w:rsidP="00426D98">
                    <w:pPr>
                      <w:pStyle w:val="Referentiegegevensbold"/>
                    </w:pPr>
                    <w:r>
                      <w:t>Ministerie van Buitenlandse Zaken</w:t>
                    </w:r>
                  </w:p>
                  <w:p w14:paraId="54EB0507" w14:textId="0791FFE2" w:rsidR="00E22D8B" w:rsidRPr="006C03B3" w:rsidRDefault="006C03B3">
                    <w:pPr>
                      <w:pStyle w:val="Referentiegegevens"/>
                    </w:pPr>
                    <w:r w:rsidRPr="006C03B3">
                      <w:t>Rijnstraat 8</w:t>
                    </w:r>
                  </w:p>
                  <w:p w14:paraId="60B160D9" w14:textId="2C5DA108" w:rsidR="006C03B3" w:rsidRPr="006C03B3" w:rsidRDefault="006C03B3" w:rsidP="006C03B3">
                    <w:pPr>
                      <w:rPr>
                        <w:sz w:val="13"/>
                        <w:szCs w:val="13"/>
                        <w:lang w:val="da-DK"/>
                      </w:rPr>
                    </w:pPr>
                    <w:r w:rsidRPr="006C03B3">
                      <w:rPr>
                        <w:sz w:val="13"/>
                        <w:szCs w:val="13"/>
                        <w:lang w:val="da-DK"/>
                      </w:rPr>
                      <w:t>2515XP Den Haag</w:t>
                    </w:r>
                  </w:p>
                  <w:p w14:paraId="14F42989" w14:textId="0AB63BE2" w:rsidR="006C03B3" w:rsidRPr="006C03B3" w:rsidRDefault="006C03B3" w:rsidP="006C03B3">
                    <w:pPr>
                      <w:rPr>
                        <w:sz w:val="13"/>
                        <w:szCs w:val="13"/>
                        <w:lang w:val="da-DK"/>
                      </w:rPr>
                    </w:pPr>
                    <w:proofErr w:type="spellStart"/>
                    <w:r w:rsidRPr="006C03B3">
                      <w:rPr>
                        <w:sz w:val="13"/>
                        <w:szCs w:val="13"/>
                        <w:lang w:val="da-DK"/>
                      </w:rPr>
                      <w:t>Postbus</w:t>
                    </w:r>
                    <w:proofErr w:type="spellEnd"/>
                    <w:r w:rsidRPr="006C03B3">
                      <w:rPr>
                        <w:sz w:val="13"/>
                        <w:szCs w:val="13"/>
                        <w:lang w:val="da-DK"/>
                      </w:rPr>
                      <w:t xml:space="preserve"> 20061</w:t>
                    </w:r>
                  </w:p>
                  <w:p w14:paraId="5BEF22AB" w14:textId="531C83C3" w:rsidR="006C03B3" w:rsidRPr="006C03B3" w:rsidRDefault="006C03B3" w:rsidP="006C03B3">
                    <w:pPr>
                      <w:rPr>
                        <w:sz w:val="13"/>
                        <w:szCs w:val="13"/>
                        <w:lang w:val="da-DK"/>
                      </w:rPr>
                    </w:pPr>
                    <w:r w:rsidRPr="006C03B3">
                      <w:rPr>
                        <w:sz w:val="13"/>
                        <w:szCs w:val="13"/>
                        <w:lang w:val="da-DK"/>
                      </w:rPr>
                      <w:t>Nederland</w:t>
                    </w:r>
                  </w:p>
                  <w:p w14:paraId="54EB0508" w14:textId="77777777" w:rsidR="00E22D8B" w:rsidRPr="006C03B3" w:rsidRDefault="005159BC">
                    <w:pPr>
                      <w:pStyle w:val="Referentiegegevens"/>
                      <w:rPr>
                        <w:lang w:val="da-DK"/>
                      </w:rPr>
                    </w:pPr>
                    <w:r w:rsidRPr="006C03B3">
                      <w:rPr>
                        <w:lang w:val="da-DK"/>
                      </w:rPr>
                      <w:t>www.minbuza.nl</w:t>
                    </w:r>
                  </w:p>
                  <w:p w14:paraId="54EB0509" w14:textId="77777777" w:rsidR="00E22D8B" w:rsidRPr="006C03B3" w:rsidRDefault="00E22D8B">
                    <w:pPr>
                      <w:pStyle w:val="WitregelW2"/>
                      <w:rPr>
                        <w:lang w:val="da-DK"/>
                      </w:rPr>
                    </w:pPr>
                  </w:p>
                  <w:p w14:paraId="54EB050A" w14:textId="77777777" w:rsidR="00E22D8B" w:rsidRDefault="005159BC">
                    <w:pPr>
                      <w:pStyle w:val="Referentiegegevensbold"/>
                    </w:pPr>
                    <w:r>
                      <w:t>Onze referentie</w:t>
                    </w:r>
                  </w:p>
                  <w:p w14:paraId="54EB050B" w14:textId="3CC2ED26" w:rsidR="00E22D8B" w:rsidRDefault="005159BC">
                    <w:pPr>
                      <w:pStyle w:val="Referentiegegevens"/>
                    </w:pPr>
                    <w:r>
                      <w:t>BZ262</w:t>
                    </w:r>
                    <w:r w:rsidR="006C03B3">
                      <w:t>7746</w:t>
                    </w:r>
                  </w:p>
                  <w:p w14:paraId="54EB050C" w14:textId="77777777" w:rsidR="00E22D8B" w:rsidRDefault="00E22D8B">
                    <w:pPr>
                      <w:pStyle w:val="WitregelW1"/>
                    </w:pPr>
                  </w:p>
                  <w:p w14:paraId="54EB050D" w14:textId="77777777" w:rsidR="00E22D8B" w:rsidRDefault="005159BC">
                    <w:pPr>
                      <w:pStyle w:val="Referentiegegevensbold"/>
                    </w:pPr>
                    <w:r>
                      <w:t>Bijlage(n)</w:t>
                    </w:r>
                  </w:p>
                  <w:p w14:paraId="54EB050E" w14:textId="6BE3C5C5" w:rsidR="00E22D8B" w:rsidRDefault="006C03B3">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EB04F3" wp14:editId="0EF841D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EB051C" w14:textId="77777777" w:rsidR="005159BC" w:rsidRDefault="005159BC"/>
                      </w:txbxContent>
                    </wps:txbx>
                    <wps:bodyPr vert="horz" wrap="square" lIns="0" tIns="0" rIns="0" bIns="0" anchor="t" anchorCtr="0"/>
                  </wps:wsp>
                </a:graphicData>
              </a:graphic>
            </wp:anchor>
          </w:drawing>
        </mc:Choice>
        <mc:Fallback>
          <w:pict>
            <v:shape w14:anchorId="54EB04F3"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4EB051C" w14:textId="77777777" w:rsidR="005159BC" w:rsidRDefault="005159B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4EB04F5" wp14:editId="54EB04F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4EB051E" w14:textId="77777777" w:rsidR="005159BC" w:rsidRDefault="005159BC"/>
                      </w:txbxContent>
                    </wps:txbx>
                    <wps:bodyPr vert="horz" wrap="square" lIns="0" tIns="0" rIns="0" bIns="0" anchor="t" anchorCtr="0"/>
                  </wps:wsp>
                </a:graphicData>
              </a:graphic>
            </wp:anchor>
          </w:drawing>
        </mc:Choice>
        <mc:Fallback>
          <w:pict>
            <v:shape w14:anchorId="54EB04F5"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4EB051E" w14:textId="77777777" w:rsidR="005159BC" w:rsidRDefault="005159BC"/>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4EB04F7" wp14:editId="54EB04F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EB0510" w14:textId="77777777" w:rsidR="00E22D8B" w:rsidRDefault="005159BC">
                          <w:pPr>
                            <w:spacing w:line="240" w:lineRule="auto"/>
                          </w:pPr>
                          <w:r>
                            <w:rPr>
                              <w:noProof/>
                            </w:rPr>
                            <w:drawing>
                              <wp:inline distT="0" distB="0" distL="0" distR="0" wp14:anchorId="54EB0516" wp14:editId="54EB051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EB04F7"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4EB0510" w14:textId="77777777" w:rsidR="00E22D8B" w:rsidRDefault="005159BC">
                    <w:pPr>
                      <w:spacing w:line="240" w:lineRule="auto"/>
                    </w:pPr>
                    <w:r>
                      <w:rPr>
                        <w:noProof/>
                      </w:rPr>
                      <w:drawing>
                        <wp:inline distT="0" distB="0" distL="0" distR="0" wp14:anchorId="54EB0516" wp14:editId="54EB051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F4EAC8"/>
    <w:multiLevelType w:val="multilevel"/>
    <w:tmpl w:val="43BD7E1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F2D6E70"/>
    <w:multiLevelType w:val="multilevel"/>
    <w:tmpl w:val="95A32D1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625957E"/>
    <w:multiLevelType w:val="multilevel"/>
    <w:tmpl w:val="694477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3FA45C3"/>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4" w15:restartNumberingAfterBreak="0">
    <w:nsid w:val="0E5D2D25"/>
    <w:multiLevelType w:val="hybridMultilevel"/>
    <w:tmpl w:val="2264E08C"/>
    <w:lvl w:ilvl="0" w:tplc="46B61A9C">
      <w:start w:val="7"/>
      <w:numFmt w:val="bullet"/>
      <w:lvlText w:val="-"/>
      <w:lvlJc w:val="left"/>
      <w:pPr>
        <w:ind w:left="478" w:hanging="360"/>
      </w:pPr>
      <w:rPr>
        <w:rFonts w:ascii="Verdana" w:eastAsia="Verdana" w:hAnsi="Verdana" w:cs="Verdana" w:hint="default"/>
      </w:rPr>
    </w:lvl>
    <w:lvl w:ilvl="1" w:tplc="04130003" w:tentative="1">
      <w:start w:val="1"/>
      <w:numFmt w:val="bullet"/>
      <w:lvlText w:val="o"/>
      <w:lvlJc w:val="left"/>
      <w:pPr>
        <w:ind w:left="1198" w:hanging="360"/>
      </w:pPr>
      <w:rPr>
        <w:rFonts w:ascii="Courier New" w:hAnsi="Courier New" w:cs="Courier New" w:hint="default"/>
      </w:rPr>
    </w:lvl>
    <w:lvl w:ilvl="2" w:tplc="04130005" w:tentative="1">
      <w:start w:val="1"/>
      <w:numFmt w:val="bullet"/>
      <w:lvlText w:val=""/>
      <w:lvlJc w:val="left"/>
      <w:pPr>
        <w:ind w:left="1918" w:hanging="360"/>
      </w:pPr>
      <w:rPr>
        <w:rFonts w:ascii="Wingdings" w:hAnsi="Wingdings" w:hint="default"/>
      </w:rPr>
    </w:lvl>
    <w:lvl w:ilvl="3" w:tplc="04130001" w:tentative="1">
      <w:start w:val="1"/>
      <w:numFmt w:val="bullet"/>
      <w:lvlText w:val=""/>
      <w:lvlJc w:val="left"/>
      <w:pPr>
        <w:ind w:left="2638" w:hanging="360"/>
      </w:pPr>
      <w:rPr>
        <w:rFonts w:ascii="Symbol" w:hAnsi="Symbol" w:hint="default"/>
      </w:rPr>
    </w:lvl>
    <w:lvl w:ilvl="4" w:tplc="04130003" w:tentative="1">
      <w:start w:val="1"/>
      <w:numFmt w:val="bullet"/>
      <w:lvlText w:val="o"/>
      <w:lvlJc w:val="left"/>
      <w:pPr>
        <w:ind w:left="3358" w:hanging="360"/>
      </w:pPr>
      <w:rPr>
        <w:rFonts w:ascii="Courier New" w:hAnsi="Courier New" w:cs="Courier New" w:hint="default"/>
      </w:rPr>
    </w:lvl>
    <w:lvl w:ilvl="5" w:tplc="04130005" w:tentative="1">
      <w:start w:val="1"/>
      <w:numFmt w:val="bullet"/>
      <w:lvlText w:val=""/>
      <w:lvlJc w:val="left"/>
      <w:pPr>
        <w:ind w:left="4078" w:hanging="360"/>
      </w:pPr>
      <w:rPr>
        <w:rFonts w:ascii="Wingdings" w:hAnsi="Wingdings" w:hint="default"/>
      </w:rPr>
    </w:lvl>
    <w:lvl w:ilvl="6" w:tplc="04130001" w:tentative="1">
      <w:start w:val="1"/>
      <w:numFmt w:val="bullet"/>
      <w:lvlText w:val=""/>
      <w:lvlJc w:val="left"/>
      <w:pPr>
        <w:ind w:left="4798" w:hanging="360"/>
      </w:pPr>
      <w:rPr>
        <w:rFonts w:ascii="Symbol" w:hAnsi="Symbol" w:hint="default"/>
      </w:rPr>
    </w:lvl>
    <w:lvl w:ilvl="7" w:tplc="04130003" w:tentative="1">
      <w:start w:val="1"/>
      <w:numFmt w:val="bullet"/>
      <w:lvlText w:val="o"/>
      <w:lvlJc w:val="left"/>
      <w:pPr>
        <w:ind w:left="5518" w:hanging="360"/>
      </w:pPr>
      <w:rPr>
        <w:rFonts w:ascii="Courier New" w:hAnsi="Courier New" w:cs="Courier New" w:hint="default"/>
      </w:rPr>
    </w:lvl>
    <w:lvl w:ilvl="8" w:tplc="04130005" w:tentative="1">
      <w:start w:val="1"/>
      <w:numFmt w:val="bullet"/>
      <w:lvlText w:val=""/>
      <w:lvlJc w:val="left"/>
      <w:pPr>
        <w:ind w:left="6238" w:hanging="360"/>
      </w:pPr>
      <w:rPr>
        <w:rFonts w:ascii="Wingdings" w:hAnsi="Wingdings" w:hint="default"/>
      </w:rPr>
    </w:lvl>
  </w:abstractNum>
  <w:abstractNum w:abstractNumId="5" w15:restartNumberingAfterBreak="0">
    <w:nsid w:val="0E783515"/>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6" w15:restartNumberingAfterBreak="0">
    <w:nsid w:val="13332F6F"/>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7" w15:restartNumberingAfterBreak="0">
    <w:nsid w:val="14A36B2D"/>
    <w:multiLevelType w:val="hybridMultilevel"/>
    <w:tmpl w:val="F8BE3A7C"/>
    <w:lvl w:ilvl="0" w:tplc="F7DC5970">
      <w:start w:val="1"/>
      <w:numFmt w:val="bullet"/>
      <w:lvlText w:val=""/>
      <w:lvlJc w:val="left"/>
      <w:pPr>
        <w:ind w:left="1020" w:hanging="360"/>
      </w:pPr>
      <w:rPr>
        <w:rFonts w:ascii="Symbol" w:hAnsi="Symbol"/>
      </w:rPr>
    </w:lvl>
    <w:lvl w:ilvl="1" w:tplc="994A47E4">
      <w:start w:val="1"/>
      <w:numFmt w:val="bullet"/>
      <w:lvlText w:val=""/>
      <w:lvlJc w:val="left"/>
      <w:pPr>
        <w:ind w:left="1020" w:hanging="360"/>
      </w:pPr>
      <w:rPr>
        <w:rFonts w:ascii="Symbol" w:hAnsi="Symbol"/>
      </w:rPr>
    </w:lvl>
    <w:lvl w:ilvl="2" w:tplc="480208AC">
      <w:start w:val="1"/>
      <w:numFmt w:val="bullet"/>
      <w:lvlText w:val=""/>
      <w:lvlJc w:val="left"/>
      <w:pPr>
        <w:ind w:left="1020" w:hanging="360"/>
      </w:pPr>
      <w:rPr>
        <w:rFonts w:ascii="Symbol" w:hAnsi="Symbol"/>
      </w:rPr>
    </w:lvl>
    <w:lvl w:ilvl="3" w:tplc="0CD49E36">
      <w:start w:val="1"/>
      <w:numFmt w:val="bullet"/>
      <w:lvlText w:val=""/>
      <w:lvlJc w:val="left"/>
      <w:pPr>
        <w:ind w:left="1020" w:hanging="360"/>
      </w:pPr>
      <w:rPr>
        <w:rFonts w:ascii="Symbol" w:hAnsi="Symbol"/>
      </w:rPr>
    </w:lvl>
    <w:lvl w:ilvl="4" w:tplc="2004824A">
      <w:start w:val="1"/>
      <w:numFmt w:val="bullet"/>
      <w:lvlText w:val=""/>
      <w:lvlJc w:val="left"/>
      <w:pPr>
        <w:ind w:left="1020" w:hanging="360"/>
      </w:pPr>
      <w:rPr>
        <w:rFonts w:ascii="Symbol" w:hAnsi="Symbol"/>
      </w:rPr>
    </w:lvl>
    <w:lvl w:ilvl="5" w:tplc="E29AAFFE">
      <w:start w:val="1"/>
      <w:numFmt w:val="bullet"/>
      <w:lvlText w:val=""/>
      <w:lvlJc w:val="left"/>
      <w:pPr>
        <w:ind w:left="1020" w:hanging="360"/>
      </w:pPr>
      <w:rPr>
        <w:rFonts w:ascii="Symbol" w:hAnsi="Symbol"/>
      </w:rPr>
    </w:lvl>
    <w:lvl w:ilvl="6" w:tplc="58841AB6">
      <w:start w:val="1"/>
      <w:numFmt w:val="bullet"/>
      <w:lvlText w:val=""/>
      <w:lvlJc w:val="left"/>
      <w:pPr>
        <w:ind w:left="1020" w:hanging="360"/>
      </w:pPr>
      <w:rPr>
        <w:rFonts w:ascii="Symbol" w:hAnsi="Symbol"/>
      </w:rPr>
    </w:lvl>
    <w:lvl w:ilvl="7" w:tplc="365EFD06">
      <w:start w:val="1"/>
      <w:numFmt w:val="bullet"/>
      <w:lvlText w:val=""/>
      <w:lvlJc w:val="left"/>
      <w:pPr>
        <w:ind w:left="1020" w:hanging="360"/>
      </w:pPr>
      <w:rPr>
        <w:rFonts w:ascii="Symbol" w:hAnsi="Symbol"/>
      </w:rPr>
    </w:lvl>
    <w:lvl w:ilvl="8" w:tplc="6EAAF670">
      <w:start w:val="1"/>
      <w:numFmt w:val="bullet"/>
      <w:lvlText w:val=""/>
      <w:lvlJc w:val="left"/>
      <w:pPr>
        <w:ind w:left="1020" w:hanging="360"/>
      </w:pPr>
      <w:rPr>
        <w:rFonts w:ascii="Symbol" w:hAnsi="Symbol"/>
      </w:rPr>
    </w:lvl>
  </w:abstractNum>
  <w:abstractNum w:abstractNumId="8" w15:restartNumberingAfterBreak="0">
    <w:nsid w:val="1C274686"/>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9" w15:restartNumberingAfterBreak="0">
    <w:nsid w:val="2048182F"/>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0" w15:restartNumberingAfterBreak="0">
    <w:nsid w:val="29195EB3"/>
    <w:multiLevelType w:val="hybridMultilevel"/>
    <w:tmpl w:val="70667988"/>
    <w:lvl w:ilvl="0" w:tplc="04130001">
      <w:start w:val="1"/>
      <w:numFmt w:val="bullet"/>
      <w:lvlText w:val=""/>
      <w:lvlJc w:val="left"/>
      <w:pPr>
        <w:ind w:left="461" w:hanging="360"/>
      </w:pPr>
      <w:rPr>
        <w:rFonts w:ascii="Symbol" w:hAnsi="Symbol" w:hint="default"/>
      </w:rPr>
    </w:lvl>
    <w:lvl w:ilvl="1" w:tplc="04130003" w:tentative="1">
      <w:start w:val="1"/>
      <w:numFmt w:val="bullet"/>
      <w:lvlText w:val="o"/>
      <w:lvlJc w:val="left"/>
      <w:pPr>
        <w:ind w:left="1181" w:hanging="360"/>
      </w:pPr>
      <w:rPr>
        <w:rFonts w:ascii="Courier New" w:hAnsi="Courier New" w:cs="Courier New" w:hint="default"/>
      </w:rPr>
    </w:lvl>
    <w:lvl w:ilvl="2" w:tplc="04130005" w:tentative="1">
      <w:start w:val="1"/>
      <w:numFmt w:val="bullet"/>
      <w:lvlText w:val=""/>
      <w:lvlJc w:val="left"/>
      <w:pPr>
        <w:ind w:left="1901" w:hanging="360"/>
      </w:pPr>
      <w:rPr>
        <w:rFonts w:ascii="Wingdings" w:hAnsi="Wingdings" w:hint="default"/>
      </w:rPr>
    </w:lvl>
    <w:lvl w:ilvl="3" w:tplc="04130001" w:tentative="1">
      <w:start w:val="1"/>
      <w:numFmt w:val="bullet"/>
      <w:lvlText w:val=""/>
      <w:lvlJc w:val="left"/>
      <w:pPr>
        <w:ind w:left="2621" w:hanging="360"/>
      </w:pPr>
      <w:rPr>
        <w:rFonts w:ascii="Symbol" w:hAnsi="Symbol" w:hint="default"/>
      </w:rPr>
    </w:lvl>
    <w:lvl w:ilvl="4" w:tplc="04130003" w:tentative="1">
      <w:start w:val="1"/>
      <w:numFmt w:val="bullet"/>
      <w:lvlText w:val="o"/>
      <w:lvlJc w:val="left"/>
      <w:pPr>
        <w:ind w:left="3341" w:hanging="360"/>
      </w:pPr>
      <w:rPr>
        <w:rFonts w:ascii="Courier New" w:hAnsi="Courier New" w:cs="Courier New" w:hint="default"/>
      </w:rPr>
    </w:lvl>
    <w:lvl w:ilvl="5" w:tplc="04130005" w:tentative="1">
      <w:start w:val="1"/>
      <w:numFmt w:val="bullet"/>
      <w:lvlText w:val=""/>
      <w:lvlJc w:val="left"/>
      <w:pPr>
        <w:ind w:left="4061" w:hanging="360"/>
      </w:pPr>
      <w:rPr>
        <w:rFonts w:ascii="Wingdings" w:hAnsi="Wingdings" w:hint="default"/>
      </w:rPr>
    </w:lvl>
    <w:lvl w:ilvl="6" w:tplc="04130001" w:tentative="1">
      <w:start w:val="1"/>
      <w:numFmt w:val="bullet"/>
      <w:lvlText w:val=""/>
      <w:lvlJc w:val="left"/>
      <w:pPr>
        <w:ind w:left="4781" w:hanging="360"/>
      </w:pPr>
      <w:rPr>
        <w:rFonts w:ascii="Symbol" w:hAnsi="Symbol" w:hint="default"/>
      </w:rPr>
    </w:lvl>
    <w:lvl w:ilvl="7" w:tplc="04130003" w:tentative="1">
      <w:start w:val="1"/>
      <w:numFmt w:val="bullet"/>
      <w:lvlText w:val="o"/>
      <w:lvlJc w:val="left"/>
      <w:pPr>
        <w:ind w:left="5501" w:hanging="360"/>
      </w:pPr>
      <w:rPr>
        <w:rFonts w:ascii="Courier New" w:hAnsi="Courier New" w:cs="Courier New" w:hint="default"/>
      </w:rPr>
    </w:lvl>
    <w:lvl w:ilvl="8" w:tplc="04130005" w:tentative="1">
      <w:start w:val="1"/>
      <w:numFmt w:val="bullet"/>
      <w:lvlText w:val=""/>
      <w:lvlJc w:val="left"/>
      <w:pPr>
        <w:ind w:left="6221" w:hanging="360"/>
      </w:pPr>
      <w:rPr>
        <w:rFonts w:ascii="Wingdings" w:hAnsi="Wingdings" w:hint="default"/>
      </w:rPr>
    </w:lvl>
  </w:abstractNum>
  <w:abstractNum w:abstractNumId="11" w15:restartNumberingAfterBreak="0">
    <w:nsid w:val="2AD7306A"/>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2" w15:restartNumberingAfterBreak="0">
    <w:nsid w:val="305A25A2"/>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3" w15:restartNumberingAfterBreak="0">
    <w:nsid w:val="3B5F7362"/>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4" w15:restartNumberingAfterBreak="0">
    <w:nsid w:val="437C3916"/>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5" w15:restartNumberingAfterBreak="0">
    <w:nsid w:val="4600286D"/>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6" w15:restartNumberingAfterBreak="0">
    <w:nsid w:val="481F0B00"/>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7" w15:restartNumberingAfterBreak="0">
    <w:nsid w:val="48906E83"/>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8" w15:restartNumberingAfterBreak="0">
    <w:nsid w:val="51945341"/>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9" w15:restartNumberingAfterBreak="0">
    <w:nsid w:val="5E2FE695"/>
    <w:multiLevelType w:val="multilevel"/>
    <w:tmpl w:val="619F70B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0" w15:restartNumberingAfterBreak="0">
    <w:nsid w:val="66D12A1C"/>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21" w15:restartNumberingAfterBreak="0">
    <w:nsid w:val="6D3F673D"/>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22" w15:restartNumberingAfterBreak="0">
    <w:nsid w:val="6F0F546C"/>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23" w15:restartNumberingAfterBreak="0">
    <w:nsid w:val="727825C2"/>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24" w15:restartNumberingAfterBreak="0">
    <w:nsid w:val="73778EE1"/>
    <w:multiLevelType w:val="multilevel"/>
    <w:tmpl w:val="B8E2667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7A2C99"/>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26" w15:restartNumberingAfterBreak="0">
    <w:nsid w:val="7D0D39CF"/>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num w:numId="1" w16cid:durableId="357240313">
    <w:abstractNumId w:val="19"/>
  </w:num>
  <w:num w:numId="2" w16cid:durableId="1281062611">
    <w:abstractNumId w:val="0"/>
  </w:num>
  <w:num w:numId="3" w16cid:durableId="694844316">
    <w:abstractNumId w:val="2"/>
  </w:num>
  <w:num w:numId="4" w16cid:durableId="936331246">
    <w:abstractNumId w:val="1"/>
  </w:num>
  <w:num w:numId="5" w16cid:durableId="1284119451">
    <w:abstractNumId w:val="24"/>
  </w:num>
  <w:num w:numId="6" w16cid:durableId="261838630">
    <w:abstractNumId w:val="15"/>
  </w:num>
  <w:num w:numId="7" w16cid:durableId="965354848">
    <w:abstractNumId w:val="8"/>
  </w:num>
  <w:num w:numId="8" w16cid:durableId="974339336">
    <w:abstractNumId w:val="10"/>
  </w:num>
  <w:num w:numId="9" w16cid:durableId="1609846412">
    <w:abstractNumId w:val="6"/>
  </w:num>
  <w:num w:numId="10" w16cid:durableId="1201551406">
    <w:abstractNumId w:val="23"/>
  </w:num>
  <w:num w:numId="11" w16cid:durableId="1081756457">
    <w:abstractNumId w:val="20"/>
  </w:num>
  <w:num w:numId="12" w16cid:durableId="292562117">
    <w:abstractNumId w:val="3"/>
  </w:num>
  <w:num w:numId="13" w16cid:durableId="615330507">
    <w:abstractNumId w:val="18"/>
  </w:num>
  <w:num w:numId="14" w16cid:durableId="352809592">
    <w:abstractNumId w:val="11"/>
  </w:num>
  <w:num w:numId="15" w16cid:durableId="102456796">
    <w:abstractNumId w:val="26"/>
  </w:num>
  <w:num w:numId="16" w16cid:durableId="1452017093">
    <w:abstractNumId w:val="21"/>
  </w:num>
  <w:num w:numId="17" w16cid:durableId="924725508">
    <w:abstractNumId w:val="25"/>
  </w:num>
  <w:num w:numId="18" w16cid:durableId="888421859">
    <w:abstractNumId w:val="13"/>
  </w:num>
  <w:num w:numId="19" w16cid:durableId="455023494">
    <w:abstractNumId w:val="5"/>
  </w:num>
  <w:num w:numId="20" w16cid:durableId="1812286536">
    <w:abstractNumId w:val="12"/>
  </w:num>
  <w:num w:numId="21" w16cid:durableId="515727292">
    <w:abstractNumId w:val="16"/>
  </w:num>
  <w:num w:numId="22" w16cid:durableId="1844514955">
    <w:abstractNumId w:val="9"/>
  </w:num>
  <w:num w:numId="23" w16cid:durableId="774835067">
    <w:abstractNumId w:val="14"/>
  </w:num>
  <w:num w:numId="24" w16cid:durableId="2084525417">
    <w:abstractNumId w:val="22"/>
  </w:num>
  <w:num w:numId="25" w16cid:durableId="1483112251">
    <w:abstractNumId w:val="17"/>
  </w:num>
  <w:num w:numId="26" w16cid:durableId="1951545294">
    <w:abstractNumId w:val="4"/>
  </w:num>
  <w:num w:numId="27" w16cid:durableId="1646857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8B"/>
    <w:rsid w:val="000207DE"/>
    <w:rsid w:val="0002274E"/>
    <w:rsid w:val="0002387B"/>
    <w:rsid w:val="00030F13"/>
    <w:rsid w:val="00061F5A"/>
    <w:rsid w:val="0006547A"/>
    <w:rsid w:val="00072B3D"/>
    <w:rsid w:val="00073241"/>
    <w:rsid w:val="00094426"/>
    <w:rsid w:val="000A0C38"/>
    <w:rsid w:val="000E3CF6"/>
    <w:rsid w:val="00100FFF"/>
    <w:rsid w:val="001014E2"/>
    <w:rsid w:val="00110C11"/>
    <w:rsid w:val="0012512A"/>
    <w:rsid w:val="001374C9"/>
    <w:rsid w:val="001825E0"/>
    <w:rsid w:val="001846CC"/>
    <w:rsid w:val="00184D80"/>
    <w:rsid w:val="00185E4D"/>
    <w:rsid w:val="001B22C2"/>
    <w:rsid w:val="001C039B"/>
    <w:rsid w:val="001C21DF"/>
    <w:rsid w:val="001D21C3"/>
    <w:rsid w:val="001D3CA5"/>
    <w:rsid w:val="001F69E5"/>
    <w:rsid w:val="00223C8B"/>
    <w:rsid w:val="00224B8E"/>
    <w:rsid w:val="0024288D"/>
    <w:rsid w:val="00243DBB"/>
    <w:rsid w:val="00246081"/>
    <w:rsid w:val="0025059E"/>
    <w:rsid w:val="002660A2"/>
    <w:rsid w:val="00281353"/>
    <w:rsid w:val="00281479"/>
    <w:rsid w:val="002A020D"/>
    <w:rsid w:val="002A670E"/>
    <w:rsid w:val="002E19C4"/>
    <w:rsid w:val="002F4630"/>
    <w:rsid w:val="00302576"/>
    <w:rsid w:val="003145D0"/>
    <w:rsid w:val="00321270"/>
    <w:rsid w:val="00341058"/>
    <w:rsid w:val="003541AE"/>
    <w:rsid w:val="00357AC0"/>
    <w:rsid w:val="0037462D"/>
    <w:rsid w:val="00386A06"/>
    <w:rsid w:val="00387734"/>
    <w:rsid w:val="00393070"/>
    <w:rsid w:val="003A3FFD"/>
    <w:rsid w:val="003B6C15"/>
    <w:rsid w:val="003D2AB9"/>
    <w:rsid w:val="003D393C"/>
    <w:rsid w:val="003D6012"/>
    <w:rsid w:val="00414F5B"/>
    <w:rsid w:val="00417E23"/>
    <w:rsid w:val="00426D98"/>
    <w:rsid w:val="004270B0"/>
    <w:rsid w:val="004421DD"/>
    <w:rsid w:val="004541D8"/>
    <w:rsid w:val="00457786"/>
    <w:rsid w:val="00457AFE"/>
    <w:rsid w:val="00465FA5"/>
    <w:rsid w:val="00482581"/>
    <w:rsid w:val="00483C70"/>
    <w:rsid w:val="00484B82"/>
    <w:rsid w:val="00490F18"/>
    <w:rsid w:val="004B4C0C"/>
    <w:rsid w:val="004C56E0"/>
    <w:rsid w:val="004C6F03"/>
    <w:rsid w:val="004E56B2"/>
    <w:rsid w:val="004F1545"/>
    <w:rsid w:val="00501CC4"/>
    <w:rsid w:val="005061D6"/>
    <w:rsid w:val="005159BC"/>
    <w:rsid w:val="00516B03"/>
    <w:rsid w:val="00540DA5"/>
    <w:rsid w:val="00542942"/>
    <w:rsid w:val="00560EF5"/>
    <w:rsid w:val="005624CD"/>
    <w:rsid w:val="005669ED"/>
    <w:rsid w:val="00577A49"/>
    <w:rsid w:val="0058341C"/>
    <w:rsid w:val="005B188A"/>
    <w:rsid w:val="005D6D04"/>
    <w:rsid w:val="005F0A33"/>
    <w:rsid w:val="006117F6"/>
    <w:rsid w:val="00621656"/>
    <w:rsid w:val="00624571"/>
    <w:rsid w:val="00631BDA"/>
    <w:rsid w:val="00676F72"/>
    <w:rsid w:val="00694D49"/>
    <w:rsid w:val="006959F8"/>
    <w:rsid w:val="006A6C02"/>
    <w:rsid w:val="006B5103"/>
    <w:rsid w:val="006C03B3"/>
    <w:rsid w:val="006C3E39"/>
    <w:rsid w:val="006C634E"/>
    <w:rsid w:val="006F7438"/>
    <w:rsid w:val="007015ED"/>
    <w:rsid w:val="00704F1A"/>
    <w:rsid w:val="007227E1"/>
    <w:rsid w:val="00724CC9"/>
    <w:rsid w:val="00734DDC"/>
    <w:rsid w:val="00740C69"/>
    <w:rsid w:val="007531D2"/>
    <w:rsid w:val="00784339"/>
    <w:rsid w:val="007B2C16"/>
    <w:rsid w:val="007D2DE7"/>
    <w:rsid w:val="00801FF9"/>
    <w:rsid w:val="00803D2A"/>
    <w:rsid w:val="00806B23"/>
    <w:rsid w:val="00810AF9"/>
    <w:rsid w:val="00826182"/>
    <w:rsid w:val="00827E1A"/>
    <w:rsid w:val="00832312"/>
    <w:rsid w:val="00834E65"/>
    <w:rsid w:val="00865831"/>
    <w:rsid w:val="00866A02"/>
    <w:rsid w:val="0088425B"/>
    <w:rsid w:val="00896806"/>
    <w:rsid w:val="008A28E5"/>
    <w:rsid w:val="008A4716"/>
    <w:rsid w:val="008D251C"/>
    <w:rsid w:val="008D61E0"/>
    <w:rsid w:val="008E6047"/>
    <w:rsid w:val="009011E3"/>
    <w:rsid w:val="0090281D"/>
    <w:rsid w:val="00904136"/>
    <w:rsid w:val="009415CE"/>
    <w:rsid w:val="00946C9C"/>
    <w:rsid w:val="00952BA7"/>
    <w:rsid w:val="009657B9"/>
    <w:rsid w:val="00967CB5"/>
    <w:rsid w:val="009830A8"/>
    <w:rsid w:val="00987C69"/>
    <w:rsid w:val="009B2AD0"/>
    <w:rsid w:val="009C7C9E"/>
    <w:rsid w:val="009F6A38"/>
    <w:rsid w:val="00A276F1"/>
    <w:rsid w:val="00A446A9"/>
    <w:rsid w:val="00A83D35"/>
    <w:rsid w:val="00A84C1D"/>
    <w:rsid w:val="00A907B9"/>
    <w:rsid w:val="00A91BCD"/>
    <w:rsid w:val="00A933CF"/>
    <w:rsid w:val="00AB5E81"/>
    <w:rsid w:val="00AC35B9"/>
    <w:rsid w:val="00AC588A"/>
    <w:rsid w:val="00AE1F63"/>
    <w:rsid w:val="00AE53EB"/>
    <w:rsid w:val="00B3192E"/>
    <w:rsid w:val="00B34888"/>
    <w:rsid w:val="00B44DBF"/>
    <w:rsid w:val="00B5713F"/>
    <w:rsid w:val="00B5785F"/>
    <w:rsid w:val="00B67BEF"/>
    <w:rsid w:val="00B708FE"/>
    <w:rsid w:val="00BB1B31"/>
    <w:rsid w:val="00BC593D"/>
    <w:rsid w:val="00BD19DD"/>
    <w:rsid w:val="00BD20AA"/>
    <w:rsid w:val="00BD2313"/>
    <w:rsid w:val="00BF3A22"/>
    <w:rsid w:val="00BF6D1D"/>
    <w:rsid w:val="00C04802"/>
    <w:rsid w:val="00C057C4"/>
    <w:rsid w:val="00C0692D"/>
    <w:rsid w:val="00C06EDF"/>
    <w:rsid w:val="00C1729B"/>
    <w:rsid w:val="00C26965"/>
    <w:rsid w:val="00C3719E"/>
    <w:rsid w:val="00C6365A"/>
    <w:rsid w:val="00CA636E"/>
    <w:rsid w:val="00CC1DCC"/>
    <w:rsid w:val="00CC4F55"/>
    <w:rsid w:val="00CD307C"/>
    <w:rsid w:val="00CD71FB"/>
    <w:rsid w:val="00D070F4"/>
    <w:rsid w:val="00D12913"/>
    <w:rsid w:val="00D13352"/>
    <w:rsid w:val="00D15B77"/>
    <w:rsid w:val="00D2512D"/>
    <w:rsid w:val="00D33DC7"/>
    <w:rsid w:val="00D3591B"/>
    <w:rsid w:val="00D530D8"/>
    <w:rsid w:val="00D712F8"/>
    <w:rsid w:val="00D7780E"/>
    <w:rsid w:val="00DA31FA"/>
    <w:rsid w:val="00E00F8F"/>
    <w:rsid w:val="00E057EA"/>
    <w:rsid w:val="00E07DE8"/>
    <w:rsid w:val="00E208E1"/>
    <w:rsid w:val="00E22D8B"/>
    <w:rsid w:val="00E329D8"/>
    <w:rsid w:val="00E353D8"/>
    <w:rsid w:val="00E54BB2"/>
    <w:rsid w:val="00E61922"/>
    <w:rsid w:val="00E62465"/>
    <w:rsid w:val="00E6735E"/>
    <w:rsid w:val="00E84CC1"/>
    <w:rsid w:val="00E86674"/>
    <w:rsid w:val="00E91845"/>
    <w:rsid w:val="00E94A5F"/>
    <w:rsid w:val="00EA6FC5"/>
    <w:rsid w:val="00EB61C7"/>
    <w:rsid w:val="00ED427A"/>
    <w:rsid w:val="00EE5BE2"/>
    <w:rsid w:val="00EF1D27"/>
    <w:rsid w:val="00F044EA"/>
    <w:rsid w:val="00F223BC"/>
    <w:rsid w:val="00F2256A"/>
    <w:rsid w:val="00F23597"/>
    <w:rsid w:val="00F3434D"/>
    <w:rsid w:val="00F379E4"/>
    <w:rsid w:val="00F47E5C"/>
    <w:rsid w:val="00F530AA"/>
    <w:rsid w:val="00F55F94"/>
    <w:rsid w:val="00F965A2"/>
    <w:rsid w:val="00FB7E3F"/>
    <w:rsid w:val="00FF7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54EB04D6"/>
  <w15:docId w15:val="{2AB90013-9244-400A-987A-BC4347F4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A31FA"/>
    <w:pPr>
      <w:tabs>
        <w:tab w:val="center" w:pos="4513"/>
        <w:tab w:val="right" w:pos="9026"/>
      </w:tabs>
      <w:spacing w:line="240" w:lineRule="auto"/>
    </w:pPr>
  </w:style>
  <w:style w:type="character" w:customStyle="1" w:styleId="HeaderChar">
    <w:name w:val="Header Char"/>
    <w:basedOn w:val="DefaultParagraphFont"/>
    <w:link w:val="Header"/>
    <w:uiPriority w:val="99"/>
    <w:rsid w:val="00DA31FA"/>
    <w:rPr>
      <w:rFonts w:ascii="Verdana" w:hAnsi="Verdana"/>
      <w:color w:val="000000"/>
      <w:sz w:val="18"/>
      <w:szCs w:val="18"/>
    </w:rPr>
  </w:style>
  <w:style w:type="paragraph" w:styleId="Footer">
    <w:name w:val="footer"/>
    <w:basedOn w:val="Normal"/>
    <w:link w:val="FooterChar"/>
    <w:uiPriority w:val="99"/>
    <w:unhideWhenUsed/>
    <w:rsid w:val="00DA31FA"/>
    <w:pPr>
      <w:tabs>
        <w:tab w:val="center" w:pos="4513"/>
        <w:tab w:val="right" w:pos="9026"/>
      </w:tabs>
      <w:spacing w:line="240" w:lineRule="auto"/>
    </w:pPr>
  </w:style>
  <w:style w:type="character" w:customStyle="1" w:styleId="FooterChar">
    <w:name w:val="Footer Char"/>
    <w:basedOn w:val="DefaultParagraphFont"/>
    <w:link w:val="Footer"/>
    <w:uiPriority w:val="99"/>
    <w:rsid w:val="00DA31FA"/>
    <w:rPr>
      <w:rFonts w:ascii="Verdana" w:hAnsi="Verdana"/>
      <w:color w:val="000000"/>
      <w:sz w:val="18"/>
      <w:szCs w:val="18"/>
    </w:rPr>
  </w:style>
  <w:style w:type="table" w:customStyle="1" w:styleId="TableNormal1">
    <w:name w:val="Table Normal1"/>
    <w:uiPriority w:val="2"/>
    <w:semiHidden/>
    <w:unhideWhenUsed/>
    <w:qFormat/>
    <w:rsid w:val="001014E2"/>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14E2"/>
    <w:pPr>
      <w:widowControl w:val="0"/>
      <w:autoSpaceDE w:val="0"/>
      <w:spacing w:before="3" w:line="240" w:lineRule="auto"/>
      <w:ind w:left="118"/>
      <w:textAlignment w:val="auto"/>
    </w:pPr>
    <w:rPr>
      <w:rFonts w:eastAsia="Verdana" w:cs="Verdana"/>
      <w:color w:val="auto"/>
      <w:sz w:val="22"/>
      <w:szCs w:val="22"/>
      <w:lang w:eastAsia="en-US"/>
    </w:rPr>
  </w:style>
  <w:style w:type="paragraph" w:styleId="ListParagraph">
    <w:name w:val="List Paragraph"/>
    <w:basedOn w:val="Normal"/>
    <w:uiPriority w:val="34"/>
    <w:semiHidden/>
    <w:rsid w:val="001014E2"/>
    <w:pPr>
      <w:ind w:left="720"/>
      <w:contextualSpacing/>
    </w:pPr>
  </w:style>
  <w:style w:type="character" w:styleId="UnresolvedMention">
    <w:name w:val="Unresolved Mention"/>
    <w:basedOn w:val="DefaultParagraphFont"/>
    <w:uiPriority w:val="99"/>
    <w:semiHidden/>
    <w:unhideWhenUsed/>
    <w:rsid w:val="00E057EA"/>
    <w:rPr>
      <w:color w:val="605E5C"/>
      <w:shd w:val="clear" w:color="auto" w:fill="E1DFDD"/>
    </w:rPr>
  </w:style>
  <w:style w:type="character" w:styleId="FollowedHyperlink">
    <w:name w:val="FollowedHyperlink"/>
    <w:basedOn w:val="DefaultParagraphFont"/>
    <w:uiPriority w:val="99"/>
    <w:semiHidden/>
    <w:unhideWhenUsed/>
    <w:rsid w:val="00393070"/>
    <w:rPr>
      <w:color w:val="96607D" w:themeColor="followedHyperlink"/>
      <w:u w:val="single"/>
    </w:rPr>
  </w:style>
  <w:style w:type="character" w:styleId="CommentReference">
    <w:name w:val="annotation reference"/>
    <w:basedOn w:val="DefaultParagraphFont"/>
    <w:uiPriority w:val="99"/>
    <w:semiHidden/>
    <w:unhideWhenUsed/>
    <w:rsid w:val="00030F13"/>
    <w:rPr>
      <w:sz w:val="16"/>
      <w:szCs w:val="16"/>
    </w:rPr>
  </w:style>
  <w:style w:type="paragraph" w:styleId="CommentText">
    <w:name w:val="annotation text"/>
    <w:basedOn w:val="Normal"/>
    <w:link w:val="CommentTextChar"/>
    <w:uiPriority w:val="99"/>
    <w:unhideWhenUsed/>
    <w:rsid w:val="00030F13"/>
    <w:pPr>
      <w:spacing w:line="240" w:lineRule="auto"/>
    </w:pPr>
    <w:rPr>
      <w:sz w:val="20"/>
      <w:szCs w:val="20"/>
    </w:rPr>
  </w:style>
  <w:style w:type="character" w:customStyle="1" w:styleId="CommentTextChar">
    <w:name w:val="Comment Text Char"/>
    <w:basedOn w:val="DefaultParagraphFont"/>
    <w:link w:val="CommentText"/>
    <w:uiPriority w:val="99"/>
    <w:rsid w:val="00030F13"/>
    <w:rPr>
      <w:rFonts w:ascii="Verdana" w:hAnsi="Verdana"/>
      <w:color w:val="000000"/>
    </w:rPr>
  </w:style>
  <w:style w:type="paragraph" w:styleId="FootnoteText">
    <w:name w:val="footnote text"/>
    <w:basedOn w:val="Normal"/>
    <w:link w:val="FootnoteTextChar"/>
    <w:uiPriority w:val="99"/>
    <w:semiHidden/>
    <w:unhideWhenUsed/>
    <w:rsid w:val="00030F1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30F1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30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798476">
      <w:bodyDiv w:val="1"/>
      <w:marLeft w:val="0"/>
      <w:marRight w:val="0"/>
      <w:marTop w:val="0"/>
      <w:marBottom w:val="0"/>
      <w:divBdr>
        <w:top w:val="none" w:sz="0" w:space="0" w:color="auto"/>
        <w:left w:val="none" w:sz="0" w:space="0" w:color="auto"/>
        <w:bottom w:val="none" w:sz="0" w:space="0" w:color="auto"/>
        <w:right w:val="none" w:sz="0" w:space="0" w:color="auto"/>
      </w:divBdr>
    </w:div>
    <w:div w:id="1137180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iob-evaluatie.nl/resultaten/klimaatbeleid" TargetMode="External" Id="rId13" /><Relationship Type="http://schemas.openxmlformats.org/officeDocument/2006/relationships/header" Target="header1.xml" Id="rId18" /><Relationship Type="http://schemas.openxmlformats.org/officeDocument/2006/relationships/webSetting" Target="webSettings0.xml" Id="rId26"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iob-evaluatie.nl/documenten/2025/09/10/periodieke-rapportage-multilaterale-samenwerking" TargetMode="External" Id="rId17" /><Relationship Type="http://schemas.openxmlformats.org/officeDocument/2006/relationships/theme" Target="theme/theme1.xml" Id="rId25" /><Relationship Type="http://schemas.openxmlformats.org/officeDocument/2006/relationships/hyperlink" Target="https://www.iob-evaluatie.nl/documenten/2025/03/04/periodieke-rapportage-vrede-veiligheid-en-duurzame-ontwikkeling" TargetMode="External" Id="rId16" /><Relationship Type="http://schemas.openxmlformats.org/officeDocument/2006/relationships/footer" Target="footer1.xml" Id="rId20"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hyperlink" Target="https://www.tweedekamer.nl/kamerstukken/brieven_regering/detail?id=2025Z20289&amp;did=2025D47726" TargetMode="External" Id="rId15" /><Relationship Type="http://schemas.openxmlformats.org/officeDocument/2006/relationships/footer" Target="footer3.xml" Id="rId23"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settings" Target="settings.xml" Id="rId9" /><Relationship Type="http://schemas.openxmlformats.org/officeDocument/2006/relationships/hyperlink" Target="https://www.iob-evaluatie.nl/resultaten/beleidscoherentie-voor-voedselzekerheid-water-klimaat" TargetMode="External" Id="rId14" /><Relationship Type="http://schemas.openxmlformats.org/officeDocument/2006/relationships/header" Target="header3.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4491</ap:Words>
  <ap:Characters>24703</ap:Characters>
  <ap:DocSecurity>0</ap:DocSecurity>
  <ap:Lines>205</ap:Lines>
  <ap:Paragraphs>58</ap:Paragraphs>
  <ap:ScaleCrop>false</ap:ScaleCrop>
  <ap:HeadingPairs>
    <vt:vector baseType="variant" size="2">
      <vt:variant>
        <vt:lpstr>Title</vt:lpstr>
      </vt:variant>
      <vt:variant>
        <vt:i4>1</vt:i4>
      </vt:variant>
    </vt:vector>
  </ap:HeadingPairs>
  <ap:TitlesOfParts>
    <vt:vector baseType="lpstr" size="1">
      <vt:lpstr>Kamerbrief Opvolging Periodieke Rapportages BHO (Jaarverslag 2025)</vt:lpstr>
    </vt:vector>
  </ap:TitlesOfParts>
  <ap:LinksUpToDate>false</ap:LinksUpToDate>
  <ap:CharactersWithSpaces>29136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2026-05-12T11:12:00.0000000Z</lastPrinted>
  <dcterms:created xsi:type="dcterms:W3CDTF">2026-05-18T11:29:00.0000000Z</dcterms:created>
  <dcterms:modified xsi:type="dcterms:W3CDTF">2026-05-18T11:29:00.0000000Z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5;#NO MARKING|0a4eb9ae-69eb-4d9e-b573-43ab99ef8592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4;#UNCLASSIFIED (U)|284e6a62-15ab-4017-be27-a1e965f4e940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https://247.plaza.buzaservices.nl/subject/PV-RK2026022026/BZ2625775/Reguliere%20kamerbrief%20-%20Kamerbrief%20Opvolging%20Periodieke%20Rapportages%20BHO%20(Jaarverslag%202025).docx, </vt:lpwstr>
  </property>
  <property fmtid="{D5CDD505-2E9C-101B-9397-08002B2CF9AE}" pid="24" name="_dlc_DocIdItemGuid">
    <vt:lpwstr>aafad0f7-e766-45d9-bea7-7ed42746bcb8</vt:lpwstr>
  </property>
  <property fmtid="{D5CDD505-2E9C-101B-9397-08002B2CF9AE}" pid="25" name="_docset_NoMedatataSyncRequired">
    <vt:lpwstr>False</vt:lpwstr>
  </property>
</Properties>
</file>