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F958E6" w14:paraId="2E4C0BAB" w14:textId="2E3DD8C5">
                            <w:pPr>
                              <w:pStyle w:val="Huisstijl-Agendatitel"/>
                              <w:ind w:left="0" w:firstLine="0"/>
                              <w:jc w:val="right"/>
                            </w:pPr>
                            <w:r>
                              <w:t>Commissie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F6FBB" w14:paraId="258EB843" w14:textId="726A59B8">
                            <w:pPr>
                              <w:pStyle w:val="Huisstijl-Agendatitel"/>
                              <w:ind w:left="0" w:firstLine="0"/>
                              <w:jc w:val="right"/>
                            </w:pPr>
                            <w:r>
                              <w:t>1</w:t>
                            </w:r>
                            <w:r w:rsidR="00FC6A37">
                              <w:t>8</w:t>
                            </w:r>
                            <w:r>
                              <w:t xml:space="preserve"> mei </w:t>
                            </w:r>
                            <w:r w:rsidR="00035B3A">
                              <w:t>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F958E6" w14:paraId="2E4C0BAB" w14:textId="2E3DD8C5">
                      <w:pPr>
                        <w:pStyle w:val="Huisstijl-Agendatitel"/>
                        <w:ind w:left="0" w:firstLine="0"/>
                        <w:jc w:val="right"/>
                      </w:pPr>
                      <w:r>
                        <w:t>Commissie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F6FBB" w14:paraId="258EB843" w14:textId="726A59B8">
                      <w:pPr>
                        <w:pStyle w:val="Huisstijl-Agendatitel"/>
                        <w:ind w:left="0" w:firstLine="0"/>
                        <w:jc w:val="right"/>
                      </w:pPr>
                      <w:r>
                        <w:t>1</w:t>
                      </w:r>
                      <w:r w:rsidR="00FC6A37">
                        <w:t>8</w:t>
                      </w:r>
                      <w:r>
                        <w:t xml:space="preserve"> mei </w:t>
                      </w:r>
                      <w:r w:rsidR="00035B3A">
                        <w:t>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B81030" w:rsidP="009308A8" w:rsidRDefault="00F958E6" w14:paraId="0A0ABC2A" w14:textId="2D48BC52">
      <w:pPr>
        <w:pStyle w:val="Normaalweb"/>
        <w:rPr>
          <w:rFonts w:ascii="Verdana" w:hAnsi="Verdana"/>
          <w:sz w:val="18"/>
          <w:szCs w:val="18"/>
        </w:rPr>
      </w:pPr>
      <w:r w:rsidRPr="00F958E6">
        <w:rPr>
          <w:rFonts w:ascii="Verdana" w:hAnsi="Verdana"/>
          <w:sz w:val="18"/>
          <w:szCs w:val="18"/>
        </w:rPr>
        <w:t>Er liggen twee wetgevende voorstellen en meerdere uitvoerings- en rapportagedocumenten voor die samen vooral gaan over EU-begroting, douane- en belastingregels, herstel- en steunprogramma’s en EU-financiering.</w:t>
      </w:r>
    </w:p>
    <w:p w:rsidRPr="00B81030" w:rsidR="003B3AC0" w:rsidP="00B81030" w:rsidRDefault="005115F8" w14:paraId="4F86445F" w14:textId="7A9E1A75">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C47941" w:rsidR="003B3AC0" w:rsidP="003B3AC0" w:rsidRDefault="003B3AC0" w14:paraId="2F962399" w14:textId="77777777">
      <w:pPr>
        <w:pStyle w:val="Lijstalinea"/>
        <w:numPr>
          <w:ilvl w:val="0"/>
          <w:numId w:val="2"/>
        </w:numPr>
        <w:rPr>
          <w:b/>
          <w:bCs/>
          <w:szCs w:val="18"/>
        </w:rPr>
      </w:pPr>
      <w:r w:rsidRPr="003B3AC0">
        <w:rPr>
          <w:b/>
          <w:bCs/>
          <w:szCs w:val="18"/>
        </w:rPr>
        <w:t>Nieuw voorgestelde EU-wetgeving</w:t>
      </w:r>
      <w:r w:rsidRPr="003B3AC0">
        <w:rPr>
          <w:b/>
          <w:szCs w:val="18"/>
        </w:rPr>
        <w:br/>
        <w:t>(Verordeningen, richtlijnen en wetgevende besluiten)</w:t>
      </w:r>
    </w:p>
    <w:p w:rsidR="00C47941" w:rsidP="00C47941" w:rsidRDefault="00C47941" w14:paraId="182D151F" w14:textId="77777777">
      <w:pPr>
        <w:rPr>
          <w:b/>
          <w:bCs/>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50949" w:rsidR="00C47941" w:rsidTr="001025DF" w14:paraId="4A155FE6" w14:textId="77777777">
        <w:tc>
          <w:tcPr>
            <w:tcW w:w="1035" w:type="dxa"/>
          </w:tcPr>
          <w:p w:rsidRPr="00A9227F" w:rsidR="00C47941" w:rsidP="001025DF" w:rsidRDefault="00C47941" w14:paraId="073BFD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47941" w:rsidR="00C47941" w:rsidP="00C47941" w:rsidRDefault="00C47941" w14:paraId="32094779" w14:textId="77777777">
            <w:pPr>
              <w:rPr>
                <w:bCs/>
              </w:rPr>
            </w:pPr>
            <w:r w:rsidRPr="00C47941">
              <w:rPr>
                <w:bCs/>
                <w:szCs w:val="18"/>
              </w:rPr>
              <w:t xml:space="preserve">Voorstel voor een VERORDENING VAN DE RAAD tot wijziging van Verordening (EU) 2021/2278 tot schorsing van de in artikel 56, lid 2, punt c), van Verordening (EU) nr. 952/2013 van het Europees Parlement en van de Raad bedoelde rechten van het gemeenschappelijk douanetarief voor bepaalde landbouw- en industrieproducten </w:t>
            </w:r>
            <w:hyperlink w:history="1" r:id="rId14">
              <w:r w:rsidRPr="00C47941">
                <w:rPr>
                  <w:rStyle w:val="Hyperlink"/>
                  <w:bCs/>
                  <w:szCs w:val="18"/>
                </w:rPr>
                <w:t>COM(2026)176</w:t>
              </w:r>
            </w:hyperlink>
          </w:p>
          <w:p w:rsidRPr="00C50949" w:rsidR="00C47941" w:rsidP="00C47941" w:rsidRDefault="00C47941" w14:paraId="0C44E517" w14:textId="24AA3D44">
            <w:pPr>
              <w:rPr>
                <w:szCs w:val="18"/>
              </w:rPr>
            </w:pPr>
          </w:p>
        </w:tc>
      </w:tr>
      <w:tr w:rsidRPr="00A9227F" w:rsidR="00C47941" w:rsidTr="001025DF" w14:paraId="110F3E4C" w14:textId="77777777">
        <w:tc>
          <w:tcPr>
            <w:tcW w:w="1035" w:type="dxa"/>
          </w:tcPr>
          <w:p w:rsidRPr="00A9227F" w:rsidR="00C47941" w:rsidP="001025DF" w:rsidRDefault="00C47941" w14:paraId="310CCB67" w14:textId="77777777">
            <w:pPr>
              <w:spacing w:after="240"/>
              <w:rPr>
                <w:szCs w:val="18"/>
              </w:rPr>
            </w:pPr>
            <w:r w:rsidRPr="00A9227F">
              <w:rPr>
                <w:szCs w:val="18"/>
              </w:rPr>
              <w:t>Voorstel</w:t>
            </w:r>
          </w:p>
        </w:tc>
        <w:tc>
          <w:tcPr>
            <w:tcW w:w="6529" w:type="dxa"/>
          </w:tcPr>
          <w:p w:rsidRPr="005E62ED" w:rsidR="00C47941" w:rsidP="001025DF" w:rsidRDefault="00C47941" w14:paraId="52E407E2" w14:textId="09251362">
            <w:pPr>
              <w:spacing w:after="240"/>
              <w:rPr>
                <w:szCs w:val="18"/>
              </w:rPr>
            </w:pPr>
            <w:r>
              <w:rPr>
                <w:szCs w:val="18"/>
              </w:rPr>
              <w:t xml:space="preserve">Desgewenst betrekken bij </w:t>
            </w:r>
            <w:r w:rsidR="00FC6A37">
              <w:rPr>
                <w:szCs w:val="18"/>
              </w:rPr>
              <w:t xml:space="preserve">het </w:t>
            </w:r>
            <w:r>
              <w:rPr>
                <w:szCs w:val="18"/>
              </w:rPr>
              <w:t xml:space="preserve">commissiedebat van </w:t>
            </w:r>
            <w:r w:rsidR="00E16EDF">
              <w:rPr>
                <w:szCs w:val="18"/>
              </w:rPr>
              <w:t xml:space="preserve">9 juni </w:t>
            </w:r>
            <w:r>
              <w:rPr>
                <w:szCs w:val="18"/>
              </w:rPr>
              <w:t xml:space="preserve">2026 over de Eurogroep en Ecofinraad 2026 van </w:t>
            </w:r>
            <w:r w:rsidR="00E16EDF">
              <w:rPr>
                <w:szCs w:val="18"/>
              </w:rPr>
              <w:t>11 en 12</w:t>
            </w:r>
            <w:r>
              <w:rPr>
                <w:szCs w:val="18"/>
              </w:rPr>
              <w:t xml:space="preserve"> juni 2026</w:t>
            </w:r>
          </w:p>
        </w:tc>
      </w:tr>
      <w:tr w:rsidRPr="00C66E98" w:rsidR="00C47941" w:rsidTr="001025DF" w14:paraId="43ED65BC" w14:textId="77777777">
        <w:tc>
          <w:tcPr>
            <w:tcW w:w="1035" w:type="dxa"/>
          </w:tcPr>
          <w:p w:rsidRPr="00A9227F" w:rsidR="00C47941" w:rsidP="001025DF" w:rsidRDefault="00C47941" w14:paraId="10D5B13E" w14:textId="77777777">
            <w:pPr>
              <w:spacing w:after="240"/>
              <w:rPr>
                <w:color w:val="595959" w:themeColor="text1" w:themeTint="A6"/>
                <w:szCs w:val="18"/>
              </w:rPr>
            </w:pPr>
            <w:r w:rsidRPr="00A9227F">
              <w:rPr>
                <w:color w:val="595959" w:themeColor="text1" w:themeTint="A6"/>
                <w:szCs w:val="18"/>
              </w:rPr>
              <w:t>Noot</w:t>
            </w:r>
          </w:p>
        </w:tc>
        <w:tc>
          <w:tcPr>
            <w:tcW w:w="6529" w:type="dxa"/>
          </w:tcPr>
          <w:p w:rsidR="003445CA" w:rsidP="00192A3F" w:rsidRDefault="00192A3F" w14:paraId="4A802470" w14:textId="77777777">
            <w:pPr>
              <w:spacing w:after="240"/>
              <w:rPr>
                <w:color w:val="595959" w:themeColor="text1" w:themeTint="A6"/>
                <w:szCs w:val="18"/>
              </w:rPr>
            </w:pPr>
            <w:r w:rsidRPr="00192A3F">
              <w:rPr>
                <w:color w:val="595959" w:themeColor="text1" w:themeTint="A6"/>
                <w:szCs w:val="18"/>
              </w:rPr>
              <w:t xml:space="preserve">De Europese Commissie stelt voor om de bestaande EU-verordening over tijdelijke schorsing van invoerrechten voor bepaalde landbouw- en industrieproducten opnieuw aan te passen. </w:t>
            </w:r>
            <w:r w:rsidRPr="003445CA" w:rsidR="003445CA">
              <w:rPr>
                <w:color w:val="595959" w:themeColor="text1" w:themeTint="A6"/>
                <w:szCs w:val="18"/>
              </w:rPr>
              <w:t>Deze verordening wordt om de zes maanden bijgewerkt om tegemoet te komen aan de behoeften van de EU-industrie.</w:t>
            </w:r>
          </w:p>
          <w:p w:rsidRPr="00192A3F" w:rsidR="00192A3F" w:rsidP="00192A3F" w:rsidRDefault="00192A3F" w14:paraId="446922FA" w14:textId="6967B463">
            <w:pPr>
              <w:spacing w:after="240"/>
              <w:rPr>
                <w:color w:val="595959" w:themeColor="text1" w:themeTint="A6"/>
                <w:szCs w:val="18"/>
              </w:rPr>
            </w:pPr>
            <w:r w:rsidRPr="00192A3F">
              <w:rPr>
                <w:color w:val="595959" w:themeColor="text1" w:themeTint="A6"/>
                <w:szCs w:val="18"/>
              </w:rPr>
              <w:t xml:space="preserve">Het doel is om Europese bedrijven toegang te blijven geven tot grondstoffen en onderdelen die binnen de EU onvoldoende beschikbaar zijn, zodat productieprocessen niet stilvallen en de concurrentiepositie van de Europese industrie behouden blijft. </w:t>
            </w:r>
          </w:p>
          <w:p w:rsidRPr="00192A3F" w:rsidR="00192A3F" w:rsidP="00192A3F" w:rsidRDefault="00192A3F" w14:paraId="106FA891" w14:textId="77777777">
            <w:pPr>
              <w:spacing w:after="240"/>
              <w:rPr>
                <w:color w:val="595959" w:themeColor="text1" w:themeTint="A6"/>
                <w:szCs w:val="18"/>
              </w:rPr>
            </w:pPr>
            <w:r w:rsidRPr="00192A3F">
              <w:rPr>
                <w:color w:val="595959" w:themeColor="text1" w:themeTint="A6"/>
                <w:szCs w:val="18"/>
              </w:rPr>
              <w:t xml:space="preserve">Concreet worden voor tientallen nieuwe producten de invoerrechten geheel of gedeeltelijk geschrapt, terwijl voor andere producten de voorwaarden worden aangepast of bestaande vrijstellingen worden beëindigd als deze economisch niet langer nodig zijn. Een belangrijk onderdeel van het voorstel is ondersteuning van de Europese batterij-industrie: voor bepaalde </w:t>
            </w:r>
            <w:proofErr w:type="spellStart"/>
            <w:r w:rsidRPr="00192A3F">
              <w:rPr>
                <w:color w:val="595959" w:themeColor="text1" w:themeTint="A6"/>
                <w:szCs w:val="18"/>
              </w:rPr>
              <w:t>batterijgerelateerde</w:t>
            </w:r>
            <w:proofErr w:type="spellEnd"/>
            <w:r w:rsidRPr="00192A3F">
              <w:rPr>
                <w:color w:val="595959" w:themeColor="text1" w:themeTint="A6"/>
                <w:szCs w:val="18"/>
              </w:rPr>
              <w:t xml:space="preserve"> producten worden invoerrechten tijdelijk verlaagd om de opbouw van een Europese batterijketen te stimuleren. </w:t>
            </w:r>
          </w:p>
          <w:p w:rsidRPr="00C66E98" w:rsidR="00C47941" w:rsidP="001025DF" w:rsidRDefault="00192A3F" w14:paraId="70FD63DF" w14:textId="78216401">
            <w:pPr>
              <w:spacing w:after="240"/>
              <w:rPr>
                <w:color w:val="595959" w:themeColor="text1" w:themeTint="A6"/>
                <w:szCs w:val="18"/>
              </w:rPr>
            </w:pPr>
            <w:r w:rsidRPr="00192A3F">
              <w:rPr>
                <w:color w:val="595959" w:themeColor="text1" w:themeTint="A6"/>
                <w:szCs w:val="18"/>
              </w:rPr>
              <w:t xml:space="preserve">Volgens de Commissie heeft het voorstel beperkte beleidsmatige gevolgen, omdat het vooral gaat om een technische actualisering van bestaande douaneregels. </w:t>
            </w:r>
            <w:r w:rsidRPr="00192A3F">
              <w:rPr>
                <w:b/>
                <w:bCs/>
                <w:color w:val="595959" w:themeColor="text1" w:themeTint="A6"/>
                <w:szCs w:val="18"/>
              </w:rPr>
              <w:t>Wel leidt het voorstel tot minder douane-inkomsten voor de EU-begroting</w:t>
            </w:r>
            <w:r w:rsidRPr="00192A3F">
              <w:rPr>
                <w:color w:val="595959" w:themeColor="text1" w:themeTint="A6"/>
                <w:szCs w:val="18"/>
              </w:rPr>
              <w:t xml:space="preserve">, geraamd op ongeveer 10,7 miljoen euro per jaar bruto. Die lagere inkomsten worden </w:t>
            </w:r>
            <w:r w:rsidRPr="00192A3F">
              <w:rPr>
                <w:color w:val="595959" w:themeColor="text1" w:themeTint="A6"/>
                <w:szCs w:val="18"/>
              </w:rPr>
              <w:lastRenderedPageBreak/>
              <w:t>gecompenseerd via hogere bijdragen van lidstaten op basis van hun bruto nationaal inkomen</w:t>
            </w:r>
            <w:r w:rsidR="00091565">
              <w:rPr>
                <w:color w:val="595959" w:themeColor="text1" w:themeTint="A6"/>
                <w:szCs w:val="18"/>
              </w:rPr>
              <w:t>.</w:t>
            </w:r>
          </w:p>
        </w:tc>
      </w:tr>
    </w:tbl>
    <w:p w:rsidR="00C47941" w:rsidP="00C47941" w:rsidRDefault="00C47941" w14:paraId="079F5992" w14:textId="77777777">
      <w:pPr>
        <w:rPr>
          <w:b/>
          <w:bCs/>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47941" w:rsidR="00C47941" w:rsidTr="001025DF" w14:paraId="2AF2AF41" w14:textId="77777777">
        <w:tc>
          <w:tcPr>
            <w:tcW w:w="1035" w:type="dxa"/>
          </w:tcPr>
          <w:p w:rsidRPr="00A9227F" w:rsidR="00C47941" w:rsidP="001025DF" w:rsidRDefault="00C47941" w14:paraId="1C2FD87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47941" w:rsidR="00C47941" w:rsidP="001025DF" w:rsidRDefault="00C47941" w14:paraId="72914FA2" w14:textId="00E00960">
            <w:pPr>
              <w:rPr>
                <w:bCs/>
                <w:szCs w:val="18"/>
              </w:rPr>
            </w:pPr>
            <w:r w:rsidRPr="00C47941">
              <w:rPr>
                <w:bCs/>
                <w:szCs w:val="18"/>
              </w:rPr>
              <w:t xml:space="preserve">Voorstel voor een VERORDENING VAN DE RAAD tot wijziging van Verordening (EU) 2021/2283 betreffende de opening en het beheer van autonome tariefcontingenten van de Unie voor bepaalde landbouw- en industrieproducten </w:t>
            </w:r>
            <w:hyperlink w:history="1" r:id="rId15">
              <w:r w:rsidRPr="00C47941">
                <w:rPr>
                  <w:rStyle w:val="Hyperlink"/>
                  <w:bCs/>
                  <w:szCs w:val="18"/>
                </w:rPr>
                <w:t>COM(2026)177</w:t>
              </w:r>
            </w:hyperlink>
          </w:p>
          <w:p w:rsidRPr="00C47941" w:rsidR="00C47941" w:rsidP="001025DF" w:rsidRDefault="00C47941" w14:paraId="4BA8EF57" w14:textId="77777777">
            <w:pPr>
              <w:rPr>
                <w:szCs w:val="18"/>
              </w:rPr>
            </w:pPr>
          </w:p>
        </w:tc>
      </w:tr>
      <w:tr w:rsidRPr="00A9227F" w:rsidR="00C47941" w:rsidTr="001025DF" w14:paraId="46CBC85C" w14:textId="77777777">
        <w:tc>
          <w:tcPr>
            <w:tcW w:w="1035" w:type="dxa"/>
          </w:tcPr>
          <w:p w:rsidRPr="00A9227F" w:rsidR="00C47941" w:rsidP="001025DF" w:rsidRDefault="00C47941" w14:paraId="3B3A1180" w14:textId="77777777">
            <w:pPr>
              <w:spacing w:after="240"/>
              <w:rPr>
                <w:szCs w:val="18"/>
              </w:rPr>
            </w:pPr>
            <w:r w:rsidRPr="00A9227F">
              <w:rPr>
                <w:szCs w:val="18"/>
              </w:rPr>
              <w:t>Voorstel</w:t>
            </w:r>
          </w:p>
        </w:tc>
        <w:tc>
          <w:tcPr>
            <w:tcW w:w="6529" w:type="dxa"/>
          </w:tcPr>
          <w:p w:rsidRPr="00A9227F" w:rsidR="00C47941" w:rsidP="001025DF" w:rsidRDefault="00C47941" w14:paraId="3DBE40E1" w14:textId="6081E131">
            <w:pPr>
              <w:spacing w:after="240"/>
              <w:rPr>
                <w:szCs w:val="18"/>
              </w:rPr>
            </w:pPr>
            <w:r>
              <w:rPr>
                <w:szCs w:val="18"/>
              </w:rPr>
              <w:t xml:space="preserve">Desgewenst betrekken bij het </w:t>
            </w:r>
            <w:r w:rsidR="00FC6A37">
              <w:rPr>
                <w:szCs w:val="18"/>
              </w:rPr>
              <w:t xml:space="preserve">commissiedebat </w:t>
            </w:r>
            <w:r>
              <w:rPr>
                <w:szCs w:val="18"/>
              </w:rPr>
              <w:t xml:space="preserve">van </w:t>
            </w:r>
            <w:r w:rsidR="00E60B09">
              <w:rPr>
                <w:szCs w:val="18"/>
              </w:rPr>
              <w:t>9 juni</w:t>
            </w:r>
            <w:r>
              <w:rPr>
                <w:szCs w:val="18"/>
              </w:rPr>
              <w:t xml:space="preserve"> over de Eurogroep en Ecofinraad van </w:t>
            </w:r>
            <w:r w:rsidR="00E60B09">
              <w:rPr>
                <w:szCs w:val="18"/>
              </w:rPr>
              <w:t>11 en 12 juni</w:t>
            </w:r>
            <w:r>
              <w:rPr>
                <w:szCs w:val="18"/>
              </w:rPr>
              <w:t xml:space="preserve"> 2026</w:t>
            </w:r>
          </w:p>
        </w:tc>
      </w:tr>
      <w:tr w:rsidRPr="00C66E98" w:rsidR="00C47941" w:rsidTr="001025DF" w14:paraId="1B457A24" w14:textId="77777777">
        <w:tc>
          <w:tcPr>
            <w:tcW w:w="1035" w:type="dxa"/>
          </w:tcPr>
          <w:p w:rsidRPr="00A9227F" w:rsidR="00C47941" w:rsidP="001025DF" w:rsidRDefault="00C47941" w14:paraId="12D25C5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7E3EA1" w:rsidR="007E3EA1" w:rsidP="007E3EA1" w:rsidRDefault="007E3EA1" w14:paraId="47E2B417" w14:textId="3D1FE593">
            <w:pPr>
              <w:spacing w:after="240"/>
              <w:rPr>
                <w:color w:val="595959" w:themeColor="text1" w:themeTint="A6"/>
                <w:szCs w:val="18"/>
              </w:rPr>
            </w:pPr>
            <w:r w:rsidRPr="007E3EA1">
              <w:rPr>
                <w:color w:val="595959" w:themeColor="text1" w:themeTint="A6"/>
                <w:szCs w:val="18"/>
              </w:rPr>
              <w:t>De Europese Commissie stelt voor om de bestaande regeling voor autonome EU-tariefcontingenten opnieuw aan te passen. Deze contingenten maken het mogelijk dat bepaalde landbouw- en industrieproducten in beperkte hoeveelheden tegen een verlaagd of nul-invoerrecht in de EU kunnen worden ingevoerd wanneer er binnen de Unie onvoldoende productiecapaciteit beschikbaar is. Het voorstel moet voorkomen dat Europese bedrijven te maken krijgen met tekorten aan grondstoffen, halffabricaten of specifieke onderdelen die nodig zijn voor hun productieprocessen.</w:t>
            </w:r>
            <w:r w:rsidR="00346FF2">
              <w:rPr>
                <w:color w:val="595959" w:themeColor="text1" w:themeTint="A6"/>
                <w:szCs w:val="18"/>
              </w:rPr>
              <w:t xml:space="preserve"> Ook d</w:t>
            </w:r>
            <w:r w:rsidRPr="00346FF2" w:rsidR="00346FF2">
              <w:rPr>
                <w:color w:val="595959" w:themeColor="text1" w:themeTint="A6"/>
                <w:szCs w:val="18"/>
              </w:rPr>
              <w:t>eze verordening wordt om de zes maanden bijgewerkt om tegemoet te komen aan de behoeften van de EU-industrie</w:t>
            </w:r>
            <w:r w:rsidR="00346FF2">
              <w:rPr>
                <w:color w:val="595959" w:themeColor="text1" w:themeTint="A6"/>
                <w:szCs w:val="18"/>
              </w:rPr>
              <w:t>.</w:t>
            </w:r>
          </w:p>
          <w:p w:rsidRPr="007E3EA1" w:rsidR="007E3EA1" w:rsidP="007E3EA1" w:rsidRDefault="007E3EA1" w14:paraId="5F23A088" w14:textId="77777777">
            <w:pPr>
              <w:spacing w:after="240"/>
              <w:rPr>
                <w:color w:val="595959" w:themeColor="text1" w:themeTint="A6"/>
                <w:szCs w:val="18"/>
              </w:rPr>
            </w:pPr>
            <w:r w:rsidRPr="007E3EA1">
              <w:rPr>
                <w:color w:val="595959" w:themeColor="text1" w:themeTint="A6"/>
                <w:szCs w:val="18"/>
              </w:rPr>
              <w:t>Met de wijziging worden nieuwe tariefcontingenten geopend voor een aantal producten, bestaande contingenten uitgebreid of technisch aangepast, en enkele contingenten beëindigd wanneer Europese productie inmiddels voldoende beschikbaar is of de economische noodzaak is vervallen. Het gaat om tijdelijke en doelgerichte maatregelen die de Europese industrie moeten ondersteunen zonder de interne markt structureel te verstoren.</w:t>
            </w:r>
          </w:p>
          <w:p w:rsidR="00505D99" w:rsidP="00346FF2" w:rsidRDefault="007E3EA1" w14:paraId="6B9BBE0D" w14:textId="77777777">
            <w:pPr>
              <w:spacing w:after="240"/>
              <w:rPr>
                <w:color w:val="595959" w:themeColor="text1" w:themeTint="A6"/>
                <w:szCs w:val="18"/>
              </w:rPr>
            </w:pPr>
            <w:r>
              <w:rPr>
                <w:color w:val="595959" w:themeColor="text1" w:themeTint="A6"/>
                <w:szCs w:val="18"/>
              </w:rPr>
              <w:t>T</w:t>
            </w:r>
            <w:r w:rsidRPr="007E3EA1">
              <w:rPr>
                <w:color w:val="595959" w:themeColor="text1" w:themeTint="A6"/>
                <w:szCs w:val="18"/>
              </w:rPr>
              <w:t xml:space="preserve">ariefcontingenten verschillen van algemene tariefschorsingen: het verlaagde invoertarief geldt alleen tot een vooraf vastgesteld invoervolume. Zodra dat volume is bereikt, geldt weer het normale douanetarief. Daarmee probeert de EU een balans te vinden tussen ondersteuning van industriële gebruikers en bescherming van Europese producenten. </w:t>
            </w:r>
          </w:p>
          <w:p w:rsidRPr="00C66E98" w:rsidR="00C47941" w:rsidP="00346FF2" w:rsidRDefault="007E3EA1" w14:paraId="0B356A8E" w14:textId="5A64E96C">
            <w:pPr>
              <w:spacing w:after="240"/>
              <w:rPr>
                <w:color w:val="595959" w:themeColor="text1" w:themeTint="A6"/>
                <w:szCs w:val="18"/>
              </w:rPr>
            </w:pPr>
            <w:r w:rsidRPr="007E3EA1">
              <w:rPr>
                <w:color w:val="595959" w:themeColor="text1" w:themeTint="A6"/>
                <w:szCs w:val="18"/>
              </w:rPr>
              <w:t>Het voorstel leidt daarnaast tot lagere douane-inkomsten voor de EU-begroting doordat minder invoerrechten worden geheven.</w:t>
            </w:r>
            <w:r w:rsidR="00505D99">
              <w:t xml:space="preserve"> </w:t>
            </w:r>
            <w:r w:rsidR="00315B99">
              <w:t>D</w:t>
            </w:r>
            <w:r w:rsidRPr="00505D99" w:rsidR="00505D99">
              <w:rPr>
                <w:color w:val="595959" w:themeColor="text1" w:themeTint="A6"/>
                <w:szCs w:val="18"/>
              </w:rPr>
              <w:t>e gevolgen voor de inning van douanerechten worden geraamd op 7,1 miljoen EUR per jaar. Het algehele negatieve effect op de traditionele eigen middelen van de begroting is 5,4 miljoen EUR per jaar (75 % van het totale bedrag)</w:t>
            </w:r>
            <w:r w:rsidR="00580678">
              <w:rPr>
                <w:color w:val="595959" w:themeColor="text1" w:themeTint="A6"/>
                <w:szCs w:val="18"/>
              </w:rPr>
              <w:t>.</w:t>
            </w:r>
            <w:r w:rsidR="00B92BD3">
              <w:rPr>
                <w:color w:val="595959" w:themeColor="text1" w:themeTint="A6"/>
                <w:szCs w:val="18"/>
              </w:rPr>
              <w:t xml:space="preserve"> </w:t>
            </w:r>
            <w:r w:rsidRPr="00B92BD3" w:rsidR="00B92BD3">
              <w:rPr>
                <w:color w:val="595959" w:themeColor="text1" w:themeTint="A6"/>
                <w:szCs w:val="18"/>
              </w:rPr>
              <w:t>Die lagere inkomsten worden gecompenseerd via hogere bijdragen van lidstaten op basis van hun bruto nationaal inkomen.</w:t>
            </w:r>
          </w:p>
        </w:tc>
      </w:tr>
    </w:tbl>
    <w:p w:rsidR="00C47941" w:rsidP="00C47941" w:rsidRDefault="00C47941" w14:paraId="26F8CC1E" w14:textId="77777777">
      <w:pPr>
        <w:rPr>
          <w:b/>
          <w:bCs/>
          <w:szCs w:val="18"/>
        </w:rPr>
      </w:pPr>
    </w:p>
    <w:p w:rsidR="00FC6A37" w:rsidP="00C47941" w:rsidRDefault="00FC6A37" w14:paraId="3D26A4D7" w14:textId="77777777">
      <w:pPr>
        <w:rPr>
          <w:b/>
          <w:bCs/>
          <w:szCs w:val="18"/>
        </w:rPr>
      </w:pPr>
    </w:p>
    <w:p w:rsidR="00FC6A37" w:rsidP="00C47941" w:rsidRDefault="00FC6A37" w14:paraId="115308A9" w14:textId="77777777">
      <w:pPr>
        <w:rPr>
          <w:b/>
          <w:bCs/>
          <w:szCs w:val="18"/>
        </w:rPr>
      </w:pPr>
    </w:p>
    <w:p w:rsidRPr="00C47941" w:rsidR="00FC6A37" w:rsidP="00C47941" w:rsidRDefault="00FC6A37" w14:paraId="7A4C8614" w14:textId="77777777">
      <w:pPr>
        <w:rPr>
          <w:b/>
          <w:bCs/>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lastRenderedPageBreak/>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F6FBB"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00DD37F4" w:rsidP="007C44F3" w:rsidRDefault="007C44F3" w14:paraId="1F8DB743" w14:textId="77777777">
            <w:pPr>
              <w:rPr>
                <w:szCs w:val="18"/>
              </w:rPr>
            </w:pPr>
            <w:r w:rsidRPr="007C44F3">
              <w:rPr>
                <w:szCs w:val="18"/>
              </w:rPr>
              <w:t xml:space="preserve">VERSLAG VAN DE COMMISSIE AAN HET EUROPEES PARLEMENT EN DE RAAD over de werking van het stelsel voor de controle van de traditionele eigen middelen (2022-2024) overeenkomstig artikel 6, lid 3, van Verordening (EU, Euratom) 2021/768 van de Raad van 30 april 2021 tot vaststelling van uitvoeringsmaatregelen voor het stelsel van eigen middelen van de Europese Unie </w:t>
            </w:r>
            <w:hyperlink w:history="1" r:id="rId16">
              <w:r w:rsidRPr="007C44F3">
                <w:rPr>
                  <w:rStyle w:val="Hyperlink"/>
                  <w:szCs w:val="18"/>
                </w:rPr>
                <w:t>COM(2026)158</w:t>
              </w:r>
            </w:hyperlink>
          </w:p>
          <w:p w:rsidRPr="00DD37F4" w:rsidR="007C44F3" w:rsidP="007C44F3" w:rsidRDefault="007C44F3" w14:paraId="638456AC" w14:textId="343E80FD">
            <w:pPr>
              <w:rPr>
                <w:szCs w:val="18"/>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71037B" w14:paraId="013BA8CE" w14:textId="0B676E2F">
            <w:pPr>
              <w:spacing w:after="240"/>
              <w:rPr>
                <w:szCs w:val="18"/>
              </w:rPr>
            </w:pPr>
            <w:r>
              <w:rPr>
                <w:szCs w:val="18"/>
              </w:rPr>
              <w:t xml:space="preserve">Desgewenst betrekken bij het </w:t>
            </w:r>
            <w:r w:rsidR="00FC6A37">
              <w:rPr>
                <w:szCs w:val="18"/>
              </w:rPr>
              <w:t xml:space="preserve">commissiedebat </w:t>
            </w:r>
            <w:r>
              <w:rPr>
                <w:szCs w:val="18"/>
              </w:rPr>
              <w:t>van 9 juni over de Eurogroep en Ecofinraad van 11 en 12 juni 2026</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6A521D" w:rsidR="006A521D" w:rsidP="006A521D" w:rsidRDefault="006A521D" w14:paraId="54E2D7E7" w14:textId="77777777">
            <w:pPr>
              <w:spacing w:after="240"/>
              <w:rPr>
                <w:color w:val="595959" w:themeColor="text1" w:themeTint="A6"/>
                <w:szCs w:val="18"/>
              </w:rPr>
            </w:pPr>
            <w:r w:rsidRPr="006A521D">
              <w:rPr>
                <w:color w:val="595959" w:themeColor="text1" w:themeTint="A6"/>
                <w:szCs w:val="18"/>
              </w:rPr>
              <w:t>De Europese Commissie concludeert in haar verslag over 2022-2024 dat het controlesysteem voor de traditionele eigen middelen (met name douanerechten) over het algemeen goed functioneert, maar dat blijvende aandacht nodig is voor fraudebestrijding, uniforme handhaving en betere douanecontroles binnen de EU. Het verslag beschrijft de inspecties en handhavingsmaatregelen die de Commissie in deze periode heeft uitgevoerd om de financiële belangen van de EU te beschermen.</w:t>
            </w:r>
          </w:p>
          <w:p w:rsidRPr="006A521D" w:rsidR="006A521D" w:rsidP="006A521D" w:rsidRDefault="006A521D" w14:paraId="1D81953B" w14:textId="77777777">
            <w:pPr>
              <w:spacing w:after="240"/>
              <w:rPr>
                <w:color w:val="595959" w:themeColor="text1" w:themeTint="A6"/>
                <w:szCs w:val="18"/>
              </w:rPr>
            </w:pPr>
            <w:r w:rsidRPr="006A521D">
              <w:rPr>
                <w:color w:val="595959" w:themeColor="text1" w:themeTint="A6"/>
                <w:szCs w:val="18"/>
              </w:rPr>
              <w:t>Een belangrijk onderdeel van het verslag betreft de aanpak van frauduleuze onderwaardering van textiel en schoeisel uit China. De Commissie heeft haar maatregelen tegen onderwaardering voortgezet, zowel richting het Verenigd Koninkrijk als richting lidstaten. In 2022 stelde het Hof van Justitie de Commissie in het gelijk in de zaak tegen het VK (C-213/19). Mede dankzij deze uitspraak en aanvullende handhaving werd in 2023 bijna € 3 miljard aan extra traditionele eigen middelen en rente aan de EU-begroting toegevoegd. Volgens de Commissie hebben lidstaten hun controleaanpak hierdoor aanzienlijk aangescherpt. Lopende zaken over onderwaardering worden momenteel afgerond, inclusief de vaststelling van definitieve naheffingen en rente.</w:t>
            </w:r>
          </w:p>
          <w:p w:rsidRPr="006A521D" w:rsidR="006A521D" w:rsidP="006A521D" w:rsidRDefault="006A521D" w14:paraId="0F46C9E2" w14:textId="77777777">
            <w:pPr>
              <w:spacing w:after="240"/>
              <w:rPr>
                <w:color w:val="595959" w:themeColor="text1" w:themeTint="A6"/>
                <w:szCs w:val="18"/>
              </w:rPr>
            </w:pPr>
            <w:r w:rsidRPr="006A521D">
              <w:rPr>
                <w:color w:val="595959" w:themeColor="text1" w:themeTint="A6"/>
                <w:szCs w:val="18"/>
              </w:rPr>
              <w:t>De Commissie blijft daarnaast toezien op de inning van nog openstaande douanebedragen die het VK op basis van het Terugtrekkingsakkoord verschuldigd is. Ook zijn aanvullende gerichte controles uitgevoerd, onder meer naar de invoer van zonnepanelen en zonnecellen die als afkomstig uit Maleisië of Taiwan werden aangegeven. Dat leidde eind 2024 tot ruim € 376 miljoen aan extra afgedragen douanerechten.</w:t>
            </w:r>
          </w:p>
          <w:p w:rsidRPr="006A521D" w:rsidR="006A521D" w:rsidP="006A521D" w:rsidRDefault="006A521D" w14:paraId="29BBA796" w14:textId="581DB212">
            <w:pPr>
              <w:spacing w:after="240"/>
              <w:rPr>
                <w:color w:val="595959" w:themeColor="text1" w:themeTint="A6"/>
                <w:szCs w:val="18"/>
              </w:rPr>
            </w:pPr>
            <w:r w:rsidRPr="006A521D">
              <w:rPr>
                <w:color w:val="595959" w:themeColor="text1" w:themeTint="A6"/>
                <w:szCs w:val="18"/>
              </w:rPr>
              <w:t>De Commissie benadrukt dat digitalisering, gegevensuitwisseling en risicogerichte controles essentieel blijven om fraude en fouten tijdig op te sporen.</w:t>
            </w:r>
          </w:p>
          <w:p w:rsidRPr="00C66E98" w:rsidR="00374336" w:rsidP="00374336" w:rsidRDefault="006A521D" w14:paraId="34F080DB" w14:textId="38DEE7CF">
            <w:pPr>
              <w:spacing w:after="240"/>
              <w:rPr>
                <w:color w:val="595959" w:themeColor="text1" w:themeTint="A6"/>
                <w:szCs w:val="18"/>
              </w:rPr>
            </w:pPr>
            <w:r w:rsidRPr="006A521D">
              <w:rPr>
                <w:color w:val="595959" w:themeColor="text1" w:themeTint="A6"/>
                <w:szCs w:val="18"/>
              </w:rPr>
              <w:t>Tot slot behandelt het verslag bredere activiteiten ter bescherming van de EU-begroting, waaronder opvolging van bevindingen van de Europese Rekenkamer, beoordeling van oninbare douanevorderingen, behandeling van fouten door lidstaten, beheer van fraudedatabases en ondersteuning van kandidaat-lidstaten bij de implementatie van EU-douaneregels.</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C6A37"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00E579AC" w:rsidP="00872365" w:rsidRDefault="00872365" w14:paraId="71B79665" w14:textId="77777777">
            <w:pPr>
              <w:rPr>
                <w:szCs w:val="18"/>
                <w:lang w:val="en-US"/>
              </w:rPr>
            </w:pPr>
            <w:r w:rsidRPr="00872365">
              <w:rPr>
                <w:szCs w:val="18"/>
                <w:lang w:val="en-US"/>
              </w:rPr>
              <w:t xml:space="preserve">Proposal for a COUNCIL IMPLEMENTING DECISION establishing the satisfactory fulfilment of the conditions for partial payment under the seventh instalment of the Ukraine Plan of the Ukraine Facility and amending Implementing Decision (EU) 2024/1447 </w:t>
            </w:r>
            <w:hyperlink w:history="1" r:id="rId17">
              <w:r w:rsidRPr="00872365">
                <w:rPr>
                  <w:rStyle w:val="Hyperlink"/>
                  <w:szCs w:val="18"/>
                  <w:lang w:val="en-US"/>
                </w:rPr>
                <w:t>COM(2026)185</w:t>
              </w:r>
            </w:hyperlink>
          </w:p>
          <w:p w:rsidRPr="00E579AC" w:rsidR="00872365" w:rsidP="00872365" w:rsidRDefault="00872365" w14:paraId="45B254E2" w14:textId="4D39A418">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E60B09" w14:paraId="77E44C7A" w14:textId="58DEFD85">
            <w:pPr>
              <w:spacing w:after="240"/>
              <w:rPr>
                <w:szCs w:val="18"/>
              </w:rPr>
            </w:pPr>
            <w:r>
              <w:rPr>
                <w:szCs w:val="18"/>
              </w:rPr>
              <w:t xml:space="preserve">Desgewenst betrekken bij het </w:t>
            </w:r>
            <w:r w:rsidR="00FC6A37">
              <w:rPr>
                <w:szCs w:val="18"/>
              </w:rPr>
              <w:t xml:space="preserve">commissiedebat </w:t>
            </w:r>
            <w:r>
              <w:rPr>
                <w:szCs w:val="18"/>
              </w:rPr>
              <w:t>van 9 juni over de Eurogroep en Ecofinraad van 11 en 12 juni 2026</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A188E" w:rsidP="00AD7804" w:rsidRDefault="004510BC" w14:paraId="2FA4DAA3" w14:textId="0EF89D3E">
            <w:pPr>
              <w:spacing w:after="240"/>
              <w:rPr>
                <w:color w:val="595959" w:themeColor="text1" w:themeTint="A6"/>
                <w:szCs w:val="18"/>
              </w:rPr>
            </w:pPr>
            <w:r w:rsidRPr="004510BC">
              <w:rPr>
                <w:color w:val="595959" w:themeColor="text1" w:themeTint="A6"/>
                <w:szCs w:val="18"/>
              </w:rPr>
              <w:t>De Europese Commissie stelt voor om een gedeeltelijke betaling goed te keuren in het kader van de zevende tranche van de Oekraïnefaciliteit. Oekraïne heeft een belangrijk deel van de afgesproken hervormingen en voorwaarden uit het Oekraïneplan voldoende uitgevoerd, waardoor een deel van de betaling kan worden vrijgegeven. Niet alle voorwaarden zijn volledig uitgevoerd, maar de Commissie past een verzachtende factor toe bij de berekening van het in te houden bedrag. Daardoor wordt het bedrag dat zou worden ingehouden voor niet-uitgevoerde hervormingen in de zevende tranche met €392,5 miljoen verlaagd, rekening houdend met de zwaarte van de gemiste stappen, de redenen daarvoor en de goede voortgang op andere onderdelen. Hierdoor wordt Oekraïne minder gekort dan strikt op basis van de niet-gehaalde voorwaarden het geval zou zijn geweest. Voor de zevende tranche wordt circa €1,77 miljard voorgesteld.</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72365" w:rsidR="00872365" w:rsidP="00872365" w:rsidRDefault="00872365" w14:paraId="3A767C00" w14:textId="77777777">
            <w:pPr>
              <w:rPr>
                <w:szCs w:val="18"/>
                <w:lang w:val="en-US"/>
              </w:rPr>
            </w:pPr>
            <w:r w:rsidRPr="00872365">
              <w:rPr>
                <w:szCs w:val="18"/>
                <w:lang w:val="en-US"/>
              </w:rPr>
              <w:t>Proposal for a COUNCIL IMPLEMENTING DECISION amending the Implementing Decision of 4 May 2022 on the approval of the assessment of the recovery and resilience plan for Bulgaria</w:t>
            </w:r>
          </w:p>
          <w:p w:rsidRPr="00872365" w:rsidR="00872365" w:rsidP="00872365" w:rsidRDefault="00872365" w14:paraId="6E7FDF18" w14:textId="77777777">
            <w:pPr>
              <w:rPr>
                <w:szCs w:val="18"/>
              </w:rPr>
            </w:pPr>
            <w:hyperlink w:history="1" r:id="rId18">
              <w:r w:rsidRPr="00872365">
                <w:rPr>
                  <w:rStyle w:val="Hyperlink"/>
                  <w:szCs w:val="18"/>
                  <w:lang w:val="en-US"/>
                </w:rPr>
                <w:t>COM(2026)187</w:t>
              </w:r>
            </w:hyperlink>
          </w:p>
          <w:p w:rsidRPr="00125D0A" w:rsidR="00816A40" w:rsidP="00DC4F2C" w:rsidRDefault="00816A40" w14:paraId="7D21EC5D" w14:textId="661EF58A">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71037B" w14:paraId="3301AC0F" w14:textId="7711F8FE">
            <w:pPr>
              <w:spacing w:after="240"/>
              <w:rPr>
                <w:szCs w:val="18"/>
              </w:rPr>
            </w:pPr>
            <w:r>
              <w:rPr>
                <w:szCs w:val="18"/>
              </w:rPr>
              <w:t xml:space="preserve">Desgewenst betrekken bij het </w:t>
            </w:r>
            <w:r w:rsidR="00FC6A37">
              <w:rPr>
                <w:szCs w:val="18"/>
              </w:rPr>
              <w:t xml:space="preserve">commissiedebat </w:t>
            </w:r>
            <w:r>
              <w:rPr>
                <w:szCs w:val="18"/>
              </w:rPr>
              <w:t>van 9 juni over de Eurogroep en Ecofinraad van 11 en 12 juni 2026</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00546A46" w:rsidP="00546A46" w:rsidRDefault="00546A46" w14:paraId="55069725" w14:textId="66CBB40F">
            <w:pPr>
              <w:spacing w:after="240"/>
              <w:rPr>
                <w:color w:val="595959" w:themeColor="text1" w:themeTint="A6"/>
                <w:szCs w:val="18"/>
              </w:rPr>
            </w:pPr>
            <w:r>
              <w:rPr>
                <w:color w:val="595959" w:themeColor="text1" w:themeTint="A6"/>
                <w:szCs w:val="18"/>
              </w:rPr>
              <w:t>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Bulgarije positief beoordeeld en de Ecofinraad moet de gewijzigde plannen vervolgens nog formeel met gekwalificeerde meerderheid goedkeuren.</w:t>
            </w:r>
          </w:p>
          <w:p w:rsidRPr="00C66E98" w:rsidR="001C40D8" w:rsidP="00546A46" w:rsidRDefault="00546A46" w14:paraId="263688F0" w14:textId="7B17E6EE">
            <w:pPr>
              <w:spacing w:after="240"/>
              <w:rPr>
                <w:color w:val="595959" w:themeColor="text1" w:themeTint="A6"/>
                <w:szCs w:val="18"/>
              </w:rPr>
            </w:pPr>
            <w:r w:rsidRPr="00162900">
              <w:rPr>
                <w:color w:val="595959" w:themeColor="text1" w:themeTint="A6"/>
                <w:szCs w:val="18"/>
              </w:rPr>
              <w:t>Op 2</w:t>
            </w:r>
            <w:r w:rsidRPr="00162900" w:rsidR="00162900">
              <w:rPr>
                <w:color w:val="595959" w:themeColor="text1" w:themeTint="A6"/>
                <w:szCs w:val="18"/>
              </w:rPr>
              <w:t>4 april</w:t>
            </w:r>
            <w:r w:rsidRPr="00162900">
              <w:rPr>
                <w:color w:val="595959" w:themeColor="text1" w:themeTint="A6"/>
                <w:szCs w:val="18"/>
              </w:rPr>
              <w:t xml:space="preserve"> 2026</w:t>
            </w:r>
            <w:r w:rsidRPr="00D123F2">
              <w:rPr>
                <w:color w:val="595959" w:themeColor="text1" w:themeTint="A6"/>
                <w:szCs w:val="18"/>
              </w:rPr>
              <w:t xml:space="preserve"> heeft </w:t>
            </w:r>
            <w:r>
              <w:rPr>
                <w:color w:val="595959" w:themeColor="text1" w:themeTint="A6"/>
                <w:szCs w:val="18"/>
              </w:rPr>
              <w:t>Bulgarije</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sidR="000E350C">
              <w:rPr>
                <w:color w:val="595959" w:themeColor="text1" w:themeTint="A6"/>
                <w:szCs w:val="18"/>
              </w:rPr>
              <w:t>4 mei 2022</w:t>
            </w:r>
            <w:r>
              <w:rPr>
                <w:color w:val="595959" w:themeColor="text1" w:themeTint="A6"/>
                <w:szCs w:val="18"/>
              </w:rPr>
              <w:t xml:space="preserve">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0E350C">
              <w:rPr>
                <w:color w:val="595959" w:themeColor="text1" w:themeTint="A6"/>
                <w:szCs w:val="18"/>
              </w:rPr>
              <w:t>Bulgarije</w:t>
            </w:r>
            <w:r w:rsidRPr="009633A0">
              <w:rPr>
                <w:color w:val="595959" w:themeColor="text1" w:themeTint="A6"/>
                <w:szCs w:val="18"/>
              </w:rPr>
              <w:t xml:space="preserve"> op grond van objectieve omstandigheden heeft ingediend, hebben betrekking op </w:t>
            </w:r>
            <w:r w:rsidRPr="00F22E82" w:rsidR="00F22E82">
              <w:rPr>
                <w:color w:val="595959" w:themeColor="text1" w:themeTint="A6"/>
                <w:szCs w:val="18"/>
              </w:rPr>
              <w:t>9</w:t>
            </w:r>
            <w:r w:rsidRPr="00F22E82">
              <w:rPr>
                <w:color w:val="595959" w:themeColor="text1" w:themeTint="A6"/>
                <w:szCs w:val="18"/>
              </w:rPr>
              <w:t> </w:t>
            </w:r>
            <w:r w:rsidRPr="003C1E5E">
              <w:rPr>
                <w:color w:val="595959" w:themeColor="text1" w:themeTint="A6"/>
                <w:szCs w:val="18"/>
              </w:rPr>
              <w:t>maatregelen. De financiële contributie blijft onveranderd.</w:t>
            </w:r>
          </w:p>
        </w:tc>
      </w:tr>
    </w:tbl>
    <w:p w:rsidR="004E33D3" w:rsidP="003D5FB8" w:rsidRDefault="004E33D3" w14:paraId="5D2B7E8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F1613" w:rsidR="00872365" w:rsidTr="001277DA" w14:paraId="72098AF3" w14:textId="77777777">
        <w:tc>
          <w:tcPr>
            <w:tcW w:w="1035" w:type="dxa"/>
          </w:tcPr>
          <w:p w:rsidRPr="00A9227F" w:rsidR="00872365" w:rsidP="001277DA" w:rsidRDefault="00872365" w14:paraId="7DCB3006" w14:textId="77777777">
            <w:pPr>
              <w:spacing w:after="240"/>
              <w:rPr>
                <w:color w:val="595959" w:themeColor="text1" w:themeTint="A6"/>
                <w:szCs w:val="18"/>
              </w:rPr>
            </w:pPr>
            <w:r w:rsidRPr="00A9227F">
              <w:rPr>
                <w:color w:val="595959" w:themeColor="text1" w:themeTint="A6"/>
                <w:szCs w:val="18"/>
              </w:rPr>
              <w:t>Titel</w:t>
            </w:r>
          </w:p>
        </w:tc>
        <w:tc>
          <w:tcPr>
            <w:tcW w:w="6529" w:type="dxa"/>
          </w:tcPr>
          <w:p w:rsidR="00872365" w:rsidP="00546A46" w:rsidRDefault="003F1613" w14:paraId="42AFE744" w14:textId="163A9ACD">
            <w:pPr>
              <w:rPr>
                <w:szCs w:val="18"/>
              </w:rPr>
            </w:pPr>
            <w:r w:rsidRPr="003F1613">
              <w:rPr>
                <w:szCs w:val="18"/>
              </w:rPr>
              <w:t>Voorstel voor een UITVOERINGSBESLUIT VAN DE RAAD waarbij Zweden overeenkomstig artikel 19 van Richtlijn 2003/96/EG wordt gemachtigd verlaagde accijnstarieven toe te passen op als motorbrandstof gebruikte gasolie en loodvrije benzine</w:t>
            </w:r>
            <w:r>
              <w:rPr>
                <w:b/>
                <w:bCs/>
                <w:szCs w:val="18"/>
              </w:rPr>
              <w:t xml:space="preserve"> </w:t>
            </w:r>
            <w:hyperlink w:history="1" r:id="rId19">
              <w:r w:rsidRPr="003F1613" w:rsidR="00546A46">
                <w:rPr>
                  <w:rStyle w:val="Hyperlink"/>
                  <w:szCs w:val="18"/>
                </w:rPr>
                <w:t>COM(2026)189</w:t>
              </w:r>
            </w:hyperlink>
          </w:p>
          <w:p w:rsidRPr="003F1613" w:rsidR="0071037B" w:rsidP="00546A46" w:rsidRDefault="0071037B" w14:paraId="76212EB3" w14:textId="7C7FBD34">
            <w:pPr>
              <w:rPr>
                <w:szCs w:val="18"/>
              </w:rPr>
            </w:pPr>
          </w:p>
        </w:tc>
      </w:tr>
      <w:tr w:rsidRPr="00A9227F" w:rsidR="00872365" w:rsidTr="001277DA" w14:paraId="0B9EEA26" w14:textId="77777777">
        <w:tc>
          <w:tcPr>
            <w:tcW w:w="1035" w:type="dxa"/>
          </w:tcPr>
          <w:p w:rsidRPr="00A9227F" w:rsidR="00872365" w:rsidP="001277DA" w:rsidRDefault="00872365" w14:paraId="73248B47" w14:textId="77777777">
            <w:pPr>
              <w:spacing w:after="240"/>
              <w:rPr>
                <w:szCs w:val="18"/>
              </w:rPr>
            </w:pPr>
            <w:r w:rsidRPr="00A9227F">
              <w:rPr>
                <w:szCs w:val="18"/>
              </w:rPr>
              <w:t>Voorstel</w:t>
            </w:r>
          </w:p>
        </w:tc>
        <w:tc>
          <w:tcPr>
            <w:tcW w:w="6529" w:type="dxa"/>
          </w:tcPr>
          <w:p w:rsidRPr="00A9227F" w:rsidR="00872365" w:rsidP="001277DA" w:rsidRDefault="00FB411D" w14:paraId="5C001E80" w14:textId="40D10567">
            <w:pPr>
              <w:spacing w:after="240"/>
              <w:rPr>
                <w:szCs w:val="18"/>
              </w:rPr>
            </w:pPr>
            <w:r>
              <w:rPr>
                <w:szCs w:val="18"/>
              </w:rPr>
              <w:t xml:space="preserve">Desgewenst betrekken bij het </w:t>
            </w:r>
            <w:r w:rsidR="00FC6A37">
              <w:rPr>
                <w:szCs w:val="18"/>
              </w:rPr>
              <w:t xml:space="preserve">commissiedebat </w:t>
            </w:r>
            <w:r>
              <w:rPr>
                <w:szCs w:val="18"/>
              </w:rPr>
              <w:t>van 9 juni over de Eurogroep en Ecofinraad van 11 en 12 juni 2026</w:t>
            </w:r>
          </w:p>
        </w:tc>
      </w:tr>
      <w:tr w:rsidRPr="00C66E98" w:rsidR="00872365" w:rsidTr="001277DA" w14:paraId="077F4FF3" w14:textId="77777777">
        <w:tc>
          <w:tcPr>
            <w:tcW w:w="1035" w:type="dxa"/>
          </w:tcPr>
          <w:p w:rsidRPr="00A9227F" w:rsidR="00872365" w:rsidP="001277DA" w:rsidRDefault="00872365" w14:paraId="6A89588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261806" w:rsidR="00261806" w:rsidP="00261806" w:rsidRDefault="00261806" w14:paraId="1283851F" w14:textId="77777777">
            <w:pPr>
              <w:spacing w:after="240"/>
              <w:rPr>
                <w:color w:val="595959" w:themeColor="text1" w:themeTint="A6"/>
                <w:szCs w:val="18"/>
              </w:rPr>
            </w:pPr>
            <w:r w:rsidRPr="00261806">
              <w:rPr>
                <w:color w:val="595959" w:themeColor="text1" w:themeTint="A6"/>
                <w:szCs w:val="18"/>
              </w:rPr>
              <w:t xml:space="preserve">De kern van het voorstel is dat de Europese Commissie de Raad voorstelt om Zweden tijdelijk toe te staan verlaagde accijnstarieven toe te passen op benzine en diesel die als motorbrandstof worden gebruikt. Dit gebeurt op basis van artikel 19 van Richtlijn 2003/96/EG, dat lidstaten in uitzonderlijke omstandigheden toestaat om van de standaard EU-accijnsregels af te wijken, mits de Raad dat </w:t>
            </w:r>
            <w:r w:rsidRPr="00261806">
              <w:rPr>
                <w:b/>
                <w:bCs/>
                <w:color w:val="595959" w:themeColor="text1" w:themeTint="A6"/>
                <w:szCs w:val="18"/>
              </w:rPr>
              <w:t>unaniem</w:t>
            </w:r>
            <w:r w:rsidRPr="00261806">
              <w:rPr>
                <w:color w:val="595959" w:themeColor="text1" w:themeTint="A6"/>
                <w:szCs w:val="18"/>
              </w:rPr>
              <w:t xml:space="preserve"> goedkeurt.</w:t>
            </w:r>
          </w:p>
          <w:p w:rsidRPr="00C66E98" w:rsidR="00872365" w:rsidP="00261806" w:rsidRDefault="00261806" w14:paraId="3215C04E" w14:textId="4BE6840B">
            <w:pPr>
              <w:spacing w:after="240"/>
              <w:rPr>
                <w:color w:val="595959" w:themeColor="text1" w:themeTint="A6"/>
                <w:szCs w:val="18"/>
              </w:rPr>
            </w:pPr>
            <w:r w:rsidRPr="00261806">
              <w:rPr>
                <w:color w:val="595959" w:themeColor="text1" w:themeTint="A6"/>
                <w:szCs w:val="18"/>
              </w:rPr>
              <w:t xml:space="preserve">De maatregel is bedoeld om Zweden flexibiliteit te geven om de nationale brandstofprijzen te verlagen, in reactie op hoge prijzen en marktomstandigheden die onder meer samenhangen met geopolitieke ontwikkelingen. </w:t>
            </w:r>
            <w:r w:rsidRPr="003908BA" w:rsidR="003908BA">
              <w:rPr>
                <w:color w:val="595959" w:themeColor="text1" w:themeTint="A6"/>
                <w:szCs w:val="18"/>
              </w:rPr>
              <w:t xml:space="preserve">De machtiging geldt voor vijf maanden, </w:t>
            </w:r>
            <w:r w:rsidRPr="00261806">
              <w:rPr>
                <w:color w:val="595959" w:themeColor="text1" w:themeTint="A6"/>
                <w:szCs w:val="18"/>
              </w:rPr>
              <w:t>en heeft als doel de lasten voor huishoudens en bedrijven te verlichten zonder de structuur van de EU-energiebelastingrichtlijn permanent te wijzigen.</w:t>
            </w:r>
          </w:p>
        </w:tc>
      </w:tr>
    </w:tbl>
    <w:p w:rsidR="00F91A9D" w:rsidP="00F91A9D" w:rsidRDefault="00F91A9D" w14:paraId="6CC1869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872365" w:rsidTr="001277DA" w14:paraId="1E7C292E" w14:textId="77777777">
        <w:tc>
          <w:tcPr>
            <w:tcW w:w="1035" w:type="dxa"/>
          </w:tcPr>
          <w:p w:rsidRPr="00A9227F" w:rsidR="00872365" w:rsidP="001277DA" w:rsidRDefault="00872365" w14:paraId="2AA7F618"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72365" w:rsidR="00872365" w:rsidP="001277DA" w:rsidRDefault="003B6DE2" w14:paraId="6704CC75" w14:textId="5E423EFC">
            <w:pPr>
              <w:rPr>
                <w:szCs w:val="18"/>
              </w:rPr>
            </w:pPr>
            <w:r w:rsidRPr="003B6DE2">
              <w:rPr>
                <w:szCs w:val="18"/>
              </w:rPr>
              <w:t>VERSLAG VAN DE COMMISSIE AAN HET EUROPEES PARLEMENT EN DE RAAD Halfjaarlijks verslag betreffende de uitvoering van de lenings- en schuldbeheertransacties en de daarmee verband houdende transacties tot het verstrekken van leningen overeenkomstig artikel 13 van Uitvoeringsbesluit C(2023)8010 van de Commissie 1 juli 2025 – 31 december 2025 </w:t>
            </w:r>
            <w:hyperlink w:tgtFrame="_blank" w:history="1" r:id="rId20">
              <w:r w:rsidRPr="003B6DE2">
                <w:rPr>
                  <w:rStyle w:val="Hyperlink"/>
                  <w:szCs w:val="18"/>
                </w:rPr>
                <w:t>COM(2026)164</w:t>
              </w:r>
            </w:hyperlink>
          </w:p>
          <w:p w:rsidRPr="00125D0A" w:rsidR="00872365" w:rsidP="001277DA" w:rsidRDefault="00872365" w14:paraId="3E24A289" w14:textId="77777777">
            <w:pPr>
              <w:rPr>
                <w:szCs w:val="18"/>
              </w:rPr>
            </w:pPr>
          </w:p>
        </w:tc>
      </w:tr>
      <w:tr w:rsidRPr="00A9227F" w:rsidR="00872365" w:rsidTr="001277DA" w14:paraId="436B33C4" w14:textId="77777777">
        <w:tc>
          <w:tcPr>
            <w:tcW w:w="1035" w:type="dxa"/>
          </w:tcPr>
          <w:p w:rsidRPr="00A9227F" w:rsidR="00872365" w:rsidP="001277DA" w:rsidRDefault="00872365" w14:paraId="1C448129" w14:textId="77777777">
            <w:pPr>
              <w:spacing w:after="240"/>
              <w:rPr>
                <w:szCs w:val="18"/>
              </w:rPr>
            </w:pPr>
            <w:r w:rsidRPr="00A9227F">
              <w:rPr>
                <w:szCs w:val="18"/>
              </w:rPr>
              <w:t>Voorstel</w:t>
            </w:r>
          </w:p>
        </w:tc>
        <w:tc>
          <w:tcPr>
            <w:tcW w:w="6529" w:type="dxa"/>
          </w:tcPr>
          <w:p w:rsidRPr="00A9227F" w:rsidR="00872365" w:rsidP="001277DA" w:rsidRDefault="00335C40" w14:paraId="0B1BC542" w14:textId="5B36520B">
            <w:pPr>
              <w:spacing w:after="240"/>
              <w:rPr>
                <w:szCs w:val="18"/>
              </w:rPr>
            </w:pPr>
            <w:r>
              <w:rPr>
                <w:szCs w:val="18"/>
              </w:rPr>
              <w:t xml:space="preserve">Desgewenst betrekken bij het </w:t>
            </w:r>
            <w:r w:rsidR="00FC6A37">
              <w:rPr>
                <w:szCs w:val="18"/>
              </w:rPr>
              <w:t xml:space="preserve">commissiedebat </w:t>
            </w:r>
            <w:r>
              <w:rPr>
                <w:szCs w:val="18"/>
              </w:rPr>
              <w:t>van 9 juni over de Eurogroep en Ecofinraad van 11 en 12 juni 2026</w:t>
            </w:r>
          </w:p>
        </w:tc>
      </w:tr>
      <w:tr w:rsidRPr="00C66E98" w:rsidR="00872365" w:rsidTr="001277DA" w14:paraId="187EF47D" w14:textId="77777777">
        <w:tc>
          <w:tcPr>
            <w:tcW w:w="1035" w:type="dxa"/>
          </w:tcPr>
          <w:p w:rsidRPr="00A9227F" w:rsidR="00872365" w:rsidP="001277DA" w:rsidRDefault="00872365" w14:paraId="02ADC84A" w14:textId="77777777">
            <w:pPr>
              <w:spacing w:after="240"/>
              <w:rPr>
                <w:color w:val="595959" w:themeColor="text1" w:themeTint="A6"/>
                <w:szCs w:val="18"/>
              </w:rPr>
            </w:pPr>
            <w:r w:rsidRPr="00A9227F">
              <w:rPr>
                <w:color w:val="595959" w:themeColor="text1" w:themeTint="A6"/>
                <w:szCs w:val="18"/>
              </w:rPr>
              <w:t>Noot</w:t>
            </w:r>
          </w:p>
        </w:tc>
        <w:tc>
          <w:tcPr>
            <w:tcW w:w="6529" w:type="dxa"/>
          </w:tcPr>
          <w:p w:rsidR="00872365" w:rsidP="0068195A" w:rsidRDefault="0068195A" w14:paraId="2C3C7865" w14:textId="77777777">
            <w:pPr>
              <w:spacing w:after="240"/>
              <w:rPr>
                <w:color w:val="595959" w:themeColor="text1" w:themeTint="A6"/>
                <w:szCs w:val="18"/>
              </w:rPr>
            </w:pPr>
            <w:r w:rsidRPr="0068195A">
              <w:rPr>
                <w:color w:val="595959" w:themeColor="text1" w:themeTint="A6"/>
                <w:szCs w:val="18"/>
              </w:rPr>
              <w:t xml:space="preserve">De kern van dit halfjaarlijkse verslag is dat de Europese Commissie rapporteert over hoe zij in de periode juli–december 2025 EU-middelen heeft opgehaald via leningen en hoe deze vervolgens zijn gebruikt voor EU-beleid, met name voor programma’s zoals </w:t>
            </w:r>
            <w:proofErr w:type="spellStart"/>
            <w:r w:rsidRPr="0068195A">
              <w:rPr>
                <w:color w:val="595959" w:themeColor="text1" w:themeTint="A6"/>
                <w:szCs w:val="18"/>
              </w:rPr>
              <w:t>NextGenerationEU</w:t>
            </w:r>
            <w:proofErr w:type="spellEnd"/>
            <w:r w:rsidRPr="0068195A">
              <w:rPr>
                <w:color w:val="595959" w:themeColor="text1" w:themeTint="A6"/>
                <w:szCs w:val="18"/>
              </w:rPr>
              <w:t xml:space="preserve"> en financiële steun aan Oekraïne. Het verslag geeft inzicht in de omvang van de kapitaalmarktoperaties, de kosten van financiering en het beheer van de EU-schuld</w:t>
            </w:r>
            <w:r w:rsidR="00335C40">
              <w:rPr>
                <w:color w:val="595959" w:themeColor="text1" w:themeTint="A6"/>
                <w:szCs w:val="18"/>
              </w:rPr>
              <w:t>.</w:t>
            </w:r>
          </w:p>
          <w:p w:rsidRPr="00C66E98" w:rsidR="00BA6184" w:rsidP="00A26604" w:rsidRDefault="00BA6184" w14:paraId="5FE96971" w14:textId="33389636">
            <w:pPr>
              <w:spacing w:after="240"/>
              <w:rPr>
                <w:color w:val="595959" w:themeColor="text1" w:themeTint="A6"/>
                <w:szCs w:val="18"/>
              </w:rPr>
            </w:pPr>
            <w:r>
              <w:rPr>
                <w:color w:val="595959" w:themeColor="text1" w:themeTint="A6"/>
                <w:szCs w:val="18"/>
              </w:rPr>
              <w:t>D</w:t>
            </w:r>
            <w:r w:rsidRPr="00BA6184">
              <w:rPr>
                <w:color w:val="595959" w:themeColor="text1" w:themeTint="A6"/>
                <w:szCs w:val="18"/>
              </w:rPr>
              <w:t>e</w:t>
            </w:r>
            <w:r>
              <w:rPr>
                <w:color w:val="595959" w:themeColor="text1" w:themeTint="A6"/>
                <w:szCs w:val="18"/>
              </w:rPr>
              <w:t xml:space="preserve"> </w:t>
            </w:r>
            <w:r w:rsidRPr="00BA6184">
              <w:rPr>
                <w:color w:val="595959" w:themeColor="text1" w:themeTint="A6"/>
                <w:szCs w:val="18"/>
              </w:rPr>
              <w:t xml:space="preserve">EU </w:t>
            </w:r>
            <w:r>
              <w:rPr>
                <w:color w:val="595959" w:themeColor="text1" w:themeTint="A6"/>
                <w:szCs w:val="18"/>
              </w:rPr>
              <w:t xml:space="preserve">heeft bijvoorbeeld </w:t>
            </w:r>
            <w:r w:rsidRPr="00BA6184">
              <w:rPr>
                <w:color w:val="595959" w:themeColor="text1" w:themeTint="A6"/>
                <w:szCs w:val="18"/>
              </w:rPr>
              <w:t xml:space="preserve">via kapitaalmarkten €66,8 miljard aan langlopende financiering opgehaald, waarvan €3,4 miljard via groene </w:t>
            </w:r>
            <w:proofErr w:type="spellStart"/>
            <w:r w:rsidRPr="00BA6184">
              <w:rPr>
                <w:color w:val="595959" w:themeColor="text1" w:themeTint="A6"/>
                <w:szCs w:val="18"/>
              </w:rPr>
              <w:t>NextGenerationEU</w:t>
            </w:r>
            <w:proofErr w:type="spellEnd"/>
            <w:r w:rsidRPr="00BA6184">
              <w:rPr>
                <w:color w:val="595959" w:themeColor="text1" w:themeTint="A6"/>
                <w:szCs w:val="18"/>
              </w:rPr>
              <w:t>-obligaties. Over heel 2025 komt de totale EU-uitgifte uit op €152,6 miljard, waarmee het de hoogste jaarlijkse uitgifte tot nu toe is.</w:t>
            </w:r>
          </w:p>
        </w:tc>
      </w:tr>
    </w:tbl>
    <w:p w:rsidR="00872365" w:rsidP="00F91A9D" w:rsidRDefault="00872365" w14:paraId="4CBE8D4D" w14:textId="77777777">
      <w:pPr>
        <w:rPr>
          <w:szCs w:val="18"/>
        </w:rPr>
      </w:pPr>
    </w:p>
    <w:sectPr w:rsidR="00872365" w:rsidSect="00BF62AD">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A995" w14:textId="77777777" w:rsidR="00BF0919" w:rsidRDefault="00BF0919">
      <w:r>
        <w:separator/>
      </w:r>
    </w:p>
  </w:endnote>
  <w:endnote w:type="continuationSeparator" w:id="0">
    <w:p w14:paraId="722C759D" w14:textId="77777777" w:rsidR="00BF0919" w:rsidRDefault="00BF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B2C3" w14:textId="77777777" w:rsidR="00BF0919" w:rsidRDefault="00BF0919">
      <w:r>
        <w:separator/>
      </w:r>
    </w:p>
  </w:footnote>
  <w:footnote w:type="continuationSeparator" w:id="0">
    <w:p w14:paraId="1AA611CA" w14:textId="77777777" w:rsidR="00BF0919" w:rsidRDefault="00BF091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44A4D"/>
    <w:multiLevelType w:val="multilevel"/>
    <w:tmpl w:val="447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5D32A5"/>
    <w:multiLevelType w:val="multilevel"/>
    <w:tmpl w:val="2DE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5"/>
  </w:num>
  <w:num w:numId="2" w16cid:durableId="1371299798">
    <w:abstractNumId w:val="15"/>
  </w:num>
  <w:num w:numId="3" w16cid:durableId="1852522919">
    <w:abstractNumId w:val="25"/>
  </w:num>
  <w:num w:numId="4" w16cid:durableId="1700932629">
    <w:abstractNumId w:val="14"/>
  </w:num>
  <w:num w:numId="5" w16cid:durableId="695811610">
    <w:abstractNumId w:val="7"/>
  </w:num>
  <w:num w:numId="6" w16cid:durableId="1212182578">
    <w:abstractNumId w:val="1"/>
  </w:num>
  <w:num w:numId="7" w16cid:durableId="1827696991">
    <w:abstractNumId w:val="24"/>
  </w:num>
  <w:num w:numId="8" w16cid:durableId="1120151534">
    <w:abstractNumId w:val="19"/>
  </w:num>
  <w:num w:numId="9" w16cid:durableId="298996237">
    <w:abstractNumId w:val="20"/>
  </w:num>
  <w:num w:numId="10" w16cid:durableId="1877303567">
    <w:abstractNumId w:val="13"/>
  </w:num>
  <w:num w:numId="11" w16cid:durableId="831991226">
    <w:abstractNumId w:val="23"/>
  </w:num>
  <w:num w:numId="12" w16cid:durableId="1265193725">
    <w:abstractNumId w:val="26"/>
  </w:num>
  <w:num w:numId="13" w16cid:durableId="30108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9"/>
  </w:num>
  <w:num w:numId="15" w16cid:durableId="986742125">
    <w:abstractNumId w:val="3"/>
  </w:num>
  <w:num w:numId="16" w16cid:durableId="1625963240">
    <w:abstractNumId w:val="18"/>
  </w:num>
  <w:num w:numId="17" w16cid:durableId="340592333">
    <w:abstractNumId w:val="17"/>
  </w:num>
  <w:num w:numId="18" w16cid:durableId="320357181">
    <w:abstractNumId w:val="0"/>
  </w:num>
  <w:num w:numId="19" w16cid:durableId="117257602">
    <w:abstractNumId w:val="22"/>
  </w:num>
  <w:num w:numId="20" w16cid:durableId="1379670799">
    <w:abstractNumId w:val="4"/>
  </w:num>
  <w:num w:numId="21" w16cid:durableId="807821389">
    <w:abstractNumId w:val="6"/>
  </w:num>
  <w:num w:numId="22" w16cid:durableId="1699892902">
    <w:abstractNumId w:val="21"/>
  </w:num>
  <w:num w:numId="23" w16cid:durableId="29771826">
    <w:abstractNumId w:val="16"/>
  </w:num>
  <w:num w:numId="24" w16cid:durableId="64382437">
    <w:abstractNumId w:val="12"/>
  </w:num>
  <w:num w:numId="25" w16cid:durableId="1388987622">
    <w:abstractNumId w:val="11"/>
  </w:num>
  <w:num w:numId="26" w16cid:durableId="1053894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10"/>
  </w:num>
  <w:num w:numId="28" w16cid:durableId="1319069537">
    <w:abstractNumId w:val="2"/>
  </w:num>
  <w:num w:numId="29" w16cid:durableId="880386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24B55"/>
    <w:rsid w:val="00025F7B"/>
    <w:rsid w:val="00026D47"/>
    <w:rsid w:val="000314D3"/>
    <w:rsid w:val="000339A6"/>
    <w:rsid w:val="00035057"/>
    <w:rsid w:val="00035B3A"/>
    <w:rsid w:val="00036674"/>
    <w:rsid w:val="00037344"/>
    <w:rsid w:val="00041D29"/>
    <w:rsid w:val="000423A9"/>
    <w:rsid w:val="000449B5"/>
    <w:rsid w:val="00045831"/>
    <w:rsid w:val="00045D09"/>
    <w:rsid w:val="00050355"/>
    <w:rsid w:val="00050600"/>
    <w:rsid w:val="00050D24"/>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1565"/>
    <w:rsid w:val="00092D35"/>
    <w:rsid w:val="00094546"/>
    <w:rsid w:val="00094A9B"/>
    <w:rsid w:val="00094AEA"/>
    <w:rsid w:val="00097D9F"/>
    <w:rsid w:val="000A1C2B"/>
    <w:rsid w:val="000A23C5"/>
    <w:rsid w:val="000A5236"/>
    <w:rsid w:val="000A75F0"/>
    <w:rsid w:val="000B2192"/>
    <w:rsid w:val="000B73C8"/>
    <w:rsid w:val="000B7C51"/>
    <w:rsid w:val="000B7F23"/>
    <w:rsid w:val="000C15DA"/>
    <w:rsid w:val="000C43D2"/>
    <w:rsid w:val="000C44F1"/>
    <w:rsid w:val="000C757C"/>
    <w:rsid w:val="000C7A3D"/>
    <w:rsid w:val="000D14AF"/>
    <w:rsid w:val="000D1563"/>
    <w:rsid w:val="000D3187"/>
    <w:rsid w:val="000D6D50"/>
    <w:rsid w:val="000E350C"/>
    <w:rsid w:val="000E56B6"/>
    <w:rsid w:val="000E5890"/>
    <w:rsid w:val="000E59AA"/>
    <w:rsid w:val="000E6653"/>
    <w:rsid w:val="000E69FD"/>
    <w:rsid w:val="000E730B"/>
    <w:rsid w:val="000E7C39"/>
    <w:rsid w:val="000F23BF"/>
    <w:rsid w:val="000F359C"/>
    <w:rsid w:val="000F36CD"/>
    <w:rsid w:val="000F5363"/>
    <w:rsid w:val="000F5722"/>
    <w:rsid w:val="000F6C4F"/>
    <w:rsid w:val="0010054C"/>
    <w:rsid w:val="001014B1"/>
    <w:rsid w:val="00102D80"/>
    <w:rsid w:val="00102FE4"/>
    <w:rsid w:val="001038F0"/>
    <w:rsid w:val="00104092"/>
    <w:rsid w:val="00105391"/>
    <w:rsid w:val="00107FB6"/>
    <w:rsid w:val="00113F16"/>
    <w:rsid w:val="00116293"/>
    <w:rsid w:val="00120BE4"/>
    <w:rsid w:val="00120FD2"/>
    <w:rsid w:val="001247C1"/>
    <w:rsid w:val="00125D0A"/>
    <w:rsid w:val="0012676F"/>
    <w:rsid w:val="00130B61"/>
    <w:rsid w:val="001336DF"/>
    <w:rsid w:val="00133DC4"/>
    <w:rsid w:val="0013509E"/>
    <w:rsid w:val="0013623C"/>
    <w:rsid w:val="001401C7"/>
    <w:rsid w:val="00141D39"/>
    <w:rsid w:val="0014288C"/>
    <w:rsid w:val="00143A2C"/>
    <w:rsid w:val="001445D4"/>
    <w:rsid w:val="00145F07"/>
    <w:rsid w:val="00147017"/>
    <w:rsid w:val="001506CA"/>
    <w:rsid w:val="00151AC8"/>
    <w:rsid w:val="001545B9"/>
    <w:rsid w:val="00154EC0"/>
    <w:rsid w:val="001555A9"/>
    <w:rsid w:val="00160199"/>
    <w:rsid w:val="00160E6E"/>
    <w:rsid w:val="00161D1B"/>
    <w:rsid w:val="00162900"/>
    <w:rsid w:val="0016550F"/>
    <w:rsid w:val="001656F6"/>
    <w:rsid w:val="00166235"/>
    <w:rsid w:val="001706B1"/>
    <w:rsid w:val="00170AFB"/>
    <w:rsid w:val="001715CC"/>
    <w:rsid w:val="0017367F"/>
    <w:rsid w:val="00182C87"/>
    <w:rsid w:val="00186CFA"/>
    <w:rsid w:val="00187402"/>
    <w:rsid w:val="0018775E"/>
    <w:rsid w:val="00187CAF"/>
    <w:rsid w:val="00192A3F"/>
    <w:rsid w:val="00192F0E"/>
    <w:rsid w:val="00193DF4"/>
    <w:rsid w:val="001959F4"/>
    <w:rsid w:val="001A0EA2"/>
    <w:rsid w:val="001A3995"/>
    <w:rsid w:val="001A4097"/>
    <w:rsid w:val="001B2219"/>
    <w:rsid w:val="001B2F65"/>
    <w:rsid w:val="001B3508"/>
    <w:rsid w:val="001B4881"/>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166C"/>
    <w:rsid w:val="00216C27"/>
    <w:rsid w:val="002200FC"/>
    <w:rsid w:val="00221A14"/>
    <w:rsid w:val="00221D6B"/>
    <w:rsid w:val="002227E3"/>
    <w:rsid w:val="0022374D"/>
    <w:rsid w:val="00224294"/>
    <w:rsid w:val="00224D90"/>
    <w:rsid w:val="00227D85"/>
    <w:rsid w:val="0023049B"/>
    <w:rsid w:val="00232B37"/>
    <w:rsid w:val="00235B3D"/>
    <w:rsid w:val="00241DE4"/>
    <w:rsid w:val="0024256B"/>
    <w:rsid w:val="00243CE1"/>
    <w:rsid w:val="00244F5A"/>
    <w:rsid w:val="00245D08"/>
    <w:rsid w:val="00250A6B"/>
    <w:rsid w:val="00251996"/>
    <w:rsid w:val="00252D80"/>
    <w:rsid w:val="002538C7"/>
    <w:rsid w:val="00253BA8"/>
    <w:rsid w:val="00256594"/>
    <w:rsid w:val="00257328"/>
    <w:rsid w:val="0026061F"/>
    <w:rsid w:val="00261806"/>
    <w:rsid w:val="00262A1B"/>
    <w:rsid w:val="00266365"/>
    <w:rsid w:val="0027082F"/>
    <w:rsid w:val="00271075"/>
    <w:rsid w:val="00271A95"/>
    <w:rsid w:val="0027366D"/>
    <w:rsid w:val="00276346"/>
    <w:rsid w:val="00276E9A"/>
    <w:rsid w:val="00280829"/>
    <w:rsid w:val="00281C3D"/>
    <w:rsid w:val="0028208B"/>
    <w:rsid w:val="002826C8"/>
    <w:rsid w:val="00287206"/>
    <w:rsid w:val="00287629"/>
    <w:rsid w:val="002920EA"/>
    <w:rsid w:val="00292C57"/>
    <w:rsid w:val="0029377C"/>
    <w:rsid w:val="002939BD"/>
    <w:rsid w:val="002949C2"/>
    <w:rsid w:val="002A0EBB"/>
    <w:rsid w:val="002A1A05"/>
    <w:rsid w:val="002A1A9B"/>
    <w:rsid w:val="002A2092"/>
    <w:rsid w:val="002A3B40"/>
    <w:rsid w:val="002A4BD8"/>
    <w:rsid w:val="002B011C"/>
    <w:rsid w:val="002B21B2"/>
    <w:rsid w:val="002B2DEC"/>
    <w:rsid w:val="002B3C7E"/>
    <w:rsid w:val="002B514F"/>
    <w:rsid w:val="002B59D9"/>
    <w:rsid w:val="002B5ABC"/>
    <w:rsid w:val="002B7782"/>
    <w:rsid w:val="002C0392"/>
    <w:rsid w:val="002C0A75"/>
    <w:rsid w:val="002C14A4"/>
    <w:rsid w:val="002C18DB"/>
    <w:rsid w:val="002C488A"/>
    <w:rsid w:val="002C52EE"/>
    <w:rsid w:val="002D0AC5"/>
    <w:rsid w:val="002E079D"/>
    <w:rsid w:val="002E2685"/>
    <w:rsid w:val="002E2E30"/>
    <w:rsid w:val="002E43EB"/>
    <w:rsid w:val="002E4612"/>
    <w:rsid w:val="002E5CC6"/>
    <w:rsid w:val="002E6686"/>
    <w:rsid w:val="002E72EA"/>
    <w:rsid w:val="002F1047"/>
    <w:rsid w:val="002F363A"/>
    <w:rsid w:val="002F45EE"/>
    <w:rsid w:val="002F7FEC"/>
    <w:rsid w:val="00301D20"/>
    <w:rsid w:val="003023F3"/>
    <w:rsid w:val="00302588"/>
    <w:rsid w:val="003033CD"/>
    <w:rsid w:val="0030416C"/>
    <w:rsid w:val="003066D7"/>
    <w:rsid w:val="0031228D"/>
    <w:rsid w:val="00313734"/>
    <w:rsid w:val="003154A8"/>
    <w:rsid w:val="003154B3"/>
    <w:rsid w:val="00315B99"/>
    <w:rsid w:val="0031630D"/>
    <w:rsid w:val="003214FD"/>
    <w:rsid w:val="00322A38"/>
    <w:rsid w:val="00323B5A"/>
    <w:rsid w:val="00324A4E"/>
    <w:rsid w:val="0032616D"/>
    <w:rsid w:val="00326A27"/>
    <w:rsid w:val="00326C25"/>
    <w:rsid w:val="003314BF"/>
    <w:rsid w:val="00331729"/>
    <w:rsid w:val="00331CCE"/>
    <w:rsid w:val="0033344D"/>
    <w:rsid w:val="003354DB"/>
    <w:rsid w:val="00335C40"/>
    <w:rsid w:val="0034009B"/>
    <w:rsid w:val="003410ED"/>
    <w:rsid w:val="0034185C"/>
    <w:rsid w:val="003445CA"/>
    <w:rsid w:val="00345205"/>
    <w:rsid w:val="00346125"/>
    <w:rsid w:val="00346FF2"/>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08BA"/>
    <w:rsid w:val="00391024"/>
    <w:rsid w:val="00391DD3"/>
    <w:rsid w:val="00393444"/>
    <w:rsid w:val="00393BB7"/>
    <w:rsid w:val="0039680C"/>
    <w:rsid w:val="003A191B"/>
    <w:rsid w:val="003A219A"/>
    <w:rsid w:val="003A4250"/>
    <w:rsid w:val="003A5792"/>
    <w:rsid w:val="003B1D02"/>
    <w:rsid w:val="003B254F"/>
    <w:rsid w:val="003B284A"/>
    <w:rsid w:val="003B2964"/>
    <w:rsid w:val="003B3AC0"/>
    <w:rsid w:val="003B4119"/>
    <w:rsid w:val="003B484E"/>
    <w:rsid w:val="003B67E0"/>
    <w:rsid w:val="003B6DE2"/>
    <w:rsid w:val="003C0D63"/>
    <w:rsid w:val="003C1ABF"/>
    <w:rsid w:val="003C1E5E"/>
    <w:rsid w:val="003C2832"/>
    <w:rsid w:val="003C3DD4"/>
    <w:rsid w:val="003C5707"/>
    <w:rsid w:val="003C7179"/>
    <w:rsid w:val="003C796B"/>
    <w:rsid w:val="003D22ED"/>
    <w:rsid w:val="003D450D"/>
    <w:rsid w:val="003D52A8"/>
    <w:rsid w:val="003D5554"/>
    <w:rsid w:val="003D5BF4"/>
    <w:rsid w:val="003D5FB8"/>
    <w:rsid w:val="003D60FA"/>
    <w:rsid w:val="003D660C"/>
    <w:rsid w:val="003D7976"/>
    <w:rsid w:val="003E35D3"/>
    <w:rsid w:val="003E4774"/>
    <w:rsid w:val="003E6EA2"/>
    <w:rsid w:val="003F1613"/>
    <w:rsid w:val="003F4ACF"/>
    <w:rsid w:val="003F5BBE"/>
    <w:rsid w:val="003F5D9C"/>
    <w:rsid w:val="003F628A"/>
    <w:rsid w:val="003F7478"/>
    <w:rsid w:val="003F795C"/>
    <w:rsid w:val="003F7C42"/>
    <w:rsid w:val="00400048"/>
    <w:rsid w:val="00400565"/>
    <w:rsid w:val="00403FAF"/>
    <w:rsid w:val="00405747"/>
    <w:rsid w:val="004062EA"/>
    <w:rsid w:val="0041042A"/>
    <w:rsid w:val="00411452"/>
    <w:rsid w:val="00411808"/>
    <w:rsid w:val="0041634B"/>
    <w:rsid w:val="004163E6"/>
    <w:rsid w:val="00416E67"/>
    <w:rsid w:val="00420882"/>
    <w:rsid w:val="00420E01"/>
    <w:rsid w:val="00423D77"/>
    <w:rsid w:val="00423E4D"/>
    <w:rsid w:val="00424531"/>
    <w:rsid w:val="00424D04"/>
    <w:rsid w:val="004264EA"/>
    <w:rsid w:val="004265B2"/>
    <w:rsid w:val="00427600"/>
    <w:rsid w:val="00433765"/>
    <w:rsid w:val="0043382C"/>
    <w:rsid w:val="00433C38"/>
    <w:rsid w:val="0043446E"/>
    <w:rsid w:val="00434BC6"/>
    <w:rsid w:val="00441745"/>
    <w:rsid w:val="004422E7"/>
    <w:rsid w:val="00442D7A"/>
    <w:rsid w:val="00443E3A"/>
    <w:rsid w:val="0044508B"/>
    <w:rsid w:val="004510BC"/>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4EC4"/>
    <w:rsid w:val="004760D1"/>
    <w:rsid w:val="0047736E"/>
    <w:rsid w:val="0047768A"/>
    <w:rsid w:val="00477CC5"/>
    <w:rsid w:val="00482405"/>
    <w:rsid w:val="00484658"/>
    <w:rsid w:val="0048605E"/>
    <w:rsid w:val="00491847"/>
    <w:rsid w:val="00491E09"/>
    <w:rsid w:val="004A0757"/>
    <w:rsid w:val="004A0787"/>
    <w:rsid w:val="004A2857"/>
    <w:rsid w:val="004A3388"/>
    <w:rsid w:val="004A48F2"/>
    <w:rsid w:val="004A553E"/>
    <w:rsid w:val="004A7248"/>
    <w:rsid w:val="004B109E"/>
    <w:rsid w:val="004B14BD"/>
    <w:rsid w:val="004B23F1"/>
    <w:rsid w:val="004B2891"/>
    <w:rsid w:val="004B447F"/>
    <w:rsid w:val="004B572A"/>
    <w:rsid w:val="004B5B19"/>
    <w:rsid w:val="004B5EA8"/>
    <w:rsid w:val="004B612B"/>
    <w:rsid w:val="004C3F4D"/>
    <w:rsid w:val="004C6DD4"/>
    <w:rsid w:val="004C7B01"/>
    <w:rsid w:val="004C7E47"/>
    <w:rsid w:val="004D7B14"/>
    <w:rsid w:val="004E33D3"/>
    <w:rsid w:val="004E3424"/>
    <w:rsid w:val="004E426E"/>
    <w:rsid w:val="004E5595"/>
    <w:rsid w:val="005012F5"/>
    <w:rsid w:val="00501E47"/>
    <w:rsid w:val="0050283F"/>
    <w:rsid w:val="00502E5C"/>
    <w:rsid w:val="0050368C"/>
    <w:rsid w:val="00505D99"/>
    <w:rsid w:val="00505F93"/>
    <w:rsid w:val="00507A41"/>
    <w:rsid w:val="00511442"/>
    <w:rsid w:val="005115F8"/>
    <w:rsid w:val="00512CDC"/>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7F8"/>
    <w:rsid w:val="005376B8"/>
    <w:rsid w:val="00540F78"/>
    <w:rsid w:val="005414C4"/>
    <w:rsid w:val="00543233"/>
    <w:rsid w:val="00543489"/>
    <w:rsid w:val="00543BB4"/>
    <w:rsid w:val="00545C8D"/>
    <w:rsid w:val="00546A46"/>
    <w:rsid w:val="00546A67"/>
    <w:rsid w:val="00550D74"/>
    <w:rsid w:val="00554CBF"/>
    <w:rsid w:val="005603E2"/>
    <w:rsid w:val="0056106A"/>
    <w:rsid w:val="00562B7D"/>
    <w:rsid w:val="00565011"/>
    <w:rsid w:val="00567995"/>
    <w:rsid w:val="005724D8"/>
    <w:rsid w:val="00574B96"/>
    <w:rsid w:val="00575841"/>
    <w:rsid w:val="005767CC"/>
    <w:rsid w:val="00580678"/>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4D3E"/>
    <w:rsid w:val="005C7184"/>
    <w:rsid w:val="005D00F1"/>
    <w:rsid w:val="005D20CD"/>
    <w:rsid w:val="005D3C52"/>
    <w:rsid w:val="005D6B99"/>
    <w:rsid w:val="005D7E19"/>
    <w:rsid w:val="005E300D"/>
    <w:rsid w:val="005E36A3"/>
    <w:rsid w:val="005E4870"/>
    <w:rsid w:val="005E62ED"/>
    <w:rsid w:val="005E65B5"/>
    <w:rsid w:val="005E7B45"/>
    <w:rsid w:val="005F1EDF"/>
    <w:rsid w:val="005F3027"/>
    <w:rsid w:val="005F3370"/>
    <w:rsid w:val="005F3AF8"/>
    <w:rsid w:val="005F5D06"/>
    <w:rsid w:val="005F7029"/>
    <w:rsid w:val="00600343"/>
    <w:rsid w:val="006012AD"/>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58D2"/>
    <w:rsid w:val="00626F56"/>
    <w:rsid w:val="00626FD8"/>
    <w:rsid w:val="006301F4"/>
    <w:rsid w:val="006301FE"/>
    <w:rsid w:val="00630C05"/>
    <w:rsid w:val="00633333"/>
    <w:rsid w:val="00633567"/>
    <w:rsid w:val="00635948"/>
    <w:rsid w:val="00637746"/>
    <w:rsid w:val="0064051F"/>
    <w:rsid w:val="00640A42"/>
    <w:rsid w:val="00641852"/>
    <w:rsid w:val="00643A98"/>
    <w:rsid w:val="006475E6"/>
    <w:rsid w:val="00650E8E"/>
    <w:rsid w:val="00653181"/>
    <w:rsid w:val="0065323F"/>
    <w:rsid w:val="006537C4"/>
    <w:rsid w:val="00654BBB"/>
    <w:rsid w:val="00655929"/>
    <w:rsid w:val="00655BF4"/>
    <w:rsid w:val="00656188"/>
    <w:rsid w:val="00656F3C"/>
    <w:rsid w:val="00661ACE"/>
    <w:rsid w:val="00661F6A"/>
    <w:rsid w:val="006635A7"/>
    <w:rsid w:val="00667A74"/>
    <w:rsid w:val="006705BE"/>
    <w:rsid w:val="0067153A"/>
    <w:rsid w:val="00671830"/>
    <w:rsid w:val="00673519"/>
    <w:rsid w:val="00674762"/>
    <w:rsid w:val="00675BE6"/>
    <w:rsid w:val="00677736"/>
    <w:rsid w:val="00680E5D"/>
    <w:rsid w:val="0068195A"/>
    <w:rsid w:val="00681C26"/>
    <w:rsid w:val="00682002"/>
    <w:rsid w:val="00685D30"/>
    <w:rsid w:val="00690F44"/>
    <w:rsid w:val="006919C8"/>
    <w:rsid w:val="00692A87"/>
    <w:rsid w:val="0069362C"/>
    <w:rsid w:val="00693D3B"/>
    <w:rsid w:val="00694B16"/>
    <w:rsid w:val="00697002"/>
    <w:rsid w:val="00697687"/>
    <w:rsid w:val="006A1382"/>
    <w:rsid w:val="006A15AD"/>
    <w:rsid w:val="006A2EB9"/>
    <w:rsid w:val="006A45D8"/>
    <w:rsid w:val="006A4888"/>
    <w:rsid w:val="006A5210"/>
    <w:rsid w:val="006A521D"/>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037B"/>
    <w:rsid w:val="00711E11"/>
    <w:rsid w:val="00712133"/>
    <w:rsid w:val="007135E6"/>
    <w:rsid w:val="00715569"/>
    <w:rsid w:val="007204C6"/>
    <w:rsid w:val="00720DBB"/>
    <w:rsid w:val="00721758"/>
    <w:rsid w:val="00721E15"/>
    <w:rsid w:val="0072227A"/>
    <w:rsid w:val="00723918"/>
    <w:rsid w:val="00723DF8"/>
    <w:rsid w:val="00724429"/>
    <w:rsid w:val="007248BC"/>
    <w:rsid w:val="00725681"/>
    <w:rsid w:val="00725F15"/>
    <w:rsid w:val="00726280"/>
    <w:rsid w:val="00726342"/>
    <w:rsid w:val="00726354"/>
    <w:rsid w:val="00726ED9"/>
    <w:rsid w:val="00730C18"/>
    <w:rsid w:val="00731DB3"/>
    <w:rsid w:val="00732F06"/>
    <w:rsid w:val="00736908"/>
    <w:rsid w:val="007417AC"/>
    <w:rsid w:val="007439D7"/>
    <w:rsid w:val="00743D1A"/>
    <w:rsid w:val="00745D31"/>
    <w:rsid w:val="00747B36"/>
    <w:rsid w:val="00752270"/>
    <w:rsid w:val="00755534"/>
    <w:rsid w:val="00757AA5"/>
    <w:rsid w:val="007642F9"/>
    <w:rsid w:val="00770A61"/>
    <w:rsid w:val="00773074"/>
    <w:rsid w:val="00773C33"/>
    <w:rsid w:val="007751E7"/>
    <w:rsid w:val="00781A50"/>
    <w:rsid w:val="00784962"/>
    <w:rsid w:val="007876BC"/>
    <w:rsid w:val="00787C51"/>
    <w:rsid w:val="00790DF3"/>
    <w:rsid w:val="00791D09"/>
    <w:rsid w:val="00792970"/>
    <w:rsid w:val="0079316B"/>
    <w:rsid w:val="00794A22"/>
    <w:rsid w:val="00796433"/>
    <w:rsid w:val="00796B75"/>
    <w:rsid w:val="007971ED"/>
    <w:rsid w:val="00797CB3"/>
    <w:rsid w:val="007A03BA"/>
    <w:rsid w:val="007A4A53"/>
    <w:rsid w:val="007A6CDA"/>
    <w:rsid w:val="007A71F8"/>
    <w:rsid w:val="007B02DE"/>
    <w:rsid w:val="007B1EFC"/>
    <w:rsid w:val="007B27A0"/>
    <w:rsid w:val="007C44F3"/>
    <w:rsid w:val="007C4BD2"/>
    <w:rsid w:val="007C7387"/>
    <w:rsid w:val="007D49C7"/>
    <w:rsid w:val="007D53AA"/>
    <w:rsid w:val="007D791C"/>
    <w:rsid w:val="007E249D"/>
    <w:rsid w:val="007E2511"/>
    <w:rsid w:val="007E3EA1"/>
    <w:rsid w:val="007E4BFD"/>
    <w:rsid w:val="007E6564"/>
    <w:rsid w:val="007F04F9"/>
    <w:rsid w:val="007F714A"/>
    <w:rsid w:val="007F7299"/>
    <w:rsid w:val="00800FF7"/>
    <w:rsid w:val="0080294E"/>
    <w:rsid w:val="008029A0"/>
    <w:rsid w:val="00802D86"/>
    <w:rsid w:val="00802F06"/>
    <w:rsid w:val="008047D9"/>
    <w:rsid w:val="00804A4D"/>
    <w:rsid w:val="00806B06"/>
    <w:rsid w:val="0081023D"/>
    <w:rsid w:val="0081050B"/>
    <w:rsid w:val="00811D80"/>
    <w:rsid w:val="00812326"/>
    <w:rsid w:val="00812348"/>
    <w:rsid w:val="00816A40"/>
    <w:rsid w:val="00820149"/>
    <w:rsid w:val="00820651"/>
    <w:rsid w:val="00822240"/>
    <w:rsid w:val="00824D86"/>
    <w:rsid w:val="00826C29"/>
    <w:rsid w:val="008270F8"/>
    <w:rsid w:val="0082721C"/>
    <w:rsid w:val="00832222"/>
    <w:rsid w:val="00834690"/>
    <w:rsid w:val="0083576C"/>
    <w:rsid w:val="00837913"/>
    <w:rsid w:val="00840FA0"/>
    <w:rsid w:val="00843FBB"/>
    <w:rsid w:val="008454D2"/>
    <w:rsid w:val="00845DEC"/>
    <w:rsid w:val="00846F0C"/>
    <w:rsid w:val="00851419"/>
    <w:rsid w:val="0085294F"/>
    <w:rsid w:val="00860128"/>
    <w:rsid w:val="00866593"/>
    <w:rsid w:val="00867BA3"/>
    <w:rsid w:val="00870719"/>
    <w:rsid w:val="00872365"/>
    <w:rsid w:val="0087721F"/>
    <w:rsid w:val="00877C82"/>
    <w:rsid w:val="00881791"/>
    <w:rsid w:val="00891F6B"/>
    <w:rsid w:val="00892314"/>
    <w:rsid w:val="0089371C"/>
    <w:rsid w:val="00895A76"/>
    <w:rsid w:val="008A265F"/>
    <w:rsid w:val="008A3E00"/>
    <w:rsid w:val="008A4075"/>
    <w:rsid w:val="008A5C07"/>
    <w:rsid w:val="008A5F82"/>
    <w:rsid w:val="008B2F25"/>
    <w:rsid w:val="008B33EB"/>
    <w:rsid w:val="008B3ABC"/>
    <w:rsid w:val="008B46D2"/>
    <w:rsid w:val="008B4B43"/>
    <w:rsid w:val="008B5E4B"/>
    <w:rsid w:val="008B6E89"/>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8F6309"/>
    <w:rsid w:val="00900546"/>
    <w:rsid w:val="0090105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7826"/>
    <w:rsid w:val="009308A8"/>
    <w:rsid w:val="00930D89"/>
    <w:rsid w:val="00935201"/>
    <w:rsid w:val="00935FD0"/>
    <w:rsid w:val="0093711F"/>
    <w:rsid w:val="009373A1"/>
    <w:rsid w:val="00937A9F"/>
    <w:rsid w:val="009411C2"/>
    <w:rsid w:val="009425E2"/>
    <w:rsid w:val="00942CDE"/>
    <w:rsid w:val="00943290"/>
    <w:rsid w:val="009469D4"/>
    <w:rsid w:val="00946E0E"/>
    <w:rsid w:val="009531A4"/>
    <w:rsid w:val="00953B00"/>
    <w:rsid w:val="00956342"/>
    <w:rsid w:val="009575DB"/>
    <w:rsid w:val="00962A95"/>
    <w:rsid w:val="00962B00"/>
    <w:rsid w:val="009633A0"/>
    <w:rsid w:val="009647CC"/>
    <w:rsid w:val="00967713"/>
    <w:rsid w:val="00970CA0"/>
    <w:rsid w:val="00972C1E"/>
    <w:rsid w:val="0097614E"/>
    <w:rsid w:val="00976B14"/>
    <w:rsid w:val="009778FA"/>
    <w:rsid w:val="00977A39"/>
    <w:rsid w:val="00981B9B"/>
    <w:rsid w:val="009858EE"/>
    <w:rsid w:val="00985DE2"/>
    <w:rsid w:val="00986DA2"/>
    <w:rsid w:val="009870EA"/>
    <w:rsid w:val="009871CA"/>
    <w:rsid w:val="009874C6"/>
    <w:rsid w:val="00990B28"/>
    <w:rsid w:val="00990BD6"/>
    <w:rsid w:val="0099243E"/>
    <w:rsid w:val="00993EC1"/>
    <w:rsid w:val="00994BC2"/>
    <w:rsid w:val="009956D1"/>
    <w:rsid w:val="00995B14"/>
    <w:rsid w:val="009A0866"/>
    <w:rsid w:val="009A29A3"/>
    <w:rsid w:val="009A5399"/>
    <w:rsid w:val="009A76C3"/>
    <w:rsid w:val="009B1333"/>
    <w:rsid w:val="009B1792"/>
    <w:rsid w:val="009B1FCB"/>
    <w:rsid w:val="009B2C99"/>
    <w:rsid w:val="009B3CF3"/>
    <w:rsid w:val="009B4DCA"/>
    <w:rsid w:val="009B6731"/>
    <w:rsid w:val="009B6AA3"/>
    <w:rsid w:val="009B706C"/>
    <w:rsid w:val="009C2266"/>
    <w:rsid w:val="009C3878"/>
    <w:rsid w:val="009C5DDE"/>
    <w:rsid w:val="009C5F72"/>
    <w:rsid w:val="009D073C"/>
    <w:rsid w:val="009D0749"/>
    <w:rsid w:val="009D599B"/>
    <w:rsid w:val="009E2113"/>
    <w:rsid w:val="009E28FE"/>
    <w:rsid w:val="009E5025"/>
    <w:rsid w:val="009E5891"/>
    <w:rsid w:val="009F1C43"/>
    <w:rsid w:val="009F2CCC"/>
    <w:rsid w:val="009F66F7"/>
    <w:rsid w:val="009F75DD"/>
    <w:rsid w:val="00A009CA"/>
    <w:rsid w:val="00A04C8A"/>
    <w:rsid w:val="00A04C91"/>
    <w:rsid w:val="00A055D0"/>
    <w:rsid w:val="00A06AE7"/>
    <w:rsid w:val="00A07E6E"/>
    <w:rsid w:val="00A146D2"/>
    <w:rsid w:val="00A149AC"/>
    <w:rsid w:val="00A15559"/>
    <w:rsid w:val="00A20A7D"/>
    <w:rsid w:val="00A23679"/>
    <w:rsid w:val="00A26604"/>
    <w:rsid w:val="00A324AB"/>
    <w:rsid w:val="00A3345F"/>
    <w:rsid w:val="00A33B04"/>
    <w:rsid w:val="00A34E30"/>
    <w:rsid w:val="00A34E80"/>
    <w:rsid w:val="00A362EB"/>
    <w:rsid w:val="00A37154"/>
    <w:rsid w:val="00A37656"/>
    <w:rsid w:val="00A37966"/>
    <w:rsid w:val="00A42CDC"/>
    <w:rsid w:val="00A46157"/>
    <w:rsid w:val="00A463B2"/>
    <w:rsid w:val="00A464BD"/>
    <w:rsid w:val="00A501AD"/>
    <w:rsid w:val="00A52D40"/>
    <w:rsid w:val="00A5708E"/>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1A97"/>
    <w:rsid w:val="00AA44E4"/>
    <w:rsid w:val="00AA52A0"/>
    <w:rsid w:val="00AA5F94"/>
    <w:rsid w:val="00AB018E"/>
    <w:rsid w:val="00AB0987"/>
    <w:rsid w:val="00AB365C"/>
    <w:rsid w:val="00AB4DE5"/>
    <w:rsid w:val="00AB5789"/>
    <w:rsid w:val="00AB601C"/>
    <w:rsid w:val="00AB6D0E"/>
    <w:rsid w:val="00AB6DF8"/>
    <w:rsid w:val="00AB711B"/>
    <w:rsid w:val="00AC16C2"/>
    <w:rsid w:val="00AC226A"/>
    <w:rsid w:val="00AC2D1E"/>
    <w:rsid w:val="00AC34E8"/>
    <w:rsid w:val="00AC558F"/>
    <w:rsid w:val="00AC5E9A"/>
    <w:rsid w:val="00AC68C0"/>
    <w:rsid w:val="00AC785C"/>
    <w:rsid w:val="00AD0985"/>
    <w:rsid w:val="00AD33F2"/>
    <w:rsid w:val="00AD3C93"/>
    <w:rsid w:val="00AD4211"/>
    <w:rsid w:val="00AD531D"/>
    <w:rsid w:val="00AD718C"/>
    <w:rsid w:val="00AD7804"/>
    <w:rsid w:val="00AE17EA"/>
    <w:rsid w:val="00AE273B"/>
    <w:rsid w:val="00AE3727"/>
    <w:rsid w:val="00AE3B5E"/>
    <w:rsid w:val="00AE45F4"/>
    <w:rsid w:val="00AE4AA4"/>
    <w:rsid w:val="00AE681E"/>
    <w:rsid w:val="00AE69BE"/>
    <w:rsid w:val="00AE6E58"/>
    <w:rsid w:val="00AE768D"/>
    <w:rsid w:val="00AF0A9B"/>
    <w:rsid w:val="00AF27EB"/>
    <w:rsid w:val="00AF294D"/>
    <w:rsid w:val="00AF57CB"/>
    <w:rsid w:val="00AF7BAC"/>
    <w:rsid w:val="00AF7C47"/>
    <w:rsid w:val="00B010AD"/>
    <w:rsid w:val="00B15CFF"/>
    <w:rsid w:val="00B17067"/>
    <w:rsid w:val="00B173E6"/>
    <w:rsid w:val="00B22A15"/>
    <w:rsid w:val="00B2319C"/>
    <w:rsid w:val="00B23CB4"/>
    <w:rsid w:val="00B257AD"/>
    <w:rsid w:val="00B2587C"/>
    <w:rsid w:val="00B2723B"/>
    <w:rsid w:val="00B27BED"/>
    <w:rsid w:val="00B30327"/>
    <w:rsid w:val="00B306FA"/>
    <w:rsid w:val="00B32B9B"/>
    <w:rsid w:val="00B34C2F"/>
    <w:rsid w:val="00B37611"/>
    <w:rsid w:val="00B40A14"/>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1030"/>
    <w:rsid w:val="00B854CE"/>
    <w:rsid w:val="00B860F9"/>
    <w:rsid w:val="00B86419"/>
    <w:rsid w:val="00B866D2"/>
    <w:rsid w:val="00B90C6F"/>
    <w:rsid w:val="00B90CB7"/>
    <w:rsid w:val="00B91483"/>
    <w:rsid w:val="00B914C1"/>
    <w:rsid w:val="00B918E0"/>
    <w:rsid w:val="00B92BD3"/>
    <w:rsid w:val="00B92EE7"/>
    <w:rsid w:val="00B930A7"/>
    <w:rsid w:val="00B95D56"/>
    <w:rsid w:val="00B96878"/>
    <w:rsid w:val="00B96AD5"/>
    <w:rsid w:val="00BA41EB"/>
    <w:rsid w:val="00BA4858"/>
    <w:rsid w:val="00BA6184"/>
    <w:rsid w:val="00BB02CD"/>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1C2A"/>
    <w:rsid w:val="00BD28EC"/>
    <w:rsid w:val="00BD2F3E"/>
    <w:rsid w:val="00BD3B5C"/>
    <w:rsid w:val="00BD5DA8"/>
    <w:rsid w:val="00BE14D9"/>
    <w:rsid w:val="00BE3706"/>
    <w:rsid w:val="00BE4CAA"/>
    <w:rsid w:val="00BE6D24"/>
    <w:rsid w:val="00BE7560"/>
    <w:rsid w:val="00BF0919"/>
    <w:rsid w:val="00BF2DEC"/>
    <w:rsid w:val="00BF464F"/>
    <w:rsid w:val="00BF468F"/>
    <w:rsid w:val="00BF4852"/>
    <w:rsid w:val="00BF4A25"/>
    <w:rsid w:val="00BF62AD"/>
    <w:rsid w:val="00C00303"/>
    <w:rsid w:val="00C00919"/>
    <w:rsid w:val="00C043E6"/>
    <w:rsid w:val="00C0452B"/>
    <w:rsid w:val="00C072B0"/>
    <w:rsid w:val="00C113E9"/>
    <w:rsid w:val="00C13494"/>
    <w:rsid w:val="00C14EA7"/>
    <w:rsid w:val="00C150A5"/>
    <w:rsid w:val="00C150F3"/>
    <w:rsid w:val="00C15E04"/>
    <w:rsid w:val="00C17A75"/>
    <w:rsid w:val="00C17E79"/>
    <w:rsid w:val="00C2013C"/>
    <w:rsid w:val="00C22406"/>
    <w:rsid w:val="00C24B87"/>
    <w:rsid w:val="00C26777"/>
    <w:rsid w:val="00C32326"/>
    <w:rsid w:val="00C3378C"/>
    <w:rsid w:val="00C3534E"/>
    <w:rsid w:val="00C3624D"/>
    <w:rsid w:val="00C376B5"/>
    <w:rsid w:val="00C4073F"/>
    <w:rsid w:val="00C41268"/>
    <w:rsid w:val="00C4727D"/>
    <w:rsid w:val="00C47941"/>
    <w:rsid w:val="00C5067A"/>
    <w:rsid w:val="00C50949"/>
    <w:rsid w:val="00C512BE"/>
    <w:rsid w:val="00C60BB7"/>
    <w:rsid w:val="00C643E9"/>
    <w:rsid w:val="00C6465D"/>
    <w:rsid w:val="00C660F6"/>
    <w:rsid w:val="00C66E98"/>
    <w:rsid w:val="00C71065"/>
    <w:rsid w:val="00C71154"/>
    <w:rsid w:val="00C727FA"/>
    <w:rsid w:val="00C73159"/>
    <w:rsid w:val="00C75EFA"/>
    <w:rsid w:val="00C76495"/>
    <w:rsid w:val="00C76646"/>
    <w:rsid w:val="00C76655"/>
    <w:rsid w:val="00C776F3"/>
    <w:rsid w:val="00C77C19"/>
    <w:rsid w:val="00C81CF5"/>
    <w:rsid w:val="00C81EBE"/>
    <w:rsid w:val="00C82A22"/>
    <w:rsid w:val="00C920B0"/>
    <w:rsid w:val="00C92FEA"/>
    <w:rsid w:val="00C95F3E"/>
    <w:rsid w:val="00C97A62"/>
    <w:rsid w:val="00CA1A78"/>
    <w:rsid w:val="00CA1CC1"/>
    <w:rsid w:val="00CA2071"/>
    <w:rsid w:val="00CA2568"/>
    <w:rsid w:val="00CA2E09"/>
    <w:rsid w:val="00CA5B9D"/>
    <w:rsid w:val="00CA686E"/>
    <w:rsid w:val="00CA7319"/>
    <w:rsid w:val="00CA7CBB"/>
    <w:rsid w:val="00CB6655"/>
    <w:rsid w:val="00CB6D12"/>
    <w:rsid w:val="00CB6D3E"/>
    <w:rsid w:val="00CB722E"/>
    <w:rsid w:val="00CC06B3"/>
    <w:rsid w:val="00CC0D76"/>
    <w:rsid w:val="00CC14BA"/>
    <w:rsid w:val="00CC1F4A"/>
    <w:rsid w:val="00CC2F33"/>
    <w:rsid w:val="00CC4922"/>
    <w:rsid w:val="00CC6A8E"/>
    <w:rsid w:val="00CD180F"/>
    <w:rsid w:val="00CD3FDC"/>
    <w:rsid w:val="00CD57F3"/>
    <w:rsid w:val="00CD6193"/>
    <w:rsid w:val="00CD730D"/>
    <w:rsid w:val="00CE45BD"/>
    <w:rsid w:val="00CE6987"/>
    <w:rsid w:val="00CE69C4"/>
    <w:rsid w:val="00CF01C8"/>
    <w:rsid w:val="00CF040C"/>
    <w:rsid w:val="00CF0772"/>
    <w:rsid w:val="00CF685B"/>
    <w:rsid w:val="00CF721C"/>
    <w:rsid w:val="00CF7ECD"/>
    <w:rsid w:val="00D03679"/>
    <w:rsid w:val="00D03DA0"/>
    <w:rsid w:val="00D04E0E"/>
    <w:rsid w:val="00D05232"/>
    <w:rsid w:val="00D06AD2"/>
    <w:rsid w:val="00D06BD8"/>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6A44"/>
    <w:rsid w:val="00D40390"/>
    <w:rsid w:val="00D4115A"/>
    <w:rsid w:val="00D415FF"/>
    <w:rsid w:val="00D41C73"/>
    <w:rsid w:val="00D4444E"/>
    <w:rsid w:val="00D45CEF"/>
    <w:rsid w:val="00D46679"/>
    <w:rsid w:val="00D467E2"/>
    <w:rsid w:val="00D46CDA"/>
    <w:rsid w:val="00D5115C"/>
    <w:rsid w:val="00D523C8"/>
    <w:rsid w:val="00D52BAA"/>
    <w:rsid w:val="00D5774F"/>
    <w:rsid w:val="00D61608"/>
    <w:rsid w:val="00D63526"/>
    <w:rsid w:val="00D64CF8"/>
    <w:rsid w:val="00D64F93"/>
    <w:rsid w:val="00D6591C"/>
    <w:rsid w:val="00D65C94"/>
    <w:rsid w:val="00D67F7F"/>
    <w:rsid w:val="00D701F4"/>
    <w:rsid w:val="00D7159E"/>
    <w:rsid w:val="00D7255C"/>
    <w:rsid w:val="00D72CC9"/>
    <w:rsid w:val="00D75535"/>
    <w:rsid w:val="00D77FD9"/>
    <w:rsid w:val="00D805EF"/>
    <w:rsid w:val="00D80762"/>
    <w:rsid w:val="00D84E96"/>
    <w:rsid w:val="00D91E7D"/>
    <w:rsid w:val="00DA1FE5"/>
    <w:rsid w:val="00DA2732"/>
    <w:rsid w:val="00DA482B"/>
    <w:rsid w:val="00DA5144"/>
    <w:rsid w:val="00DB2B90"/>
    <w:rsid w:val="00DB3AAC"/>
    <w:rsid w:val="00DB3F6B"/>
    <w:rsid w:val="00DB464F"/>
    <w:rsid w:val="00DB67D3"/>
    <w:rsid w:val="00DB6B9D"/>
    <w:rsid w:val="00DC0EBD"/>
    <w:rsid w:val="00DC1442"/>
    <w:rsid w:val="00DC165E"/>
    <w:rsid w:val="00DC1F0A"/>
    <w:rsid w:val="00DC4F2C"/>
    <w:rsid w:val="00DC699E"/>
    <w:rsid w:val="00DD2283"/>
    <w:rsid w:val="00DD37F4"/>
    <w:rsid w:val="00DD4187"/>
    <w:rsid w:val="00DD5412"/>
    <w:rsid w:val="00DD564F"/>
    <w:rsid w:val="00DD6210"/>
    <w:rsid w:val="00DD6D95"/>
    <w:rsid w:val="00DE2897"/>
    <w:rsid w:val="00DE32DE"/>
    <w:rsid w:val="00DE5B8E"/>
    <w:rsid w:val="00DE6323"/>
    <w:rsid w:val="00DE6379"/>
    <w:rsid w:val="00DE6F9D"/>
    <w:rsid w:val="00DE7800"/>
    <w:rsid w:val="00DE7957"/>
    <w:rsid w:val="00DF142E"/>
    <w:rsid w:val="00DF1626"/>
    <w:rsid w:val="00DF2F47"/>
    <w:rsid w:val="00DF5A2E"/>
    <w:rsid w:val="00DF6FBB"/>
    <w:rsid w:val="00DF717F"/>
    <w:rsid w:val="00E006B7"/>
    <w:rsid w:val="00E017B5"/>
    <w:rsid w:val="00E02D08"/>
    <w:rsid w:val="00E057F3"/>
    <w:rsid w:val="00E070FA"/>
    <w:rsid w:val="00E10297"/>
    <w:rsid w:val="00E1180B"/>
    <w:rsid w:val="00E11A26"/>
    <w:rsid w:val="00E11B7B"/>
    <w:rsid w:val="00E12439"/>
    <w:rsid w:val="00E13BEE"/>
    <w:rsid w:val="00E16EDF"/>
    <w:rsid w:val="00E20B2E"/>
    <w:rsid w:val="00E22ABD"/>
    <w:rsid w:val="00E23B52"/>
    <w:rsid w:val="00E23D3A"/>
    <w:rsid w:val="00E246A4"/>
    <w:rsid w:val="00E2607E"/>
    <w:rsid w:val="00E265FC"/>
    <w:rsid w:val="00E269CC"/>
    <w:rsid w:val="00E2749A"/>
    <w:rsid w:val="00E30621"/>
    <w:rsid w:val="00E3589C"/>
    <w:rsid w:val="00E3590E"/>
    <w:rsid w:val="00E36C32"/>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579AC"/>
    <w:rsid w:val="00E609B8"/>
    <w:rsid w:val="00E60AD6"/>
    <w:rsid w:val="00E60B09"/>
    <w:rsid w:val="00E61EE7"/>
    <w:rsid w:val="00E63829"/>
    <w:rsid w:val="00E6432B"/>
    <w:rsid w:val="00E64676"/>
    <w:rsid w:val="00E666D4"/>
    <w:rsid w:val="00E67989"/>
    <w:rsid w:val="00E76150"/>
    <w:rsid w:val="00E80096"/>
    <w:rsid w:val="00E80118"/>
    <w:rsid w:val="00E80FBD"/>
    <w:rsid w:val="00E82B47"/>
    <w:rsid w:val="00E84D83"/>
    <w:rsid w:val="00E84FF5"/>
    <w:rsid w:val="00E86BEF"/>
    <w:rsid w:val="00E86E93"/>
    <w:rsid w:val="00E91970"/>
    <w:rsid w:val="00EA157B"/>
    <w:rsid w:val="00EA188E"/>
    <w:rsid w:val="00EA36AC"/>
    <w:rsid w:val="00EA3A9D"/>
    <w:rsid w:val="00EA3D58"/>
    <w:rsid w:val="00EA4B76"/>
    <w:rsid w:val="00EA546B"/>
    <w:rsid w:val="00EA5976"/>
    <w:rsid w:val="00EA602A"/>
    <w:rsid w:val="00EA6FF9"/>
    <w:rsid w:val="00EB36B2"/>
    <w:rsid w:val="00EB409D"/>
    <w:rsid w:val="00EB55EE"/>
    <w:rsid w:val="00EB676F"/>
    <w:rsid w:val="00EB6A5D"/>
    <w:rsid w:val="00EB7E28"/>
    <w:rsid w:val="00EC3F10"/>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324D"/>
    <w:rsid w:val="00EF4583"/>
    <w:rsid w:val="00EF69C7"/>
    <w:rsid w:val="00F00C07"/>
    <w:rsid w:val="00F01F92"/>
    <w:rsid w:val="00F02AF6"/>
    <w:rsid w:val="00F1038D"/>
    <w:rsid w:val="00F11149"/>
    <w:rsid w:val="00F13564"/>
    <w:rsid w:val="00F14A3A"/>
    <w:rsid w:val="00F17D6A"/>
    <w:rsid w:val="00F20064"/>
    <w:rsid w:val="00F21A77"/>
    <w:rsid w:val="00F21FB6"/>
    <w:rsid w:val="00F22E82"/>
    <w:rsid w:val="00F246AB"/>
    <w:rsid w:val="00F250A7"/>
    <w:rsid w:val="00F25942"/>
    <w:rsid w:val="00F2683B"/>
    <w:rsid w:val="00F268FE"/>
    <w:rsid w:val="00F26D7C"/>
    <w:rsid w:val="00F2799A"/>
    <w:rsid w:val="00F30E66"/>
    <w:rsid w:val="00F31203"/>
    <w:rsid w:val="00F33E5F"/>
    <w:rsid w:val="00F33F45"/>
    <w:rsid w:val="00F34544"/>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589A"/>
    <w:rsid w:val="00F77E2D"/>
    <w:rsid w:val="00F801BE"/>
    <w:rsid w:val="00F80402"/>
    <w:rsid w:val="00F8115A"/>
    <w:rsid w:val="00F839FE"/>
    <w:rsid w:val="00F83D92"/>
    <w:rsid w:val="00F84683"/>
    <w:rsid w:val="00F85D51"/>
    <w:rsid w:val="00F85F4D"/>
    <w:rsid w:val="00F87AC5"/>
    <w:rsid w:val="00F9004F"/>
    <w:rsid w:val="00F9024C"/>
    <w:rsid w:val="00F917D3"/>
    <w:rsid w:val="00F91A9D"/>
    <w:rsid w:val="00F938C6"/>
    <w:rsid w:val="00F958E6"/>
    <w:rsid w:val="00F9641A"/>
    <w:rsid w:val="00F9703B"/>
    <w:rsid w:val="00FA03AA"/>
    <w:rsid w:val="00FA5C15"/>
    <w:rsid w:val="00FA6BD8"/>
    <w:rsid w:val="00FB07CB"/>
    <w:rsid w:val="00FB2944"/>
    <w:rsid w:val="00FB2F2F"/>
    <w:rsid w:val="00FB30DD"/>
    <w:rsid w:val="00FB411D"/>
    <w:rsid w:val="00FB4AE0"/>
    <w:rsid w:val="00FB565A"/>
    <w:rsid w:val="00FB63FB"/>
    <w:rsid w:val="00FB673E"/>
    <w:rsid w:val="00FB6F30"/>
    <w:rsid w:val="00FB71FC"/>
    <w:rsid w:val="00FC3B9F"/>
    <w:rsid w:val="00FC6024"/>
    <w:rsid w:val="00FC658C"/>
    <w:rsid w:val="00FC69E1"/>
    <w:rsid w:val="00FC6A37"/>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ELEX%253A52026PC0187%26qid%3D1778052164541&amp;data=05%7C02%7Cj.kramer%40tweedekamer.nl%7C8e9b8308231f4cabb08908deabfa4a9c%7C238cb5073f714afeaaab8382731a4345%7C0%7C0%7C639137288650502342%7CUnknown%7CTWFpbGZsb3d8eyJFbXB0eU1hcGkiOnRydWUsIlYiOiIwLjAuMDAwMCIsIlAiOiJXaW4zMiIsIkFOIjoiTWFpbCIsIldUIjoyfQ%3D%3D%7C0%7C%7C%7C&amp;sdata=dhl%2BtPrY4DASP6mhHxGAgHMo1ud%2Fo6tSfFRkscI7JcY%3D&amp;reserved=0" TargetMode="External" Id="rId18"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PC0185%26qid%3D1777531828633&amp;data=05%7C02%7Cj.kramer%40tweedekamer.nl%7C8e9b8308231f4cabb08908deabfa4a9c%7C238cb5073f714afeaaab8382731a4345%7C0%7C0%7C639137288650149252%7CUnknown%7CTWFpbGZsb3d8eyJFbXB0eU1hcGkiOnRydWUsIlYiOiIwLjAuMDAwMCIsIlAiOiJXaW4zMiIsIkFOIjoiTWFpbCIsIldUIjoyfQ%3D%3D%7C0%7C%7C%7C&amp;sdata=esAEdaKUm8qJn%2F7L2KVDchn4wocAcMRfgah179AusQQ%3D&amp;reserved=0" TargetMode="External" Id="rId17" /><Relationship Type="http://schemas.openxmlformats.org/officeDocument/2006/relationships/hyperlink" Target="https://eur06.safelinks.protection.outlook.com/?url=https%3A%2F%2Feur-lex.europa.eu%2Flegal-content%2FNL%2FTXT%2F%3Furi%3DCELEX%253A52026DC0158%26qid%3D1777531668321&amp;data=05%7C02%7Cj.kramer%40tweedekamer.nl%7C8e9b8308231f4cabb08908deabfa4a9c%7C238cb5073f714afeaaab8382731a4345%7C0%7C0%7C639137288650080191%7CUnknown%7CTWFpbGZsb3d8eyJFbXB0eU1hcGkiOnRydWUsIlYiOiIwLjAuMDAwMCIsIlAiOiJXaW4zMiIsIkFOIjoiTWFpbCIsIldUIjoyfQ%3D%3D%7C0%7C%7C%7C&amp;sdata=mTNEuPIDXqOAPbSn6OJeEz72irSDclR68hfDPBgLkf0%3D&amp;reserved=0" TargetMode="External" Id="rId16" /><Relationship Type="http://schemas.openxmlformats.org/officeDocument/2006/relationships/hyperlink" Target="https://eur-lex.europa.eu/legal-content/NL/TXT/?uri=CELEX%3A52026DC0164&amp;qid=1776669821790"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hyperlink" Target="https://eur06.safelinks.protection.outlook.com/?url=https%3A%2F%2Feur-lex.europa.eu%2Flegal-content%2FNL%2FTXT%2F%3Furi%3DCELEX%253A52026PC0177%26qid%3D1777531979806&amp;data=05%7C02%7Cj.kramer%40tweedekamer.nl%7C8e9b8308231f4cabb08908deabfa4a9c%7C238cb5073f714afeaaab8382731a4345%7C0%7C0%7C639137288649926940%7CUnknown%7CTWFpbGZsb3d8eyJFbXB0eU1hcGkiOnRydWUsIlYiOiIwLjAuMDAwMCIsIlAiOiJXaW4zMiIsIkFOIjoiTWFpbCIsIldUIjoyfQ%3D%3D%7C0%7C%7C%7C&amp;sdata=f8KLYLs5QlzAMx%2BQdXLb5573OEmUNj1SNnBShJ%2Bdcjc%3D&amp;reserved=0"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eur06.safelinks.protection.outlook.com/?url=https%3A%2F%2Feur-lex.europa.eu%2Flegal-content%2FNL%2FTXT%2F%3Furi%3DCELEX%253A52026PC0189%26qid%3D1778052568487&amp;data=05%7C02%7Cj.kramer%40tweedekamer.nl%7C8e9b8308231f4cabb08908deabfa4a9c%7C238cb5073f714afeaaab8382731a4345%7C0%7C0%7C639137288650629530%7CUnknown%7CTWFpbGZsb3d8eyJFbXB0eU1hcGkiOnRydWUsIlYiOiIwLjAuMDAwMCIsIlAiOiJXaW4zMiIsIkFOIjoiTWFpbCIsIldUIjoyfQ%3D%3D%7C0%7C%7C%7C&amp;sdata=6xr5vcC2%2Bh3RqGLJrLgiebOw2A1lAr2zbV5Wy%2BJvTNA%3D&amp;reserved=0"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176%26qid%3D1777531939889&amp;data=05%7C02%7Cj.kramer%40tweedekamer.nl%7C8e9b8308231f4cabb08908deabfa4a9c%7C238cb5073f714afeaaab8382731a4345%7C0%7C0%7C639137288649907016%7CUnknown%7CTWFpbGZsb3d8eyJFbXB0eU1hcGkiOnRydWUsIlYiOiIwLjAuMDAwMCIsIlAiOiJXaW4zMiIsIkFOIjoiTWFpbCIsIldUIjoyfQ%3D%3D%7C0%7C%7C%7C&amp;sdata=ey9AxxZ6YkmLDgZrPbEhf4f31BMMO3m6stBtzZvCx5M%3D&amp;reserved=0"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2412</ap:Words>
  <ap:Characters>13272</ap:Characters>
  <ap:DocSecurity>4</ap:DocSecurity>
  <ap:Lines>110</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2026-05-15T17:02:00.0000000Z</dcterms:created>
  <dcterms:modified xsi:type="dcterms:W3CDTF">2026-05-15T17:02:00.0000000Z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