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2026Z09940</w:t>
        <w:br/>
      </w:r>
      <w:proofErr w:type="spellEnd"/>
    </w:p>
    <w:p>
      <w:pPr>
        <w:pStyle w:val="Normal"/>
        <w:rPr>
          <w:b w:val="1"/>
          <w:bCs w:val="1"/>
        </w:rPr>
      </w:pPr>
      <w:r w:rsidR="250AE766">
        <w:rPr>
          <w:b w:val="0"/>
          <w:bCs w:val="0"/>
        </w:rPr>
        <w:t>(ingezonden 15 mei 2026)</w:t>
        <w:br/>
      </w:r>
    </w:p>
    <w:p>
      <w:r>
        <w:t xml:space="preserve">Vragen van het lid Coenradie (JA21) aan de staatssecretaris van Justitie en Veiligheid over het bericht 'Désirée (38) haar donor eist vaderrol: 'In plaats van leuke dingen doen met Lenny, ben ik continu met rechtszaken bezig''</w:t>
      </w:r>
      <w:r>
        <w:br/>
      </w:r>
    </w:p>
    <w:p>
      <w:pPr>
        <w:pStyle w:val="ListParagraph"/>
        <w:numPr>
          <w:ilvl w:val="0"/>
          <w:numId w:val="100507070"/>
        </w:numPr>
        <w:ind w:left="360"/>
      </w:pPr>
      <w:r>
        <w:t xml:space="preserve">Bent u bekend met het bericht 'Désirée (38) haar donor eist vaderrol: ‘In plaats van leuke dingen doen met Lenny, ben ik continu met rechtszaken bezig’'? 1)</w:t>
      </w:r>
      <w:r>
        <w:br/>
      </w:r>
    </w:p>
    <w:p>
      <w:pPr>
        <w:pStyle w:val="ListParagraph"/>
        <w:numPr>
          <w:ilvl w:val="0"/>
          <w:numId w:val="100507070"/>
        </w:numPr>
        <w:ind w:left="360"/>
      </w:pPr>
      <w:r>
        <w:t xml:space="preserve">Kunt u, zonder in te gaan op deze individuele zaak, uiteenzetten welk wettelijk toetsingskader geldt wanneer een bekende donor, ondanks vooraf mondeling en schriftelijk gemaakte afspraken dat hij géén vaderrol krijgt, later alsnog erkenning, omgang of een vaderrol opeist?</w:t>
      </w:r>
      <w:r>
        <w:br/>
      </w:r>
    </w:p>
    <w:p>
      <w:pPr>
        <w:pStyle w:val="ListParagraph"/>
        <w:numPr>
          <w:ilvl w:val="0"/>
          <w:numId w:val="100507070"/>
        </w:numPr>
        <w:ind w:left="360"/>
      </w:pPr>
      <w:r>
        <w:t xml:space="preserve">Klopt het dat een bekende donor niet automatisch recht heeft op omgang enkel omdat hij biologisch vader is, maar dat hij onder omstandigheden wel een beroep kan doen op een nauwe persoonlijke betrekking of family life? Welke juridische waarde heeft in dat kader een donorovereenkomst waarin expliciet is vastgelegd dat de donor geen juridische, opvoedkundige of verzorgende vaderrol zal krijgen?</w:t>
      </w:r>
      <w:r>
        <w:br/>
      </w:r>
    </w:p>
    <w:p>
      <w:pPr>
        <w:pStyle w:val="ListParagraph"/>
        <w:numPr>
          <w:ilvl w:val="0"/>
          <w:numId w:val="100507070"/>
        </w:numPr>
        <w:ind w:left="360"/>
      </w:pPr>
      <w:r>
        <w:t xml:space="preserve">Klopt het dat een donorovereenkomst niet volledig kan uitsluiten dat een rechter later alsnog omgang of family life aanneemt? Acht u dat voor alleenstaande wensmoeders voldoende duidelijk voordat zij met een bekende donor in zee gaan?</w:t>
      </w:r>
      <w:r>
        <w:br/>
      </w:r>
    </w:p>
    <w:p>
      <w:pPr>
        <w:pStyle w:val="ListParagraph"/>
        <w:numPr>
          <w:ilvl w:val="0"/>
          <w:numId w:val="100507070"/>
        </w:numPr>
        <w:ind w:left="360"/>
      </w:pPr>
      <w:r>
        <w:t xml:space="preserve">Hoe wordt in dit soort zaken het “belang van het kind” concreet vastgesteld? Kunt u aangeven welke factoren rechters en de Raad voor de Kinderbescherming daarbij in de praktijk meewegen?</w:t>
      </w:r>
      <w:r>
        <w:br/>
      </w:r>
    </w:p>
    <w:p>
      <w:pPr>
        <w:pStyle w:val="ListParagraph"/>
        <w:numPr>
          <w:ilvl w:val="0"/>
          <w:numId w:val="100507070"/>
        </w:numPr>
        <w:ind w:left="360"/>
      </w:pPr>
      <w:r>
        <w:t xml:space="preserve">Wordt bij de beoordeling van het belang van het kind ook meegewogen of sprake is van bedreiging, stalking, intimidatie, psychische druk, dwingende controle of andere signalen die kunnen wijzen op onveiligheid?</w:t>
      </w:r>
      <w:r>
        <w:br/>
      </w:r>
    </w:p>
    <w:p>
      <w:pPr>
        <w:pStyle w:val="ListParagraph"/>
        <w:numPr>
          <w:ilvl w:val="0"/>
          <w:numId w:val="100507070"/>
        </w:numPr>
        <w:ind w:left="360"/>
      </w:pPr>
      <w:r>
        <w:t xml:space="preserve">Deelt u de opvatting dat onveiligheid van de verzorgende ouder ook kan doorwerken in de veiligheid en ontwikkeling van het kind, en daarom niet los mag worden gezien van het belang van het kind?</w:t>
      </w:r>
      <w:r>
        <w:br/>
      </w:r>
    </w:p>
    <w:p>
      <w:pPr>
        <w:pStyle w:val="ListParagraph"/>
        <w:numPr>
          <w:ilvl w:val="0"/>
          <w:numId w:val="100507070"/>
        </w:numPr>
        <w:ind w:left="360"/>
      </w:pPr>
      <w:r>
        <w:t xml:space="preserve">Hoe voorkomt het huidige stelsel dat een juridische procedure over omgang of erkenning zelf wordt gebruikt als middel van druk, controle of intimidatie richting de moeder?</w:t>
      </w:r>
      <w:r>
        <w:br/>
      </w:r>
    </w:p>
    <w:p>
      <w:pPr>
        <w:pStyle w:val="ListParagraph"/>
        <w:numPr>
          <w:ilvl w:val="0"/>
          <w:numId w:val="100507070"/>
        </w:numPr>
        <w:ind w:left="360"/>
      </w:pPr>
      <w:r>
        <w:t xml:space="preserve">Hoe verhoudt de aanpak van femicide en psychisch geweld zich tot het familierechtelijke uitgangspunt dat contact met een ouder of biologische vader in beginsel in het belang van het kind kan zijn?</w:t>
      </w:r>
      <w:r>
        <w:br/>
      </w:r>
    </w:p>
    <w:p>
      <w:pPr>
        <w:pStyle w:val="ListParagraph"/>
        <w:numPr>
          <w:ilvl w:val="0"/>
          <w:numId w:val="100507070"/>
        </w:numPr>
        <w:ind w:left="360"/>
      </w:pPr>
      <w:r>
        <w:t xml:space="preserve">Aangezien de Raad voor de Kinderbescherming stelt dat contact met beide ouders alleen uitgangspunt is “als dat veilig kan”; hoe wordt geborgd dat dit uitgangspunt ook consequent wordt toegepast bij bekende donoren die geen oorspronkelijke vaderrol zouden hebben?</w:t>
      </w:r>
      <w:r>
        <w:br/>
      </w:r>
    </w:p>
    <w:p>
      <w:pPr>
        <w:pStyle w:val="ListParagraph"/>
        <w:numPr>
          <w:ilvl w:val="0"/>
          <w:numId w:val="100507070"/>
        </w:numPr>
        <w:ind w:left="360"/>
      </w:pPr>
      <w:r>
        <w:t xml:space="preserve">Beschikt u over cijfers van zaken waarin een donorovereenkomst door de rechter anders wordt gewogen dan de wensmoeder vooraf mocht verwachten? Zo nee, acht u het wenselijk hier meer inzicht in te krijgen?</w:t>
      </w:r>
      <w:r>
        <w:br/>
      </w:r>
    </w:p>
    <w:p>
      <w:pPr>
        <w:pStyle w:val="ListParagraph"/>
        <w:numPr>
          <w:ilvl w:val="0"/>
          <w:numId w:val="100507070"/>
        </w:numPr>
        <w:ind w:left="360"/>
      </w:pPr>
      <w:r>
        <w:t xml:space="preserve">Acht u de huidige informatievoorziening aan alleenstaande wensmoeders en bekende donoren voldoende duidelijk over de juridische risico’s van donorconceptie met een bekende donor, waaronder het verschil tussen een donor, een juridische ouder, een erkenner, een gezaghebbende ouder en iemand met omgangsrecht?</w:t>
      </w:r>
      <w:r>
        <w:br/>
      </w:r>
    </w:p>
    <w:p>
      <w:pPr>
        <w:pStyle w:val="ListParagraph"/>
        <w:numPr>
          <w:ilvl w:val="0"/>
          <w:numId w:val="100507070"/>
        </w:numPr>
        <w:ind w:left="360"/>
      </w:pPr>
      <w:r>
        <w:t xml:space="preserve">Bent u bereid stappen te zetten om de rechtspositie en rechtszekerheid van alleenstaande wensmoeders bij gebruik van een bekende donor beter te borgen? Zo ja, op welke wijze wilt u dat doen, bijvoorbeeld via wetgeving, betere voorlichting, richtlijnen of aanvullende waarborgen in de beoordeling van omgangs- en erkenningsverzoeken?</w:t>
      </w:r>
      <w:r>
        <w:br/>
      </w:r>
    </w:p>
    <w:p>
      <w:r>
        <w:t xml:space="preserve"> </w:t>
      </w:r>
      <w:r>
        <w:br/>
      </w:r>
    </w:p>
    <w:p>
      <w:r>
        <w:t xml:space="preserve">1) De Telegraaf, 10 mei 2026, Désirée (38) haar donor eist vaderrol: ’In plaats van leuke dingen doen met Lenny, ben ik continu met rechtszaken bezig’ (https://www.telegraaf.nl/vrouw/achter-het-nieuws/desiree-38-haar-donor-eist-vaderrol-in-plaats-van-leuke-dingen-doen-met-lenny-ben-ik-continu-met-rechtszaken-bezig/150281054.html).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