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C21" w:rsidP="000A1C21" w:rsidRDefault="000A1C21" w14:paraId="35400EA9" w14:textId="77777777">
      <w:pPr>
        <w:rPr>
          <w:b/>
        </w:rPr>
      </w:pPr>
      <w:r>
        <w:rPr>
          <w:b/>
        </w:rPr>
        <w:t>AH 1921</w:t>
      </w:r>
    </w:p>
    <w:p w:rsidR="000A1C21" w:rsidP="000A1C21" w:rsidRDefault="000A1C21" w14:paraId="73BD5F0E" w14:textId="77777777">
      <w:pPr>
        <w:rPr>
          <w:b/>
        </w:rPr>
      </w:pPr>
      <w:r>
        <w:rPr>
          <w:b/>
        </w:rPr>
        <w:t>2026Z07618</w:t>
      </w:r>
    </w:p>
    <w:p w:rsidR="000A1C21" w:rsidP="000A1C21" w:rsidRDefault="000A1C21" w14:paraId="07852E77" w14:textId="77777777">
      <w:pPr>
        <w:rPr>
          <w:b/>
          <w:sz w:val="24"/>
          <w:szCs w:val="24"/>
        </w:rPr>
      </w:pPr>
      <w:r w:rsidRPr="000A1C21">
        <w:rPr>
          <w:b/>
          <w:sz w:val="24"/>
          <w:szCs w:val="24"/>
        </w:rPr>
        <w:t xml:space="preserve">Antwoord van minister Herbert (Economische Zaken en Klimaat) (ontvangen </w:t>
      </w:r>
      <w:r>
        <w:rPr>
          <w:b/>
          <w:sz w:val="24"/>
          <w:szCs w:val="24"/>
        </w:rPr>
        <w:t xml:space="preserve"> 15 mei 2026)</w:t>
      </w:r>
    </w:p>
    <w:p w:rsidRPr="00EF035F" w:rsidR="000A1C21" w:rsidP="000A1C21" w:rsidRDefault="000A1C21" w14:paraId="4CD16EB4" w14:textId="6035B59D">
      <w:pPr>
        <w:rPr>
          <w:b/>
          <w:bCs/>
        </w:rPr>
      </w:pPr>
      <w:r>
        <w:rPr>
          <w:b/>
        </w:rPr>
        <w:br/>
      </w:r>
      <w:r w:rsidRPr="006B7A36">
        <w:rPr>
          <w:rStyle w:val="Zwaar"/>
          <w:b w:val="0"/>
          <w:bCs w:val="0"/>
        </w:rPr>
        <w:t>1</w:t>
      </w:r>
      <w:r>
        <w:rPr>
          <w:rStyle w:val="Zwaar"/>
          <w:bCs w:val="0"/>
        </w:rPr>
        <w:br/>
      </w:r>
      <w:r>
        <w:t>Bent u bekend met het artikel ‘Besteding van innovatiegeld moet doelmatiger’ en de onderliggende analyse van Innovatiespotter in het artikel 'Whitepaper Regionale groeimatrix'?</w:t>
      </w:r>
      <w:r>
        <w:tab/>
      </w:r>
    </w:p>
    <w:p w:rsidR="000A1C21" w:rsidP="000A1C21" w:rsidRDefault="000A1C21" w14:paraId="1990D7FE" w14:textId="77777777">
      <w:pPr>
        <w:rPr>
          <w:rStyle w:val="Zwaar"/>
          <w:b w:val="0"/>
          <w:bCs w:val="0"/>
        </w:rPr>
      </w:pPr>
    </w:p>
    <w:p w:rsidRPr="006B7A36" w:rsidR="000A1C21" w:rsidP="000A1C21" w:rsidRDefault="000A1C21" w14:paraId="64BAF4A0" w14:textId="77777777">
      <w:pPr>
        <w:rPr>
          <w:b/>
          <w:bCs/>
        </w:rPr>
      </w:pPr>
      <w:r w:rsidRPr="006B7A36">
        <w:rPr>
          <w:rStyle w:val="Zwaar"/>
          <w:b w:val="0"/>
          <w:bCs w:val="0"/>
        </w:rPr>
        <w:t>Antwoord</w:t>
      </w:r>
    </w:p>
    <w:p w:rsidR="000A1C21" w:rsidP="000A1C21" w:rsidRDefault="000A1C21" w14:paraId="734797A8" w14:textId="77777777">
      <w:r>
        <w:t>Ja.</w:t>
      </w:r>
    </w:p>
    <w:p w:rsidR="000A1C21" w:rsidP="000A1C21" w:rsidRDefault="000A1C21" w14:paraId="1C91F9B3" w14:textId="77777777"/>
    <w:p w:rsidR="000A1C21" w:rsidP="000A1C21" w:rsidRDefault="000A1C21" w14:paraId="272510A2" w14:textId="77777777">
      <w:r>
        <w:t>2</w:t>
      </w:r>
    </w:p>
    <w:p w:rsidR="000A1C21" w:rsidP="000A1C21" w:rsidRDefault="000A1C21" w14:paraId="53FBF110" w14:textId="77777777">
      <w:r>
        <w:t>Herkent u het beeld dat met name kleine innovatieve ondernemers relatief weinig gebruik maken van het beschikbare ondersteuningsinstrumentarium? Zo ja, wat zijn volgens u de belangrijkste oorzaken hiervan op basis van de signalen die bij het ministerie zelf binnenkomen?</w:t>
      </w:r>
    </w:p>
    <w:p w:rsidR="000A1C21" w:rsidP="000A1C21" w:rsidRDefault="000A1C21" w14:paraId="035BE754" w14:textId="77777777"/>
    <w:p w:rsidR="000A1C21" w:rsidP="000A1C21" w:rsidRDefault="000A1C21" w14:paraId="77C6464C" w14:textId="77777777">
      <w:r>
        <w:t>3</w:t>
      </w:r>
    </w:p>
    <w:p w:rsidR="000A1C21" w:rsidP="000A1C21" w:rsidRDefault="000A1C21" w14:paraId="0C83C813" w14:textId="77777777">
      <w:r>
        <w:t>Deelt u de conclusie dat dit problematisch is en om verbetering vraagt?</w:t>
      </w:r>
    </w:p>
    <w:p w:rsidR="000A1C21" w:rsidP="000A1C21" w:rsidRDefault="000A1C21" w14:paraId="369F3B1F" w14:textId="77777777"/>
    <w:p w:rsidR="000A1C21" w:rsidP="000A1C21" w:rsidRDefault="000A1C21" w14:paraId="15ABF346" w14:textId="77777777">
      <w:r>
        <w:t>Antwoord vragen 2 en 3</w:t>
      </w:r>
    </w:p>
    <w:p w:rsidR="000A1C21" w:rsidP="000A1C21" w:rsidRDefault="000A1C21" w14:paraId="00A08433" w14:textId="77777777">
      <w:r>
        <w:t>Nee, voor zover het mijn eigen instrumentarium betreft herken ik dat beeld niet. Uit de periodieke rapportage die ik recent naar uw Kamer heb gestuurd,</w:t>
      </w:r>
      <w:r>
        <w:rPr>
          <w:rStyle w:val="Voetnootmarkering"/>
        </w:rPr>
        <w:footnoteReference w:id="1"/>
      </w:r>
      <w:r>
        <w:t xml:space="preserve"> blijkt dat het grootste deel van het EZK innovatie- en ondernemerschapsinstrumentarium doeltreffend is, waarbij </w:t>
      </w:r>
      <w:proofErr w:type="spellStart"/>
      <w:r>
        <w:t>doelgroepbereik</w:t>
      </w:r>
      <w:proofErr w:type="spellEnd"/>
      <w:r>
        <w:t xml:space="preserve"> is meegewogen. Voor zover het financiële ondersteuning betreft (subsidies en dergelijke) is de uitputting van de daarvoor beschikbare middelen op mijn begroting voor </w:t>
      </w:r>
      <w:r w:rsidRPr="00700E97">
        <w:t xml:space="preserve">de meeste </w:t>
      </w:r>
      <w:r>
        <w:t xml:space="preserve">regelingen goed, in het bijzonder voor regelingen die (in belangrijke mate) gericht zijn op het innovatieve mkb. Hiermee kunnen dus niet meer, maar hooguit andere ondernemers bereikt worden. </w:t>
      </w:r>
    </w:p>
    <w:p w:rsidR="000A1C21" w:rsidP="000A1C21" w:rsidRDefault="000A1C21" w14:paraId="28FC3BBF" w14:textId="77777777"/>
    <w:p w:rsidR="000A1C21" w:rsidP="000A1C21" w:rsidRDefault="000A1C21" w14:paraId="6F8CD019" w14:textId="77777777">
      <w:r>
        <w:lastRenderedPageBreak/>
        <w:t xml:space="preserve">Ik heb geen beeld van het </w:t>
      </w:r>
      <w:proofErr w:type="spellStart"/>
      <w:r>
        <w:t>doelgroepbereik</w:t>
      </w:r>
      <w:proofErr w:type="spellEnd"/>
      <w:r>
        <w:t xml:space="preserve"> van het regionale ondersteuningsinstrumentarium, wat de meerderheid is van alle ondersteuning. Daar zit ook veel instrumentarium bij dat geen financiële ondersteuning aan bedrijven biedt. Daarbij merk ik op dat onduidelijk is in hoeverre de groep innovatieve bedrijven die Innovatiespotter heeft geïdentificeerd ook doelgroep is van het beschikbare ondersteuningsinstrumentarium. Het doel van het instrumentarium is niet om zoveel mogelijk bedrijven te bereiken, maar om die bedrijven te bereiken die een knelpunt hebben waar een maatschappelijk belang is om dat op te lossen. Niet iedere innovatieve ondernemer heeft ook behoefte aan ondersteuning vanuit de overheid.</w:t>
      </w:r>
    </w:p>
    <w:p w:rsidR="000A1C21" w:rsidP="000A1C21" w:rsidRDefault="000A1C21" w14:paraId="08183FE4" w14:textId="77777777"/>
    <w:p w:rsidR="000A1C21" w:rsidP="000A1C21" w:rsidRDefault="000A1C21" w14:paraId="2557BFCF" w14:textId="77777777">
      <w:r>
        <w:t xml:space="preserve">Het voorgaande wil niet zeggen dat ik het </w:t>
      </w:r>
      <w:proofErr w:type="spellStart"/>
      <w:r>
        <w:t>doelgroepbereik</w:t>
      </w:r>
      <w:proofErr w:type="spellEnd"/>
      <w:r>
        <w:t xml:space="preserve"> niet verder tracht te verbeteren. Ik verwijs daarbij naar het antwoord op vraag 4 en 5 hierna.</w:t>
      </w:r>
    </w:p>
    <w:p w:rsidR="000A1C21" w:rsidP="000A1C21" w:rsidRDefault="000A1C21" w14:paraId="32662198" w14:textId="77777777">
      <w:r>
        <w:br/>
        <w:t>4</w:t>
      </w:r>
    </w:p>
    <w:p w:rsidR="000A1C21" w:rsidP="000A1C21" w:rsidRDefault="000A1C21" w14:paraId="1323A34E" w14:textId="77777777">
      <w:r>
        <w:t>Bent u voornemens om de toegankelijkheid en de vindbaarheid van het ondersteuningsinstrumentarium te verbeteren en zo ja, wat is hierop uw inzet? </w:t>
      </w:r>
    </w:p>
    <w:p w:rsidR="000A1C21" w:rsidP="000A1C21" w:rsidRDefault="000A1C21" w14:paraId="593CAE11" w14:textId="77777777"/>
    <w:p w:rsidR="000A1C21" w:rsidP="000A1C21" w:rsidRDefault="000A1C21" w14:paraId="07EEAE00" w14:textId="77777777">
      <w:r>
        <w:t>5</w:t>
      </w:r>
    </w:p>
    <w:p w:rsidR="000A1C21" w:rsidP="000A1C21" w:rsidRDefault="000A1C21" w14:paraId="6A95F816" w14:textId="77777777">
      <w:r>
        <w:t>Bent u daarbij bereid te onderzoeken of relevante regelingen en subsidies van het Rijk, regionale overheden en de Europese Unie (EU) beter centraal kunnen worden ontsloten, bijvoorbeeld via één overzichtelijk platform, om versnippering tegen te gaan?</w:t>
      </w:r>
    </w:p>
    <w:p w:rsidR="000A1C21" w:rsidP="000A1C21" w:rsidRDefault="000A1C21" w14:paraId="165B45C7" w14:textId="77777777"/>
    <w:p w:rsidR="000A1C21" w:rsidP="000A1C21" w:rsidRDefault="000A1C21" w14:paraId="46909858" w14:textId="77777777">
      <w:r>
        <w:t>Antwoord vragen 4 en 5</w:t>
      </w:r>
    </w:p>
    <w:p w:rsidR="000A1C21" w:rsidP="000A1C21" w:rsidRDefault="000A1C21" w14:paraId="34313286" w14:textId="77777777">
      <w:r>
        <w:t>Ja, ik vind het van groot belang dat een zo groot mogelijk deel van de doelgroep van ondersteuningsinstrumentarium bereikt wordt. Daarbij zijn er verschillende acties vanuit publieke dienstverleners, zowel individueel als gezamenlijk, al dan niet ook samen met private dienstverleners.</w:t>
      </w:r>
    </w:p>
    <w:p w:rsidR="000A1C21" w:rsidP="000A1C21" w:rsidRDefault="000A1C21" w14:paraId="5E6C0E41" w14:textId="77777777"/>
    <w:p w:rsidR="000A1C21" w:rsidP="000A1C21" w:rsidRDefault="000A1C21" w14:paraId="726BA9B4" w14:textId="77777777">
      <w:r>
        <w:t xml:space="preserve">Om publieke dienstverleners beter met elkaar en private ondersteuners samen te laten werken ten behoeve van de ondersteuning van ondernemers bestaat de Actieagenda mkb-dienstverlening. Dit programma richt zich op een vernieuwde samenwerking tussen bestuurslagen en private partijen binnen het stelsel van ondernemersdienstverlening voor het brede mkb. Binnen de Actieagenda wordt geëxperimenteerd met regionale, laagdrempelige ondersteuning dicht bij de ondernemer, via vertrouwde adviseurs en met meer praktische oplossingen, kennisdeling en inspiratie van andere ondernemers. </w:t>
      </w:r>
    </w:p>
    <w:p w:rsidR="000A1C21" w:rsidP="000A1C21" w:rsidRDefault="000A1C21" w14:paraId="275A5348" w14:textId="77777777"/>
    <w:p w:rsidR="000A1C21" w:rsidP="000A1C21" w:rsidRDefault="000A1C21" w14:paraId="4F39B26B" w14:textId="77777777">
      <w:r>
        <w:t>Daarnaast wordt ook gewerkt aan het beter regionaal te ontsluiten van informatie en advies waaronder over subsidieregelingen voor het brede mkb. Binnen het project Programma Generieke Digitale Infrastructuur – bouwsteen AI</w:t>
      </w:r>
      <w:r>
        <w:rPr>
          <w:rStyle w:val="Voetnootmarkering"/>
        </w:rPr>
        <w:footnoteReference w:id="2"/>
      </w:r>
      <w:r>
        <w:t xml:space="preserve"> wordt een AI-infrastructuur met een </w:t>
      </w:r>
      <w:proofErr w:type="spellStart"/>
      <w:r>
        <w:t>datalaag</w:t>
      </w:r>
      <w:proofErr w:type="spellEnd"/>
      <w:r>
        <w:t>, interface en ai-</w:t>
      </w:r>
      <w:proofErr w:type="spellStart"/>
      <w:r>
        <w:t>kennislaag</w:t>
      </w:r>
      <w:proofErr w:type="spellEnd"/>
      <w:r>
        <w:t xml:space="preserve"> opgezet waarmee ondernemers eenvoudig inzicht krijgen in voor hen relevante landelijke, provinciale en regionale informatie, advies en (al dan niet financiële) regelingen. Een eerste prototype wordt dit jaar verwacht. Daarbij wordt ingezet op een interface die regionaal kan worden ingezet, want uit onderzoek van KVK blijkt dat bijvoorbeeld voor digitalisering mkb-</w:t>
      </w:r>
      <w:proofErr w:type="spellStart"/>
      <w:r>
        <w:t>ers</w:t>
      </w:r>
      <w:proofErr w:type="spellEnd"/>
      <w:r>
        <w:t xml:space="preserve"> niet zoeken op overheidswebsites, maar eerder informatie halen bij collega ondernemers of brancheverenigingen. Er wordt dus ingezet om de informatie dáár juist ook te ontsluiten in plaats van in te zetten op één overheidswebsite. Een aanvullend onderzoek acht ik daarom niet noodzakelijk.</w:t>
      </w:r>
    </w:p>
    <w:p w:rsidRPr="00586D53" w:rsidR="000A1C21" w:rsidP="000A1C21" w:rsidRDefault="000A1C21" w14:paraId="737E94BA" w14:textId="77777777"/>
    <w:p w:rsidR="000A1C21" w:rsidP="000A1C21" w:rsidRDefault="000A1C21" w14:paraId="5A1C85F3" w14:textId="77777777">
      <w:r>
        <w:t>Dienstverleners werken ook nauw samen binnen het Ondernemersplein om versnippering van dienstverlening tegen te gaan. Op het Ondernemersplein kunnen ondernemers alle informatie en advies van de overheid voor ondernemers vinden. Hier is centraal de informatie beschikbaar van de KvK, Belastingdienst, RVO, CBS en andere overheidsorganisaties. </w:t>
      </w:r>
    </w:p>
    <w:p w:rsidR="000A1C21" w:rsidP="000A1C21" w:rsidRDefault="000A1C21" w14:paraId="134BA827" w14:textId="77777777"/>
    <w:p w:rsidRPr="00E6683F" w:rsidR="000A1C21" w:rsidP="000A1C21" w:rsidRDefault="000A1C21" w14:paraId="587E90B8" w14:textId="77777777">
      <w:pPr>
        <w:rPr>
          <w:rFonts w:eastAsia="Verdana"/>
        </w:rPr>
      </w:pPr>
      <w:r>
        <w:t>Naast deze gezamenlijke initiatieven van dienstverleners om het stelsel van ondernemersdienstverlening te verbeteren, werken individuele dienstverleners ook aan het verbeteren van de toegankelijkheid en de vindbaarheid van het ondersteuningsinstrumentarium</w:t>
      </w:r>
      <w:r w:rsidRPr="000C7F97">
        <w:t xml:space="preserve">. Zo </w:t>
      </w:r>
      <w:r w:rsidRPr="000C7F97">
        <w:rPr>
          <w:color w:val="242424"/>
        </w:rPr>
        <w:t xml:space="preserve">maakt RVO zijn aanbod </w:t>
      </w:r>
      <w:r w:rsidRPr="14A05AB3">
        <w:rPr>
          <w:color w:val="242424"/>
        </w:rPr>
        <w:t xml:space="preserve">beschikbaar </w:t>
      </w:r>
      <w:r w:rsidRPr="000C7F97">
        <w:rPr>
          <w:color w:val="242424"/>
        </w:rPr>
        <w:t>via de Open Data-website en werkt intern aan</w:t>
      </w:r>
      <w:r w:rsidRPr="14A05AB3">
        <w:rPr>
          <w:color w:val="242424"/>
        </w:rPr>
        <w:t xml:space="preserve"> optimalisatie</w:t>
      </w:r>
      <w:r w:rsidRPr="000C7F97">
        <w:rPr>
          <w:color w:val="242424"/>
        </w:rPr>
        <w:t xml:space="preserve">, zodat regionale en landelijke partijen het makkelijker kunnen integreren </w:t>
      </w:r>
      <w:r w:rsidRPr="14A05AB3">
        <w:rPr>
          <w:color w:val="242424"/>
        </w:rPr>
        <w:t xml:space="preserve">in </w:t>
      </w:r>
      <w:r w:rsidRPr="000C7F97">
        <w:rPr>
          <w:color w:val="242424"/>
        </w:rPr>
        <w:t xml:space="preserve">hun platforms. Dit traject helpt om </w:t>
      </w:r>
      <w:proofErr w:type="spellStart"/>
      <w:r w:rsidRPr="000C7F97">
        <w:rPr>
          <w:color w:val="242424"/>
        </w:rPr>
        <w:t>dubbelingen</w:t>
      </w:r>
      <w:proofErr w:type="spellEnd"/>
      <w:r w:rsidRPr="000C7F97">
        <w:rPr>
          <w:color w:val="242424"/>
        </w:rPr>
        <w:t xml:space="preserve"> en tegenstrijdigheden te signaleren, waarna RVO actie onderneemt om de toegankelijkheid en vindbaarheid te verbeteren, in samenwerking met andere dienstverleners.</w:t>
      </w:r>
      <w:r w:rsidRPr="14A05AB3">
        <w:rPr>
          <w:color w:val="242424"/>
        </w:rPr>
        <w:t xml:space="preserve"> </w:t>
      </w:r>
      <w:r>
        <w:t xml:space="preserve">Tevens stelt de KvK voor mkb ondernemers de financieringsgids beschikbaar om ondernemers beter te helpen in het vinden van passende financiering en werken de </w:t>
      </w:r>
      <w:proofErr w:type="spellStart"/>
      <w:r>
        <w:t>ROM’s</w:t>
      </w:r>
      <w:proofErr w:type="spellEnd"/>
      <w:r>
        <w:t xml:space="preserve"> binnen de strategie Bovenregionale Samenwerking aan betere aansluiting over de regio-grenzen heen. </w:t>
      </w:r>
    </w:p>
    <w:p w:rsidR="000A1C21" w:rsidP="000A1C21" w:rsidRDefault="000A1C21" w14:paraId="0A82D7A9" w14:textId="77777777"/>
    <w:p w:rsidR="000A1C21" w:rsidP="000A1C21" w:rsidRDefault="000A1C21" w14:paraId="589828B0" w14:textId="77777777">
      <w:r>
        <w:t>6</w:t>
      </w:r>
    </w:p>
    <w:p w:rsidR="000A1C21" w:rsidP="000A1C21" w:rsidRDefault="000A1C21" w14:paraId="605DCDEA" w14:textId="77777777">
      <w:r>
        <w:t>Op welke wijze wordt bij het ontwikkelen van regelingen en subsidies, en bij de communicatie daarover, rekening gehouden met de specifieke noden en behoeften van kleinere ondernemingen en wordt er ook gekeken of een maatregel inderdaad echt aanvullend is aan wat er al is?</w:t>
      </w:r>
    </w:p>
    <w:p w:rsidR="000A1C21" w:rsidP="000A1C21" w:rsidRDefault="000A1C21" w14:paraId="09B16C05" w14:textId="77777777"/>
    <w:p w:rsidR="000A1C21" w:rsidP="000A1C21" w:rsidRDefault="000A1C21" w14:paraId="76899F68" w14:textId="77777777">
      <w:r>
        <w:t>Antwoord</w:t>
      </w:r>
    </w:p>
    <w:p w:rsidRPr="00B942B9" w:rsidR="000A1C21" w:rsidP="000A1C21" w:rsidRDefault="000A1C21" w14:paraId="18B53D56" w14:textId="77777777">
      <w:r>
        <w:t>Zoals in het antwoord op vragen 2 en 3 aangegeven is het doel van ondersteunende maatregelen om in te spelen op knelpunten van ondernemers waarbij er een maatschappelijke meerwaarde is om daar als overheid wat aan te doen. Daarbij streef ik naar de juiste balans tussen zo min mogelijk instrumentarium om het aantal regelingen en subsidies overzichtelijk te houden en gelijktijdig zo goed mogelijk in te spelen op de verschillende knelpunten van verschillende ondernemers. Als kleinere ondernemingen specifieke knelpunten hebben, dan wordt daar op ingespeeld, maar te veel maatwerk voor specifieke doelgroepen met vergelijkbare problematiek leidt tot versnippering, minder overzicht en hogere uitvoeringslasten. Qua communicatie wordt altijd een communicatiestrategie bepaald waarmee de doelgroep zo goed mogelijk bereikt wordt.</w:t>
      </w:r>
    </w:p>
    <w:p w:rsidR="000A1C21" w:rsidP="000A1C21" w:rsidRDefault="000A1C21" w14:paraId="7BFEDD16" w14:textId="77777777"/>
    <w:p w:rsidR="000A1C21" w:rsidP="000A1C21" w:rsidRDefault="000A1C21" w14:paraId="7B7494D1" w14:textId="77777777">
      <w:r>
        <w:t>7</w:t>
      </w:r>
    </w:p>
    <w:p w:rsidR="000A1C21" w:rsidP="000A1C21" w:rsidRDefault="000A1C21" w14:paraId="427E11A2" w14:textId="77777777">
      <w:r>
        <w:t>In hoeverre worden complexiteit en regeldruk voor aanvragers meegenomen in het ontwerp en de evaluatie van dergelijke regelingen?</w:t>
      </w:r>
    </w:p>
    <w:p w:rsidR="000A1C21" w:rsidP="000A1C21" w:rsidRDefault="000A1C21" w14:paraId="7977497E" w14:textId="77777777"/>
    <w:p w:rsidR="000A1C21" w:rsidP="000A1C21" w:rsidRDefault="000A1C21" w14:paraId="704B5836" w14:textId="77777777">
      <w:r>
        <w:t>Antwoord</w:t>
      </w:r>
    </w:p>
    <w:p w:rsidR="000A1C21" w:rsidP="000A1C21" w:rsidRDefault="000A1C21" w14:paraId="1584101F" w14:textId="77777777">
      <w:r>
        <w:t>Bij het ontwerpen van regelingen wordt scherp gekeken hoe deze zo eenvoudig mogelijk vormgegeven kunnen worden, zowel qua administratieve lasten voor ondernemers als qua uitvoeringslast voor de betreffende uitvoeringsorganisatie. Gelijktijdig moeten regelingen doeltreffend en doelmatig zijn, wat met zich meebrengt dat ik aan uw Kamer kan verantwoorden dat daarmee gemoeide middelen een goede en efficiënte besteding van belastinggeld zijn. Dat brengt enige verantwoordingslast voor ondernemers met zich mee, passend bij de omvang van subsidie die een ondernemer ontvangt. Hier zijn regels voor vastgelegd in het Uniform Subsidiekader.</w:t>
      </w:r>
      <w:r>
        <w:rPr>
          <w:rStyle w:val="Voetnootmarkering"/>
        </w:rPr>
        <w:footnoteReference w:id="3"/>
      </w:r>
      <w:r>
        <w:t xml:space="preserve"> </w:t>
      </w:r>
    </w:p>
    <w:p w:rsidR="000A1C21" w:rsidP="000A1C21" w:rsidRDefault="000A1C21" w14:paraId="066B3C86" w14:textId="77777777"/>
    <w:p w:rsidR="000A1C21" w:rsidP="000A1C21" w:rsidRDefault="000A1C21" w14:paraId="5AFD8A30" w14:textId="77777777">
      <w:r>
        <w:t>Onderdeel van evaluaties is onderzoek naar de doelmatigheid. Onderdeel daarvan is onderzoek naar in hoeverre de administratieve lasten en uitvoeringskosten van een regeling in verhouding staan tot de daarmee gemoeide beleidsmiddelen. Een negatief oordeel daarover is altijd aanleiding om de vormgeving van de regeling daarop aan te passen.</w:t>
      </w:r>
    </w:p>
    <w:p w:rsidR="000A1C21" w:rsidP="000A1C21" w:rsidRDefault="000A1C21" w14:paraId="4BAB4567" w14:textId="77777777"/>
    <w:p w:rsidR="000A1C21" w:rsidP="000A1C21" w:rsidRDefault="000A1C21" w14:paraId="049264D3" w14:textId="77777777">
      <w:r>
        <w:lastRenderedPageBreak/>
        <w:t>8</w:t>
      </w:r>
    </w:p>
    <w:p w:rsidR="000A1C21" w:rsidP="000A1C21" w:rsidRDefault="000A1C21" w14:paraId="7F32B569" w14:textId="77777777">
      <w:r>
        <w:t>Hoe beoordeelt u het feit dat veel bedrijven zich genoodzaakt zien subsidieadviesbureaus in te huren bij het aanvragen van innovatiegelden?</w:t>
      </w:r>
    </w:p>
    <w:p w:rsidR="000A1C21" w:rsidP="000A1C21" w:rsidRDefault="000A1C21" w14:paraId="57667747" w14:textId="77777777"/>
    <w:p w:rsidR="000A1C21" w:rsidP="000A1C21" w:rsidRDefault="000A1C21" w14:paraId="10FABBA2" w14:textId="77777777">
      <w:r>
        <w:t>9</w:t>
      </w:r>
    </w:p>
    <w:p w:rsidR="000A1C21" w:rsidP="000A1C21" w:rsidRDefault="000A1C21" w14:paraId="7DFCEB59" w14:textId="77777777">
      <w:r>
        <w:t>Heeft u inzicht in de vraag welk aandeel van de subsidieaanvragen (bijvoorbeeld binnen de innovatie-instrumenten) tot stand komt met ondersteuning van subsidieadviesbureaus?</w:t>
      </w:r>
    </w:p>
    <w:p w:rsidR="000A1C21" w:rsidP="000A1C21" w:rsidRDefault="000A1C21" w14:paraId="6ADDA9B2" w14:textId="77777777"/>
    <w:p w:rsidR="000A1C21" w:rsidP="000A1C21" w:rsidRDefault="000A1C21" w14:paraId="54C3EEF3" w14:textId="77777777">
      <w:r>
        <w:t>Antwoord vragen 8 en 9</w:t>
      </w:r>
    </w:p>
    <w:p w:rsidR="000A1C21" w:rsidP="000A1C21" w:rsidRDefault="000A1C21" w14:paraId="7BB2BFA8" w14:textId="77777777">
      <w:r>
        <w:t xml:space="preserve">Dat veel bedrijven gebruik maken van een subsidieadviesbureau is wat mij betreft niet per definitie negatief. De redenen waarom ondernemers een beroep doen op subsidieadviesbureaus of intermediairs is divers en bedrijven maken daarin hun eigen afweging. In de laatste evaluatie van de WBSO is onderzoek gedaan naar de beweegredenen </w:t>
      </w:r>
      <w:r w:rsidDel="00FC1CB1">
        <w:t xml:space="preserve">om </w:t>
      </w:r>
      <w:r>
        <w:t xml:space="preserve">gebruik </w:t>
      </w:r>
      <w:r w:rsidDel="00FC1CB1">
        <w:t xml:space="preserve">te maken van een intermediair. </w:t>
      </w:r>
      <w:r>
        <w:t xml:space="preserve">Daaruit blijkt dat andere redenen dan onbekendheid met de regelingen dominant zijn om gebruik te maken van een intermediair. Intermediairs hebben een belangrijke rol in het vergroten van het </w:t>
      </w:r>
      <w:proofErr w:type="spellStart"/>
      <w:r>
        <w:t>doelgroepbereik</w:t>
      </w:r>
      <w:proofErr w:type="spellEnd"/>
      <w:r>
        <w:t xml:space="preserve"> en kunnen ondernemers veel werk uit handen nemen. Dat neemt niet weg dat er bedrijven zijn die gebruik maken van subsidieadviesbureaus, omdat ze geen goed beeld hebben van de subsidiemogelijkheden. Om ondernemers daarbij te helpen lopen er dus verschillende acties zoals benoemd in het antwoord op vraag 4 en 5. </w:t>
      </w:r>
    </w:p>
    <w:p w:rsidR="000A1C21" w:rsidP="000A1C21" w:rsidRDefault="000A1C21" w14:paraId="136F9901" w14:textId="77777777"/>
    <w:p w:rsidR="000A1C21" w:rsidP="000A1C21" w:rsidRDefault="000A1C21" w14:paraId="3B4D7057" w14:textId="77777777">
      <w:r>
        <w:t>Uit de WBSO-evaluatie bleek dat 80 procent van de WBSO-aanvragers gebruik te maken van een intermediair, maar bij andere regelingen voor het innovatieve mkb zoals het Innovatiekrediet en de regeling Mkb-innovatiestimulering Topsectoren (MIT) wordt 15 à 30 procent van de aanvragen ingediend met behulp van een intermediair. Bij de overige aanvragen kunnen intermediairs soms ook een rol spelen, maar daar is geen zicht op omdat de ondernemer de aanvraag vervolgens wel zelfstandig indient.</w:t>
      </w:r>
    </w:p>
    <w:p w:rsidR="000A1C21" w:rsidP="000A1C21" w:rsidRDefault="000A1C21" w14:paraId="24DB7D31" w14:textId="77777777"/>
    <w:p w:rsidR="000A1C21" w:rsidP="000A1C21" w:rsidRDefault="000A1C21" w14:paraId="135E9480" w14:textId="77777777"/>
    <w:p w:rsidR="000A1C21" w:rsidP="000A1C21" w:rsidRDefault="000A1C21" w14:paraId="2E73A1DB" w14:textId="77777777"/>
    <w:p w:rsidR="004C0F76" w:rsidRDefault="004C0F76" w14:paraId="2515209B" w14:textId="77777777"/>
    <w:sectPr w:rsidR="004C0F76" w:rsidSect="000A1C2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17B3" w14:textId="77777777" w:rsidR="00302E90" w:rsidRDefault="00302E90" w:rsidP="000A1C21">
      <w:pPr>
        <w:spacing w:after="0" w:line="240" w:lineRule="auto"/>
      </w:pPr>
      <w:r>
        <w:separator/>
      </w:r>
    </w:p>
  </w:endnote>
  <w:endnote w:type="continuationSeparator" w:id="0">
    <w:p w14:paraId="0DD4DA66" w14:textId="77777777" w:rsidR="00302E90" w:rsidRDefault="00302E90" w:rsidP="000A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8A9E" w14:textId="77777777" w:rsidR="000A1C21" w:rsidRPr="000A1C21" w:rsidRDefault="000A1C21" w:rsidP="000A1C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293F" w14:textId="77777777" w:rsidR="000A1C21" w:rsidRPr="000A1C21" w:rsidRDefault="000A1C21" w:rsidP="000A1C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A1EC" w14:textId="77777777" w:rsidR="000A1C21" w:rsidRPr="000A1C21" w:rsidRDefault="000A1C21" w:rsidP="000A1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9F11" w14:textId="77777777" w:rsidR="00302E90" w:rsidRDefault="00302E90" w:rsidP="000A1C21">
      <w:pPr>
        <w:spacing w:after="0" w:line="240" w:lineRule="auto"/>
      </w:pPr>
      <w:r>
        <w:separator/>
      </w:r>
    </w:p>
  </w:footnote>
  <w:footnote w:type="continuationSeparator" w:id="0">
    <w:p w14:paraId="5AE81C56" w14:textId="77777777" w:rsidR="00302E90" w:rsidRDefault="00302E90" w:rsidP="000A1C21">
      <w:pPr>
        <w:spacing w:after="0" w:line="240" w:lineRule="auto"/>
      </w:pPr>
      <w:r>
        <w:continuationSeparator/>
      </w:r>
    </w:p>
  </w:footnote>
  <w:footnote w:id="1">
    <w:p w14:paraId="45FA0B27" w14:textId="77777777" w:rsidR="000A1C21" w:rsidRDefault="000A1C21" w:rsidP="000A1C21">
      <w:pPr>
        <w:pStyle w:val="Voetnoottekst"/>
      </w:pPr>
      <w:r>
        <w:rPr>
          <w:rStyle w:val="Voetnootmarkering"/>
        </w:rPr>
        <w:footnoteRef/>
      </w:r>
      <w:r>
        <w:t xml:space="preserve"> Bijlage bij Kamerstukken II,</w:t>
      </w:r>
      <w:r w:rsidRPr="00F73BF2">
        <w:t xml:space="preserve"> 33009, nr. 176</w:t>
      </w:r>
      <w:r>
        <w:t>.</w:t>
      </w:r>
    </w:p>
  </w:footnote>
  <w:footnote w:id="2">
    <w:p w14:paraId="248AABB0" w14:textId="77777777" w:rsidR="000A1C21" w:rsidRDefault="000A1C21" w:rsidP="000A1C21">
      <w:pPr>
        <w:pStyle w:val="Voetnoottekst"/>
      </w:pPr>
      <w:r>
        <w:rPr>
          <w:rStyle w:val="Voetnootmarkering"/>
        </w:rPr>
        <w:footnoteRef/>
      </w:r>
      <w:r>
        <w:t xml:space="preserve"> </w:t>
      </w:r>
      <w:hyperlink r:id="rId1" w:tgtFrame="_blank" w:history="1">
        <w:r w:rsidRPr="007933E8">
          <w:rPr>
            <w:rStyle w:val="Hyperlink"/>
          </w:rPr>
          <w:t>https://pgdi.nl/files/view/d0d0eb1c-8acf-4d0d-857a-cc58573bd050/16-verkenning-bouwsteen-voor-koppeling-ondernemersvraag-met-ai-interactie.pdf</w:t>
        </w:r>
      </w:hyperlink>
      <w:r w:rsidRPr="007933E8">
        <w:t> </w:t>
      </w:r>
    </w:p>
  </w:footnote>
  <w:footnote w:id="3">
    <w:p w14:paraId="76E95494" w14:textId="77777777" w:rsidR="000A1C21" w:rsidRDefault="000A1C21" w:rsidP="000A1C21">
      <w:pPr>
        <w:pStyle w:val="Voetnoottekst"/>
      </w:pPr>
      <w:r w:rsidRPr="001137DF">
        <w:rPr>
          <w:rStyle w:val="Voetnootmarkering"/>
        </w:rPr>
        <w:footnoteRef/>
      </w:r>
      <w:r w:rsidRPr="001137DF">
        <w:t xml:space="preserve"> Regeling vaststelling Aanwijzingen voor subsidieverstrekking</w:t>
      </w:r>
      <w:r>
        <w:t>,</w:t>
      </w:r>
      <w:r w:rsidRPr="001137DF">
        <w:t xml:space="preserve"> </w:t>
      </w:r>
      <w:hyperlink r:id="rId2" w:history="1">
        <w:r w:rsidRPr="001137DF">
          <w:rPr>
            <w:rStyle w:val="Hyperlink"/>
          </w:rPr>
          <w:t>wetten.nl - Regeling - Regeling vaststelling Aanwijzingen voor subsidieverstrekking - BWBR0027023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2B6" w14:textId="77777777" w:rsidR="000A1C21" w:rsidRPr="000A1C21" w:rsidRDefault="000A1C21" w:rsidP="000A1C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EEBF" w14:textId="77777777" w:rsidR="000A1C21" w:rsidRPr="000A1C21" w:rsidRDefault="000A1C21" w:rsidP="000A1C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98C" w14:textId="77777777" w:rsidR="000A1C21" w:rsidRPr="000A1C21" w:rsidRDefault="000A1C21" w:rsidP="000A1C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21"/>
    <w:rsid w:val="000A1C21"/>
    <w:rsid w:val="00302E90"/>
    <w:rsid w:val="004C0F76"/>
    <w:rsid w:val="00801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0FC9"/>
  <w15:chartTrackingRefBased/>
  <w15:docId w15:val="{A4CED8BE-BBCD-45FD-8C6A-1C966B2E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1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1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1C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1C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1C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1C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1C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1C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1C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1C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1C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1C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1C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1C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1C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1C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1C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1C21"/>
    <w:rPr>
      <w:rFonts w:eastAsiaTheme="majorEastAsia" w:cstheme="majorBidi"/>
      <w:color w:val="272727" w:themeColor="text1" w:themeTint="D8"/>
    </w:rPr>
  </w:style>
  <w:style w:type="paragraph" w:styleId="Titel">
    <w:name w:val="Title"/>
    <w:basedOn w:val="Standaard"/>
    <w:next w:val="Standaard"/>
    <w:link w:val="TitelChar"/>
    <w:uiPriority w:val="10"/>
    <w:qFormat/>
    <w:rsid w:val="000A1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C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1C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1C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1C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1C21"/>
    <w:rPr>
      <w:i/>
      <w:iCs/>
      <w:color w:val="404040" w:themeColor="text1" w:themeTint="BF"/>
    </w:rPr>
  </w:style>
  <w:style w:type="paragraph" w:styleId="Lijstalinea">
    <w:name w:val="List Paragraph"/>
    <w:basedOn w:val="Standaard"/>
    <w:uiPriority w:val="34"/>
    <w:qFormat/>
    <w:rsid w:val="000A1C21"/>
    <w:pPr>
      <w:ind w:left="720"/>
      <w:contextualSpacing/>
    </w:pPr>
  </w:style>
  <w:style w:type="character" w:styleId="Intensievebenadrukking">
    <w:name w:val="Intense Emphasis"/>
    <w:basedOn w:val="Standaardalinea-lettertype"/>
    <w:uiPriority w:val="21"/>
    <w:qFormat/>
    <w:rsid w:val="000A1C21"/>
    <w:rPr>
      <w:i/>
      <w:iCs/>
      <w:color w:val="2F5496" w:themeColor="accent1" w:themeShade="BF"/>
    </w:rPr>
  </w:style>
  <w:style w:type="paragraph" w:styleId="Duidelijkcitaat">
    <w:name w:val="Intense Quote"/>
    <w:basedOn w:val="Standaard"/>
    <w:next w:val="Standaard"/>
    <w:link w:val="DuidelijkcitaatChar"/>
    <w:uiPriority w:val="30"/>
    <w:qFormat/>
    <w:rsid w:val="000A1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1C21"/>
    <w:rPr>
      <w:i/>
      <w:iCs/>
      <w:color w:val="2F5496" w:themeColor="accent1" w:themeShade="BF"/>
    </w:rPr>
  </w:style>
  <w:style w:type="character" w:styleId="Intensieveverwijzing">
    <w:name w:val="Intense Reference"/>
    <w:basedOn w:val="Standaardalinea-lettertype"/>
    <w:uiPriority w:val="32"/>
    <w:qFormat/>
    <w:rsid w:val="000A1C21"/>
    <w:rPr>
      <w:b/>
      <w:bCs/>
      <w:smallCaps/>
      <w:color w:val="2F5496" w:themeColor="accent1" w:themeShade="BF"/>
      <w:spacing w:val="5"/>
    </w:rPr>
  </w:style>
  <w:style w:type="paragraph" w:styleId="Koptekst">
    <w:name w:val="header"/>
    <w:basedOn w:val="Standaard"/>
    <w:link w:val="KoptekstChar"/>
    <w:rsid w:val="000A1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A1C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A1C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A1C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A1C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A1C21"/>
    <w:rPr>
      <w:rFonts w:ascii="Verdana" w:hAnsi="Verdana"/>
      <w:noProof/>
      <w:sz w:val="13"/>
      <w:szCs w:val="24"/>
      <w:lang w:eastAsia="nl-NL"/>
    </w:rPr>
  </w:style>
  <w:style w:type="paragraph" w:customStyle="1" w:styleId="Huisstijl-Gegeven">
    <w:name w:val="Huisstijl-Gegeven"/>
    <w:basedOn w:val="Standaard"/>
    <w:link w:val="Huisstijl-GegevenCharChar"/>
    <w:rsid w:val="000A1C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A1C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A1C2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A1C21"/>
    <w:rPr>
      <w:color w:val="0000FF"/>
      <w:u w:val="single"/>
    </w:rPr>
  </w:style>
  <w:style w:type="paragraph" w:customStyle="1" w:styleId="Huisstijl-Retouradres">
    <w:name w:val="Huisstijl-Retouradres"/>
    <w:basedOn w:val="Standaard"/>
    <w:rsid w:val="000A1C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A1C21"/>
    <w:pPr>
      <w:spacing w:after="0"/>
    </w:pPr>
    <w:rPr>
      <w:b/>
    </w:rPr>
  </w:style>
  <w:style w:type="paragraph" w:customStyle="1" w:styleId="Huisstijl-Paginanummering">
    <w:name w:val="Huisstijl-Paginanummering"/>
    <w:basedOn w:val="Standaard"/>
    <w:rsid w:val="000A1C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A1C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A1C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A1C2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A1C21"/>
    <w:rPr>
      <w:b/>
      <w:bCs/>
    </w:rPr>
  </w:style>
  <w:style w:type="character" w:styleId="Voetnootmarkering">
    <w:name w:val="footnote reference"/>
    <w:basedOn w:val="Standaardalinea-lettertype"/>
    <w:uiPriority w:val="99"/>
    <w:semiHidden/>
    <w:unhideWhenUsed/>
    <w:rsid w:val="000A1C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27023/2012-07-01" TargetMode="External"/><Relationship Id="rId1" Type="http://schemas.openxmlformats.org/officeDocument/2006/relationships/hyperlink" Target="https://pgdi.nl/files/view/d0d0eb1c-8acf-4d0d-857a-cc58573bd050/16-verkenning-bouwsteen-voor-koppeling-ondernemersvraag-met-ai-interacti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1486</ap:Words>
  <ap:Characters>8175</ap:Characters>
  <ap:DocSecurity>0</ap:DocSecurity>
  <ap:Lines>68</ap:Lines>
  <ap:Paragraphs>19</ap:Paragraphs>
  <ap:ScaleCrop>false</ap:ScaleCrop>
  <ap:LinksUpToDate>false</ap:LinksUpToDate>
  <ap:CharactersWithSpaces>9642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2026-05-15T09:59:00.0000000Z</dcterms:created>
  <dcterms:modified xsi:type="dcterms:W3CDTF">2026-05-15T09:59:00.0000000Z</dcterms:modified>
  <version/>
  <category/>
</coreProperties>
</file>