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231E" w:rsidR="00C1231E" w:rsidP="00D619D2" w:rsidRDefault="00C1231E" w14:paraId="23D0061B" w14:textId="77777777">
      <w:r w:rsidRPr="00C1231E">
        <w:t xml:space="preserve">Geachte Voorzitter, </w:t>
      </w:r>
    </w:p>
    <w:p w:rsidRPr="00C1231E" w:rsidR="00C1231E" w:rsidP="00D619D2" w:rsidRDefault="00C1231E" w14:paraId="7E870602" w14:textId="77777777"/>
    <w:p w:rsidRPr="00C1231E" w:rsidR="00C1231E" w:rsidP="00D619D2" w:rsidRDefault="00C1231E" w14:paraId="1CFE7084" w14:textId="3E105011">
      <w:r w:rsidRPr="00C1231E">
        <w:t>De vaste commissie voor Klimaat en Groene Groei heeft verzocht o</w:t>
      </w:r>
      <w:r w:rsidR="00B453F7">
        <w:t xml:space="preserve">m medio </w:t>
      </w:r>
      <w:r>
        <w:t>mei</w:t>
      </w:r>
      <w:r w:rsidRPr="00C1231E">
        <w:t xml:space="preserve"> 202</w:t>
      </w:r>
      <w:r>
        <w:t>6</w:t>
      </w:r>
      <w:r w:rsidRPr="00C1231E">
        <w:t xml:space="preserve"> een </w:t>
      </w:r>
      <w:r>
        <w:t>actualisatie van de</w:t>
      </w:r>
      <w:r w:rsidRPr="00C1231E">
        <w:t xml:space="preserve"> planningsbrief te </w:t>
      </w:r>
      <w:r>
        <w:t>sturen,</w:t>
      </w:r>
      <w:r w:rsidRPr="00C1231E">
        <w:t xml:space="preserve"> waarin wordt aangegeven welke stukken het kabinet verwacht </w:t>
      </w:r>
      <w:r>
        <w:t xml:space="preserve">nog </w:t>
      </w:r>
      <w:r w:rsidRPr="00C1231E">
        <w:t>in 2026 aan de Kamer te sturen. Hierbij gaat het om wet- en regelgeving, Kamerbrieven, rapportages, beleidsnota’s en beleidsdoorlichtingen. Bijgevoegd treft de Kamer het gevraagde overzicht aan.</w:t>
      </w:r>
    </w:p>
    <w:p w:rsidR="007F439C" w:rsidP="00D619D2" w:rsidRDefault="007F439C" w14:paraId="5347CB2C" w14:textId="45EBC781"/>
    <w:p w:rsidR="00D22441" w:rsidP="00D619D2" w:rsidRDefault="00D22441" w14:paraId="7ABFD638" w14:textId="77777777"/>
    <w:p w:rsidR="00D22441" w:rsidP="00D619D2" w:rsidRDefault="00D22441" w14:paraId="2C8A0912" w14:textId="77777777"/>
    <w:p w:rsidR="00241D72" w:rsidP="00D619D2" w:rsidRDefault="00241D72" w14:paraId="468AD294" w14:textId="77777777"/>
    <w:p w:rsidR="004425CC" w:rsidP="00D619D2" w:rsidRDefault="00AB777D" w14:paraId="56BD45D7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="004E505E" w:rsidP="00D619D2" w:rsidRDefault="00AB777D" w14:paraId="362D2D49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DD24E4" w:rsidP="00D619D2" w:rsidRDefault="00DD24E4" w14:paraId="18FBCBD1" w14:textId="77777777">
      <w:pPr>
        <w:rPr>
          <w:szCs w:val="18"/>
        </w:rPr>
      </w:pPr>
    </w:p>
    <w:p w:rsidR="00D619D2" w:rsidP="00D619D2" w:rsidRDefault="00D619D2" w14:paraId="40FB8568" w14:textId="77777777">
      <w:pPr>
        <w:rPr>
          <w:szCs w:val="18"/>
        </w:rPr>
      </w:pPr>
    </w:p>
    <w:p w:rsidR="00D619D2" w:rsidP="00D619D2" w:rsidRDefault="00D619D2" w14:paraId="49D07EBB" w14:textId="77777777">
      <w:pPr>
        <w:rPr>
          <w:szCs w:val="18"/>
        </w:rPr>
      </w:pPr>
    </w:p>
    <w:p w:rsidR="00D619D2" w:rsidP="00D619D2" w:rsidRDefault="00D619D2" w14:paraId="5E4015DD" w14:textId="77777777">
      <w:pPr>
        <w:rPr>
          <w:szCs w:val="18"/>
        </w:rPr>
      </w:pPr>
    </w:p>
    <w:p w:rsidR="00DD24E4" w:rsidP="00D619D2" w:rsidRDefault="00DD24E4" w14:paraId="7FC7BB64" w14:textId="17874C56">
      <w:pPr>
        <w:rPr>
          <w:szCs w:val="18"/>
        </w:rPr>
      </w:pPr>
      <w:r>
        <w:rPr>
          <w:szCs w:val="18"/>
        </w:rPr>
        <w:t xml:space="preserve">Jo-Annes de Bat </w:t>
      </w:r>
    </w:p>
    <w:p w:rsidRPr="005461DA" w:rsidR="00DD24E4" w:rsidP="00D619D2" w:rsidRDefault="00DD24E4" w14:paraId="412B9A90" w14:textId="73517B30">
      <w:pPr>
        <w:rPr>
          <w:szCs w:val="18"/>
        </w:rPr>
      </w:pPr>
      <w:r>
        <w:rPr>
          <w:szCs w:val="18"/>
        </w:rPr>
        <w:t>Staatssecretaris van Klimaat en Groene Groei</w:t>
      </w:r>
    </w:p>
    <w:p w:rsidR="006B3C17" w:rsidP="00D619D2" w:rsidRDefault="006B3C17" w14:paraId="7E2F1DBC" w14:textId="77777777"/>
    <w:p w:rsidR="006B3C17" w:rsidP="00D619D2" w:rsidRDefault="006B3C17" w14:paraId="7094BBCA" w14:textId="77777777"/>
    <w:p w:rsidR="00E758FD" w:rsidP="00D619D2" w:rsidRDefault="00E758FD" w14:paraId="14F53663" w14:textId="77777777"/>
    <w:p w:rsidR="000639A7" w:rsidP="00D619D2" w:rsidRDefault="000639A7" w14:paraId="1E342D23" w14:textId="77777777"/>
    <w:p w:rsidR="00DD24E4" w:rsidP="00D619D2" w:rsidRDefault="00DD24E4" w14:paraId="52B461E5" w14:textId="717952CD">
      <w:r>
        <w:br w:type="page"/>
      </w:r>
    </w:p>
    <w:tbl>
      <w:tblPr>
        <w:tblStyle w:val="Tabelraster"/>
        <w:tblW w:w="4371" w:type="pct"/>
        <w:tblLook w:val="04A0" w:firstRow="1" w:lastRow="0" w:firstColumn="1" w:lastColumn="0" w:noHBand="0" w:noVBand="1"/>
      </w:tblPr>
      <w:tblGrid>
        <w:gridCol w:w="5293"/>
        <w:gridCol w:w="1280"/>
      </w:tblGrid>
      <w:tr w:rsidRPr="00DD24E4" w:rsidR="00DD24E4" w:rsidTr="1DA1E125" w14:paraId="461C083F" w14:textId="77777777">
        <w:trPr>
          <w:trHeight w:val="315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DD24E4" w:rsidR="00DD24E4" w:rsidP="00D619D2" w:rsidRDefault="00DD24E4" w14:paraId="608D9661" w14:textId="77777777">
            <w:pPr>
              <w:rPr>
                <w:b/>
                <w:bCs/>
                <w:lang w:val="en-US"/>
              </w:rPr>
            </w:pPr>
            <w:r w:rsidRPr="00DD24E4">
              <w:rPr>
                <w:b/>
                <w:bCs/>
                <w:lang w:val="en-US"/>
              </w:rPr>
              <w:lastRenderedPageBreak/>
              <w:t>Titel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DD24E4" w:rsidR="00DD24E4" w:rsidP="00D619D2" w:rsidRDefault="00DD24E4" w14:paraId="32CEE460" w14:textId="77777777">
            <w:pPr>
              <w:rPr>
                <w:b/>
                <w:bCs/>
                <w:lang w:val="en-US"/>
              </w:rPr>
            </w:pPr>
            <w:r w:rsidRPr="00DD24E4">
              <w:rPr>
                <w:b/>
                <w:bCs/>
                <w:lang w:val="en-US"/>
              </w:rPr>
              <w:t xml:space="preserve">Planning </w:t>
            </w:r>
          </w:p>
        </w:tc>
      </w:tr>
      <w:tr w:rsidRPr="00DD24E4" w:rsidR="00DD24E4" w:rsidTr="1DA1E125" w14:paraId="1F11431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EAF" w:rsidR="00DD24E4" w:rsidP="00D619D2" w:rsidRDefault="00DD24E4" w14:paraId="0D540173" w14:textId="2E01FEC6">
            <w:bookmarkStart w:name="_Hlk213062588" w:id="1"/>
            <w:r>
              <w:t>Ontwerp wetsvoorstel</w:t>
            </w:r>
            <w:r w:rsidR="00D80126">
              <w:t xml:space="preserve"> tweerichtingscontracten ter verrekening van verschillen</w:t>
            </w:r>
            <w:r w:rsidR="00F9257B">
              <w:t xml:space="preserve"> (</w:t>
            </w:r>
            <w:r>
              <w:t>CfD</w:t>
            </w:r>
            <w:r w:rsidR="00F9257B">
              <w:t>)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AC83E77" w14:textId="50399F05">
            <w:pPr>
              <w:rPr>
                <w:lang w:val="en-US"/>
              </w:rPr>
            </w:pPr>
            <w:r w:rsidRPr="1DA1E125">
              <w:rPr>
                <w:lang w:val="en-US"/>
              </w:rPr>
              <w:t>2026 Q</w:t>
            </w:r>
            <w:r w:rsidRPr="1DA1E125" w:rsidR="00F9257B">
              <w:rPr>
                <w:lang w:val="en-US"/>
              </w:rPr>
              <w:t>2</w:t>
            </w:r>
            <w:bookmarkEnd w:id="1"/>
          </w:p>
        </w:tc>
      </w:tr>
      <w:tr w:rsidRPr="00DD24E4" w:rsidR="00DD24E4" w:rsidTr="1DA1E125" w14:paraId="12F53FDE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AD0F7E8" w14:textId="77777777">
            <w:r w:rsidRPr="00DD24E4">
              <w:t>Kamerbrief kabinetsreactie advies Nationaal Burgerberaad Klimaat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DC3287F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 xml:space="preserve">2026 Q2 </w:t>
            </w:r>
          </w:p>
        </w:tc>
      </w:tr>
      <w:tr w:rsidRPr="00DD24E4" w:rsidR="00DD24E4" w:rsidTr="1DA1E125" w14:paraId="43498B87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59FF62C" w14:textId="77777777">
            <w:r w:rsidRPr="00DD24E4">
              <w:t>Kamerbrief KNMI automatische detectie en grondbewegingsmodel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44B3DD9C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7F39AADA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77A9C6C" w14:textId="77777777">
            <w:r w:rsidRPr="00DD24E4">
              <w:t>Wetsvoorstel ter uitvoering van de sanctiebepaling van verordening 2024/573 inzake F-gassen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5CFC808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7076C" w:rsidTr="1DA1E125" w14:paraId="584639FD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076C" w:rsidR="00D7076C" w:rsidP="00D619D2" w:rsidRDefault="00D7076C" w14:paraId="35B3D9A3" w14:textId="7322913C">
            <w:pPr>
              <w:rPr>
                <w:lang w:val="en-US"/>
              </w:rPr>
            </w:pPr>
            <w:r w:rsidRPr="00D7076C">
              <w:rPr>
                <w:lang w:val="en-US"/>
              </w:rPr>
              <w:t>Market Stability Reserve aanpassing ETS1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34B6" w:rsidR="00D7076C" w:rsidP="00D619D2" w:rsidRDefault="00D7076C" w14:paraId="4FB11A2E" w14:textId="64AE28D2">
            <w:r w:rsidRPr="00D07113">
              <w:t>2026 Q2</w:t>
            </w:r>
          </w:p>
        </w:tc>
      </w:tr>
      <w:tr w:rsidRPr="00DD24E4" w:rsidR="007535A8" w:rsidTr="1DA1E125" w14:paraId="026E7E01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535A8" w:rsidP="00D619D2" w:rsidRDefault="007535A8" w14:paraId="2C84FD65" w14:textId="1DE68056">
            <w:r>
              <w:t>Kamerbrief i</w:t>
            </w:r>
            <w:r w:rsidRPr="007535A8">
              <w:t>ntertemporele kostenverdeling waterstoftransportnet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535A8" w:rsidP="00D619D2" w:rsidRDefault="007535A8" w14:paraId="04F9E90E" w14:textId="6DA2D083">
            <w:r>
              <w:t>2026 Q2</w:t>
            </w:r>
          </w:p>
        </w:tc>
      </w:tr>
      <w:tr w:rsidRPr="00DD24E4" w:rsidR="007535A8" w:rsidTr="1DA1E125" w14:paraId="2A44F142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7113" w:rsidR="007535A8" w:rsidP="00D619D2" w:rsidRDefault="007535A8" w14:paraId="7B9EE71A" w14:textId="2CCDED9E">
            <w:r>
              <w:t>Kamerbrief capaciteitsmarkt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7113" w:rsidR="007535A8" w:rsidP="00D619D2" w:rsidRDefault="007535A8" w14:paraId="1A14C7E2" w14:textId="3878B5A3">
            <w:r>
              <w:t>2026 Q2</w:t>
            </w:r>
          </w:p>
        </w:tc>
      </w:tr>
      <w:tr w:rsidRPr="00DD24E4" w:rsidR="00B433B1" w:rsidTr="1DA1E125" w14:paraId="3CAEBF39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33B1" w:rsidP="007535A8" w:rsidRDefault="00B433B1" w14:paraId="5AEA5B8A" w14:textId="4366A119">
            <w:r>
              <w:t>Kamerbrief routekaart nucleair en dilemmabrief kernenergie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33B1" w:rsidP="00D619D2" w:rsidRDefault="00B433B1" w14:paraId="6BC6977E" w14:textId="586BBF1B">
            <w:r>
              <w:t>2026 Q2 week 25</w:t>
            </w:r>
          </w:p>
        </w:tc>
      </w:tr>
      <w:tr w:rsidRPr="00DD24E4" w:rsidR="00B433B1" w:rsidTr="1DA1E125" w14:paraId="5110A83B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33B1" w:rsidP="007535A8" w:rsidRDefault="00B433B1" w14:paraId="03CFFEC6" w14:textId="20AF82C3">
            <w:r>
              <w:t>Kamerbrief kernenergie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33B1" w:rsidP="00D619D2" w:rsidRDefault="00B433B1" w14:paraId="5D6D9C43" w14:textId="59C8A1B4">
            <w:r>
              <w:t>2026 Q2 week 25</w:t>
            </w:r>
          </w:p>
        </w:tc>
      </w:tr>
      <w:tr w:rsidRPr="00DD24E4" w:rsidR="001A15C6" w:rsidTr="1DA1E125" w14:paraId="371FC19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15C6" w:rsidP="007535A8" w:rsidRDefault="001A15C6" w14:paraId="71B05C22" w14:textId="60ABB3E9">
            <w:r w:rsidRPr="001A15C6">
              <w:t>Kamerbrief schadeafhandeling aardbeving Geelbroek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15C6" w:rsidP="00D619D2" w:rsidRDefault="001A15C6" w14:paraId="15CB6649" w14:textId="4CFE47ED">
            <w:r>
              <w:t>2026 Q2</w:t>
            </w:r>
          </w:p>
        </w:tc>
      </w:tr>
      <w:tr w:rsidRPr="00DD24E4" w:rsidR="007535A8" w:rsidTr="1DA1E125" w14:paraId="33551099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7113" w:rsidR="007535A8" w:rsidP="007535A8" w:rsidRDefault="003C008C" w14:paraId="3B302EB2" w14:textId="14457BC4">
            <w:r>
              <w:t>Kamerbrief a</w:t>
            </w:r>
            <w:r w:rsidR="007535A8">
              <w:t>anpak Aanbod Duurzame Koolstofdragers en Visie Brandstoffen- en Chemiegrondstoffenproductie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7113" w:rsidR="007535A8" w:rsidP="00D619D2" w:rsidRDefault="007535A8" w14:paraId="427C3DA1" w14:textId="1C754EF7">
            <w:r>
              <w:t>2026 Q2</w:t>
            </w:r>
          </w:p>
        </w:tc>
      </w:tr>
      <w:tr w:rsidRPr="00DD24E4" w:rsidR="00D7076C" w:rsidTr="1DA1E125" w14:paraId="2540CFE8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34B6" w:rsidR="00D7076C" w:rsidP="00D619D2" w:rsidRDefault="00D7076C" w14:paraId="192B929A" w14:textId="0860F601">
            <w:r w:rsidRPr="00D07113">
              <w:t>Kamerbrief uitkomsten conferentie Colombia TAFF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34B6" w:rsidR="00D7076C" w:rsidP="00D619D2" w:rsidRDefault="00D7076C" w14:paraId="37A3E2CE" w14:textId="0ACA458E">
            <w:r w:rsidRPr="00D07113">
              <w:t>2026 Q2</w:t>
            </w:r>
          </w:p>
        </w:tc>
      </w:tr>
      <w:tr w:rsidRPr="00DD24E4" w:rsidR="00D7076C" w:rsidTr="1DA1E125" w14:paraId="3953515F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076C" w:rsidR="00D7076C" w:rsidP="00D619D2" w:rsidRDefault="00D7076C" w14:paraId="3CD96CF6" w14:textId="2B2DE11A">
            <w:r w:rsidRPr="00BF34B6">
              <w:t>Kamerbrief Rechtszaak Greenpeace Bonaire - besluit hoger beroep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D7076C" w:rsidP="00D619D2" w:rsidRDefault="00D7076C" w14:paraId="7C35DC5A" w14:textId="1A2176F8">
            <w:pPr>
              <w:rPr>
                <w:lang w:val="en-US"/>
              </w:rPr>
            </w:pPr>
            <w:r w:rsidRPr="00BF34B6">
              <w:t>2026 Q2</w:t>
            </w:r>
          </w:p>
        </w:tc>
      </w:tr>
      <w:tr w:rsidRPr="00DD24E4" w:rsidR="00DD24E4" w:rsidTr="1DA1E125" w14:paraId="219C604F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25C6621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Kamerbrief implementatie Net Zero Industry Act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DC6E06D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2D1A7940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7277EB6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Kamerbrief implementatie decarbonisatiepakket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1134AE96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03DBE91C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BAA4E09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Kamerbrief implementatie RED3 Contract for difference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F809B8A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1110316D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268A80E9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Voorjaarsnota 2026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2A8024CA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68563ED8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544E67C" w14:textId="77777777">
            <w:r w:rsidRPr="00DD24E4">
              <w:t>Kamerbrief water I&amp;W met svz klimaatplannen BES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2F4AEC41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7EB1551A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4FB5DE60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Kamerbrief update gasleveringszekerheid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F20F706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1409042D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41AC1ED" w14:textId="77777777">
            <w:r w:rsidRPr="00DD24E4">
              <w:t>Kamerbrief over borgen leveringszekerheid elektriciteit op lange termijn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418E8820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60FD9DC8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8F1EFF1" w14:textId="77777777">
            <w:r w:rsidRPr="00DD24E4">
              <w:t>Kamerbrief update rechtvaardigheid in klimaatbeleid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48EAFDE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1A15C6" w:rsidTr="1DA1E125" w14:paraId="2927482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1A15C6" w:rsidP="00D619D2" w:rsidRDefault="001A15C6" w14:paraId="27C10849" w14:textId="7AFD40A2">
            <w:pPr>
              <w:rPr>
                <w:lang w:val="en-US"/>
              </w:rPr>
            </w:pPr>
            <w:r>
              <w:rPr>
                <w:lang w:val="en-US"/>
              </w:rPr>
              <w:t>Kamerbrief Moerdijk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1A15C6" w:rsidP="00D619D2" w:rsidRDefault="001A15C6" w14:paraId="33679E0E" w14:textId="26475091">
            <w:pPr>
              <w:rPr>
                <w:lang w:val="en-US"/>
              </w:rPr>
            </w:pPr>
            <w:r>
              <w:rPr>
                <w:lang w:val="en-US"/>
              </w:rPr>
              <w:t>2026 Q2</w:t>
            </w:r>
          </w:p>
        </w:tc>
      </w:tr>
      <w:tr w:rsidRPr="00DD24E4" w:rsidR="00DD24E4" w:rsidTr="1DA1E125" w14:paraId="306BF5DD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C9ADC17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Voortgangsbrief Collectieve warmte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BFA67C6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3C008C" w:rsidTr="1DA1E125" w14:paraId="13CCDA2F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3C008C" w:rsidP="00D619D2" w:rsidRDefault="003C008C" w14:paraId="37195F3D" w14:textId="3E54E10D">
            <w:r>
              <w:t>Kamerbrief w</w:t>
            </w:r>
            <w:r w:rsidRPr="003C008C">
              <w:t>egnemen knelpunten maatschappelijke initiatieven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3C008C" w:rsidP="00D619D2" w:rsidRDefault="003C008C" w14:paraId="63677A54" w14:textId="792F0B20">
            <w:pPr>
              <w:rPr>
                <w:lang w:val="en-US"/>
              </w:rPr>
            </w:pPr>
            <w:r>
              <w:rPr>
                <w:lang w:val="en-US"/>
              </w:rPr>
              <w:t>2026 Q2</w:t>
            </w:r>
          </w:p>
        </w:tc>
      </w:tr>
      <w:tr w:rsidRPr="00DD24E4" w:rsidR="00DD24E4" w:rsidTr="1DA1E125" w14:paraId="2B07253D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8C3FE72" w14:textId="77777777">
            <w:r w:rsidRPr="00DD24E4">
              <w:t>Voorhang Besluit collectieve warmte (Bcw)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205291D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5DD9A5FC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4C2C579F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Kamerbrief voortgang verduurzaming MKB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C2A4D05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39612D33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1C1A757" w14:textId="77777777">
            <w:r w:rsidRPr="00DD24E4">
              <w:t>Kamerbrief kwartaalrapportages Q1 2026 van EU wetgevingsonderhandelingen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D3D7291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6623E8D3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00FC622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Aanbiedingsbrief bij jaarverslag SODM 2025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830E090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</w:t>
            </w:r>
          </w:p>
        </w:tc>
      </w:tr>
      <w:tr w:rsidRPr="00DD24E4" w:rsidR="00DD24E4" w:rsidTr="1DA1E125" w14:paraId="2233428D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AA7D1CE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Energieraad 12-13 mei geannoteerde agenda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3287592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 week 18</w:t>
            </w:r>
          </w:p>
        </w:tc>
      </w:tr>
      <w:tr w:rsidRPr="00DD24E4" w:rsidR="00DD24E4" w:rsidTr="1DA1E125" w14:paraId="13F0110B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238CCCE7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lastRenderedPageBreak/>
              <w:t>Energieraad 12-13 mei verslag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B9D7DCD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 week 25</w:t>
            </w:r>
          </w:p>
        </w:tc>
      </w:tr>
      <w:tr w:rsidRPr="00DD24E4" w:rsidR="00DD24E4" w:rsidTr="1DA1E125" w14:paraId="43DCE8DB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BCA984D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Milieuraad 25 juni geannoteerde agenda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2641C2DA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 week 22</w:t>
            </w:r>
          </w:p>
        </w:tc>
      </w:tr>
      <w:tr w:rsidRPr="00DD24E4" w:rsidR="00DD24E4" w:rsidTr="1DA1E125" w14:paraId="20EB82C2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CDDF43A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Milieuraad 25 juni verslag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9EF004E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 week 27/28</w:t>
            </w:r>
          </w:p>
        </w:tc>
      </w:tr>
      <w:tr w:rsidRPr="00DD24E4" w:rsidR="00DD24E4" w:rsidTr="1DA1E125" w14:paraId="374E1268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6041ED4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Energieraad 29 juni geannoteerde agenda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71F5007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 week 25</w:t>
            </w:r>
          </w:p>
        </w:tc>
      </w:tr>
      <w:tr w:rsidRPr="00DD24E4" w:rsidR="00EB038E" w:rsidTr="1DA1E125" w14:paraId="2DB0E683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EB038E" w:rsidP="00D619D2" w:rsidRDefault="00EB038E" w14:paraId="785701D8" w14:textId="66F212D9">
            <w:pPr>
              <w:rPr>
                <w:lang w:val="en-US"/>
              </w:rPr>
            </w:pPr>
            <w:r w:rsidRPr="1DA1E125">
              <w:rPr>
                <w:lang w:val="en-US"/>
              </w:rPr>
              <w:t>Kamerbrief voortgang Realisatie Energietransitie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EB038E" w:rsidP="00D619D2" w:rsidRDefault="00E55793" w14:paraId="3CEEBC0C" w14:textId="33CCAFAD">
            <w:pPr>
              <w:rPr>
                <w:lang w:val="en-US"/>
              </w:rPr>
            </w:pPr>
            <w:r w:rsidRPr="1DA1E125">
              <w:rPr>
                <w:lang w:val="en-US"/>
              </w:rPr>
              <w:t>2026 Q2</w:t>
            </w:r>
          </w:p>
        </w:tc>
      </w:tr>
      <w:tr w:rsidRPr="00DD24E4" w:rsidR="00E55793" w:rsidTr="1DA1E125" w14:paraId="4E57713C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E55793" w:rsidP="00D619D2" w:rsidRDefault="00E55793" w14:paraId="1EBACD2C" w14:textId="7429A065">
            <w:pPr>
              <w:rPr>
                <w:lang w:val="en-US"/>
              </w:rPr>
            </w:pPr>
            <w:r w:rsidRPr="1DA1E125">
              <w:rPr>
                <w:lang w:val="en-US"/>
              </w:rPr>
              <w:t>Kamerbrief voortgang Aansluitoffensief (netcongestie)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E55793" w:rsidP="00D619D2" w:rsidRDefault="00E55793" w14:paraId="7F5DD8E9" w14:textId="6292C357">
            <w:pPr>
              <w:rPr>
                <w:lang w:val="en-US"/>
              </w:rPr>
            </w:pPr>
            <w:r w:rsidRPr="1DA1E125">
              <w:rPr>
                <w:lang w:val="en-US"/>
              </w:rPr>
              <w:t>2026 Q2 week 26</w:t>
            </w:r>
          </w:p>
        </w:tc>
      </w:tr>
      <w:tr w:rsidRPr="00DD24E4" w:rsidR="00E55793" w:rsidTr="1DA1E125" w14:paraId="502B64B1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166A" w:rsidR="00E55793" w:rsidP="00D619D2" w:rsidRDefault="00E55793" w14:paraId="6D0FAB1E" w14:textId="38ADDA10">
            <w:r>
              <w:t>Voortgangsbrief inpassing mijnbouw en wind op zee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E55793" w:rsidP="00D619D2" w:rsidRDefault="00E55793" w14:paraId="0D2499C2" w14:textId="1EA9682F">
            <w:pPr>
              <w:rPr>
                <w:lang w:val="en-US"/>
              </w:rPr>
            </w:pPr>
            <w:r w:rsidRPr="1DA1E125">
              <w:rPr>
                <w:lang w:val="en-US"/>
              </w:rPr>
              <w:t>2026 Q2</w:t>
            </w:r>
          </w:p>
        </w:tc>
      </w:tr>
      <w:tr w:rsidRPr="00DD24E4" w:rsidR="007C51E2" w:rsidTr="1DA1E125" w14:paraId="4C0A47C1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51E2" w:rsidR="007C51E2" w:rsidP="00D619D2" w:rsidRDefault="007C51E2" w14:paraId="04056358" w14:textId="2E9CFAE4">
            <w:r>
              <w:t>Wetsvoorstel bijmengverplichting groen gas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51E2" w:rsidP="00D619D2" w:rsidRDefault="007C51E2" w14:paraId="5DC0E47C" w14:textId="3A99439A">
            <w:pPr>
              <w:rPr>
                <w:lang w:val="en-US"/>
              </w:rPr>
            </w:pPr>
            <w:r w:rsidRPr="1DA1E125">
              <w:rPr>
                <w:lang w:val="en-US"/>
              </w:rPr>
              <w:t>2026 Q2</w:t>
            </w:r>
          </w:p>
        </w:tc>
      </w:tr>
      <w:tr w:rsidRPr="00DD24E4" w:rsidR="003C008C" w:rsidTr="1DA1E125" w14:paraId="1AE7AC6A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008C" w:rsidP="00D619D2" w:rsidRDefault="003C008C" w14:paraId="6B860960" w14:textId="5B04D206">
            <w:r>
              <w:t>Kabinetsreactie Rli-advies ‘Eerlijk verduurzamen’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08C" w:rsidR="003C008C" w:rsidP="00D619D2" w:rsidRDefault="003C008C" w14:paraId="10229CD7" w14:textId="08BAFD96">
            <w:r>
              <w:t>2026 Q2</w:t>
            </w:r>
          </w:p>
        </w:tc>
      </w:tr>
      <w:tr w:rsidRPr="00DD24E4" w:rsidR="003C008C" w:rsidTr="003C008C" w14:paraId="1BCD2FFF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008C" w:rsidP="003C008C" w:rsidRDefault="003C008C" w14:paraId="2A0B9FF7" w14:textId="1A935C34">
            <w:r w:rsidRPr="1DA1E125">
              <w:rPr>
                <w:lang w:val="en-US"/>
              </w:rPr>
              <w:t xml:space="preserve">Kamerbrief voortgang Verduurzaming Industrie 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3C008C" w:rsidP="003C008C" w:rsidRDefault="003C008C" w14:paraId="1B04A225" w14:textId="2244ED71">
            <w:pPr>
              <w:rPr>
                <w:lang w:val="en-US"/>
              </w:rPr>
            </w:pPr>
            <w:r w:rsidRPr="1DA1E125">
              <w:rPr>
                <w:lang w:val="en-US"/>
              </w:rPr>
              <w:t>2026 Q2</w:t>
            </w:r>
          </w:p>
        </w:tc>
      </w:tr>
      <w:tr w:rsidRPr="00DD24E4" w:rsidR="003C008C" w:rsidTr="003C008C" w14:paraId="2227CEA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008C" w:rsidP="003C008C" w:rsidRDefault="003C008C" w14:paraId="29B71936" w14:textId="10E9EB7D">
            <w:r w:rsidRPr="1DA1E125">
              <w:rPr>
                <w:lang w:val="en-US"/>
              </w:rPr>
              <w:t>Voortgangsbrief waterstof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3C008C" w:rsidP="003C008C" w:rsidRDefault="003C008C" w14:paraId="704F02B5" w14:textId="78FBD7EC">
            <w:pPr>
              <w:rPr>
                <w:lang w:val="en-US"/>
              </w:rPr>
            </w:pPr>
            <w:r w:rsidRPr="1DA1E125">
              <w:rPr>
                <w:lang w:val="en-US"/>
              </w:rPr>
              <w:t>2026 Q2</w:t>
            </w:r>
          </w:p>
        </w:tc>
      </w:tr>
      <w:tr w:rsidRPr="00DD24E4" w:rsidR="003C008C" w:rsidTr="003C008C" w14:paraId="52540E0F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008C" w:rsidP="00D619D2" w:rsidRDefault="003C008C" w14:paraId="1A12227B" w14:textId="0641BF2B">
            <w:r>
              <w:t>Kamerbrief a</w:t>
            </w:r>
            <w:r w:rsidRPr="003C008C">
              <w:t>ctualisatie Nationaal Plan Energiesysteem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08C" w:rsidR="003C008C" w:rsidP="00D619D2" w:rsidRDefault="003C008C" w14:paraId="44C19A95" w14:textId="07C02D5A">
            <w:r w:rsidRPr="00DD24E4">
              <w:rPr>
                <w:lang w:val="en-US"/>
              </w:rPr>
              <w:t>2026 Q2/Q3</w:t>
            </w:r>
          </w:p>
        </w:tc>
      </w:tr>
      <w:tr w:rsidRPr="00DD24E4" w:rsidR="003C008C" w:rsidTr="003C008C" w14:paraId="31BF9FA9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008C" w:rsidP="00D619D2" w:rsidRDefault="003C008C" w14:paraId="55100464" w14:textId="6A7238CA">
            <w:r>
              <w:t>Kamerbrief a</w:t>
            </w:r>
            <w:r w:rsidRPr="003C008C">
              <w:t>fwegingskader overheidsinterventies in de gasmarkt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3C008C" w:rsidP="00D619D2" w:rsidRDefault="003C008C" w14:paraId="62855FF8" w14:textId="2322F793">
            <w:pPr>
              <w:rPr>
                <w:lang w:val="en-US"/>
              </w:rPr>
            </w:pPr>
            <w:r w:rsidRPr="00DD24E4">
              <w:rPr>
                <w:lang w:val="en-US"/>
              </w:rPr>
              <w:t>2026 Q2/Q3</w:t>
            </w:r>
          </w:p>
        </w:tc>
      </w:tr>
      <w:tr w:rsidRPr="00DD24E4" w:rsidR="00DD24E4" w:rsidTr="003C008C" w14:paraId="4F72C759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08C" w:rsidR="00DD24E4" w:rsidP="00D619D2" w:rsidRDefault="003C008C" w14:paraId="4924EEE8" w14:textId="5D776D8E">
            <w:r>
              <w:t>Kamerbrief c</w:t>
            </w:r>
            <w:r w:rsidRPr="003C008C">
              <w:t>ontouren van de Nationale Ruimtelijk economische Strategie voor de Energie Intensieve Haven en Industrieclusters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08C" w:rsidR="00DD24E4" w:rsidP="00D619D2" w:rsidRDefault="003C008C" w14:paraId="28EE0CEE" w14:textId="14B2FF2E">
            <w:r w:rsidRPr="00DD24E4">
              <w:rPr>
                <w:lang w:val="en-US"/>
              </w:rPr>
              <w:t>2026 Q2/Q3</w:t>
            </w:r>
          </w:p>
        </w:tc>
      </w:tr>
      <w:tr w:rsidRPr="00DD24E4" w:rsidR="00DD24E4" w:rsidTr="1DA1E125" w14:paraId="53DA719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15686B7" w14:textId="77777777">
            <w:r w:rsidRPr="00DD24E4">
              <w:t xml:space="preserve">Kabinetsreactie advies over gedrag van de Wetenschappelijke Klimaatraad 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F7AC4BD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Q2/Q3</w:t>
            </w:r>
          </w:p>
        </w:tc>
      </w:tr>
      <w:tr w:rsidRPr="00DD24E4" w:rsidR="003C008C" w:rsidTr="1DA1E125" w14:paraId="15C39526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3C008C" w:rsidP="003C008C" w:rsidRDefault="003C008C" w14:paraId="1A6368CB" w14:textId="7EDB3449">
            <w:r w:rsidRPr="00DD24E4">
              <w:rPr>
                <w:lang w:val="en-US"/>
              </w:rPr>
              <w:t>Energieraad 29 juni verslag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3C008C" w:rsidP="003C008C" w:rsidRDefault="003C008C" w14:paraId="72B7F1C9" w14:textId="3A71DBC4">
            <w:pPr>
              <w:rPr>
                <w:lang w:val="en-US"/>
              </w:rPr>
            </w:pPr>
            <w:r w:rsidRPr="1DA1E125">
              <w:rPr>
                <w:lang w:val="en-US"/>
              </w:rPr>
              <w:t>2026 Q3 week 32</w:t>
            </w:r>
          </w:p>
        </w:tc>
      </w:tr>
      <w:tr w:rsidRPr="00DD24E4" w:rsidR="00DD24E4" w:rsidTr="1DA1E125" w14:paraId="52EEA962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E444E4C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Kamerbrief voortgang energiebesparing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1D7CAC67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Q3</w:t>
            </w:r>
          </w:p>
        </w:tc>
      </w:tr>
      <w:tr w:rsidRPr="00DD24E4" w:rsidR="00DD24E4" w:rsidTr="1DA1E125" w14:paraId="61741A75" w14:textId="77777777">
        <w:trPr>
          <w:trHeight w:val="495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28E4F6C2" w14:textId="77777777">
            <w:r w:rsidRPr="00DD24E4">
              <w:t xml:space="preserve">Kamerbrief over stand van zaken juridische procedures NAM, Shell en ExxonMobil 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2DB485D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Q3</w:t>
            </w:r>
          </w:p>
        </w:tc>
      </w:tr>
      <w:tr w:rsidRPr="00DD24E4" w:rsidR="00DD24E4" w:rsidTr="1DA1E125" w14:paraId="7E8CB23B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E27F251" w14:textId="77777777">
            <w:r w:rsidRPr="00DD24E4">
              <w:t>Kamerbrief ontwerp-Voorkeursbeslissing projectprocedure Nieuwbouw Kerncentrales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1D87D1EA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Q3</w:t>
            </w:r>
          </w:p>
        </w:tc>
      </w:tr>
      <w:tr w:rsidRPr="00DD24E4" w:rsidR="00DD24E4" w:rsidTr="1DA1E125" w14:paraId="73C4B51F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69E726C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Prinsjesdagbrief + MJP + KEV 2026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7989624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Q3</w:t>
            </w:r>
          </w:p>
        </w:tc>
      </w:tr>
      <w:tr w:rsidRPr="00DD24E4" w:rsidR="003C008C" w:rsidTr="1DA1E125" w14:paraId="624058E2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2BA3" w:rsidR="003C008C" w:rsidP="00D619D2" w:rsidRDefault="003C008C" w14:paraId="1B627BCC" w14:textId="62ED676C">
            <w:r>
              <w:t>Kamerbrief a</w:t>
            </w:r>
            <w:r w:rsidRPr="00CA16BA" w:rsidR="00CA16BA">
              <w:t>ctieplan Circulariteit Kritieke Grondstoffen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2BA3" w:rsidR="003C008C" w:rsidP="00D619D2" w:rsidRDefault="00CA16BA" w14:paraId="2C340213" w14:textId="72CC45AA">
            <w:r w:rsidRPr="1DA1E125">
              <w:rPr>
                <w:lang w:val="en-US"/>
              </w:rPr>
              <w:t>2026 Q3</w:t>
            </w:r>
          </w:p>
        </w:tc>
      </w:tr>
      <w:tr w:rsidRPr="00DD24E4" w:rsidR="00D7076C" w:rsidTr="1DA1E125" w14:paraId="293DD43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6BE" w:rsidR="00D7076C" w:rsidP="00D619D2" w:rsidRDefault="00D7076C" w14:paraId="28139C2C" w14:textId="3489A3A9">
            <w:r w:rsidRPr="00162BA3">
              <w:t>Klimaat invulling 2040 en flexibiliteiten en internationale koolstofkredieten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6BE" w:rsidR="00D7076C" w:rsidP="00D619D2" w:rsidRDefault="00D7076C" w14:paraId="135B1B95" w14:textId="1F585207">
            <w:r w:rsidRPr="00162BA3">
              <w:t>2026 Q3</w:t>
            </w:r>
          </w:p>
        </w:tc>
      </w:tr>
      <w:tr w:rsidRPr="00DD24E4" w:rsidR="00D7076C" w:rsidTr="1DA1E125" w14:paraId="44B8C2D3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742B" w:rsidR="00D7076C" w:rsidP="00D619D2" w:rsidRDefault="00D7076C" w14:paraId="7BABE423" w14:textId="44C5F4F4">
            <w:r w:rsidRPr="00B026BE">
              <w:t xml:space="preserve">ETS1 herziening 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742B" w:rsidR="00D7076C" w:rsidP="00D619D2" w:rsidRDefault="00D7076C" w14:paraId="0C5C1C5D" w14:textId="795319A4">
            <w:r w:rsidRPr="00B026BE">
              <w:t>2026 Q3</w:t>
            </w:r>
          </w:p>
        </w:tc>
      </w:tr>
      <w:tr w:rsidRPr="00DD24E4" w:rsidR="00D7076C" w:rsidTr="1DA1E125" w14:paraId="5EE43C64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076C" w:rsidP="00D619D2" w:rsidRDefault="00D7076C" w14:paraId="5F90FB35" w14:textId="67A8E3AC">
            <w:r w:rsidRPr="0060742B">
              <w:t>Veegbrief 'kabinetsreactie' van alle NKP signaalrapporten sinds zomer 2025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1DA1E125" w:rsidR="00D7076C" w:rsidP="00D619D2" w:rsidRDefault="00D7076C" w14:paraId="5801FA17" w14:textId="55332629">
            <w:pPr>
              <w:rPr>
                <w:lang w:val="en-US"/>
              </w:rPr>
            </w:pPr>
            <w:r w:rsidRPr="0060742B">
              <w:t>2026 Q3</w:t>
            </w:r>
          </w:p>
        </w:tc>
      </w:tr>
      <w:tr w:rsidRPr="00DD24E4" w:rsidR="00DD24E4" w:rsidTr="1DA1E125" w14:paraId="2F52AED8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C65627E" w14:textId="77777777">
            <w:r>
              <w:t>Kamerbrief kwartaalrapportages Q2 2026 van EU wetgevingsonderhandelingen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8805BE8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Q3</w:t>
            </w:r>
          </w:p>
        </w:tc>
      </w:tr>
      <w:tr w:rsidR="1FD60C9D" w:rsidTr="1DA1E125" w14:paraId="4690BBF0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113B1905" w:rsidP="00D619D2" w:rsidRDefault="113B1905" w14:paraId="7E6E8FF0" w14:textId="083FEC4D">
            <w:r>
              <w:t>Kamerbrief voortgang kabinetsvisie waterstofdragers (met I&amp;W)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113B1905" w:rsidP="00D619D2" w:rsidRDefault="113B1905" w14:paraId="013BE81B" w14:textId="48CB9BF2">
            <w:pPr>
              <w:rPr>
                <w:lang w:val="en-US"/>
              </w:rPr>
            </w:pPr>
            <w:r w:rsidRPr="1DA1E125">
              <w:rPr>
                <w:lang w:val="en-US"/>
              </w:rPr>
              <w:t>2026 Q3</w:t>
            </w:r>
          </w:p>
        </w:tc>
      </w:tr>
      <w:tr w:rsidRPr="00DD24E4" w:rsidR="00DD24E4" w:rsidTr="1DA1E125" w14:paraId="4A7309DE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120A6CF6" w14:textId="77777777">
            <w:r>
              <w:lastRenderedPageBreak/>
              <w:t>Kamerbrief jaarlijkse update over de activiteiten en signalenrapporten en besluit voortzetting Nationaal Klimaat Platform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502E0B3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Q3/Q4</w:t>
            </w:r>
          </w:p>
        </w:tc>
      </w:tr>
      <w:tr w:rsidRPr="00DD24E4" w:rsidR="00CA16BA" w:rsidTr="1DA1E125" w14:paraId="577290AC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16BA" w:rsidR="00CA16BA" w:rsidP="00D619D2" w:rsidRDefault="00CA16BA" w14:paraId="2B2E2235" w14:textId="585F1D4B">
            <w:r w:rsidRPr="00CA16BA">
              <w:t>Agenda en Uitvoeringsprogramma Maatschappelijk Verantwoord Opdrachtgeven en Inkopen (MVOI) 2026-2030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16BA" w:rsidR="00CA16BA" w:rsidP="00D619D2" w:rsidRDefault="00CA16BA" w14:paraId="23E30639" w14:textId="78247CF7">
            <w:r w:rsidRPr="1DA1E125">
              <w:rPr>
                <w:lang w:val="en-US"/>
              </w:rPr>
              <w:t>2026 Q3/Q4</w:t>
            </w:r>
          </w:p>
        </w:tc>
      </w:tr>
      <w:tr w:rsidRPr="00DD24E4" w:rsidR="00CA16BA" w:rsidTr="1DA1E125" w14:paraId="6FF1839C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1DA1E125" w:rsidR="00CA16BA" w:rsidP="00D619D2" w:rsidRDefault="00CA16BA" w14:paraId="6691DBC7" w14:textId="24C62D21">
            <w:pPr>
              <w:rPr>
                <w:lang w:val="en-US"/>
              </w:rPr>
            </w:pPr>
            <w:r>
              <w:rPr>
                <w:lang w:val="en-US"/>
              </w:rPr>
              <w:t>Kamerbrief n</w:t>
            </w:r>
            <w:r w:rsidRPr="00CA16BA">
              <w:t>ormering warmtepompen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1DA1E125" w:rsidR="00CA16BA" w:rsidP="00D619D2" w:rsidRDefault="00CA16BA" w14:paraId="04A95A15" w14:textId="08DB6997">
            <w:pPr>
              <w:rPr>
                <w:lang w:val="en-US"/>
              </w:rPr>
            </w:pPr>
            <w:r w:rsidRPr="1DA1E125">
              <w:rPr>
                <w:lang w:val="en-US"/>
              </w:rPr>
              <w:t>2026 Q3/Q4</w:t>
            </w:r>
          </w:p>
        </w:tc>
      </w:tr>
      <w:tr w:rsidRPr="00DD24E4" w:rsidR="00CA16BA" w:rsidTr="1DA1E125" w14:paraId="260E810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16BA" w:rsidR="00CA16BA" w:rsidP="00D619D2" w:rsidRDefault="00CA16BA" w14:paraId="11F15FB9" w14:textId="72457946">
            <w:r w:rsidRPr="00CA16BA">
              <w:t xml:space="preserve">Kamerbrief IBO-energietransitie van de </w:t>
            </w:r>
            <w:r>
              <w:t>w</w:t>
            </w:r>
            <w:r w:rsidRPr="00CA16BA">
              <w:t>oningvoorraad richting 2050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16BA" w:rsidR="00CA16BA" w:rsidP="00D619D2" w:rsidRDefault="00CA16BA" w14:paraId="73F2009D" w14:textId="31304C38">
            <w:r w:rsidRPr="1DA1E125">
              <w:rPr>
                <w:lang w:val="en-US"/>
              </w:rPr>
              <w:t>2026 Q3/Q4</w:t>
            </w:r>
          </w:p>
        </w:tc>
      </w:tr>
      <w:tr w:rsidRPr="00DD24E4" w:rsidR="00DD24E4" w:rsidTr="1DA1E125" w14:paraId="2B8763D4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A4E777E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Kamerbrief voortgang LAN/Netcongestie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F4B018D" w14:textId="4FB10AF2">
            <w:pPr>
              <w:rPr>
                <w:lang w:val="en-US"/>
              </w:rPr>
            </w:pPr>
            <w:r w:rsidRPr="1DA1E125">
              <w:rPr>
                <w:lang w:val="en-US"/>
              </w:rPr>
              <w:t>2026 Q4</w:t>
            </w:r>
            <w:r w:rsidRPr="1DA1E125" w:rsidR="00E55793">
              <w:rPr>
                <w:lang w:val="en-US"/>
              </w:rPr>
              <w:t xml:space="preserve"> week 42</w:t>
            </w:r>
          </w:p>
        </w:tc>
      </w:tr>
      <w:tr w:rsidRPr="00DD24E4" w:rsidR="00DD24E4" w:rsidTr="1DA1E125" w14:paraId="5FA17A0E" w14:textId="77777777">
        <w:trPr>
          <w:trHeight w:val="322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8E5B8B2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Kamerbrief inzet COP31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FEB4420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Q4</w:t>
            </w:r>
          </w:p>
        </w:tc>
      </w:tr>
      <w:tr w:rsidRPr="00DD24E4" w:rsidR="00DD24E4" w:rsidTr="1DA1E125" w14:paraId="2DFA3B21" w14:textId="77777777">
        <w:trPr>
          <w:trHeight w:val="322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0D463A5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Kamerbrief uitkomsten COP31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EFF94BE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Q4</w:t>
            </w:r>
          </w:p>
        </w:tc>
      </w:tr>
      <w:tr w:rsidRPr="00DD24E4" w:rsidR="00DD24E4" w:rsidTr="1DA1E125" w14:paraId="49274BA8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563D22BC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 xml:space="preserve">Kamerbrief voortgang Verduurzaming Industrie 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26A756B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Q4</w:t>
            </w:r>
          </w:p>
        </w:tc>
      </w:tr>
      <w:tr w:rsidRPr="00DD24E4" w:rsidR="00DD24E4" w:rsidTr="1DA1E125" w14:paraId="219C455E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38E584F" w14:textId="77777777">
            <w:r>
              <w:t>Kamerbrief update routekaart wind op zee (incl RK 2040)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6DE84E0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Q4</w:t>
            </w:r>
          </w:p>
        </w:tc>
      </w:tr>
      <w:tr w:rsidRPr="00DD24E4" w:rsidR="00DD24E4" w:rsidTr="1DA1E125" w14:paraId="451AF9B9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031DDF46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Kamerbrief uitslag vergunningverlening (tender) 2026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2C0B35C8" w14:textId="77777777">
            <w:pPr>
              <w:rPr>
                <w:lang w:val="en-US"/>
              </w:rPr>
            </w:pPr>
            <w:r w:rsidRPr="1DA1E125">
              <w:rPr>
                <w:lang w:val="en-US"/>
              </w:rPr>
              <w:t>2026 Q4</w:t>
            </w:r>
          </w:p>
        </w:tc>
      </w:tr>
      <w:tr w:rsidRPr="00DD24E4" w:rsidR="00DD24E4" w:rsidTr="1DA1E125" w14:paraId="2C820BC4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6EB044D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Wet bestrijden energieleveringscrisis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7110CC7F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Q4</w:t>
            </w:r>
          </w:p>
        </w:tc>
      </w:tr>
      <w:tr w:rsidRPr="00DD24E4" w:rsidR="00DD24E4" w:rsidTr="1DA1E125" w14:paraId="1D5090AF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140A19C6" w14:textId="77777777">
            <w:r w:rsidRPr="00DD24E4">
              <w:t>Kamerbrief kwartaalrapportages Q3 2026 van EU wetgevingsonderhandelingen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628B83EA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Q4</w:t>
            </w:r>
          </w:p>
        </w:tc>
      </w:tr>
      <w:tr w:rsidRPr="00DD24E4" w:rsidR="00DD24E4" w:rsidTr="1DA1E125" w14:paraId="0D1254FD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6CB59E6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Aanbiedingsbrief bij jaarplan SODM 2026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24E4" w:rsidR="00DD24E4" w:rsidP="00D619D2" w:rsidRDefault="00DD24E4" w14:paraId="32449B9B" w14:textId="77777777">
            <w:pPr>
              <w:rPr>
                <w:lang w:val="en-US"/>
              </w:rPr>
            </w:pPr>
            <w:r w:rsidRPr="00DD24E4">
              <w:rPr>
                <w:lang w:val="en-US"/>
              </w:rPr>
              <w:t>2026 Q4</w:t>
            </w:r>
          </w:p>
        </w:tc>
      </w:tr>
      <w:tr w:rsidRPr="00DD24E4" w:rsidR="00E55793" w:rsidTr="1DA1E125" w14:paraId="7D03E8B5" w14:textId="77777777">
        <w:trPr>
          <w:trHeight w:val="300"/>
        </w:trPr>
        <w:tc>
          <w:tcPr>
            <w:tcW w:w="4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E55793" w:rsidP="00D619D2" w:rsidRDefault="00E55793" w14:paraId="70F2871E" w14:textId="7E23D4DF">
            <w:pPr>
              <w:rPr>
                <w:lang w:val="en-US"/>
              </w:rPr>
            </w:pPr>
            <w:r w:rsidRPr="1DA1E125">
              <w:rPr>
                <w:lang w:val="en-US"/>
              </w:rPr>
              <w:t>Kamerbrief voortang Realisatie Energietransitie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24E4" w:rsidR="00E55793" w:rsidP="00D619D2" w:rsidRDefault="00E55793" w14:paraId="2336811D" w14:textId="055DF30F">
            <w:pPr>
              <w:rPr>
                <w:lang w:val="en-US"/>
              </w:rPr>
            </w:pPr>
            <w:r w:rsidRPr="1DA1E125">
              <w:rPr>
                <w:lang w:val="en-US"/>
              </w:rPr>
              <w:t>2026 Q4</w:t>
            </w:r>
          </w:p>
        </w:tc>
      </w:tr>
    </w:tbl>
    <w:p w:rsidRPr="00DD24E4" w:rsidR="00DD24E4" w:rsidP="00D619D2" w:rsidRDefault="00DD24E4" w14:paraId="135332EC" w14:textId="77777777"/>
    <w:p w:rsidRPr="00DD24E4" w:rsidR="00DD24E4" w:rsidP="00D619D2" w:rsidRDefault="00DD24E4" w14:paraId="79D5465F" w14:textId="77777777"/>
    <w:p w:rsidR="00BD2D73" w:rsidP="00D619D2" w:rsidRDefault="00BD2D73" w14:paraId="566A855F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A066" w14:textId="77777777" w:rsidR="002E6766" w:rsidRDefault="002E6766">
      <w:r>
        <w:separator/>
      </w:r>
    </w:p>
    <w:p w14:paraId="216F6AC2" w14:textId="77777777" w:rsidR="002E6766" w:rsidRDefault="002E6766"/>
  </w:endnote>
  <w:endnote w:type="continuationSeparator" w:id="0">
    <w:p w14:paraId="46C51161" w14:textId="77777777" w:rsidR="002E6766" w:rsidRDefault="002E6766">
      <w:r>
        <w:continuationSeparator/>
      </w:r>
    </w:p>
    <w:p w14:paraId="113887D7" w14:textId="77777777" w:rsidR="002E6766" w:rsidRDefault="002E6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264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31A73" w14:paraId="7CD3A58B" w14:textId="77777777" w:rsidTr="00CA6A25">
      <w:trPr>
        <w:trHeight w:hRule="exact" w:val="240"/>
      </w:trPr>
      <w:tc>
        <w:tcPr>
          <w:tcW w:w="7601" w:type="dxa"/>
        </w:tcPr>
        <w:p w14:paraId="4F73A41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26AF8B3" w14:textId="0189344A" w:rsidR="00527BD4" w:rsidRPr="00645414" w:rsidRDefault="00AB777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F644E3">
            <w:t>4</w:t>
          </w:r>
          <w:r w:rsidR="004425CC">
            <w:fldChar w:fldCharType="end"/>
          </w:r>
        </w:p>
      </w:tc>
    </w:tr>
  </w:tbl>
  <w:p w14:paraId="5E82C06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31A73" w14:paraId="588630A8" w14:textId="77777777" w:rsidTr="00CA6A25">
      <w:trPr>
        <w:trHeight w:hRule="exact" w:val="240"/>
      </w:trPr>
      <w:tc>
        <w:tcPr>
          <w:tcW w:w="7601" w:type="dxa"/>
        </w:tcPr>
        <w:p w14:paraId="57889522" w14:textId="77777777" w:rsidR="00527BD4" w:rsidRDefault="00527BD4" w:rsidP="009D1EDD">
          <w:pPr>
            <w:pStyle w:val="Huisstijl-Rubricering"/>
            <w:jc w:val="center"/>
          </w:pPr>
        </w:p>
      </w:tc>
      <w:tc>
        <w:tcPr>
          <w:tcW w:w="2170" w:type="dxa"/>
        </w:tcPr>
        <w:p w14:paraId="2DCE25A0" w14:textId="4AF7D5EE" w:rsidR="00527BD4" w:rsidRPr="00ED539E" w:rsidRDefault="00AB777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F644E3">
            <w:t>4</w:t>
          </w:r>
          <w:r w:rsidR="006A013B">
            <w:fldChar w:fldCharType="end"/>
          </w:r>
        </w:p>
      </w:tc>
    </w:tr>
  </w:tbl>
  <w:p w14:paraId="2F058C7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E9F57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0FDC" w14:textId="77777777" w:rsidR="002E6766" w:rsidRDefault="002E6766">
      <w:r>
        <w:separator/>
      </w:r>
    </w:p>
    <w:p w14:paraId="7B52182D" w14:textId="77777777" w:rsidR="002E6766" w:rsidRDefault="002E6766"/>
  </w:footnote>
  <w:footnote w:type="continuationSeparator" w:id="0">
    <w:p w14:paraId="3505641C" w14:textId="77777777" w:rsidR="002E6766" w:rsidRDefault="002E6766">
      <w:r>
        <w:continuationSeparator/>
      </w:r>
    </w:p>
    <w:p w14:paraId="2ADE62A3" w14:textId="77777777" w:rsidR="002E6766" w:rsidRDefault="002E6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31A73" w14:paraId="1CD14DEA" w14:textId="77777777" w:rsidTr="00A50CF6">
      <w:tc>
        <w:tcPr>
          <w:tcW w:w="2156" w:type="dxa"/>
        </w:tcPr>
        <w:p w14:paraId="134D7013" w14:textId="77777777" w:rsidR="00527BD4" w:rsidRPr="005819CE" w:rsidRDefault="00AB777D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031A73" w14:paraId="2D6C5C73" w14:textId="77777777" w:rsidTr="00A50CF6">
      <w:trPr>
        <w:trHeight w:hRule="exact" w:val="200"/>
      </w:trPr>
      <w:tc>
        <w:tcPr>
          <w:tcW w:w="2156" w:type="dxa"/>
        </w:tcPr>
        <w:p w14:paraId="24A6C8A6" w14:textId="77777777" w:rsidR="00527BD4" w:rsidRPr="005819CE" w:rsidRDefault="00527BD4" w:rsidP="00A50CF6"/>
      </w:tc>
    </w:tr>
    <w:tr w:rsidR="00031A73" w14:paraId="0BCF3EEB" w14:textId="77777777" w:rsidTr="00502512">
      <w:trPr>
        <w:trHeight w:hRule="exact" w:val="774"/>
      </w:trPr>
      <w:tc>
        <w:tcPr>
          <w:tcW w:w="2156" w:type="dxa"/>
        </w:tcPr>
        <w:p w14:paraId="312380F1" w14:textId="77777777" w:rsidR="00527BD4" w:rsidRDefault="00AB777D" w:rsidP="003A5290">
          <w:pPr>
            <w:pStyle w:val="Huisstijl-Kopje"/>
          </w:pPr>
          <w:r>
            <w:t>Ons kenmerk</w:t>
          </w:r>
        </w:p>
        <w:p w14:paraId="3A167D3C" w14:textId="2DB740B3" w:rsidR="00527BD4" w:rsidRPr="005819CE" w:rsidRDefault="00AB777D" w:rsidP="004425CC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 w:rsidR="00D619D2" w:rsidRPr="00D619D2">
            <w:rPr>
              <w:b w:val="0"/>
            </w:rPr>
            <w:t>106137799</w:t>
          </w:r>
        </w:p>
      </w:tc>
    </w:tr>
  </w:tbl>
  <w:p w14:paraId="28AD61D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E90205F" w14:textId="77777777" w:rsidR="00527BD4" w:rsidRDefault="00527BD4" w:rsidP="008C356D"/>
  <w:p w14:paraId="1A36A21F" w14:textId="77777777" w:rsidR="00527BD4" w:rsidRPr="00740712" w:rsidRDefault="00527BD4" w:rsidP="008C356D"/>
  <w:p w14:paraId="3CF64F4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04C7D0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166849D" w14:textId="77777777" w:rsidR="00527BD4" w:rsidRDefault="00527BD4" w:rsidP="004F44C2"/>
  <w:p w14:paraId="74FA3E8B" w14:textId="77777777" w:rsidR="00527BD4" w:rsidRPr="00740712" w:rsidRDefault="00527BD4" w:rsidP="004F44C2"/>
  <w:p w14:paraId="3F3E4D9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31A73" w14:paraId="23E9ECD4" w14:textId="77777777" w:rsidTr="00751A6A">
      <w:trPr>
        <w:trHeight w:val="2636"/>
      </w:trPr>
      <w:tc>
        <w:tcPr>
          <w:tcW w:w="737" w:type="dxa"/>
        </w:tcPr>
        <w:p w14:paraId="007C8F2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58DB1B3" w14:textId="77777777" w:rsidR="00527BD4" w:rsidRDefault="00AB777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EF07507" wp14:editId="49C682CE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E6FFA3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02F47F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0E8F5D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31A73" w14:paraId="4C141249" w14:textId="77777777" w:rsidTr="00A50CF6">
      <w:tc>
        <w:tcPr>
          <w:tcW w:w="2160" w:type="dxa"/>
        </w:tcPr>
        <w:p w14:paraId="542B5560" w14:textId="77777777" w:rsidR="00527BD4" w:rsidRPr="005819CE" w:rsidRDefault="00AB777D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1D7726C8" w14:textId="77777777" w:rsidR="00527BD4" w:rsidRPr="00BE5ED9" w:rsidRDefault="00AB777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F179780" w14:textId="77777777" w:rsidR="00EF495B" w:rsidRDefault="00AB777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71C0954" w14:textId="77777777" w:rsidR="00EF495B" w:rsidRPr="005B3814" w:rsidRDefault="00AB777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CB94EE2" w14:textId="3817C885" w:rsidR="00527BD4" w:rsidRPr="009D1EDD" w:rsidRDefault="00AB777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031A73" w14:paraId="77A169C0" w14:textId="77777777" w:rsidTr="00A50CF6">
      <w:trPr>
        <w:trHeight w:hRule="exact" w:val="200"/>
      </w:trPr>
      <w:tc>
        <w:tcPr>
          <w:tcW w:w="2160" w:type="dxa"/>
        </w:tcPr>
        <w:p w14:paraId="390E60B9" w14:textId="77777777" w:rsidR="00527BD4" w:rsidRPr="005819CE" w:rsidRDefault="00527BD4" w:rsidP="00A50CF6"/>
      </w:tc>
    </w:tr>
    <w:tr w:rsidR="00031A73" w14:paraId="23E414BE" w14:textId="77777777" w:rsidTr="00A50CF6">
      <w:tc>
        <w:tcPr>
          <w:tcW w:w="2160" w:type="dxa"/>
        </w:tcPr>
        <w:p w14:paraId="0662F512" w14:textId="77777777" w:rsidR="000C0163" w:rsidRPr="005819CE" w:rsidRDefault="00AB777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D607301" w14:textId="4E042384" w:rsidR="000C0163" w:rsidRPr="005819CE" w:rsidRDefault="00AB777D" w:rsidP="000C0163">
          <w:pPr>
            <w:pStyle w:val="Huisstijl-Gegeven"/>
          </w:pPr>
          <w:r>
            <w:t>BPZ</w:t>
          </w:r>
          <w:r w:rsidR="00926AE2">
            <w:t xml:space="preserve"> / </w:t>
          </w:r>
          <w:r w:rsidR="009D1EDD" w:rsidRPr="009D1EDD">
            <w:t>106137799</w:t>
          </w:r>
        </w:p>
        <w:p w14:paraId="4C81A001" w14:textId="77777777" w:rsidR="00527BD4" w:rsidRPr="005819CE" w:rsidRDefault="00527BD4" w:rsidP="00D619D2">
          <w:pPr>
            <w:pStyle w:val="Huisstijl-Kopje"/>
          </w:pPr>
        </w:p>
      </w:tc>
    </w:tr>
  </w:tbl>
  <w:p w14:paraId="7FFC705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31A73" w14:paraId="450A8D98" w14:textId="77777777" w:rsidTr="007610AA">
      <w:trPr>
        <w:trHeight w:val="400"/>
      </w:trPr>
      <w:tc>
        <w:tcPr>
          <w:tcW w:w="7520" w:type="dxa"/>
          <w:gridSpan w:val="2"/>
        </w:tcPr>
        <w:p w14:paraId="126EF06F" w14:textId="77777777" w:rsidR="00527BD4" w:rsidRPr="00BC3B53" w:rsidRDefault="00AB777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31A73" w14:paraId="716DF875" w14:textId="77777777" w:rsidTr="007610AA">
      <w:tc>
        <w:tcPr>
          <w:tcW w:w="7520" w:type="dxa"/>
          <w:gridSpan w:val="2"/>
        </w:tcPr>
        <w:p w14:paraId="40E6CDB2" w14:textId="77777777" w:rsidR="00527BD4" w:rsidRPr="00983E8F" w:rsidRDefault="00527BD4" w:rsidP="00A50CF6">
          <w:pPr>
            <w:pStyle w:val="Huisstijl-Rubricering"/>
          </w:pPr>
        </w:p>
      </w:tc>
    </w:tr>
    <w:tr w:rsidR="00031A73" w14:paraId="7CF5AA39" w14:textId="77777777" w:rsidTr="007610AA">
      <w:trPr>
        <w:trHeight w:hRule="exact" w:val="2440"/>
      </w:trPr>
      <w:tc>
        <w:tcPr>
          <w:tcW w:w="7520" w:type="dxa"/>
          <w:gridSpan w:val="2"/>
        </w:tcPr>
        <w:p w14:paraId="22E195B2" w14:textId="77777777" w:rsidR="00527BD4" w:rsidRDefault="00AB777D" w:rsidP="00A50CF6">
          <w:pPr>
            <w:pStyle w:val="Huisstijl-NAW"/>
          </w:pPr>
          <w:r>
            <w:t xml:space="preserve">De Voorzitter van de Tweede Kamer </w:t>
          </w:r>
        </w:p>
        <w:p w14:paraId="43388470" w14:textId="77777777" w:rsidR="00031A73" w:rsidRDefault="00AB777D">
          <w:pPr>
            <w:pStyle w:val="Huisstijl-NAW"/>
          </w:pPr>
          <w:r>
            <w:t xml:space="preserve">der Staten-Generaal </w:t>
          </w:r>
        </w:p>
        <w:p w14:paraId="6A3D8E0F" w14:textId="77777777" w:rsidR="00031A73" w:rsidRDefault="00AB777D">
          <w:pPr>
            <w:pStyle w:val="Huisstijl-NAW"/>
          </w:pPr>
          <w:r>
            <w:t xml:space="preserve">Prinses Irenestraat 6 </w:t>
          </w:r>
        </w:p>
        <w:p w14:paraId="567FB954" w14:textId="4409E2BC" w:rsidR="00031A73" w:rsidRDefault="00AB777D">
          <w:pPr>
            <w:pStyle w:val="Huisstijl-NAW"/>
          </w:pPr>
          <w:r>
            <w:t xml:space="preserve">2595 BD </w:t>
          </w:r>
          <w:r w:rsidR="00D619D2">
            <w:t xml:space="preserve"> </w:t>
          </w:r>
          <w:r>
            <w:t>DEN HAAG</w:t>
          </w:r>
        </w:p>
      </w:tc>
    </w:tr>
    <w:tr w:rsidR="00031A73" w14:paraId="738D734A" w14:textId="77777777" w:rsidTr="007610AA">
      <w:trPr>
        <w:trHeight w:hRule="exact" w:val="400"/>
      </w:trPr>
      <w:tc>
        <w:tcPr>
          <w:tcW w:w="7520" w:type="dxa"/>
          <w:gridSpan w:val="2"/>
        </w:tcPr>
        <w:p w14:paraId="77903D5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31A73" w14:paraId="449B7522" w14:textId="77777777" w:rsidTr="007610AA">
      <w:trPr>
        <w:trHeight w:val="240"/>
      </w:trPr>
      <w:tc>
        <w:tcPr>
          <w:tcW w:w="900" w:type="dxa"/>
        </w:tcPr>
        <w:p w14:paraId="148CCB82" w14:textId="77777777" w:rsidR="00527BD4" w:rsidRPr="007709EF" w:rsidRDefault="00AB777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867E3CF" w14:textId="3BB5128B" w:rsidR="00527BD4" w:rsidRPr="007709EF" w:rsidRDefault="0039100C" w:rsidP="00A50CF6">
          <w:r>
            <w:t>15 mei 2026</w:t>
          </w:r>
        </w:p>
      </w:tc>
    </w:tr>
    <w:tr w:rsidR="00031A73" w14:paraId="1FEE91BA" w14:textId="77777777" w:rsidTr="007610AA">
      <w:trPr>
        <w:trHeight w:val="240"/>
      </w:trPr>
      <w:tc>
        <w:tcPr>
          <w:tcW w:w="900" w:type="dxa"/>
        </w:tcPr>
        <w:p w14:paraId="1AE979C9" w14:textId="77777777" w:rsidR="00527BD4" w:rsidRPr="007709EF" w:rsidRDefault="00AB777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9F1E518" w14:textId="77777777" w:rsidR="00527BD4" w:rsidRPr="007709EF" w:rsidRDefault="00AB777D" w:rsidP="00A50CF6">
          <w:r>
            <w:t>Actualisatie planningsbrief commissie KGG</w:t>
          </w:r>
        </w:p>
      </w:tc>
    </w:tr>
  </w:tbl>
  <w:p w14:paraId="1E59556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D6AFB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A47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52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27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C2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B80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03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A3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827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EF6DC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C7E33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4C8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69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4D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366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E8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2A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83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573275">
    <w:abstractNumId w:val="10"/>
  </w:num>
  <w:num w:numId="2" w16cid:durableId="886719836">
    <w:abstractNumId w:val="7"/>
  </w:num>
  <w:num w:numId="3" w16cid:durableId="1762949376">
    <w:abstractNumId w:val="6"/>
  </w:num>
  <w:num w:numId="4" w16cid:durableId="2075856300">
    <w:abstractNumId w:val="5"/>
  </w:num>
  <w:num w:numId="5" w16cid:durableId="598222793">
    <w:abstractNumId w:val="4"/>
  </w:num>
  <w:num w:numId="6" w16cid:durableId="781341473">
    <w:abstractNumId w:val="8"/>
  </w:num>
  <w:num w:numId="7" w16cid:durableId="318467384">
    <w:abstractNumId w:val="3"/>
  </w:num>
  <w:num w:numId="8" w16cid:durableId="2107382763">
    <w:abstractNumId w:val="2"/>
  </w:num>
  <w:num w:numId="9" w16cid:durableId="1518495835">
    <w:abstractNumId w:val="1"/>
  </w:num>
  <w:num w:numId="10" w16cid:durableId="1178890533">
    <w:abstractNumId w:val="0"/>
  </w:num>
  <w:num w:numId="11" w16cid:durableId="1326787050">
    <w:abstractNumId w:val="9"/>
  </w:num>
  <w:num w:numId="12" w16cid:durableId="813640332">
    <w:abstractNumId w:val="11"/>
  </w:num>
  <w:num w:numId="13" w16cid:durableId="1820611145">
    <w:abstractNumId w:val="13"/>
  </w:num>
  <w:num w:numId="14" w16cid:durableId="18075090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1A73"/>
    <w:rsid w:val="00033CDD"/>
    <w:rsid w:val="00034A84"/>
    <w:rsid w:val="00035E67"/>
    <w:rsid w:val="000366F3"/>
    <w:rsid w:val="00041416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3675B"/>
    <w:rsid w:val="0014462A"/>
    <w:rsid w:val="00146488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15C6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02B96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6766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100C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008C"/>
    <w:rsid w:val="003C2CCB"/>
    <w:rsid w:val="003D39EC"/>
    <w:rsid w:val="003D5DED"/>
    <w:rsid w:val="003E014D"/>
    <w:rsid w:val="003E3DD5"/>
    <w:rsid w:val="003F07C6"/>
    <w:rsid w:val="003F1F6B"/>
    <w:rsid w:val="003F3757"/>
    <w:rsid w:val="003F38BD"/>
    <w:rsid w:val="003F44B7"/>
    <w:rsid w:val="004008E9"/>
    <w:rsid w:val="00413D48"/>
    <w:rsid w:val="00416D5A"/>
    <w:rsid w:val="00420C02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5C56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1E9E"/>
    <w:rsid w:val="00522D6C"/>
    <w:rsid w:val="00524FB4"/>
    <w:rsid w:val="00527BD4"/>
    <w:rsid w:val="00532F69"/>
    <w:rsid w:val="005330E6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86E0F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1EAF"/>
    <w:rsid w:val="007535A8"/>
    <w:rsid w:val="00754FBF"/>
    <w:rsid w:val="007610AA"/>
    <w:rsid w:val="007709EF"/>
    <w:rsid w:val="00782701"/>
    <w:rsid w:val="00783559"/>
    <w:rsid w:val="007952A6"/>
    <w:rsid w:val="0079551B"/>
    <w:rsid w:val="00797AA5"/>
    <w:rsid w:val="007A26BD"/>
    <w:rsid w:val="007A4105"/>
    <w:rsid w:val="007B4503"/>
    <w:rsid w:val="007C406E"/>
    <w:rsid w:val="007C5183"/>
    <w:rsid w:val="007C51E2"/>
    <w:rsid w:val="007C7573"/>
    <w:rsid w:val="007E2B20"/>
    <w:rsid w:val="007F1FE4"/>
    <w:rsid w:val="007F439C"/>
    <w:rsid w:val="007F5331"/>
    <w:rsid w:val="00800CCA"/>
    <w:rsid w:val="008014F7"/>
    <w:rsid w:val="00806120"/>
    <w:rsid w:val="00806F63"/>
    <w:rsid w:val="00810C93"/>
    <w:rsid w:val="00812028"/>
    <w:rsid w:val="00812DD8"/>
    <w:rsid w:val="00813082"/>
    <w:rsid w:val="00814D03"/>
    <w:rsid w:val="00817D99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6C6A"/>
    <w:rsid w:val="00922290"/>
    <w:rsid w:val="00926AE2"/>
    <w:rsid w:val="00930B13"/>
    <w:rsid w:val="009311C8"/>
    <w:rsid w:val="00933376"/>
    <w:rsid w:val="00933A2F"/>
    <w:rsid w:val="0093461C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1ED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57952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777D"/>
    <w:rsid w:val="00AC52B2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33B1"/>
    <w:rsid w:val="00B453F7"/>
    <w:rsid w:val="00B531DD"/>
    <w:rsid w:val="00B55014"/>
    <w:rsid w:val="00B62232"/>
    <w:rsid w:val="00B70BF3"/>
    <w:rsid w:val="00B71DC2"/>
    <w:rsid w:val="00B849F5"/>
    <w:rsid w:val="00B85AB7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231E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16BA"/>
    <w:rsid w:val="00CA47D3"/>
    <w:rsid w:val="00CA58B7"/>
    <w:rsid w:val="00CA6533"/>
    <w:rsid w:val="00CA6A25"/>
    <w:rsid w:val="00CA6A3F"/>
    <w:rsid w:val="00CA7C99"/>
    <w:rsid w:val="00CB0A71"/>
    <w:rsid w:val="00CC458E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404EA"/>
    <w:rsid w:val="00D516BE"/>
    <w:rsid w:val="00D5423B"/>
    <w:rsid w:val="00D54E6A"/>
    <w:rsid w:val="00D54F4E"/>
    <w:rsid w:val="00D56E01"/>
    <w:rsid w:val="00D57A56"/>
    <w:rsid w:val="00D604B3"/>
    <w:rsid w:val="00D60BA4"/>
    <w:rsid w:val="00D619D2"/>
    <w:rsid w:val="00D62419"/>
    <w:rsid w:val="00D7076C"/>
    <w:rsid w:val="00D77870"/>
    <w:rsid w:val="00D80126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24E4"/>
    <w:rsid w:val="00DD338F"/>
    <w:rsid w:val="00DD66F2"/>
    <w:rsid w:val="00DE3FE0"/>
    <w:rsid w:val="00DE4BA6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5793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B038E"/>
    <w:rsid w:val="00EB454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166A"/>
    <w:rsid w:val="00F03963"/>
    <w:rsid w:val="00F11068"/>
    <w:rsid w:val="00F1256D"/>
    <w:rsid w:val="00F1295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44E3"/>
    <w:rsid w:val="00F66F13"/>
    <w:rsid w:val="00F74073"/>
    <w:rsid w:val="00F75603"/>
    <w:rsid w:val="00F845B4"/>
    <w:rsid w:val="00F8713B"/>
    <w:rsid w:val="00F9257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113B1905"/>
    <w:rsid w:val="1DA1E125"/>
    <w:rsid w:val="1FD60C9D"/>
    <w:rsid w:val="2488AD31"/>
    <w:rsid w:val="2AB9E757"/>
    <w:rsid w:val="333A31C6"/>
    <w:rsid w:val="363A7571"/>
    <w:rsid w:val="42E919CB"/>
    <w:rsid w:val="43D2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87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D8012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766</ap:Words>
  <ap:Characters>4218</ap:Characters>
  <ap:DocSecurity>0</ap:DocSecurity>
  <ap:Lines>35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2026-05-15T08:33:00.0000000Z</dcterms:created>
  <dcterms:modified xsi:type="dcterms:W3CDTF">2026-05-15T08:33:00.0000000Z</dcterms:modified>
  <dc:description>------------------------</dc:description>
  <dc:subject/>
  <keywords/>
  <version/>
  <category/>
</coreProperties>
</file>