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1F6849" w:rsidRDefault="00021A49" w14:paraId="3F39A68D" w14:textId="646A57A1">
      <w:pPr>
        <w:spacing w:after="0"/>
        <w:contextualSpacing/>
        <w:rPr>
          <w:b/>
          <w:szCs w:val="18"/>
          <w:lang w:val="nl-NL"/>
        </w:rPr>
      </w:pPr>
      <w:bookmarkStart w:name="_Hlk108774585" w:id="0"/>
      <w:r>
        <w:rPr>
          <w:b/>
          <w:szCs w:val="18"/>
          <w:lang w:val="nl-NL"/>
        </w:rPr>
        <w:t xml:space="preserve">GEANNOTEERDE AGENDA RAAD </w:t>
      </w:r>
      <w:r w:rsidR="00E6324F">
        <w:rPr>
          <w:b/>
          <w:szCs w:val="18"/>
          <w:lang w:val="nl-NL"/>
        </w:rPr>
        <w:t xml:space="preserve">ALGEMENE </w:t>
      </w:r>
      <w:r>
        <w:rPr>
          <w:b/>
          <w:szCs w:val="18"/>
          <w:lang w:val="nl-NL"/>
        </w:rPr>
        <w:t xml:space="preserve">ZAKEN VAN </w:t>
      </w:r>
      <w:r w:rsidR="001F6849">
        <w:rPr>
          <w:b/>
          <w:szCs w:val="18"/>
          <w:lang w:val="nl-NL"/>
        </w:rPr>
        <w:t>26 MEI 2026</w:t>
      </w:r>
      <w:r>
        <w:rPr>
          <w:b/>
          <w:szCs w:val="18"/>
          <w:lang w:val="nl-NL"/>
        </w:rPr>
        <w:t xml:space="preserve"> </w:t>
      </w:r>
    </w:p>
    <w:p w:rsidR="00A26844" w:rsidP="001F6849" w:rsidRDefault="00A26844" w14:paraId="1E4E1626" w14:textId="77777777">
      <w:pPr>
        <w:spacing w:after="0"/>
        <w:contextualSpacing/>
        <w:rPr>
          <w:szCs w:val="18"/>
          <w:lang w:val="nl-NL" w:eastAsia="ja-JP"/>
        </w:rPr>
      </w:pPr>
    </w:p>
    <w:p w:rsidRPr="00A26844" w:rsidR="00021A49" w:rsidP="005571A2" w:rsidRDefault="005571A2" w14:paraId="61417BA5" w14:textId="683CC313">
      <w:pPr>
        <w:rPr>
          <w:szCs w:val="18"/>
          <w:lang w:val="nl-NL" w:eastAsia="ja-JP"/>
        </w:rPr>
      </w:pPr>
      <w:r w:rsidRPr="005571A2">
        <w:rPr>
          <w:szCs w:val="18"/>
          <w:lang w:val="nl-NL" w:eastAsia="ja-JP"/>
        </w:rPr>
        <w:t xml:space="preserve">Op dinsdag 26 mei a.s. vindt de Raad Algemene Zaken </w:t>
      </w:r>
      <w:r w:rsidR="00FB42EF">
        <w:rPr>
          <w:szCs w:val="18"/>
          <w:lang w:val="nl-NL" w:eastAsia="ja-JP"/>
        </w:rPr>
        <w:t xml:space="preserve">(RAZ) </w:t>
      </w:r>
      <w:r w:rsidRPr="005571A2">
        <w:rPr>
          <w:szCs w:val="18"/>
          <w:lang w:val="nl-NL" w:eastAsia="ja-JP"/>
        </w:rPr>
        <w:t>plaats in Brussel. Tijdens deze bijeenkomst zal de Raad spreken over het Meerjarig Financieel Kader</w:t>
      </w:r>
      <w:r w:rsidR="00C75C92">
        <w:rPr>
          <w:szCs w:val="18"/>
          <w:lang w:val="nl-NL" w:eastAsia="ja-JP"/>
        </w:rPr>
        <w:t xml:space="preserve"> (MFK)</w:t>
      </w:r>
      <w:r w:rsidRPr="005571A2">
        <w:rPr>
          <w:szCs w:val="18"/>
          <w:lang w:val="nl-NL" w:eastAsia="ja-JP"/>
        </w:rPr>
        <w:t xml:space="preserve">, de agenda van de Europese Raad van 18 en 19 juni, </w:t>
      </w:r>
      <w:r w:rsidR="00A80AC5">
        <w:rPr>
          <w:szCs w:val="18"/>
          <w:lang w:val="nl-NL" w:eastAsia="ja-JP"/>
        </w:rPr>
        <w:t xml:space="preserve">en </w:t>
      </w:r>
      <w:r w:rsidRPr="005571A2">
        <w:rPr>
          <w:szCs w:val="18"/>
          <w:lang w:val="nl-NL" w:eastAsia="ja-JP"/>
        </w:rPr>
        <w:t>de betrekkingen tussen de Europese Unie (EU) en het Verenigd Koninkrijk (VK)</w:t>
      </w:r>
      <w:r w:rsidR="00A80AC5">
        <w:rPr>
          <w:szCs w:val="18"/>
          <w:lang w:val="nl-NL" w:eastAsia="ja-JP"/>
        </w:rPr>
        <w:t xml:space="preserve">. Ook zullen </w:t>
      </w:r>
      <w:r w:rsidRPr="005571A2">
        <w:rPr>
          <w:szCs w:val="18"/>
          <w:lang w:val="nl-NL" w:eastAsia="ja-JP"/>
        </w:rPr>
        <w:t xml:space="preserve">de rechtsstaatdialogen </w:t>
      </w:r>
      <w:r w:rsidR="00A80AC5">
        <w:rPr>
          <w:szCs w:val="18"/>
          <w:lang w:val="nl-NL" w:eastAsia="ja-JP"/>
        </w:rPr>
        <w:t>worden gevoerd met</w:t>
      </w:r>
      <w:r w:rsidRPr="005571A2">
        <w:rPr>
          <w:szCs w:val="18"/>
          <w:lang w:val="nl-NL" w:eastAsia="ja-JP"/>
        </w:rPr>
        <w:t xml:space="preserve"> Frankrijk, Kroatië, Italië en Letland.</w:t>
      </w:r>
    </w:p>
    <w:p w:rsidRPr="00A26844" w:rsidR="00021A49" w:rsidP="001F6849" w:rsidRDefault="001F6849" w14:paraId="28316194" w14:textId="2547A0C9">
      <w:pPr>
        <w:pStyle w:val="NoSpacing"/>
        <w:contextualSpacing/>
        <w:rPr>
          <w:b/>
          <w:szCs w:val="18"/>
          <w:lang w:val="nl-NL"/>
        </w:rPr>
      </w:pPr>
      <w:r>
        <w:rPr>
          <w:b/>
          <w:szCs w:val="18"/>
          <w:lang w:val="nl-NL"/>
        </w:rPr>
        <w:t>Meerjarig Financieel Kader</w:t>
      </w:r>
    </w:p>
    <w:bookmarkEnd w:id="0"/>
    <w:p w:rsidR="000F4D6C" w:rsidP="00443A6B" w:rsidRDefault="000F4D6C" w14:paraId="2BAB28A0" w14:textId="092C68F9">
      <w:pPr>
        <w:spacing w:after="0"/>
        <w:contextualSpacing/>
        <w:rPr>
          <w:rFonts w:cs="Times New Roman"/>
          <w:szCs w:val="18"/>
          <w:lang w:val="nl-NL" w:eastAsia="ja-JP"/>
        </w:rPr>
      </w:pPr>
      <w:r w:rsidRPr="000F4D6C">
        <w:rPr>
          <w:rFonts w:cs="Times New Roman"/>
          <w:szCs w:val="18"/>
          <w:lang w:val="nl-NL" w:eastAsia="ja-JP"/>
        </w:rPr>
        <w:t xml:space="preserve">De Raad zal spreken over het </w:t>
      </w:r>
      <w:r>
        <w:rPr>
          <w:rFonts w:cs="Times New Roman"/>
          <w:szCs w:val="18"/>
          <w:lang w:val="nl-NL" w:eastAsia="ja-JP"/>
        </w:rPr>
        <w:t xml:space="preserve">volgend </w:t>
      </w:r>
      <w:r w:rsidRPr="000F4D6C">
        <w:rPr>
          <w:rFonts w:cs="Times New Roman"/>
          <w:szCs w:val="18"/>
          <w:lang w:val="nl-NL" w:eastAsia="ja-JP"/>
        </w:rPr>
        <w:t>MFK</w:t>
      </w:r>
      <w:r>
        <w:rPr>
          <w:rFonts w:cs="Times New Roman"/>
          <w:szCs w:val="18"/>
          <w:lang w:val="nl-NL" w:eastAsia="ja-JP"/>
        </w:rPr>
        <w:t xml:space="preserve"> vanaf 2028</w:t>
      </w:r>
      <w:r w:rsidRPr="000F4D6C">
        <w:rPr>
          <w:rFonts w:cs="Times New Roman"/>
          <w:szCs w:val="18"/>
          <w:lang w:val="nl-NL" w:eastAsia="ja-JP"/>
        </w:rPr>
        <w:t xml:space="preserve">. Specifiek staat een discussie geagendeerd over </w:t>
      </w:r>
      <w:r>
        <w:rPr>
          <w:rFonts w:cs="Times New Roman"/>
          <w:szCs w:val="18"/>
          <w:lang w:val="nl-NL" w:eastAsia="ja-JP"/>
        </w:rPr>
        <w:t xml:space="preserve">de </w:t>
      </w:r>
      <w:r w:rsidRPr="000F4D6C">
        <w:rPr>
          <w:rFonts w:cs="Times New Roman"/>
          <w:szCs w:val="18"/>
          <w:lang w:val="nl-NL" w:eastAsia="ja-JP"/>
        </w:rPr>
        <w:t xml:space="preserve">rol </w:t>
      </w:r>
      <w:r>
        <w:rPr>
          <w:rFonts w:cs="Times New Roman"/>
          <w:szCs w:val="18"/>
          <w:lang w:val="nl-NL" w:eastAsia="ja-JP"/>
        </w:rPr>
        <w:t xml:space="preserve">van het </w:t>
      </w:r>
      <w:r w:rsidRPr="000F4D6C">
        <w:rPr>
          <w:rFonts w:cs="Times New Roman"/>
          <w:szCs w:val="18"/>
          <w:lang w:val="nl-NL" w:eastAsia="ja-JP"/>
        </w:rPr>
        <w:t xml:space="preserve">MFK in </w:t>
      </w:r>
      <w:r>
        <w:rPr>
          <w:rFonts w:cs="Times New Roman"/>
          <w:szCs w:val="18"/>
          <w:lang w:val="nl-NL" w:eastAsia="ja-JP"/>
        </w:rPr>
        <w:t xml:space="preserve">het </w:t>
      </w:r>
      <w:r w:rsidRPr="000F4D6C">
        <w:rPr>
          <w:rFonts w:cs="Times New Roman"/>
          <w:szCs w:val="18"/>
          <w:lang w:val="nl-NL" w:eastAsia="ja-JP"/>
        </w:rPr>
        <w:t>versterken</w:t>
      </w:r>
      <w:r>
        <w:rPr>
          <w:rFonts w:cs="Times New Roman"/>
          <w:szCs w:val="18"/>
          <w:lang w:val="nl-NL" w:eastAsia="ja-JP"/>
        </w:rPr>
        <w:t xml:space="preserve"> van de</w:t>
      </w:r>
      <w:r w:rsidRPr="000F4D6C">
        <w:rPr>
          <w:rFonts w:cs="Times New Roman"/>
          <w:szCs w:val="18"/>
          <w:lang w:val="nl-NL" w:eastAsia="ja-JP"/>
        </w:rPr>
        <w:t xml:space="preserve"> interne markt. </w:t>
      </w:r>
      <w:r>
        <w:rPr>
          <w:rFonts w:cs="Times New Roman"/>
          <w:szCs w:val="18"/>
          <w:lang w:val="nl-NL" w:eastAsia="ja-JP"/>
        </w:rPr>
        <w:t>In juni spreekt de Europese Raad</w:t>
      </w:r>
      <w:r w:rsidR="00A24CA7">
        <w:rPr>
          <w:rFonts w:cs="Times New Roman"/>
          <w:szCs w:val="18"/>
          <w:lang w:val="nl-NL" w:eastAsia="ja-JP"/>
        </w:rPr>
        <w:t xml:space="preserve"> (ER)</w:t>
      </w:r>
      <w:r>
        <w:rPr>
          <w:rFonts w:cs="Times New Roman"/>
          <w:szCs w:val="18"/>
          <w:lang w:val="nl-NL" w:eastAsia="ja-JP"/>
        </w:rPr>
        <w:t xml:space="preserve"> naar verwachting over het eerste onderhandelingsdocument met getallen. De verwachting is daarom dat bij de RAZ van 26</w:t>
      </w:r>
      <w:r w:rsidR="00B65F5C">
        <w:rPr>
          <w:rFonts w:cs="Times New Roman"/>
          <w:szCs w:val="18"/>
          <w:lang w:val="nl-NL" w:eastAsia="ja-JP"/>
        </w:rPr>
        <w:t xml:space="preserve"> mei</w:t>
      </w:r>
      <w:r>
        <w:rPr>
          <w:rFonts w:cs="Times New Roman"/>
          <w:szCs w:val="18"/>
          <w:lang w:val="nl-NL" w:eastAsia="ja-JP"/>
        </w:rPr>
        <w:t xml:space="preserve"> lidstaten hun algemene MFK-inzet zullen herhalen en een voorschot nemen op de discussie in de ER. </w:t>
      </w:r>
      <w:r w:rsidRPr="00443A6B" w:rsidR="00443A6B">
        <w:rPr>
          <w:rFonts w:cs="Times New Roman"/>
          <w:szCs w:val="18"/>
          <w:lang w:val="nl-NL" w:eastAsia="ja-JP"/>
        </w:rPr>
        <w:t xml:space="preserve">Voor het kabinet zijn de MFK-prioriteiten uit het coalitieakkoord leidend, inclusief </w:t>
      </w:r>
      <w:r w:rsidR="00BE39D6">
        <w:rPr>
          <w:rFonts w:cs="Times New Roman"/>
          <w:szCs w:val="18"/>
          <w:lang w:val="nl-NL" w:eastAsia="ja-JP"/>
        </w:rPr>
        <w:t xml:space="preserve">modernisering van het MFK en </w:t>
      </w:r>
      <w:r w:rsidRPr="00443A6B" w:rsidR="00443A6B">
        <w:rPr>
          <w:rFonts w:cs="Times New Roman"/>
          <w:szCs w:val="18"/>
          <w:lang w:val="nl-NL" w:eastAsia="ja-JP"/>
        </w:rPr>
        <w:t xml:space="preserve">de budgettaire inzet om de stijging van de afdrachten </w:t>
      </w:r>
      <w:r w:rsidR="00E13556">
        <w:rPr>
          <w:rFonts w:cs="Times New Roman"/>
          <w:szCs w:val="18"/>
          <w:lang w:val="nl-NL" w:eastAsia="ja-JP"/>
        </w:rPr>
        <w:t>te beperken</w:t>
      </w:r>
      <w:r w:rsidRPr="00443A6B" w:rsidR="00443A6B">
        <w:rPr>
          <w:rFonts w:cs="Times New Roman"/>
          <w:szCs w:val="18"/>
          <w:lang w:val="nl-NL" w:eastAsia="ja-JP"/>
        </w:rPr>
        <w:t xml:space="preserve">, onder meer door </w:t>
      </w:r>
      <w:r w:rsidR="00B50E51">
        <w:rPr>
          <w:rFonts w:cs="Times New Roman"/>
          <w:szCs w:val="18"/>
          <w:lang w:val="nl-NL" w:eastAsia="ja-JP"/>
        </w:rPr>
        <w:t>behoud</w:t>
      </w:r>
      <w:r w:rsidRPr="00443A6B" w:rsidR="00B50E51">
        <w:rPr>
          <w:rFonts w:cs="Times New Roman"/>
          <w:szCs w:val="18"/>
          <w:lang w:val="nl-NL" w:eastAsia="ja-JP"/>
        </w:rPr>
        <w:t xml:space="preserve"> </w:t>
      </w:r>
      <w:r w:rsidRPr="00443A6B" w:rsidR="00443A6B">
        <w:rPr>
          <w:rFonts w:cs="Times New Roman"/>
          <w:szCs w:val="18"/>
          <w:lang w:val="nl-NL" w:eastAsia="ja-JP"/>
        </w:rPr>
        <w:t>van de bni-correctie op de Nederlandse afdrachten.</w:t>
      </w:r>
    </w:p>
    <w:p w:rsidR="001F6849" w:rsidP="001F6849" w:rsidRDefault="001F6849" w14:paraId="191DE2E8" w14:textId="77777777">
      <w:pPr>
        <w:spacing w:after="0"/>
        <w:contextualSpacing/>
        <w:rPr>
          <w:rFonts w:cs="Times New Roman"/>
          <w:szCs w:val="18"/>
          <w:lang w:val="nl-NL" w:eastAsia="ja-JP"/>
        </w:rPr>
      </w:pPr>
    </w:p>
    <w:p w:rsidRPr="00A26844" w:rsidR="001F6849" w:rsidP="001F6849" w:rsidRDefault="001F6849" w14:paraId="72F7DD5C" w14:textId="7789E0A8">
      <w:pPr>
        <w:pStyle w:val="NoSpacing"/>
        <w:contextualSpacing/>
        <w:rPr>
          <w:b/>
          <w:szCs w:val="18"/>
          <w:lang w:val="nl-NL"/>
        </w:rPr>
      </w:pPr>
      <w:r>
        <w:rPr>
          <w:b/>
          <w:szCs w:val="18"/>
          <w:lang w:val="nl-NL"/>
        </w:rPr>
        <w:t>Voorbereiding Europese Raad</w:t>
      </w:r>
    </w:p>
    <w:p w:rsidRPr="00237549" w:rsidR="001F6849" w:rsidP="001F6849" w:rsidRDefault="005571A2" w14:paraId="29F3FDA5" w14:textId="0B3EEB80">
      <w:pPr>
        <w:spacing w:after="0"/>
        <w:contextualSpacing/>
        <w:rPr>
          <w:rFonts w:cs="Times New Roman"/>
          <w:szCs w:val="18"/>
          <w:lang w:val="nl-NL" w:eastAsia="ja-JP"/>
        </w:rPr>
      </w:pPr>
      <w:r w:rsidRPr="005571A2">
        <w:rPr>
          <w:rFonts w:cs="Times New Roman"/>
          <w:szCs w:val="18"/>
          <w:lang w:val="nl-NL" w:eastAsia="ja-JP"/>
        </w:rPr>
        <w:t>De Raad zal de agenda van de ER van 18</w:t>
      </w:r>
      <w:r>
        <w:rPr>
          <w:rFonts w:cs="Times New Roman"/>
          <w:szCs w:val="18"/>
          <w:lang w:val="nl-NL" w:eastAsia="ja-JP"/>
        </w:rPr>
        <w:t xml:space="preserve"> en </w:t>
      </w:r>
      <w:r w:rsidRPr="005571A2">
        <w:rPr>
          <w:rFonts w:cs="Times New Roman"/>
          <w:szCs w:val="18"/>
          <w:lang w:val="nl-NL" w:eastAsia="ja-JP"/>
        </w:rPr>
        <w:t xml:space="preserve">19 juni 2026 vaststellen. Op het moment van schrijven is de agenda van de ER nog niet bekend. Naar verwachting zal de ER stilstaan bij de voortdurende Russische agressie tegen Oekraïne, de situatie in het Midden-Oosten, concurrentievermogen, het </w:t>
      </w:r>
      <w:r w:rsidR="00B557B6">
        <w:rPr>
          <w:rFonts w:cs="Times New Roman"/>
          <w:szCs w:val="18"/>
          <w:lang w:val="nl-NL" w:eastAsia="ja-JP"/>
        </w:rPr>
        <w:t>MFK</w:t>
      </w:r>
      <w:r w:rsidRPr="005571A2">
        <w:rPr>
          <w:rFonts w:cs="Times New Roman"/>
          <w:szCs w:val="18"/>
          <w:lang w:val="nl-NL" w:eastAsia="ja-JP"/>
        </w:rPr>
        <w:t xml:space="preserve">, </w:t>
      </w:r>
      <w:r w:rsidR="00B557B6">
        <w:rPr>
          <w:rFonts w:cs="Times New Roman"/>
          <w:szCs w:val="18"/>
          <w:lang w:val="nl-NL" w:eastAsia="ja-JP"/>
        </w:rPr>
        <w:t>EU-</w:t>
      </w:r>
      <w:r w:rsidRPr="005571A2">
        <w:rPr>
          <w:rFonts w:cs="Times New Roman"/>
          <w:szCs w:val="18"/>
          <w:lang w:val="nl-NL" w:eastAsia="ja-JP"/>
        </w:rPr>
        <w:t>uitbreiding en het Europees semester. Na het vaststellen van de agenda zal uw Kamer zoals gebruikelijk de kabinetsinzet ontvangen.</w:t>
      </w:r>
    </w:p>
    <w:p w:rsidR="001F6849" w:rsidP="001F6849" w:rsidRDefault="001F6849" w14:paraId="708D2CAD" w14:textId="77777777">
      <w:pPr>
        <w:spacing w:after="0"/>
        <w:contextualSpacing/>
        <w:rPr>
          <w:rFonts w:cs="Times New Roman"/>
          <w:szCs w:val="18"/>
          <w:lang w:val="nl-NL" w:eastAsia="ja-JP"/>
        </w:rPr>
      </w:pPr>
    </w:p>
    <w:p w:rsidRPr="00A26844" w:rsidR="001F6849" w:rsidP="001F6849" w:rsidRDefault="001F6849" w14:paraId="032D49D8" w14:textId="24479FC5">
      <w:pPr>
        <w:pStyle w:val="NoSpacing"/>
        <w:contextualSpacing/>
        <w:rPr>
          <w:b/>
          <w:szCs w:val="18"/>
          <w:lang w:val="nl-NL"/>
        </w:rPr>
      </w:pPr>
      <w:bookmarkStart w:name="_Hlk229138175" w:id="1"/>
      <w:r>
        <w:rPr>
          <w:b/>
          <w:szCs w:val="18"/>
          <w:lang w:val="nl-NL"/>
        </w:rPr>
        <w:t>EU-VK betrekkingen</w:t>
      </w:r>
    </w:p>
    <w:p w:rsidRPr="00E765E1" w:rsidR="003F7183" w:rsidP="00CA1E1E" w:rsidRDefault="00FB42EF" w14:paraId="0043F55F" w14:textId="4D029152">
      <w:pPr>
        <w:spacing w:after="0"/>
        <w:contextualSpacing/>
        <w:rPr>
          <w:rFonts w:cs="Times New Roman"/>
          <w:szCs w:val="18"/>
          <w:lang w:val="nl-NL" w:eastAsia="ja-JP"/>
        </w:rPr>
      </w:pPr>
      <w:bookmarkStart w:name="_Hlk229138267" w:id="2"/>
      <w:r>
        <w:rPr>
          <w:rFonts w:cs="Times New Roman"/>
          <w:szCs w:val="18"/>
          <w:lang w:val="nl-NL" w:eastAsia="ja-JP"/>
        </w:rPr>
        <w:t xml:space="preserve">De </w:t>
      </w:r>
      <w:r w:rsidR="00FE7B16">
        <w:rPr>
          <w:rFonts w:cs="Times New Roman"/>
          <w:szCs w:val="18"/>
          <w:lang w:val="nl-NL" w:eastAsia="ja-JP"/>
        </w:rPr>
        <w:t xml:space="preserve">Raad </w:t>
      </w:r>
      <w:r>
        <w:rPr>
          <w:rFonts w:cs="Times New Roman"/>
          <w:szCs w:val="18"/>
          <w:lang w:val="nl-NL" w:eastAsia="ja-JP"/>
        </w:rPr>
        <w:t xml:space="preserve">zal naar verwachting van gedachten wisselen </w:t>
      </w:r>
      <w:r w:rsidR="00FE7B16">
        <w:rPr>
          <w:rFonts w:cs="Times New Roman"/>
          <w:szCs w:val="18"/>
          <w:lang w:val="nl-NL" w:eastAsia="ja-JP"/>
        </w:rPr>
        <w:t xml:space="preserve">over de </w:t>
      </w:r>
      <w:r>
        <w:rPr>
          <w:rFonts w:cs="Times New Roman"/>
          <w:szCs w:val="18"/>
          <w:lang w:val="nl-NL" w:eastAsia="ja-JP"/>
        </w:rPr>
        <w:t xml:space="preserve">actuele </w:t>
      </w:r>
      <w:r w:rsidR="00FE7B16">
        <w:rPr>
          <w:rFonts w:cs="Times New Roman"/>
          <w:szCs w:val="18"/>
          <w:lang w:val="nl-NL" w:eastAsia="ja-JP"/>
        </w:rPr>
        <w:t xml:space="preserve">stand van </w:t>
      </w:r>
      <w:r>
        <w:rPr>
          <w:rFonts w:cs="Times New Roman"/>
          <w:szCs w:val="18"/>
          <w:lang w:val="nl-NL" w:eastAsia="ja-JP"/>
        </w:rPr>
        <w:t>zaken</w:t>
      </w:r>
      <w:r w:rsidR="00FE7B16">
        <w:rPr>
          <w:rFonts w:cs="Times New Roman"/>
          <w:szCs w:val="18"/>
          <w:lang w:val="nl-NL" w:eastAsia="ja-JP"/>
        </w:rPr>
        <w:t xml:space="preserve"> van de EU-VK relatie</w:t>
      </w:r>
      <w:r>
        <w:rPr>
          <w:rFonts w:cs="Times New Roman"/>
          <w:szCs w:val="18"/>
          <w:lang w:val="nl-NL" w:eastAsia="ja-JP"/>
        </w:rPr>
        <w:t xml:space="preserve">, met aandacht voor </w:t>
      </w:r>
      <w:r w:rsidR="00FE7B16">
        <w:rPr>
          <w:rFonts w:cs="Times New Roman"/>
          <w:szCs w:val="18"/>
          <w:lang w:val="nl-NL" w:eastAsia="ja-JP"/>
        </w:rPr>
        <w:t xml:space="preserve">de implementatie van bestaande akkoorden en de </w:t>
      </w:r>
      <w:r>
        <w:rPr>
          <w:rFonts w:cs="Times New Roman"/>
          <w:szCs w:val="18"/>
          <w:lang w:val="nl-NL" w:eastAsia="ja-JP"/>
        </w:rPr>
        <w:t>voortgang</w:t>
      </w:r>
      <w:r w:rsidR="00FE7B16">
        <w:rPr>
          <w:rFonts w:cs="Times New Roman"/>
          <w:szCs w:val="18"/>
          <w:lang w:val="nl-NL" w:eastAsia="ja-JP"/>
        </w:rPr>
        <w:t xml:space="preserve"> van lopende onderhandelingen.</w:t>
      </w:r>
      <w:r w:rsidR="007B7563">
        <w:rPr>
          <w:rFonts w:cs="Times New Roman"/>
          <w:szCs w:val="18"/>
          <w:lang w:val="nl-NL" w:eastAsia="ja-JP"/>
        </w:rPr>
        <w:t xml:space="preserve"> </w:t>
      </w:r>
      <w:bookmarkEnd w:id="2"/>
      <w:r w:rsidR="007A62C8">
        <w:rPr>
          <w:rFonts w:cs="Times New Roman"/>
          <w:szCs w:val="18"/>
          <w:lang w:val="nl-NL" w:eastAsia="ja-JP"/>
        </w:rPr>
        <w:t xml:space="preserve">Op basis van Raadsmandaten onderhandelt de Commissie over een akkoord inzake sanitaire en fytosanitaire </w:t>
      </w:r>
      <w:r w:rsidR="00C40BF7">
        <w:rPr>
          <w:rFonts w:cs="Times New Roman"/>
          <w:szCs w:val="18"/>
          <w:lang w:val="nl-NL" w:eastAsia="ja-JP"/>
        </w:rPr>
        <w:t xml:space="preserve">(SPS) </w:t>
      </w:r>
      <w:r w:rsidR="007A62C8">
        <w:rPr>
          <w:rFonts w:cs="Times New Roman"/>
          <w:szCs w:val="18"/>
          <w:lang w:val="nl-NL" w:eastAsia="ja-JP"/>
        </w:rPr>
        <w:t>maatregelen, het koppelen van emissiehandelssystemen</w:t>
      </w:r>
      <w:r w:rsidR="00C40BF7">
        <w:rPr>
          <w:rFonts w:cs="Times New Roman"/>
          <w:szCs w:val="18"/>
          <w:lang w:val="nl-NL" w:eastAsia="ja-JP"/>
        </w:rPr>
        <w:t xml:space="preserve"> (ETS)</w:t>
      </w:r>
      <w:r w:rsidR="00ED07AB">
        <w:rPr>
          <w:rFonts w:cs="Times New Roman"/>
          <w:szCs w:val="18"/>
          <w:lang w:val="nl-NL" w:eastAsia="ja-JP"/>
        </w:rPr>
        <w:t>,</w:t>
      </w:r>
      <w:r w:rsidR="007A62C8">
        <w:rPr>
          <w:rFonts w:cs="Times New Roman"/>
          <w:szCs w:val="18"/>
          <w:lang w:val="nl-NL" w:eastAsia="ja-JP"/>
        </w:rPr>
        <w:t xml:space="preserve"> en jeugdmobiliteit. </w:t>
      </w:r>
      <w:r w:rsidR="00266D04">
        <w:rPr>
          <w:rFonts w:cs="Times New Roman"/>
          <w:szCs w:val="18"/>
          <w:lang w:val="nl-NL" w:eastAsia="ja-JP"/>
        </w:rPr>
        <w:t xml:space="preserve">Deze drie onderhandelingen wensen de EU en het VK af te ronden bij </w:t>
      </w:r>
      <w:r w:rsidR="006D03BF">
        <w:rPr>
          <w:rFonts w:cs="Times New Roman"/>
          <w:szCs w:val="18"/>
          <w:lang w:val="nl-NL" w:eastAsia="ja-JP"/>
        </w:rPr>
        <w:t>de</w:t>
      </w:r>
      <w:r w:rsidR="00266D04">
        <w:rPr>
          <w:rFonts w:cs="Times New Roman"/>
          <w:szCs w:val="18"/>
          <w:lang w:val="nl-NL" w:eastAsia="ja-JP"/>
        </w:rPr>
        <w:t xml:space="preserve"> volgende </w:t>
      </w:r>
      <w:r w:rsidR="00697FBD">
        <w:rPr>
          <w:rFonts w:cs="Times New Roman"/>
          <w:szCs w:val="18"/>
          <w:lang w:val="nl-NL" w:eastAsia="ja-JP"/>
        </w:rPr>
        <w:t>t</w:t>
      </w:r>
      <w:r w:rsidR="00266D04">
        <w:rPr>
          <w:rFonts w:cs="Times New Roman"/>
          <w:szCs w:val="18"/>
          <w:lang w:val="nl-NL" w:eastAsia="ja-JP"/>
        </w:rPr>
        <w:t>op, die naar verwachting eind juni zal plaatsvinden.</w:t>
      </w:r>
      <w:r w:rsidR="00FE3B53">
        <w:rPr>
          <w:rFonts w:cs="Times New Roman"/>
          <w:szCs w:val="18"/>
          <w:lang w:val="nl-NL" w:eastAsia="ja-JP"/>
        </w:rPr>
        <w:t xml:space="preserve"> </w:t>
      </w:r>
      <w:r w:rsidR="00955035">
        <w:rPr>
          <w:rFonts w:cs="Times New Roman"/>
          <w:szCs w:val="18"/>
          <w:lang w:val="nl-NL" w:eastAsia="ja-JP"/>
        </w:rPr>
        <w:t xml:space="preserve">Daarnaast starten de onderhandelingen over integratie van het VK in de EU elektriciteitsmarkt en </w:t>
      </w:r>
      <w:r w:rsidR="00B84A6D">
        <w:rPr>
          <w:rFonts w:cs="Times New Roman"/>
          <w:szCs w:val="18"/>
          <w:lang w:val="nl-NL" w:eastAsia="ja-JP"/>
        </w:rPr>
        <w:t>een</w:t>
      </w:r>
      <w:r w:rsidR="00955035">
        <w:rPr>
          <w:rFonts w:cs="Times New Roman"/>
          <w:szCs w:val="18"/>
          <w:lang w:val="nl-NL" w:eastAsia="ja-JP"/>
        </w:rPr>
        <w:t xml:space="preserve"> bijdrage van het VK aan het beperken van sociale en economische ongelijkheden tussen regio’s. </w:t>
      </w:r>
      <w:r w:rsidR="003F7183">
        <w:rPr>
          <w:rFonts w:cs="Times New Roman"/>
          <w:szCs w:val="18"/>
          <w:lang w:val="nl-NL" w:eastAsia="ja-JP"/>
        </w:rPr>
        <w:t xml:space="preserve">De EU en het VK kwamen reeds overeen dat het VK in 2027 weer zal associëren </w:t>
      </w:r>
      <w:r w:rsidR="006D03BF">
        <w:rPr>
          <w:rFonts w:cs="Times New Roman"/>
          <w:szCs w:val="18"/>
          <w:lang w:val="nl-NL" w:eastAsia="ja-JP"/>
        </w:rPr>
        <w:t xml:space="preserve">met </w:t>
      </w:r>
      <w:r w:rsidR="003F7183">
        <w:rPr>
          <w:rFonts w:cs="Times New Roman"/>
          <w:szCs w:val="18"/>
          <w:lang w:val="nl-NL" w:eastAsia="ja-JP"/>
        </w:rPr>
        <w:t>Erasmus+</w:t>
      </w:r>
      <w:r w:rsidR="00C67263">
        <w:rPr>
          <w:rFonts w:cs="Times New Roman"/>
          <w:szCs w:val="18"/>
          <w:lang w:val="nl-NL" w:eastAsia="ja-JP"/>
        </w:rPr>
        <w:t>.</w:t>
      </w:r>
      <w:r w:rsidR="003F7183">
        <w:rPr>
          <w:rStyle w:val="FootnoteReference"/>
          <w:rFonts w:cs="Times New Roman"/>
          <w:szCs w:val="18"/>
          <w:lang w:val="nl-NL" w:eastAsia="ja-JP"/>
        </w:rPr>
        <w:footnoteReference w:id="1"/>
      </w:r>
      <w:r w:rsidR="003F7183">
        <w:rPr>
          <w:rFonts w:cs="Times New Roman"/>
          <w:szCs w:val="18"/>
          <w:lang w:val="nl-NL" w:eastAsia="ja-JP"/>
        </w:rPr>
        <w:t xml:space="preserve"> </w:t>
      </w:r>
      <w:r w:rsidR="0002710F">
        <w:rPr>
          <w:rFonts w:cs="Times New Roman"/>
          <w:szCs w:val="18"/>
          <w:lang w:val="nl-NL" w:eastAsia="ja-JP"/>
        </w:rPr>
        <w:t>Naar verwachting zal de Raad s</w:t>
      </w:r>
      <w:r w:rsidR="00A8425D">
        <w:rPr>
          <w:rFonts w:cs="Times New Roman"/>
          <w:szCs w:val="18"/>
          <w:lang w:val="nl-NL" w:eastAsia="ja-JP"/>
        </w:rPr>
        <w:t xml:space="preserve">preken over de uitgangspunten </w:t>
      </w:r>
      <w:r w:rsidR="000E604F">
        <w:rPr>
          <w:rFonts w:cs="Times New Roman"/>
          <w:szCs w:val="18"/>
          <w:lang w:val="nl-NL" w:eastAsia="ja-JP"/>
        </w:rPr>
        <w:t xml:space="preserve">waarvoor de EU zich dient in te zetten binnen </w:t>
      </w:r>
      <w:r w:rsidR="00A8425D">
        <w:rPr>
          <w:rFonts w:cs="Times New Roman"/>
          <w:szCs w:val="18"/>
          <w:lang w:val="nl-NL" w:eastAsia="ja-JP"/>
        </w:rPr>
        <w:t>de EU-VK relatie</w:t>
      </w:r>
      <w:r w:rsidR="0002710F">
        <w:rPr>
          <w:rFonts w:cs="Times New Roman"/>
          <w:szCs w:val="18"/>
          <w:lang w:val="nl-NL" w:eastAsia="ja-JP"/>
        </w:rPr>
        <w:t xml:space="preserve">. </w:t>
      </w:r>
    </w:p>
    <w:p w:rsidR="0033798D" w:rsidP="00CA1E1E" w:rsidRDefault="0033798D" w14:paraId="40407B4E" w14:textId="77777777">
      <w:pPr>
        <w:spacing w:after="0"/>
        <w:contextualSpacing/>
        <w:rPr>
          <w:rFonts w:cs="Times New Roman"/>
          <w:szCs w:val="18"/>
          <w:lang w:val="nl-NL" w:eastAsia="ja-JP"/>
        </w:rPr>
      </w:pPr>
    </w:p>
    <w:p w:rsidRPr="00CA1E1E" w:rsidR="00550960" w:rsidP="00CA1E1E" w:rsidRDefault="009D1837" w14:paraId="74400708" w14:textId="3BB11AB0">
      <w:pPr>
        <w:spacing w:after="0"/>
        <w:contextualSpacing/>
        <w:rPr>
          <w:rFonts w:cs="Times New Roman"/>
          <w:szCs w:val="18"/>
          <w:lang w:val="nl-NL" w:eastAsia="ja-JP"/>
        </w:rPr>
      </w:pPr>
      <w:bookmarkStart w:name="_Hlk229138299" w:id="3"/>
      <w:r w:rsidRPr="00C21488">
        <w:rPr>
          <w:rFonts w:cs="Times New Roman"/>
          <w:szCs w:val="18"/>
          <w:lang w:val="nl-NL" w:eastAsia="ja-JP"/>
        </w:rPr>
        <w:t>Startpunt</w:t>
      </w:r>
      <w:r w:rsidR="0033798D">
        <w:rPr>
          <w:rFonts w:cs="Times New Roman"/>
          <w:szCs w:val="18"/>
          <w:lang w:val="nl-NL" w:eastAsia="ja-JP"/>
        </w:rPr>
        <w:t xml:space="preserve"> van het </w:t>
      </w:r>
      <w:r w:rsidRPr="00C21488">
        <w:rPr>
          <w:rFonts w:cs="Times New Roman"/>
          <w:szCs w:val="18"/>
          <w:lang w:val="nl-NL" w:eastAsia="ja-JP"/>
        </w:rPr>
        <w:t xml:space="preserve">kabinet blijft </w:t>
      </w:r>
      <w:r w:rsidR="0033798D">
        <w:rPr>
          <w:rFonts w:cs="Times New Roman"/>
          <w:szCs w:val="18"/>
          <w:lang w:val="nl-NL" w:eastAsia="ja-JP"/>
        </w:rPr>
        <w:t>de</w:t>
      </w:r>
      <w:r w:rsidR="0086080F">
        <w:rPr>
          <w:rFonts w:cs="Times New Roman"/>
          <w:szCs w:val="18"/>
          <w:lang w:val="nl-NL" w:eastAsia="ja-JP"/>
        </w:rPr>
        <w:t xml:space="preserve"> </w:t>
      </w:r>
      <w:r w:rsidRPr="00C21488">
        <w:rPr>
          <w:rFonts w:cs="Times New Roman"/>
          <w:szCs w:val="18"/>
          <w:lang w:val="nl-NL" w:eastAsia="ja-JP"/>
        </w:rPr>
        <w:t>volledige implementatie van de handels- en samenwerkingsovereenkomst en het terugtrekkingsakkoord.</w:t>
      </w:r>
      <w:r>
        <w:rPr>
          <w:rFonts w:cs="Times New Roman"/>
          <w:szCs w:val="18"/>
          <w:lang w:val="nl-NL" w:eastAsia="ja-JP"/>
        </w:rPr>
        <w:t xml:space="preserve"> </w:t>
      </w:r>
      <w:bookmarkEnd w:id="3"/>
      <w:r w:rsidR="0033798D">
        <w:rPr>
          <w:rFonts w:cs="Times New Roman"/>
          <w:szCs w:val="18"/>
          <w:lang w:val="nl-NL" w:eastAsia="ja-JP"/>
        </w:rPr>
        <w:t xml:space="preserve">Het kabinet </w:t>
      </w:r>
      <w:r w:rsidR="00FB42EF">
        <w:rPr>
          <w:rFonts w:cs="Times New Roman"/>
          <w:szCs w:val="18"/>
          <w:lang w:val="nl-NL" w:eastAsia="ja-JP"/>
        </w:rPr>
        <w:t xml:space="preserve">steunt </w:t>
      </w:r>
      <w:r w:rsidR="0033798D">
        <w:rPr>
          <w:rFonts w:cs="Times New Roman"/>
          <w:szCs w:val="18"/>
          <w:lang w:val="nl-NL" w:eastAsia="ja-JP"/>
        </w:rPr>
        <w:t xml:space="preserve"> </w:t>
      </w:r>
      <w:r w:rsidR="00FB42EF">
        <w:rPr>
          <w:rFonts w:cs="Times New Roman"/>
          <w:szCs w:val="18"/>
          <w:lang w:val="nl-NL" w:eastAsia="ja-JP"/>
        </w:rPr>
        <w:t>een verdere versterking</w:t>
      </w:r>
      <w:r w:rsidR="0033798D">
        <w:rPr>
          <w:rFonts w:cs="Times New Roman"/>
          <w:szCs w:val="18"/>
          <w:lang w:val="nl-NL" w:eastAsia="ja-JP"/>
        </w:rPr>
        <w:t xml:space="preserve"> van de</w:t>
      </w:r>
      <w:r w:rsidR="0086080F">
        <w:rPr>
          <w:rFonts w:cs="Times New Roman"/>
          <w:szCs w:val="18"/>
          <w:lang w:val="nl-NL" w:eastAsia="ja-JP"/>
        </w:rPr>
        <w:t xml:space="preserve"> EU-VK</w:t>
      </w:r>
      <w:r w:rsidR="0033798D">
        <w:rPr>
          <w:rFonts w:cs="Times New Roman"/>
          <w:szCs w:val="18"/>
          <w:lang w:val="nl-NL" w:eastAsia="ja-JP"/>
        </w:rPr>
        <w:t xml:space="preserve"> relatie, </w:t>
      </w:r>
      <w:r w:rsidR="0093112A">
        <w:rPr>
          <w:rFonts w:cs="Times New Roman"/>
          <w:szCs w:val="18"/>
          <w:lang w:val="nl-NL" w:eastAsia="ja-JP"/>
        </w:rPr>
        <w:t>voor zover</w:t>
      </w:r>
      <w:r w:rsidR="0033798D">
        <w:rPr>
          <w:rFonts w:cs="Times New Roman"/>
          <w:szCs w:val="18"/>
          <w:lang w:val="nl-NL" w:eastAsia="ja-JP"/>
        </w:rPr>
        <w:t xml:space="preserve"> dit in </w:t>
      </w:r>
      <w:r w:rsidR="006D03BF">
        <w:rPr>
          <w:rFonts w:cs="Times New Roman"/>
          <w:szCs w:val="18"/>
          <w:lang w:val="nl-NL" w:eastAsia="ja-JP"/>
        </w:rPr>
        <w:t xml:space="preserve">het </w:t>
      </w:r>
      <w:r w:rsidR="0033798D">
        <w:rPr>
          <w:rFonts w:cs="Times New Roman"/>
          <w:szCs w:val="18"/>
          <w:lang w:val="nl-NL" w:eastAsia="ja-JP"/>
        </w:rPr>
        <w:t xml:space="preserve">belang </w:t>
      </w:r>
      <w:r w:rsidR="0093112A">
        <w:rPr>
          <w:rFonts w:cs="Times New Roman"/>
          <w:szCs w:val="18"/>
          <w:lang w:val="nl-NL" w:eastAsia="ja-JP"/>
        </w:rPr>
        <w:t xml:space="preserve">is </w:t>
      </w:r>
      <w:r w:rsidR="0033798D">
        <w:rPr>
          <w:rFonts w:cs="Times New Roman"/>
          <w:szCs w:val="18"/>
          <w:lang w:val="nl-NL" w:eastAsia="ja-JP"/>
        </w:rPr>
        <w:t xml:space="preserve">van de Unie  en </w:t>
      </w:r>
      <w:r w:rsidR="0093112A">
        <w:rPr>
          <w:rFonts w:cs="Times New Roman"/>
          <w:szCs w:val="18"/>
          <w:lang w:val="nl-NL" w:eastAsia="ja-JP"/>
        </w:rPr>
        <w:t xml:space="preserve">aansluit bij </w:t>
      </w:r>
      <w:r w:rsidR="0033798D">
        <w:rPr>
          <w:rFonts w:cs="Times New Roman"/>
          <w:szCs w:val="18"/>
          <w:lang w:val="nl-NL" w:eastAsia="ja-JP"/>
        </w:rPr>
        <w:t xml:space="preserve"> bestaande </w:t>
      </w:r>
      <w:r w:rsidR="0093112A">
        <w:rPr>
          <w:rFonts w:cs="Times New Roman"/>
          <w:szCs w:val="18"/>
          <w:lang w:val="nl-NL" w:eastAsia="ja-JP"/>
        </w:rPr>
        <w:t xml:space="preserve">uitgangspunten </w:t>
      </w:r>
      <w:r w:rsidR="0033798D">
        <w:rPr>
          <w:rFonts w:cs="Times New Roman"/>
          <w:szCs w:val="18"/>
          <w:lang w:val="nl-NL" w:eastAsia="ja-JP"/>
        </w:rPr>
        <w:t xml:space="preserve"> zoals de ondeelbaarheid van </w:t>
      </w:r>
      <w:r w:rsidR="0093112A">
        <w:rPr>
          <w:rFonts w:cs="Times New Roman"/>
          <w:szCs w:val="18"/>
          <w:lang w:val="nl-NL" w:eastAsia="ja-JP"/>
        </w:rPr>
        <w:t xml:space="preserve">de </w:t>
      </w:r>
      <w:r w:rsidR="0033798D">
        <w:rPr>
          <w:rFonts w:cs="Times New Roman"/>
          <w:szCs w:val="18"/>
          <w:lang w:val="nl-NL" w:eastAsia="ja-JP"/>
        </w:rPr>
        <w:t xml:space="preserve">vier vrijheden, </w:t>
      </w:r>
      <w:r w:rsidR="0093112A">
        <w:rPr>
          <w:rFonts w:cs="Times New Roman"/>
          <w:szCs w:val="18"/>
          <w:lang w:val="nl-NL" w:eastAsia="ja-JP"/>
        </w:rPr>
        <w:t xml:space="preserve">het voorkomen van </w:t>
      </w:r>
      <w:proofErr w:type="spellStart"/>
      <w:r w:rsidR="0033798D">
        <w:rPr>
          <w:rFonts w:cs="Times New Roman"/>
          <w:i/>
          <w:iCs/>
          <w:szCs w:val="18"/>
          <w:lang w:val="nl-NL" w:eastAsia="ja-JP"/>
        </w:rPr>
        <w:t>cherry</w:t>
      </w:r>
      <w:proofErr w:type="spellEnd"/>
      <w:r w:rsidR="0033798D">
        <w:rPr>
          <w:rFonts w:cs="Times New Roman"/>
          <w:i/>
          <w:iCs/>
          <w:szCs w:val="18"/>
          <w:lang w:val="nl-NL" w:eastAsia="ja-JP"/>
        </w:rPr>
        <w:t xml:space="preserve"> </w:t>
      </w:r>
      <w:proofErr w:type="spellStart"/>
      <w:r w:rsidR="0033798D">
        <w:rPr>
          <w:rFonts w:cs="Times New Roman"/>
          <w:i/>
          <w:iCs/>
          <w:szCs w:val="18"/>
          <w:lang w:val="nl-NL" w:eastAsia="ja-JP"/>
        </w:rPr>
        <w:t>picking</w:t>
      </w:r>
      <w:proofErr w:type="spellEnd"/>
      <w:r w:rsidR="00EF6C77">
        <w:rPr>
          <w:rFonts w:cs="Times New Roman"/>
          <w:i/>
          <w:iCs/>
          <w:szCs w:val="18"/>
          <w:lang w:val="nl-NL" w:eastAsia="ja-JP"/>
        </w:rPr>
        <w:t xml:space="preserve"> </w:t>
      </w:r>
      <w:r w:rsidR="00EF6C77">
        <w:rPr>
          <w:rFonts w:cs="Times New Roman"/>
          <w:szCs w:val="18"/>
          <w:lang w:val="nl-NL" w:eastAsia="ja-JP"/>
        </w:rPr>
        <w:t xml:space="preserve">en </w:t>
      </w:r>
      <w:r w:rsidR="0093112A">
        <w:rPr>
          <w:rFonts w:cs="Times New Roman"/>
          <w:szCs w:val="18"/>
          <w:lang w:val="nl-NL" w:eastAsia="ja-JP"/>
        </w:rPr>
        <w:t>het waarborgen</w:t>
      </w:r>
      <w:r w:rsidR="00EF6C77">
        <w:rPr>
          <w:rFonts w:cs="Times New Roman"/>
          <w:szCs w:val="18"/>
          <w:lang w:val="nl-NL" w:eastAsia="ja-JP"/>
        </w:rPr>
        <w:t xml:space="preserve"> van de integriteit van de interne markt. </w:t>
      </w:r>
      <w:r w:rsidR="00535B40">
        <w:rPr>
          <w:rFonts w:cs="Times New Roman"/>
          <w:szCs w:val="18"/>
          <w:lang w:val="nl-NL" w:eastAsia="ja-JP"/>
        </w:rPr>
        <w:t>Het kabinet wenst</w:t>
      </w:r>
      <w:r w:rsidDel="009628B7" w:rsidR="00535B40">
        <w:rPr>
          <w:rFonts w:cs="Times New Roman"/>
          <w:szCs w:val="18"/>
          <w:lang w:val="nl-NL" w:eastAsia="ja-JP"/>
        </w:rPr>
        <w:t xml:space="preserve"> </w:t>
      </w:r>
      <w:r w:rsidR="00535B40">
        <w:rPr>
          <w:rFonts w:cs="Times New Roman"/>
          <w:szCs w:val="18"/>
          <w:lang w:val="nl-NL" w:eastAsia="ja-JP"/>
        </w:rPr>
        <w:t>gebalanceerd</w:t>
      </w:r>
      <w:r w:rsidR="009628B7">
        <w:rPr>
          <w:rFonts w:cs="Times New Roman"/>
          <w:szCs w:val="18"/>
          <w:lang w:val="nl-NL" w:eastAsia="ja-JP"/>
        </w:rPr>
        <w:t>e</w:t>
      </w:r>
      <w:r w:rsidR="00535B40">
        <w:rPr>
          <w:rFonts w:cs="Times New Roman"/>
          <w:szCs w:val="18"/>
          <w:lang w:val="nl-NL" w:eastAsia="ja-JP"/>
        </w:rPr>
        <w:t xml:space="preserve"> SPS</w:t>
      </w:r>
      <w:r w:rsidR="00430F08">
        <w:rPr>
          <w:rFonts w:cs="Times New Roman"/>
          <w:szCs w:val="18"/>
          <w:lang w:val="nl-NL" w:eastAsia="ja-JP"/>
        </w:rPr>
        <w:t>-</w:t>
      </w:r>
      <w:r w:rsidR="00535B40">
        <w:rPr>
          <w:rFonts w:cs="Times New Roman"/>
          <w:szCs w:val="18"/>
          <w:lang w:val="nl-NL" w:eastAsia="ja-JP"/>
        </w:rPr>
        <w:t xml:space="preserve"> en ETS</w:t>
      </w:r>
      <w:r w:rsidR="00430F08">
        <w:rPr>
          <w:rFonts w:cs="Times New Roman"/>
          <w:szCs w:val="18"/>
          <w:lang w:val="nl-NL" w:eastAsia="ja-JP"/>
        </w:rPr>
        <w:t>-</w:t>
      </w:r>
      <w:r w:rsidR="00535B40">
        <w:rPr>
          <w:rFonts w:cs="Times New Roman"/>
          <w:szCs w:val="18"/>
          <w:lang w:val="nl-NL" w:eastAsia="ja-JP"/>
        </w:rPr>
        <w:t>akkoord</w:t>
      </w:r>
      <w:r w:rsidR="004760E0">
        <w:rPr>
          <w:rFonts w:cs="Times New Roman"/>
          <w:szCs w:val="18"/>
          <w:lang w:val="nl-NL" w:eastAsia="ja-JP"/>
        </w:rPr>
        <w:t>en</w:t>
      </w:r>
      <w:r w:rsidR="00C21F89">
        <w:rPr>
          <w:rFonts w:cs="Times New Roman"/>
          <w:szCs w:val="18"/>
          <w:lang w:val="nl-NL" w:eastAsia="ja-JP"/>
        </w:rPr>
        <w:t>, met inachtneming van het gelijk speelveld en de integriteit van de interne markt.</w:t>
      </w:r>
      <w:r w:rsidR="002305C1">
        <w:rPr>
          <w:rFonts w:cs="Times New Roman"/>
          <w:szCs w:val="18"/>
          <w:lang w:val="nl-NL" w:eastAsia="ja-JP"/>
        </w:rPr>
        <w:t xml:space="preserve"> </w:t>
      </w:r>
      <w:r w:rsidRPr="00C21488" w:rsidR="00BC5D49">
        <w:rPr>
          <w:rFonts w:eastAsia="Verdana" w:cs="Verdana"/>
          <w:szCs w:val="18"/>
          <w:lang w:val="nl-NL"/>
        </w:rPr>
        <w:t>Zoals bekend heeft Nederland kritisch gekeken naar het Commissievoorstel inzake jeugdmobiliteit</w:t>
      </w:r>
      <w:r w:rsidR="00BC5D49">
        <w:rPr>
          <w:rStyle w:val="FootnoteReference"/>
          <w:rFonts w:eastAsia="Verdana" w:cs="Verdana"/>
          <w:szCs w:val="18"/>
        </w:rPr>
        <w:footnoteReference w:id="2"/>
      </w:r>
      <w:r w:rsidRPr="00C21488" w:rsidR="00BC5D49">
        <w:rPr>
          <w:rFonts w:eastAsia="Verdana" w:cs="Verdana"/>
          <w:szCs w:val="18"/>
          <w:lang w:val="nl-NL"/>
        </w:rPr>
        <w:t>.</w:t>
      </w:r>
      <w:r w:rsidRPr="00C21488" w:rsidR="00BC5D49">
        <w:rPr>
          <w:lang w:val="nl-NL"/>
        </w:rPr>
        <w:t xml:space="preserve"> </w:t>
      </w:r>
      <w:r w:rsidR="00C21F89">
        <w:rPr>
          <w:rFonts w:cs="Times New Roman"/>
          <w:szCs w:val="18"/>
          <w:lang w:val="nl-NL" w:eastAsia="ja-JP"/>
        </w:rPr>
        <w:t xml:space="preserve">Daarnaast streeft het kabinet naar een snelle uitkomst van onderhandelingen over integratie in de elektriciteitsmarkt, met inachtneming van de </w:t>
      </w:r>
      <w:r w:rsidR="00C80610">
        <w:rPr>
          <w:rFonts w:cs="Times New Roman"/>
          <w:szCs w:val="18"/>
          <w:lang w:val="nl-NL" w:eastAsia="ja-JP"/>
        </w:rPr>
        <w:t xml:space="preserve">in het BNC-fiche </w:t>
      </w:r>
      <w:r w:rsidR="00C21F89">
        <w:rPr>
          <w:rFonts w:cs="Times New Roman"/>
          <w:szCs w:val="18"/>
          <w:lang w:val="nl-NL" w:eastAsia="ja-JP"/>
        </w:rPr>
        <w:t>genoemde waarborgen</w:t>
      </w:r>
      <w:r w:rsidR="00E92AC1">
        <w:rPr>
          <w:rFonts w:cs="Times New Roman"/>
          <w:szCs w:val="18"/>
          <w:lang w:val="nl-NL" w:eastAsia="ja-JP"/>
        </w:rPr>
        <w:t>.</w:t>
      </w:r>
      <w:r w:rsidR="00C84F5A">
        <w:rPr>
          <w:rStyle w:val="FootnoteReference"/>
          <w:rFonts w:cs="Times New Roman"/>
          <w:szCs w:val="18"/>
          <w:lang w:val="nl-NL" w:eastAsia="ja-JP"/>
        </w:rPr>
        <w:footnoteReference w:id="3"/>
      </w:r>
      <w:r w:rsidR="004F19B2">
        <w:rPr>
          <w:rFonts w:cs="Times New Roman"/>
          <w:szCs w:val="18"/>
          <w:lang w:val="nl-NL" w:eastAsia="ja-JP"/>
        </w:rPr>
        <w:t xml:space="preserve"> </w:t>
      </w:r>
      <w:r w:rsidR="000B3977">
        <w:rPr>
          <w:rFonts w:cs="Times New Roman"/>
          <w:szCs w:val="18"/>
          <w:lang w:val="nl-NL" w:eastAsia="ja-JP"/>
        </w:rPr>
        <w:t xml:space="preserve">Op het gebied van veiligheid en defensie, </w:t>
      </w:r>
      <w:r w:rsidR="00694D13">
        <w:rPr>
          <w:rFonts w:cs="Times New Roman"/>
          <w:szCs w:val="18"/>
          <w:lang w:val="nl-NL" w:eastAsia="ja-JP"/>
        </w:rPr>
        <w:t xml:space="preserve">is en blijft </w:t>
      </w:r>
      <w:r w:rsidR="00A80AC5">
        <w:rPr>
          <w:rFonts w:cs="Times New Roman"/>
          <w:szCs w:val="18"/>
          <w:lang w:val="nl-NL" w:eastAsia="ja-JP"/>
        </w:rPr>
        <w:t xml:space="preserve">het VK </w:t>
      </w:r>
      <w:r w:rsidR="00694D13">
        <w:rPr>
          <w:rFonts w:cs="Times New Roman"/>
          <w:szCs w:val="18"/>
          <w:lang w:val="nl-NL" w:eastAsia="ja-JP"/>
        </w:rPr>
        <w:t xml:space="preserve">een cruciale partner, </w:t>
      </w:r>
      <w:r w:rsidR="00A80AC5">
        <w:rPr>
          <w:rFonts w:cs="Times New Roman"/>
          <w:szCs w:val="18"/>
          <w:lang w:val="nl-NL" w:eastAsia="ja-JP"/>
        </w:rPr>
        <w:t>met wie</w:t>
      </w:r>
      <w:r w:rsidR="00694D13">
        <w:rPr>
          <w:rFonts w:cs="Times New Roman"/>
          <w:szCs w:val="18"/>
          <w:lang w:val="nl-NL" w:eastAsia="ja-JP"/>
        </w:rPr>
        <w:t xml:space="preserve"> samenwerking ook in Europees verband via kopgroepen plaatsvindt. </w:t>
      </w:r>
    </w:p>
    <w:bookmarkEnd w:id="1"/>
    <w:p w:rsidR="00CA1E1E" w:rsidP="001F6849" w:rsidRDefault="00CA1E1E" w14:paraId="01B30F54" w14:textId="77777777">
      <w:pPr>
        <w:spacing w:after="0"/>
        <w:contextualSpacing/>
        <w:rPr>
          <w:rFonts w:cs="Times New Roman"/>
          <w:szCs w:val="18"/>
          <w:lang w:val="nl-NL" w:eastAsia="ja-JP"/>
        </w:rPr>
      </w:pPr>
    </w:p>
    <w:p w:rsidRPr="00A26844" w:rsidR="001F6849" w:rsidP="001F6849" w:rsidRDefault="001F6849" w14:paraId="72172A83" w14:textId="6DDCF592">
      <w:pPr>
        <w:pStyle w:val="NoSpacing"/>
        <w:contextualSpacing/>
        <w:rPr>
          <w:b/>
          <w:szCs w:val="18"/>
          <w:lang w:val="nl-NL"/>
        </w:rPr>
      </w:pPr>
      <w:r>
        <w:rPr>
          <w:b/>
          <w:szCs w:val="18"/>
          <w:lang w:val="nl-NL"/>
        </w:rPr>
        <w:t>Rechtsstaatsdialogen Frankrijk, Kroatië, Italië, en Letland</w:t>
      </w:r>
    </w:p>
    <w:p w:rsidR="00AF63F7" w:rsidP="00510161" w:rsidRDefault="00AF63F7" w14:paraId="7AC0EF46" w14:textId="6D30A684">
      <w:pPr>
        <w:spacing w:after="0"/>
        <w:contextualSpacing/>
        <w:rPr>
          <w:rFonts w:cs="Times New Roman"/>
          <w:szCs w:val="18"/>
          <w:lang w:val="nl-NL" w:eastAsia="ja-JP"/>
        </w:rPr>
      </w:pPr>
      <w:r>
        <w:rPr>
          <w:rFonts w:cs="Times New Roman"/>
          <w:szCs w:val="18"/>
          <w:lang w:val="nl-NL" w:eastAsia="ja-JP"/>
        </w:rPr>
        <w:t>De Raad zal</w:t>
      </w:r>
      <w:r w:rsidRPr="00510161" w:rsidR="00510161">
        <w:rPr>
          <w:rFonts w:cs="Times New Roman"/>
          <w:szCs w:val="18"/>
          <w:lang w:val="nl-NL" w:eastAsia="ja-JP"/>
        </w:rPr>
        <w:t xml:space="preserve"> opnieuw </w:t>
      </w:r>
      <w:r w:rsidRPr="00510161" w:rsidDel="003F5A66" w:rsidR="00510161">
        <w:rPr>
          <w:rFonts w:cs="Times New Roman"/>
          <w:szCs w:val="18"/>
          <w:lang w:val="nl-NL" w:eastAsia="ja-JP"/>
        </w:rPr>
        <w:t xml:space="preserve">een </w:t>
      </w:r>
      <w:r w:rsidRPr="00510161" w:rsidR="00510161">
        <w:rPr>
          <w:rFonts w:cs="Times New Roman"/>
          <w:szCs w:val="18"/>
          <w:lang w:val="nl-NL" w:eastAsia="ja-JP"/>
        </w:rPr>
        <w:t xml:space="preserve">landenspecifieke dialoog </w:t>
      </w:r>
      <w:r>
        <w:rPr>
          <w:rFonts w:cs="Times New Roman"/>
          <w:szCs w:val="18"/>
          <w:lang w:val="nl-NL" w:eastAsia="ja-JP"/>
        </w:rPr>
        <w:t>voeren</w:t>
      </w:r>
      <w:r w:rsidRPr="00510161">
        <w:rPr>
          <w:rFonts w:cs="Times New Roman"/>
          <w:szCs w:val="18"/>
          <w:lang w:val="nl-NL" w:eastAsia="ja-JP"/>
        </w:rPr>
        <w:t xml:space="preserve"> </w:t>
      </w:r>
      <w:r w:rsidRPr="00510161" w:rsidR="00510161">
        <w:rPr>
          <w:rFonts w:cs="Times New Roman"/>
          <w:szCs w:val="18"/>
          <w:lang w:val="nl-NL" w:eastAsia="ja-JP"/>
        </w:rPr>
        <w:t>in het kader van het rechtsstaatmechanisme waarmee de Raad in 2020 is begonnen.</w:t>
      </w:r>
      <w:r>
        <w:rPr>
          <w:rFonts w:cs="Times New Roman"/>
          <w:szCs w:val="18"/>
          <w:lang w:val="nl-NL" w:eastAsia="ja-JP"/>
        </w:rPr>
        <w:t xml:space="preserve"> </w:t>
      </w:r>
      <w:r w:rsidRPr="00510161">
        <w:rPr>
          <w:rFonts w:cs="Times New Roman"/>
          <w:szCs w:val="18"/>
          <w:lang w:val="nl-NL" w:eastAsia="ja-JP"/>
        </w:rPr>
        <w:t xml:space="preserve">De landenhoofdstukken </w:t>
      </w:r>
      <w:r>
        <w:rPr>
          <w:rFonts w:cs="Times New Roman"/>
          <w:szCs w:val="18"/>
          <w:lang w:val="nl-NL" w:eastAsia="ja-JP"/>
        </w:rPr>
        <w:t xml:space="preserve">van Frankrijk, Kroatië, Italië en Letland </w:t>
      </w:r>
      <w:r w:rsidRPr="00510161">
        <w:rPr>
          <w:rFonts w:cs="Times New Roman"/>
          <w:szCs w:val="18"/>
          <w:lang w:val="nl-NL" w:eastAsia="ja-JP"/>
        </w:rPr>
        <w:t>uit het rechtsstaatrapport van de Commissie vormen de basis voor de dialoog</w:t>
      </w:r>
      <w:r>
        <w:rPr>
          <w:rFonts w:cs="Times New Roman"/>
          <w:szCs w:val="18"/>
          <w:lang w:val="nl-NL" w:eastAsia="ja-JP"/>
        </w:rPr>
        <w:t xml:space="preserve"> tijdens deze </w:t>
      </w:r>
      <w:r>
        <w:rPr>
          <w:rFonts w:cs="Times New Roman"/>
          <w:szCs w:val="18"/>
          <w:lang w:val="nl-NL" w:eastAsia="ja-JP"/>
        </w:rPr>
        <w:lastRenderedPageBreak/>
        <w:t>Raad</w:t>
      </w:r>
      <w:r w:rsidRPr="00510161">
        <w:rPr>
          <w:rFonts w:cs="Times New Roman"/>
          <w:szCs w:val="18"/>
          <w:lang w:val="nl-NL" w:eastAsia="ja-JP"/>
        </w:rPr>
        <w:t>.</w:t>
      </w:r>
      <w:r>
        <w:rPr>
          <w:rFonts w:cs="Times New Roman"/>
          <w:szCs w:val="18"/>
          <w:lang w:val="nl-NL" w:eastAsia="ja-JP"/>
        </w:rPr>
        <w:t xml:space="preserve"> De Commissie publiceerde het rechtsstaatrapport 2025 op 8 juli 2025 en</w:t>
      </w:r>
      <w:r w:rsidRPr="00510161">
        <w:rPr>
          <w:rFonts w:cs="Times New Roman"/>
          <w:szCs w:val="18"/>
          <w:lang w:val="nl-NL" w:eastAsia="ja-JP"/>
        </w:rPr>
        <w:t xml:space="preserve"> </w:t>
      </w:r>
      <w:r>
        <w:rPr>
          <w:rFonts w:cs="Times New Roman"/>
          <w:szCs w:val="18"/>
          <w:lang w:val="nl-NL" w:eastAsia="ja-JP"/>
        </w:rPr>
        <w:t>u</w:t>
      </w:r>
      <w:r w:rsidRPr="00510161">
        <w:rPr>
          <w:rFonts w:cs="Times New Roman"/>
          <w:szCs w:val="18"/>
          <w:lang w:val="nl-NL" w:eastAsia="ja-JP"/>
        </w:rPr>
        <w:t>w Kamer ontving</w:t>
      </w:r>
      <w:r>
        <w:rPr>
          <w:rFonts w:cs="Times New Roman"/>
          <w:szCs w:val="18"/>
          <w:lang w:val="nl-NL" w:eastAsia="ja-JP"/>
        </w:rPr>
        <w:t xml:space="preserve"> hiervan</w:t>
      </w:r>
      <w:r w:rsidRPr="00510161">
        <w:rPr>
          <w:rFonts w:cs="Times New Roman"/>
          <w:szCs w:val="18"/>
          <w:lang w:val="nl-NL" w:eastAsia="ja-JP"/>
        </w:rPr>
        <w:t xml:space="preserve"> op 29 augustus 2025 de kabinetsreactie.</w:t>
      </w:r>
      <w:r>
        <w:rPr>
          <w:rStyle w:val="FootnoteReference"/>
          <w:rFonts w:cs="Times New Roman"/>
          <w:szCs w:val="18"/>
          <w:lang w:val="nl-NL" w:eastAsia="ja-JP"/>
        </w:rPr>
        <w:footnoteReference w:id="4"/>
      </w:r>
      <w:r w:rsidRPr="00510161">
        <w:rPr>
          <w:rFonts w:cs="Times New Roman"/>
          <w:szCs w:val="18"/>
          <w:lang w:val="nl-NL" w:eastAsia="ja-JP"/>
        </w:rPr>
        <w:t xml:space="preserve"> </w:t>
      </w:r>
    </w:p>
    <w:p w:rsidR="00AF63F7" w:rsidP="00510161" w:rsidRDefault="00AF63F7" w14:paraId="6CB7DA3A" w14:textId="77777777">
      <w:pPr>
        <w:spacing w:after="0"/>
        <w:contextualSpacing/>
        <w:rPr>
          <w:rFonts w:cs="Times New Roman"/>
          <w:szCs w:val="18"/>
          <w:lang w:val="nl-NL" w:eastAsia="ja-JP"/>
        </w:rPr>
      </w:pPr>
    </w:p>
    <w:p w:rsidRPr="00ED35DD" w:rsidR="00ED35DD" w:rsidP="00510161" w:rsidRDefault="00ED35DD" w14:paraId="29008C58" w14:textId="6DE3230C">
      <w:pPr>
        <w:spacing w:after="0"/>
        <w:contextualSpacing/>
        <w:rPr>
          <w:rFonts w:cs="Times New Roman"/>
          <w:szCs w:val="18"/>
          <w:lang w:val="nl-NL" w:eastAsia="ja-JP"/>
        </w:rPr>
      </w:pPr>
      <w:r w:rsidRPr="00B81A7E">
        <w:rPr>
          <w:rFonts w:cs="Times New Roman"/>
          <w:szCs w:val="18"/>
          <w:lang w:val="nl-NL" w:eastAsia="ja-JP"/>
        </w:rPr>
        <w:t>Het kabinet hecht groot belang aan het jaarlijkse rechtsstaatrapport en de dialogen die daarover op nationaal en Europees niveau plaatsvinden. Door het preventief en structureel monitoren van de rechtsstaat in de Unie kunnen in een vroeg stadium eventuele rechtsstatelijke problemen in de Unie worden geïdentificeerd</w:t>
      </w:r>
      <w:r w:rsidR="00AF63F7">
        <w:rPr>
          <w:rFonts w:cs="Times New Roman"/>
          <w:szCs w:val="18"/>
          <w:lang w:val="nl-NL" w:eastAsia="ja-JP"/>
        </w:rPr>
        <w:t xml:space="preserve"> en</w:t>
      </w:r>
      <w:r w:rsidRPr="00B81A7E">
        <w:rPr>
          <w:rFonts w:cs="Times New Roman"/>
          <w:szCs w:val="18"/>
          <w:lang w:val="nl-NL" w:eastAsia="ja-JP"/>
        </w:rPr>
        <w:t xml:space="preserve"> besproken </w:t>
      </w:r>
      <w:r w:rsidR="00AF63F7">
        <w:rPr>
          <w:rFonts w:cs="Times New Roman"/>
          <w:szCs w:val="18"/>
          <w:lang w:val="nl-NL" w:eastAsia="ja-JP"/>
        </w:rPr>
        <w:t>om</w:t>
      </w:r>
      <w:r w:rsidRPr="00B81A7E">
        <w:rPr>
          <w:rFonts w:cs="Times New Roman"/>
          <w:szCs w:val="18"/>
          <w:lang w:val="nl-NL" w:eastAsia="ja-JP"/>
        </w:rPr>
        <w:t xml:space="preserve"> gezamenlijk tot oplossingen </w:t>
      </w:r>
      <w:r w:rsidR="00AF63F7">
        <w:rPr>
          <w:rFonts w:cs="Times New Roman"/>
          <w:szCs w:val="18"/>
          <w:lang w:val="nl-NL" w:eastAsia="ja-JP"/>
        </w:rPr>
        <w:t xml:space="preserve">te </w:t>
      </w:r>
      <w:r w:rsidRPr="00B81A7E">
        <w:rPr>
          <w:rFonts w:cs="Times New Roman"/>
          <w:szCs w:val="18"/>
          <w:lang w:val="nl-NL" w:eastAsia="ja-JP"/>
        </w:rPr>
        <w:t>komen.</w:t>
      </w:r>
      <w:r w:rsidR="00AF63F7">
        <w:rPr>
          <w:rFonts w:cs="Times New Roman"/>
          <w:szCs w:val="18"/>
          <w:lang w:val="nl-NL" w:eastAsia="ja-JP"/>
        </w:rPr>
        <w:t xml:space="preserve"> </w:t>
      </w:r>
      <w:r w:rsidRPr="00510161" w:rsidR="009800A5">
        <w:rPr>
          <w:rFonts w:cs="Times New Roman"/>
          <w:szCs w:val="18"/>
          <w:lang w:val="nl-NL" w:eastAsia="ja-JP"/>
        </w:rPr>
        <w:t>In algemene zin kan het kabinet zich vinden in de constateringen en aanbevelingen</w:t>
      </w:r>
      <w:r w:rsidR="00AF63F7">
        <w:rPr>
          <w:rFonts w:cs="Times New Roman"/>
          <w:szCs w:val="18"/>
          <w:lang w:val="nl-NL" w:eastAsia="ja-JP"/>
        </w:rPr>
        <w:t xml:space="preserve"> van de Commissie</w:t>
      </w:r>
      <w:r w:rsidRPr="00510161" w:rsidR="009800A5">
        <w:rPr>
          <w:rFonts w:cs="Times New Roman"/>
          <w:szCs w:val="18"/>
          <w:lang w:val="nl-NL" w:eastAsia="ja-JP"/>
        </w:rPr>
        <w:t xml:space="preserve"> in de landenhoofdstukken</w:t>
      </w:r>
      <w:r w:rsidR="00AF63F7">
        <w:rPr>
          <w:rFonts w:cs="Times New Roman"/>
          <w:szCs w:val="18"/>
          <w:lang w:val="nl-NL" w:eastAsia="ja-JP"/>
        </w:rPr>
        <w:t xml:space="preserve"> van Frankrijk, Kroatië, Italië en Letland</w:t>
      </w:r>
      <w:r w:rsidRPr="00510161" w:rsidR="009800A5">
        <w:rPr>
          <w:rFonts w:cs="Times New Roman"/>
          <w:szCs w:val="18"/>
          <w:lang w:val="nl-NL" w:eastAsia="ja-JP"/>
        </w:rPr>
        <w:t>.</w:t>
      </w:r>
      <w:r w:rsidR="009800A5">
        <w:rPr>
          <w:rFonts w:cs="Times New Roman"/>
          <w:szCs w:val="18"/>
          <w:lang w:val="nl-NL" w:eastAsia="ja-JP"/>
        </w:rPr>
        <w:t xml:space="preserve"> </w:t>
      </w:r>
      <w:r w:rsidRPr="00B81A7E">
        <w:rPr>
          <w:rFonts w:cs="Times New Roman"/>
          <w:szCs w:val="18"/>
          <w:lang w:val="nl-NL" w:eastAsia="ja-JP"/>
        </w:rPr>
        <w:t>Zoals gebruikelijk zal Nederland tijdens de rechtsstaatdialoog</w:t>
      </w:r>
      <w:r>
        <w:rPr>
          <w:rFonts w:cs="Times New Roman"/>
          <w:szCs w:val="18"/>
          <w:lang w:val="nl-NL" w:eastAsia="ja-JP"/>
        </w:rPr>
        <w:t xml:space="preserve"> in deze Raad</w:t>
      </w:r>
      <w:r w:rsidRPr="00B81A7E">
        <w:rPr>
          <w:rFonts w:cs="Times New Roman"/>
          <w:szCs w:val="18"/>
          <w:lang w:val="nl-NL" w:eastAsia="ja-JP"/>
        </w:rPr>
        <w:t xml:space="preserve"> in Benelux-verband optreden. De gezamenlijke interventie zal de positieve stappen benoemen maar ook zorgen uiten over de onderwerpen waarop </w:t>
      </w:r>
      <w:r>
        <w:rPr>
          <w:rFonts w:cs="Times New Roman"/>
          <w:szCs w:val="18"/>
          <w:lang w:val="nl-NL" w:eastAsia="ja-JP"/>
        </w:rPr>
        <w:t xml:space="preserve">blijkens het rechtsstaatrapport </w:t>
      </w:r>
      <w:r w:rsidRPr="00B81A7E">
        <w:rPr>
          <w:rFonts w:cs="Times New Roman"/>
          <w:szCs w:val="18"/>
          <w:lang w:val="nl-NL" w:eastAsia="ja-JP"/>
        </w:rPr>
        <w:t>onvoldoende vooruitgang is geboekt. Hierop zullen de betreffende lidstaten worden bevraagd.</w:t>
      </w:r>
    </w:p>
    <w:p w:rsidR="00DB3CF0" w:rsidP="001F6849" w:rsidRDefault="00DB3CF0" w14:paraId="0C3A44A6" w14:textId="10E47E80">
      <w:pPr>
        <w:spacing w:after="0"/>
        <w:contextualSpacing/>
        <w:rPr>
          <w:rFonts w:cs="Times New Roman"/>
          <w:i/>
          <w:iCs/>
          <w:szCs w:val="18"/>
          <w:lang w:val="nl-NL" w:eastAsia="ja-JP"/>
        </w:rPr>
      </w:pPr>
    </w:p>
    <w:p w:rsidRPr="002D5385" w:rsidR="004F08BA" w:rsidP="004F08BA" w:rsidRDefault="004F08BA" w14:paraId="68256ABD" w14:textId="6F7F6274">
      <w:pPr>
        <w:spacing w:after="0"/>
        <w:contextualSpacing/>
        <w:rPr>
          <w:rFonts w:cs="Times New Roman"/>
          <w:b/>
          <w:szCs w:val="18"/>
          <w:lang w:val="nl-NL" w:eastAsia="ja-JP"/>
        </w:rPr>
      </w:pPr>
      <w:r w:rsidRPr="002D5385">
        <w:rPr>
          <w:rFonts w:cs="Times New Roman"/>
          <w:b/>
          <w:szCs w:val="18"/>
          <w:lang w:val="nl-NL" w:eastAsia="ja-JP"/>
        </w:rPr>
        <w:t>EU-toetredingsproces Albanië</w:t>
      </w:r>
    </w:p>
    <w:p w:rsidRPr="002D5385" w:rsidR="004F08BA" w:rsidP="004F08BA" w:rsidRDefault="0040187D" w14:paraId="12CE98B0" w14:textId="5C3A1EF2">
      <w:pPr>
        <w:spacing w:after="0"/>
        <w:contextualSpacing/>
        <w:rPr>
          <w:rFonts w:cs="Times New Roman"/>
          <w:szCs w:val="18"/>
          <w:lang w:val="nl-NL" w:eastAsia="ja-JP"/>
        </w:rPr>
      </w:pPr>
      <w:r w:rsidRPr="002D5385">
        <w:rPr>
          <w:rFonts w:cs="Times New Roman"/>
          <w:szCs w:val="18"/>
          <w:lang w:val="nl-NL" w:eastAsia="ja-JP"/>
        </w:rPr>
        <w:t>Mogelijk</w:t>
      </w:r>
      <w:r w:rsidRPr="002D5385" w:rsidR="00A804C7">
        <w:rPr>
          <w:rFonts w:cs="Times New Roman"/>
          <w:szCs w:val="18"/>
          <w:lang w:val="nl-NL" w:eastAsia="ja-JP"/>
        </w:rPr>
        <w:t xml:space="preserve"> </w:t>
      </w:r>
      <w:r w:rsidRPr="002D5385" w:rsidR="00472A1B">
        <w:rPr>
          <w:rFonts w:cs="Times New Roman"/>
          <w:szCs w:val="18"/>
          <w:lang w:val="nl-NL" w:eastAsia="ja-JP"/>
        </w:rPr>
        <w:t>zal</w:t>
      </w:r>
      <w:r w:rsidRPr="002D5385" w:rsidR="004F08BA">
        <w:rPr>
          <w:rFonts w:cs="Times New Roman"/>
          <w:szCs w:val="18"/>
          <w:lang w:val="nl-NL" w:eastAsia="ja-JP"/>
        </w:rPr>
        <w:t xml:space="preserve"> </w:t>
      </w:r>
      <w:r w:rsidRPr="002D5385" w:rsidR="00F05F75">
        <w:rPr>
          <w:rFonts w:cs="Times New Roman"/>
          <w:szCs w:val="18"/>
          <w:lang w:val="nl-NL" w:eastAsia="ja-JP"/>
        </w:rPr>
        <w:t xml:space="preserve">het </w:t>
      </w:r>
      <w:r w:rsidRPr="002D5385" w:rsidR="004F08BA">
        <w:rPr>
          <w:rFonts w:cs="Times New Roman"/>
          <w:szCs w:val="18"/>
          <w:lang w:val="nl-NL" w:eastAsia="ja-JP"/>
        </w:rPr>
        <w:t xml:space="preserve">Cypriotisch voorzitterschap </w:t>
      </w:r>
      <w:r w:rsidRPr="002D5385" w:rsidR="00472A1B">
        <w:rPr>
          <w:rFonts w:cs="Times New Roman"/>
          <w:szCs w:val="18"/>
          <w:lang w:val="nl-NL" w:eastAsia="ja-JP"/>
        </w:rPr>
        <w:t>voorstellen</w:t>
      </w:r>
      <w:r w:rsidRPr="002D5385" w:rsidR="004F08BA">
        <w:rPr>
          <w:rFonts w:cs="Times New Roman"/>
          <w:szCs w:val="18"/>
          <w:lang w:val="nl-NL" w:eastAsia="ja-JP"/>
        </w:rPr>
        <w:t xml:space="preserve"> om rond de RAZ een Intergouvernementele Conferentie</w:t>
      </w:r>
      <w:r w:rsidRPr="002D5385" w:rsidR="00F940E5">
        <w:rPr>
          <w:rFonts w:cs="Times New Roman"/>
          <w:szCs w:val="18"/>
          <w:lang w:val="nl-NL" w:eastAsia="ja-JP"/>
        </w:rPr>
        <w:t xml:space="preserve"> (IGC)</w:t>
      </w:r>
      <w:r w:rsidRPr="002D5385" w:rsidR="004F08BA">
        <w:rPr>
          <w:rFonts w:cs="Times New Roman"/>
          <w:szCs w:val="18"/>
          <w:lang w:val="nl-NL" w:eastAsia="ja-JP"/>
        </w:rPr>
        <w:t xml:space="preserve"> met Albanië te organiseren. De Commissie geeft aan dat Albanië na het openen </w:t>
      </w:r>
      <w:r w:rsidRPr="002D5385" w:rsidR="00F051AA">
        <w:rPr>
          <w:rFonts w:cs="Times New Roman"/>
          <w:szCs w:val="18"/>
          <w:lang w:val="nl-NL" w:eastAsia="ja-JP"/>
        </w:rPr>
        <w:t xml:space="preserve">in oktober 2024 </w:t>
      </w:r>
      <w:r w:rsidRPr="002D5385" w:rsidR="004F08BA">
        <w:rPr>
          <w:rFonts w:cs="Times New Roman"/>
          <w:szCs w:val="18"/>
          <w:lang w:val="nl-NL" w:eastAsia="ja-JP"/>
        </w:rPr>
        <w:t xml:space="preserve">van </w:t>
      </w:r>
      <w:r w:rsidRPr="002D5385" w:rsidR="00DB0E26">
        <w:rPr>
          <w:rFonts w:cs="Times New Roman"/>
          <w:szCs w:val="18"/>
          <w:lang w:val="nl-NL" w:eastAsia="ja-JP"/>
        </w:rPr>
        <w:t>Cluster 1 (</w:t>
      </w:r>
      <w:r w:rsidRPr="002D5385" w:rsidR="004F08BA">
        <w:rPr>
          <w:rFonts w:cs="Times New Roman"/>
          <w:i/>
          <w:szCs w:val="18"/>
          <w:lang w:val="nl-NL" w:eastAsia="ja-JP"/>
        </w:rPr>
        <w:t>Fundamentals</w:t>
      </w:r>
      <w:r w:rsidRPr="002D5385" w:rsidR="00DB0E26">
        <w:rPr>
          <w:rFonts w:cs="Times New Roman"/>
          <w:szCs w:val="18"/>
          <w:lang w:val="nl-NL" w:eastAsia="ja-JP"/>
        </w:rPr>
        <w:t>)</w:t>
      </w:r>
      <w:r w:rsidRPr="002D5385" w:rsidR="004F08BA">
        <w:rPr>
          <w:rFonts w:cs="Times New Roman"/>
          <w:szCs w:val="18"/>
          <w:lang w:val="nl-NL" w:eastAsia="ja-JP"/>
        </w:rPr>
        <w:t xml:space="preserve"> is doorgegaan met het implementeren van justitiehervormingen, onder andere naar aanleiding van de doorlichting van de rechterlijke macht. Tevens heeft Albanië volgens de Commissie werk gemaakt van het opbouwen van een </w:t>
      </w:r>
      <w:r w:rsidRPr="002D5385" w:rsidR="004F08BA">
        <w:rPr>
          <w:rFonts w:cs="Times New Roman"/>
          <w:i/>
          <w:szCs w:val="18"/>
          <w:lang w:val="nl-NL" w:eastAsia="ja-JP"/>
        </w:rPr>
        <w:t>track record</w:t>
      </w:r>
      <w:r w:rsidRPr="002D5385" w:rsidR="004F08BA">
        <w:rPr>
          <w:rFonts w:cs="Times New Roman"/>
          <w:szCs w:val="18"/>
          <w:lang w:val="nl-NL" w:eastAsia="ja-JP"/>
        </w:rPr>
        <w:t xml:space="preserve"> op het tegengaan van corruptie en georganiseerde misdaad, mede dankzij het belangrijke werk van de Speciaal Aanklager tegen georganiseerde misdaad en corruptie (SPAK). </w:t>
      </w:r>
    </w:p>
    <w:p w:rsidRPr="002D5385" w:rsidR="004F08BA" w:rsidP="004F08BA" w:rsidRDefault="004F08BA" w14:paraId="1AC45E99" w14:textId="77777777">
      <w:pPr>
        <w:spacing w:after="0"/>
        <w:contextualSpacing/>
        <w:rPr>
          <w:rFonts w:cs="Times New Roman"/>
          <w:szCs w:val="18"/>
          <w:lang w:val="nl-NL" w:eastAsia="ja-JP"/>
        </w:rPr>
      </w:pPr>
    </w:p>
    <w:p w:rsidRPr="002D5385" w:rsidR="004F08BA" w:rsidP="004F08BA" w:rsidRDefault="004F08BA" w14:paraId="7A6DD212" w14:textId="50ED35AD">
      <w:pPr>
        <w:spacing w:after="0"/>
        <w:contextualSpacing/>
        <w:rPr>
          <w:rFonts w:cs="Times New Roman"/>
          <w:szCs w:val="18"/>
          <w:lang w:val="nl-NL" w:eastAsia="ja-JP"/>
        </w:rPr>
      </w:pPr>
      <w:r w:rsidRPr="002D5385">
        <w:rPr>
          <w:rFonts w:cs="Times New Roman"/>
          <w:szCs w:val="18"/>
          <w:lang w:val="nl-NL" w:eastAsia="ja-JP"/>
        </w:rPr>
        <w:t>De</w:t>
      </w:r>
      <w:r w:rsidRPr="002D5385" w:rsidDel="001D6E0C">
        <w:rPr>
          <w:rFonts w:cs="Times New Roman"/>
          <w:szCs w:val="18"/>
          <w:lang w:val="nl-NL" w:eastAsia="ja-JP"/>
        </w:rPr>
        <w:t xml:space="preserve"> </w:t>
      </w:r>
      <w:r w:rsidRPr="002D5385">
        <w:rPr>
          <w:rFonts w:cs="Times New Roman"/>
          <w:szCs w:val="18"/>
          <w:lang w:val="nl-NL" w:eastAsia="ja-JP"/>
        </w:rPr>
        <w:t xml:space="preserve">Commissie is van oordeel dat Albanië voldoende voortgang heeft geboekt op de </w:t>
      </w:r>
      <w:r w:rsidRPr="002D5385" w:rsidR="00F157D0">
        <w:rPr>
          <w:rFonts w:cs="Times New Roman"/>
          <w:i/>
          <w:iCs/>
          <w:szCs w:val="18"/>
          <w:lang w:val="nl-NL" w:eastAsia="ja-JP"/>
        </w:rPr>
        <w:t xml:space="preserve">interim benchmarks </w:t>
      </w:r>
      <w:r w:rsidRPr="002D5385" w:rsidR="00F157D0">
        <w:rPr>
          <w:rFonts w:cs="Times New Roman"/>
          <w:szCs w:val="18"/>
          <w:lang w:val="nl-NL" w:eastAsia="ja-JP"/>
        </w:rPr>
        <w:t>voor de</w:t>
      </w:r>
      <w:r w:rsidRPr="002D5385" w:rsidR="00F157D0">
        <w:rPr>
          <w:rFonts w:cs="Times New Roman"/>
          <w:i/>
          <w:iCs/>
          <w:szCs w:val="18"/>
          <w:lang w:val="nl-NL" w:eastAsia="ja-JP"/>
        </w:rPr>
        <w:t xml:space="preserve"> </w:t>
      </w:r>
      <w:r w:rsidRPr="002D5385">
        <w:rPr>
          <w:rFonts w:cs="Times New Roman"/>
          <w:szCs w:val="18"/>
          <w:lang w:val="nl-NL" w:eastAsia="ja-JP"/>
        </w:rPr>
        <w:t xml:space="preserve">rechtsstaatshoofdstukken 23 en 24 </w:t>
      </w:r>
      <w:r w:rsidRPr="002D5385" w:rsidR="005E250E">
        <w:rPr>
          <w:rFonts w:cs="Times New Roman"/>
          <w:szCs w:val="18"/>
          <w:lang w:val="nl-NL" w:eastAsia="ja-JP"/>
        </w:rPr>
        <w:t>van Cluster 1</w:t>
      </w:r>
      <w:r w:rsidRPr="002D5385">
        <w:rPr>
          <w:rFonts w:cs="Times New Roman"/>
          <w:szCs w:val="18"/>
          <w:lang w:val="nl-NL" w:eastAsia="ja-JP"/>
        </w:rPr>
        <w:t xml:space="preserve"> om tot vaststelling van </w:t>
      </w:r>
      <w:r w:rsidRPr="002D5385">
        <w:rPr>
          <w:rFonts w:cs="Times New Roman"/>
          <w:i/>
          <w:szCs w:val="18"/>
          <w:lang w:val="nl-NL" w:eastAsia="ja-JP"/>
        </w:rPr>
        <w:t>closing benchmarks</w:t>
      </w:r>
      <w:r w:rsidRPr="002D5385">
        <w:rPr>
          <w:rFonts w:cs="Times New Roman"/>
          <w:szCs w:val="18"/>
          <w:lang w:val="nl-NL" w:eastAsia="ja-JP"/>
        </w:rPr>
        <w:t xml:space="preserve"> over te gaan</w:t>
      </w:r>
      <w:r w:rsidRPr="002D5385" w:rsidR="00086298">
        <w:rPr>
          <w:rFonts w:cs="Times New Roman"/>
          <w:szCs w:val="18"/>
          <w:lang w:val="nl-NL" w:eastAsia="ja-JP"/>
        </w:rPr>
        <w:t>.</w:t>
      </w:r>
      <w:r w:rsidRPr="002D5385">
        <w:rPr>
          <w:rFonts w:cs="Times New Roman"/>
          <w:szCs w:val="18"/>
          <w:lang w:val="nl-NL" w:eastAsia="ja-JP"/>
        </w:rPr>
        <w:t xml:space="preserve"> Albanië moet voldoen </w:t>
      </w:r>
      <w:r w:rsidRPr="002D5385" w:rsidR="00086298">
        <w:rPr>
          <w:rFonts w:cs="Times New Roman"/>
          <w:szCs w:val="18"/>
          <w:lang w:val="nl-NL" w:eastAsia="ja-JP"/>
        </w:rPr>
        <w:t xml:space="preserve">aan deze </w:t>
      </w:r>
      <w:r w:rsidRPr="002D5385" w:rsidR="00086298">
        <w:rPr>
          <w:rFonts w:cs="Times New Roman"/>
          <w:i/>
          <w:iCs/>
          <w:szCs w:val="18"/>
          <w:lang w:val="nl-NL" w:eastAsia="ja-JP"/>
        </w:rPr>
        <w:t xml:space="preserve">closing benchmarks </w:t>
      </w:r>
      <w:r w:rsidRPr="002D5385">
        <w:rPr>
          <w:rFonts w:cs="Times New Roman"/>
          <w:szCs w:val="18"/>
          <w:lang w:val="nl-NL" w:eastAsia="ja-JP"/>
        </w:rPr>
        <w:t>voordat de twee rechtsstaat</w:t>
      </w:r>
      <w:r w:rsidRPr="002D5385" w:rsidR="008279A2">
        <w:rPr>
          <w:rFonts w:cs="Times New Roman"/>
          <w:szCs w:val="18"/>
          <w:lang w:val="nl-NL" w:eastAsia="ja-JP"/>
        </w:rPr>
        <w:t>s</w:t>
      </w:r>
      <w:r w:rsidRPr="002D5385">
        <w:rPr>
          <w:rFonts w:cs="Times New Roman"/>
          <w:szCs w:val="18"/>
          <w:lang w:val="nl-NL" w:eastAsia="ja-JP"/>
        </w:rPr>
        <w:t xml:space="preserve">hoofdstukken aan het einde van het toetredingsproces gesloten kunnen worden. De </w:t>
      </w:r>
      <w:r w:rsidRPr="002D5385">
        <w:rPr>
          <w:rFonts w:cs="Times New Roman"/>
          <w:i/>
          <w:szCs w:val="18"/>
          <w:lang w:val="nl-NL" w:eastAsia="ja-JP"/>
        </w:rPr>
        <w:t>closing benchmarks</w:t>
      </w:r>
      <w:r w:rsidRPr="002D5385">
        <w:rPr>
          <w:rFonts w:cs="Times New Roman"/>
          <w:szCs w:val="18"/>
          <w:lang w:val="nl-NL" w:eastAsia="ja-JP"/>
        </w:rPr>
        <w:t xml:space="preserve"> zien o</w:t>
      </w:r>
      <w:r w:rsidRPr="002D5385" w:rsidR="006B0797">
        <w:rPr>
          <w:rFonts w:cs="Times New Roman"/>
          <w:szCs w:val="18"/>
          <w:lang w:val="nl-NL" w:eastAsia="ja-JP"/>
        </w:rPr>
        <w:t>nder andere</w:t>
      </w:r>
      <w:r w:rsidRPr="002D5385">
        <w:rPr>
          <w:rFonts w:cs="Times New Roman"/>
          <w:szCs w:val="18"/>
          <w:lang w:val="nl-NL" w:eastAsia="ja-JP"/>
        </w:rPr>
        <w:t xml:space="preserve"> op onafhankelijke rechtspraak, bestrijding van corruptie en georganiseerde misdaad, fundamentele vrijheden (zoals vrijheid van meningsuiting en mediavrijheid), de integriteit van de Albanese politie, voldoende administratieve capaciteit, de implementatie van hervormingen en het opbouwen van </w:t>
      </w:r>
      <w:r w:rsidRPr="002D5385">
        <w:rPr>
          <w:rFonts w:cs="Times New Roman"/>
          <w:i/>
          <w:szCs w:val="18"/>
          <w:lang w:val="nl-NL" w:eastAsia="ja-JP"/>
        </w:rPr>
        <w:t>track record</w:t>
      </w:r>
      <w:r w:rsidRPr="002D5385" w:rsidR="000E66DF">
        <w:rPr>
          <w:rFonts w:cs="Times New Roman"/>
          <w:i/>
          <w:iCs/>
          <w:szCs w:val="18"/>
          <w:lang w:val="nl-NL" w:eastAsia="ja-JP"/>
        </w:rPr>
        <w:t xml:space="preserve"> </w:t>
      </w:r>
      <w:r w:rsidRPr="002D5385" w:rsidR="000E66DF">
        <w:rPr>
          <w:rFonts w:cs="Times New Roman"/>
          <w:szCs w:val="18"/>
          <w:lang w:val="nl-NL" w:eastAsia="ja-JP"/>
        </w:rPr>
        <w:t>in algemene zin</w:t>
      </w:r>
      <w:r w:rsidRPr="002D5385">
        <w:rPr>
          <w:rFonts w:cs="Times New Roman"/>
          <w:szCs w:val="18"/>
          <w:lang w:val="nl-NL" w:eastAsia="ja-JP"/>
        </w:rPr>
        <w:t xml:space="preserve">. </w:t>
      </w:r>
    </w:p>
    <w:p w:rsidRPr="002D5385" w:rsidR="004F08BA" w:rsidP="004F08BA" w:rsidRDefault="004F08BA" w14:paraId="6220E91C" w14:textId="77777777">
      <w:pPr>
        <w:spacing w:after="0"/>
        <w:contextualSpacing/>
        <w:rPr>
          <w:rFonts w:cs="Times New Roman"/>
          <w:szCs w:val="18"/>
          <w:lang w:val="nl-NL" w:eastAsia="ja-JP"/>
        </w:rPr>
      </w:pPr>
    </w:p>
    <w:p w:rsidRPr="00EA30A3" w:rsidR="00DB3CF0" w:rsidP="001F6849" w:rsidRDefault="004F08BA" w14:paraId="56849401" w14:textId="7AE18964">
      <w:pPr>
        <w:spacing w:after="0"/>
        <w:contextualSpacing/>
        <w:rPr>
          <w:rFonts w:cs="Times New Roman"/>
          <w:szCs w:val="18"/>
          <w:lang w:val="nl-NL" w:eastAsia="ja-JP"/>
        </w:rPr>
      </w:pPr>
      <w:r w:rsidRPr="002D5385">
        <w:rPr>
          <w:rFonts w:cs="Times New Roman"/>
          <w:szCs w:val="18"/>
          <w:lang w:val="nl-NL" w:eastAsia="ja-JP"/>
        </w:rPr>
        <w:t xml:space="preserve">Tijdens de IGC zullen de </w:t>
      </w:r>
      <w:r w:rsidRPr="002D5385">
        <w:rPr>
          <w:rFonts w:cs="Times New Roman"/>
          <w:i/>
          <w:szCs w:val="18"/>
          <w:lang w:val="nl-NL" w:eastAsia="ja-JP"/>
        </w:rPr>
        <w:t>closing benchmarks</w:t>
      </w:r>
      <w:r w:rsidRPr="002D5385">
        <w:rPr>
          <w:rFonts w:cs="Times New Roman"/>
          <w:szCs w:val="18"/>
          <w:lang w:val="nl-NL" w:eastAsia="ja-JP"/>
        </w:rPr>
        <w:t xml:space="preserve"> aan Albanië gecommuniceerd worden en zal Albanië worden opgeroepen om werk te maken van verdere hervormingen. </w:t>
      </w:r>
      <w:r w:rsidRPr="002D5385" w:rsidR="00C94CBA">
        <w:rPr>
          <w:rFonts w:cs="Times New Roman"/>
          <w:szCs w:val="18"/>
          <w:lang w:val="nl-NL" w:eastAsia="ja-JP"/>
        </w:rPr>
        <w:t>M</w:t>
      </w:r>
      <w:r w:rsidRPr="002D5385">
        <w:rPr>
          <w:rFonts w:cs="Times New Roman"/>
          <w:szCs w:val="18"/>
          <w:lang w:val="nl-NL" w:eastAsia="ja-JP"/>
        </w:rPr>
        <w:t xml:space="preserve">et </w:t>
      </w:r>
      <w:r w:rsidRPr="002D5385" w:rsidR="00C94CBA">
        <w:rPr>
          <w:rFonts w:cs="Times New Roman"/>
          <w:szCs w:val="18"/>
          <w:lang w:val="nl-NL" w:eastAsia="ja-JP"/>
        </w:rPr>
        <w:t xml:space="preserve">het </w:t>
      </w:r>
      <w:r w:rsidRPr="002D5385">
        <w:rPr>
          <w:rFonts w:cs="Times New Roman"/>
          <w:szCs w:val="18"/>
          <w:lang w:val="nl-NL" w:eastAsia="ja-JP"/>
        </w:rPr>
        <w:t xml:space="preserve">vaststellen van </w:t>
      </w:r>
      <w:r w:rsidRPr="002D5385">
        <w:rPr>
          <w:rFonts w:cs="Times New Roman"/>
          <w:i/>
          <w:szCs w:val="18"/>
          <w:lang w:val="nl-NL" w:eastAsia="ja-JP"/>
        </w:rPr>
        <w:t xml:space="preserve">closing benchmarks </w:t>
      </w:r>
      <w:r w:rsidRPr="002D5385" w:rsidR="00C94CBA">
        <w:rPr>
          <w:rFonts w:cs="Times New Roman"/>
          <w:szCs w:val="18"/>
          <w:lang w:val="nl-NL" w:eastAsia="ja-JP"/>
        </w:rPr>
        <w:t xml:space="preserve">zal </w:t>
      </w:r>
      <w:r w:rsidRPr="002D5385" w:rsidR="009A6774">
        <w:rPr>
          <w:rFonts w:cs="Times New Roman"/>
          <w:szCs w:val="18"/>
          <w:lang w:val="nl-NL" w:eastAsia="ja-JP"/>
        </w:rPr>
        <w:t>Albanië</w:t>
      </w:r>
      <w:r w:rsidRPr="002D5385" w:rsidR="005001DD">
        <w:rPr>
          <w:rFonts w:cs="Times New Roman"/>
          <w:szCs w:val="18"/>
          <w:lang w:val="nl-NL" w:eastAsia="ja-JP"/>
        </w:rPr>
        <w:t xml:space="preserve"> in het toetredingsproces </w:t>
      </w:r>
      <w:r w:rsidRPr="002D5385" w:rsidR="00C94CBA">
        <w:rPr>
          <w:rFonts w:cs="Times New Roman"/>
          <w:szCs w:val="18"/>
          <w:lang w:val="nl-NL" w:eastAsia="ja-JP"/>
        </w:rPr>
        <w:t>overgaan tot de fase waarin onderhandelings</w:t>
      </w:r>
      <w:r w:rsidRPr="002D5385" w:rsidR="005001DD">
        <w:rPr>
          <w:rFonts w:cs="Times New Roman"/>
          <w:szCs w:val="18"/>
          <w:lang w:val="nl-NL" w:eastAsia="ja-JP"/>
        </w:rPr>
        <w:t>hoofdstukken onder voorbehoud k</w:t>
      </w:r>
      <w:r w:rsidRPr="002D5385" w:rsidR="00C94CBA">
        <w:rPr>
          <w:rFonts w:cs="Times New Roman"/>
          <w:szCs w:val="18"/>
          <w:lang w:val="nl-NL" w:eastAsia="ja-JP"/>
        </w:rPr>
        <w:t>unnen worden</w:t>
      </w:r>
      <w:r w:rsidRPr="002D5385" w:rsidR="005001DD">
        <w:rPr>
          <w:rFonts w:cs="Times New Roman"/>
          <w:szCs w:val="18"/>
          <w:lang w:val="nl-NL" w:eastAsia="ja-JP"/>
        </w:rPr>
        <w:t xml:space="preserve"> </w:t>
      </w:r>
      <w:r w:rsidRPr="002D5385" w:rsidR="00C94CBA">
        <w:rPr>
          <w:rFonts w:cs="Times New Roman"/>
          <w:szCs w:val="18"/>
          <w:lang w:val="nl-NL" w:eastAsia="ja-JP"/>
        </w:rPr>
        <w:t>ge</w:t>
      </w:r>
      <w:r w:rsidRPr="002D5385" w:rsidR="005001DD">
        <w:rPr>
          <w:rFonts w:cs="Times New Roman"/>
          <w:szCs w:val="18"/>
          <w:lang w:val="nl-NL" w:eastAsia="ja-JP"/>
        </w:rPr>
        <w:t>sl</w:t>
      </w:r>
      <w:r w:rsidRPr="002D5385" w:rsidR="00C94CBA">
        <w:rPr>
          <w:rFonts w:cs="Times New Roman"/>
          <w:szCs w:val="18"/>
          <w:lang w:val="nl-NL" w:eastAsia="ja-JP"/>
        </w:rPr>
        <w:t>o</w:t>
      </w:r>
      <w:r w:rsidRPr="002D5385" w:rsidR="005001DD">
        <w:rPr>
          <w:rFonts w:cs="Times New Roman"/>
          <w:szCs w:val="18"/>
          <w:lang w:val="nl-NL" w:eastAsia="ja-JP"/>
        </w:rPr>
        <w:t xml:space="preserve">ten. Met deze stap </w:t>
      </w:r>
      <w:r w:rsidRPr="002D5385">
        <w:rPr>
          <w:rFonts w:cs="Times New Roman"/>
          <w:szCs w:val="18"/>
          <w:lang w:val="nl-NL" w:eastAsia="ja-JP"/>
        </w:rPr>
        <w:t xml:space="preserve">wordt </w:t>
      </w:r>
      <w:r w:rsidRPr="002D5385" w:rsidR="00C94CBA">
        <w:rPr>
          <w:rFonts w:cs="Times New Roman"/>
          <w:szCs w:val="18"/>
          <w:lang w:val="nl-NL" w:eastAsia="ja-JP"/>
        </w:rPr>
        <w:t xml:space="preserve">echter </w:t>
      </w:r>
      <w:r w:rsidRPr="002D5385">
        <w:rPr>
          <w:rFonts w:cs="Times New Roman"/>
          <w:szCs w:val="18"/>
          <w:lang w:val="nl-NL" w:eastAsia="ja-JP"/>
        </w:rPr>
        <w:t>niet vooruitgelopen op het sluiten van de rechtsstaathoofdstukken</w:t>
      </w:r>
      <w:r w:rsidRPr="002D5385" w:rsidR="005001DD">
        <w:rPr>
          <w:rFonts w:cs="Times New Roman"/>
          <w:szCs w:val="18"/>
          <w:lang w:val="nl-NL" w:eastAsia="ja-JP"/>
        </w:rPr>
        <w:t xml:space="preserve"> </w:t>
      </w:r>
      <w:r w:rsidRPr="002D5385" w:rsidR="00C94CBA">
        <w:rPr>
          <w:rFonts w:cs="Times New Roman"/>
          <w:szCs w:val="18"/>
          <w:lang w:val="nl-NL" w:eastAsia="ja-JP"/>
        </w:rPr>
        <w:t>of</w:t>
      </w:r>
      <w:r w:rsidRPr="002D5385" w:rsidR="005001DD">
        <w:rPr>
          <w:rFonts w:cs="Times New Roman"/>
          <w:szCs w:val="18"/>
          <w:lang w:val="nl-NL" w:eastAsia="ja-JP"/>
        </w:rPr>
        <w:t xml:space="preserve"> van andere hoofdstukken</w:t>
      </w:r>
      <w:r w:rsidRPr="002D5385">
        <w:rPr>
          <w:rFonts w:cs="Times New Roman"/>
          <w:szCs w:val="18"/>
          <w:lang w:val="nl-NL" w:eastAsia="ja-JP"/>
        </w:rPr>
        <w:t xml:space="preserve">. Het kabinet is voornemens om in te stemmen met het vaststellen van de </w:t>
      </w:r>
      <w:r w:rsidRPr="002D5385">
        <w:rPr>
          <w:rFonts w:cs="Times New Roman"/>
          <w:i/>
          <w:szCs w:val="18"/>
          <w:lang w:val="nl-NL" w:eastAsia="ja-JP"/>
        </w:rPr>
        <w:t>closing benchmarks</w:t>
      </w:r>
      <w:r w:rsidRPr="002D5385">
        <w:rPr>
          <w:rFonts w:cs="Times New Roman"/>
          <w:szCs w:val="18"/>
          <w:lang w:val="nl-NL" w:eastAsia="ja-JP"/>
        </w:rPr>
        <w:t>, mits de Nederlandse aandachtspunten</w:t>
      </w:r>
      <w:r w:rsidRPr="002D5385" w:rsidR="00116CF6">
        <w:rPr>
          <w:rStyle w:val="FootnoteReference"/>
          <w:rFonts w:cs="Times New Roman"/>
          <w:szCs w:val="18"/>
          <w:lang w:val="nl-NL" w:eastAsia="ja-JP"/>
        </w:rPr>
        <w:footnoteReference w:id="5"/>
      </w:r>
      <w:r w:rsidRPr="002D5385">
        <w:rPr>
          <w:rFonts w:cs="Times New Roman"/>
          <w:szCs w:val="18"/>
          <w:lang w:val="nl-NL" w:eastAsia="ja-JP"/>
        </w:rPr>
        <w:t xml:space="preserve"> in voldoende mate in </w:t>
      </w:r>
      <w:r w:rsidRPr="002D5385" w:rsidR="00862225">
        <w:rPr>
          <w:rFonts w:cs="Times New Roman"/>
          <w:szCs w:val="18"/>
          <w:lang w:val="nl-NL" w:eastAsia="ja-JP"/>
        </w:rPr>
        <w:t>strikte</w:t>
      </w:r>
      <w:r w:rsidRPr="002D5385">
        <w:rPr>
          <w:rFonts w:cs="Times New Roman"/>
          <w:szCs w:val="18"/>
          <w:lang w:val="nl-NL" w:eastAsia="ja-JP"/>
        </w:rPr>
        <w:t xml:space="preserve"> </w:t>
      </w:r>
      <w:r w:rsidRPr="002D5385">
        <w:rPr>
          <w:rFonts w:cs="Times New Roman"/>
          <w:i/>
          <w:szCs w:val="18"/>
          <w:lang w:val="nl-NL" w:eastAsia="ja-JP"/>
        </w:rPr>
        <w:t>closing benchmarks</w:t>
      </w:r>
      <w:r w:rsidRPr="002D5385">
        <w:rPr>
          <w:rFonts w:cs="Times New Roman"/>
          <w:szCs w:val="18"/>
          <w:lang w:val="nl-NL" w:eastAsia="ja-JP"/>
        </w:rPr>
        <w:t xml:space="preserve"> verankerd zijn. Het kabinet verwacht dat Albanië verder gaat met het opbouwen van </w:t>
      </w:r>
      <w:r w:rsidRPr="002D5385">
        <w:rPr>
          <w:rFonts w:cs="Times New Roman"/>
          <w:i/>
          <w:szCs w:val="18"/>
          <w:lang w:val="nl-NL" w:eastAsia="ja-JP"/>
        </w:rPr>
        <w:t>track record</w:t>
      </w:r>
      <w:r w:rsidRPr="002D5385">
        <w:rPr>
          <w:rFonts w:cs="Times New Roman"/>
          <w:szCs w:val="18"/>
          <w:lang w:val="nl-NL" w:eastAsia="ja-JP"/>
        </w:rPr>
        <w:t xml:space="preserve"> en implementatie, in het bijzonder op het gebied van </w:t>
      </w:r>
      <w:r w:rsidRPr="002D5385" w:rsidR="000E73AA">
        <w:rPr>
          <w:rFonts w:cs="Times New Roman"/>
          <w:szCs w:val="18"/>
          <w:lang w:val="nl-NL" w:eastAsia="ja-JP"/>
        </w:rPr>
        <w:t>onafhankelijke rechtspraak, bestrijding van corruptie en georganiseerde misdaad</w:t>
      </w:r>
      <w:r w:rsidRPr="002D5385">
        <w:rPr>
          <w:rFonts w:cs="Times New Roman"/>
          <w:szCs w:val="18"/>
          <w:lang w:val="nl-NL" w:eastAsia="ja-JP"/>
        </w:rPr>
        <w:t xml:space="preserve"> en </w:t>
      </w:r>
      <w:r w:rsidRPr="002D5385" w:rsidR="000E73AA">
        <w:rPr>
          <w:rFonts w:cs="Times New Roman"/>
          <w:szCs w:val="18"/>
          <w:lang w:val="nl-NL" w:eastAsia="ja-JP"/>
        </w:rPr>
        <w:t>fundamentele rechten</w:t>
      </w:r>
      <w:r w:rsidRPr="002D5385" w:rsidR="006D499E">
        <w:rPr>
          <w:rFonts w:cs="Times New Roman"/>
          <w:szCs w:val="18"/>
          <w:lang w:val="nl-NL" w:eastAsia="ja-JP"/>
        </w:rPr>
        <w:t>. Het kabinet</w:t>
      </w:r>
      <w:r w:rsidRPr="002D5385">
        <w:rPr>
          <w:rFonts w:cs="Times New Roman"/>
          <w:szCs w:val="18"/>
          <w:lang w:val="nl-NL" w:eastAsia="ja-JP"/>
        </w:rPr>
        <w:t xml:space="preserve"> zal hier in het verdere verloop van het toetredingsproces nauw op </w:t>
      </w:r>
      <w:r w:rsidRPr="002D5385" w:rsidR="006D499E">
        <w:rPr>
          <w:rFonts w:cs="Times New Roman"/>
          <w:szCs w:val="18"/>
          <w:lang w:val="nl-NL" w:eastAsia="ja-JP"/>
        </w:rPr>
        <w:t xml:space="preserve">blijven </w:t>
      </w:r>
      <w:r w:rsidRPr="002D5385">
        <w:rPr>
          <w:rFonts w:cs="Times New Roman"/>
          <w:szCs w:val="18"/>
          <w:lang w:val="nl-NL" w:eastAsia="ja-JP"/>
        </w:rPr>
        <w:t>toezien. Het krachtenveld in de Raad lijkt zich te bewegen richting unanieme steun voor het houden van deze IGC.</w:t>
      </w:r>
    </w:p>
    <w:sectPr w:rsidRPr="00EA30A3" w:rsidR="00DB3CF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C544" w14:textId="77777777" w:rsidR="00A400A5" w:rsidRDefault="00A400A5" w:rsidP="003E101F">
      <w:pPr>
        <w:spacing w:after="0"/>
      </w:pPr>
      <w:r>
        <w:separator/>
      </w:r>
    </w:p>
  </w:endnote>
  <w:endnote w:type="continuationSeparator" w:id="0">
    <w:p w14:paraId="61A5884E" w14:textId="77777777" w:rsidR="00A400A5" w:rsidRDefault="00A400A5"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501F" w14:textId="77777777" w:rsidR="00A400A5" w:rsidRDefault="00A400A5" w:rsidP="003E101F">
      <w:pPr>
        <w:spacing w:after="0"/>
      </w:pPr>
      <w:r>
        <w:separator/>
      </w:r>
    </w:p>
  </w:footnote>
  <w:footnote w:type="continuationSeparator" w:id="0">
    <w:p w14:paraId="505AB57F" w14:textId="77777777" w:rsidR="00A400A5" w:rsidRDefault="00A400A5" w:rsidP="003E101F">
      <w:pPr>
        <w:spacing w:after="0"/>
      </w:pPr>
      <w:r>
        <w:continuationSeparator/>
      </w:r>
    </w:p>
  </w:footnote>
  <w:footnote w:id="1">
    <w:p w14:paraId="68F3B4D2" w14:textId="73C1F49A" w:rsidR="003F7183" w:rsidRDefault="003F7183">
      <w:pPr>
        <w:pStyle w:val="FootnoteText"/>
      </w:pPr>
      <w:r>
        <w:rPr>
          <w:rStyle w:val="FootnoteReference"/>
        </w:rPr>
        <w:footnoteRef/>
      </w:r>
      <w:r>
        <w:t xml:space="preserve"> </w:t>
      </w:r>
      <w:hyperlink r:id="rId1" w:history="1">
        <w:r w:rsidR="00F04427" w:rsidRPr="00D15428">
          <w:rPr>
            <w:rStyle w:val="Hyperlink"/>
            <w:sz w:val="16"/>
            <w:szCs w:val="16"/>
          </w:rPr>
          <w:t>https://erasmus-plus.ec.europa.eu/whats-new/news/european-union-and-united-kingdom-take-decisive-step-towards-erasmus-association-in-2027</w:t>
        </w:r>
      </w:hyperlink>
      <w:r w:rsidR="00F04427">
        <w:rPr>
          <w:sz w:val="16"/>
          <w:szCs w:val="16"/>
        </w:rPr>
        <w:t xml:space="preserve"> </w:t>
      </w:r>
    </w:p>
  </w:footnote>
  <w:footnote w:id="2">
    <w:p w14:paraId="094CC424" w14:textId="77777777" w:rsidR="00BC5D49" w:rsidRPr="00531D3F" w:rsidRDefault="00BC5D49" w:rsidP="00BC5D49">
      <w:pPr>
        <w:pStyle w:val="FootnoteText"/>
        <w:rPr>
          <w:lang w:val="nl-NL"/>
        </w:rPr>
      </w:pPr>
      <w:r>
        <w:rPr>
          <w:rStyle w:val="FootnoteReference"/>
        </w:rPr>
        <w:footnoteRef/>
      </w:r>
      <w:r w:rsidRPr="00D35AC6">
        <w:rPr>
          <w:lang w:val="nl-NL"/>
        </w:rPr>
        <w:t xml:space="preserve"> </w:t>
      </w:r>
      <w:hyperlink r:id="rId2" w:history="1">
        <w:r w:rsidRPr="00D35AC6">
          <w:rPr>
            <w:rStyle w:val="Hyperlink"/>
            <w:sz w:val="16"/>
            <w:szCs w:val="16"/>
            <w:lang w:val="nl-NL"/>
          </w:rPr>
          <w:t>Fiche 1: Aanbeveling Raadsbesluit onderhandelingen jeugdmobiliteit EU - Verenigd Koninkrijk | Publicatie | Rijksoverheid.nl</w:t>
        </w:r>
      </w:hyperlink>
    </w:p>
  </w:footnote>
  <w:footnote w:id="3">
    <w:p w14:paraId="55808AD8" w14:textId="48A9844A" w:rsidR="00C84F5A" w:rsidRPr="00C84F5A" w:rsidRDefault="00C84F5A">
      <w:pPr>
        <w:pStyle w:val="FootnoteText"/>
        <w:rPr>
          <w:lang w:val="nl-NL"/>
        </w:rPr>
      </w:pPr>
      <w:r>
        <w:rPr>
          <w:rStyle w:val="FootnoteReference"/>
        </w:rPr>
        <w:footnoteRef/>
      </w:r>
      <w:r w:rsidRPr="00C84F5A">
        <w:rPr>
          <w:lang w:val="nl-NL"/>
        </w:rPr>
        <w:t xml:space="preserve"> </w:t>
      </w:r>
      <w:hyperlink r:id="rId3" w:history="1">
        <w:r w:rsidRPr="00C84F5A">
          <w:rPr>
            <w:rStyle w:val="Hyperlink"/>
            <w:sz w:val="16"/>
            <w:szCs w:val="16"/>
            <w:lang w:val="nl-NL"/>
          </w:rPr>
          <w:t>BNC Fiche - Aanbeveling voor het openen van onderhandelingen met het VK over deelname aan de interne elektriciteitsmarkt en een bijdrage van het VK aan cohesiefondsen | Publicatie | Rijksoverheid.nl</w:t>
        </w:r>
      </w:hyperlink>
    </w:p>
  </w:footnote>
  <w:footnote w:id="4">
    <w:p w14:paraId="08CD0B7E" w14:textId="356C8296" w:rsidR="00AF63F7" w:rsidRPr="007C4E68" w:rsidRDefault="00AF63F7" w:rsidP="00AF63F7">
      <w:pPr>
        <w:pStyle w:val="FootnoteText"/>
        <w:rPr>
          <w:sz w:val="16"/>
          <w:szCs w:val="16"/>
          <w:lang w:val="nl-NL"/>
        </w:rPr>
      </w:pPr>
      <w:r w:rsidRPr="00F04427">
        <w:rPr>
          <w:rStyle w:val="FootnoteReference"/>
          <w:sz w:val="16"/>
          <w:szCs w:val="16"/>
        </w:rPr>
        <w:footnoteRef/>
      </w:r>
      <w:r w:rsidRPr="00F04427">
        <w:rPr>
          <w:sz w:val="16"/>
          <w:szCs w:val="16"/>
          <w:lang w:val="nl-NL"/>
        </w:rPr>
        <w:t xml:space="preserve"> Kamerstuk 21501-02, nr. 3223. Het Commissierechtsstaatrapport werd op 8 juli jl. gepubliceerd. Het horizontale deel van het rapport en de landenhoofdstukken zijn hier te vinden</w:t>
      </w:r>
      <w:r w:rsidR="007C4E68">
        <w:rPr>
          <w:sz w:val="16"/>
          <w:szCs w:val="16"/>
          <w:lang w:val="nl-NL"/>
        </w:rPr>
        <w:t xml:space="preserve">: </w:t>
      </w:r>
      <w:hyperlink r:id="rId4" w:history="1">
        <w:r w:rsidR="007C4E68" w:rsidRPr="00A942BF">
          <w:rPr>
            <w:rStyle w:val="Hyperlink"/>
            <w:sz w:val="16"/>
            <w:szCs w:val="16"/>
            <w:lang w:val="nl-NL"/>
          </w:rPr>
          <w:t>https://commission.europa.eu/publications/2025-rule-law-report-communication-and-country-chapters_en</w:t>
        </w:r>
      </w:hyperlink>
      <w:r w:rsidR="007C4E68">
        <w:rPr>
          <w:sz w:val="16"/>
          <w:szCs w:val="16"/>
          <w:lang w:val="nl-NL"/>
        </w:rPr>
        <w:t xml:space="preserve"> </w:t>
      </w:r>
    </w:p>
  </w:footnote>
  <w:footnote w:id="5">
    <w:p w14:paraId="0A2A7703" w14:textId="0F76318E" w:rsidR="00116CF6" w:rsidRPr="00280D22" w:rsidRDefault="00116CF6">
      <w:pPr>
        <w:pStyle w:val="FootnoteText"/>
        <w:rPr>
          <w:lang w:val="nl-NL"/>
        </w:rPr>
      </w:pPr>
      <w:r w:rsidRPr="00F04427">
        <w:rPr>
          <w:rStyle w:val="FootnoteReference"/>
          <w:sz w:val="16"/>
          <w:szCs w:val="16"/>
        </w:rPr>
        <w:footnoteRef/>
      </w:r>
      <w:r w:rsidRPr="00F04427">
        <w:rPr>
          <w:sz w:val="16"/>
          <w:szCs w:val="16"/>
          <w:lang w:val="nl-NL"/>
        </w:rPr>
        <w:t xml:space="preserve"> In lijn met de kabinetsappreciatie uitbreidingspakket</w:t>
      </w:r>
      <w:r w:rsidR="009C1E77" w:rsidRPr="00F04427">
        <w:rPr>
          <w:sz w:val="16"/>
          <w:szCs w:val="16"/>
          <w:lang w:val="nl-NL"/>
        </w:rPr>
        <w:t xml:space="preserve"> 2025</w:t>
      </w:r>
      <w:r w:rsidRPr="00F04427">
        <w:rPr>
          <w:sz w:val="16"/>
          <w:szCs w:val="16"/>
          <w:lang w:val="nl-NL"/>
        </w:rPr>
        <w:t>, Kamerstuk 23 987, nr. 398.</w:t>
      </w:r>
      <w:r>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4459"/>
    <w:multiLevelType w:val="hybridMultilevel"/>
    <w:tmpl w:val="DDE8BD04"/>
    <w:lvl w:ilvl="0" w:tplc="722A4008">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509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17727"/>
    <w:rsid w:val="00021A49"/>
    <w:rsid w:val="000267EA"/>
    <w:rsid w:val="0002710F"/>
    <w:rsid w:val="000575E0"/>
    <w:rsid w:val="00057812"/>
    <w:rsid w:val="000711F2"/>
    <w:rsid w:val="00074221"/>
    <w:rsid w:val="00083080"/>
    <w:rsid w:val="00086298"/>
    <w:rsid w:val="00093C9A"/>
    <w:rsid w:val="000B2A18"/>
    <w:rsid w:val="000B3977"/>
    <w:rsid w:val="000D7D8C"/>
    <w:rsid w:val="000E604F"/>
    <w:rsid w:val="000E66DF"/>
    <w:rsid w:val="000E6733"/>
    <w:rsid w:val="000E73AA"/>
    <w:rsid w:val="000F4D6C"/>
    <w:rsid w:val="000F5CE1"/>
    <w:rsid w:val="00100B77"/>
    <w:rsid w:val="00102DB3"/>
    <w:rsid w:val="00105826"/>
    <w:rsid w:val="00106AD1"/>
    <w:rsid w:val="00116CF6"/>
    <w:rsid w:val="001217D8"/>
    <w:rsid w:val="00125068"/>
    <w:rsid w:val="00155315"/>
    <w:rsid w:val="00162127"/>
    <w:rsid w:val="00164DED"/>
    <w:rsid w:val="001703E2"/>
    <w:rsid w:val="001736BC"/>
    <w:rsid w:val="00180E57"/>
    <w:rsid w:val="001855ED"/>
    <w:rsid w:val="0018723B"/>
    <w:rsid w:val="001B0F7C"/>
    <w:rsid w:val="001B626C"/>
    <w:rsid w:val="001C575C"/>
    <w:rsid w:val="001C580B"/>
    <w:rsid w:val="001C72CC"/>
    <w:rsid w:val="001D64F5"/>
    <w:rsid w:val="001D6E0C"/>
    <w:rsid w:val="001E28C2"/>
    <w:rsid w:val="001F6849"/>
    <w:rsid w:val="00227E94"/>
    <w:rsid w:val="002305C1"/>
    <w:rsid w:val="00237549"/>
    <w:rsid w:val="00242202"/>
    <w:rsid w:val="00255CC9"/>
    <w:rsid w:val="00261EFE"/>
    <w:rsid w:val="00266D04"/>
    <w:rsid w:val="00271AE6"/>
    <w:rsid w:val="00280C10"/>
    <w:rsid w:val="00280D22"/>
    <w:rsid w:val="002815B5"/>
    <w:rsid w:val="002879BA"/>
    <w:rsid w:val="002C423B"/>
    <w:rsid w:val="002C5455"/>
    <w:rsid w:val="002D5385"/>
    <w:rsid w:val="002E089F"/>
    <w:rsid w:val="002F1E63"/>
    <w:rsid w:val="003015E8"/>
    <w:rsid w:val="00315373"/>
    <w:rsid w:val="003166D2"/>
    <w:rsid w:val="00334D52"/>
    <w:rsid w:val="0033798D"/>
    <w:rsid w:val="0035033D"/>
    <w:rsid w:val="003717F2"/>
    <w:rsid w:val="00392158"/>
    <w:rsid w:val="003944CC"/>
    <w:rsid w:val="003A2596"/>
    <w:rsid w:val="003A5366"/>
    <w:rsid w:val="003D12F6"/>
    <w:rsid w:val="003E101F"/>
    <w:rsid w:val="003E1C6A"/>
    <w:rsid w:val="003F5A66"/>
    <w:rsid w:val="003F7183"/>
    <w:rsid w:val="0040187D"/>
    <w:rsid w:val="00422371"/>
    <w:rsid w:val="004277BB"/>
    <w:rsid w:val="004302C5"/>
    <w:rsid w:val="00430F08"/>
    <w:rsid w:val="0044162A"/>
    <w:rsid w:val="00443A6B"/>
    <w:rsid w:val="004447B5"/>
    <w:rsid w:val="00472A1B"/>
    <w:rsid w:val="004760E0"/>
    <w:rsid w:val="00492AE9"/>
    <w:rsid w:val="004A4E08"/>
    <w:rsid w:val="004D12F3"/>
    <w:rsid w:val="004D44CA"/>
    <w:rsid w:val="004D7C58"/>
    <w:rsid w:val="004F08BA"/>
    <w:rsid w:val="004F19B2"/>
    <w:rsid w:val="005001DD"/>
    <w:rsid w:val="00501A52"/>
    <w:rsid w:val="005022A8"/>
    <w:rsid w:val="00510161"/>
    <w:rsid w:val="00525D92"/>
    <w:rsid w:val="005262C7"/>
    <w:rsid w:val="0053361B"/>
    <w:rsid w:val="00535B40"/>
    <w:rsid w:val="00550960"/>
    <w:rsid w:val="005571A2"/>
    <w:rsid w:val="00561005"/>
    <w:rsid w:val="005768F4"/>
    <w:rsid w:val="0058044A"/>
    <w:rsid w:val="00586D76"/>
    <w:rsid w:val="0059065B"/>
    <w:rsid w:val="005B537E"/>
    <w:rsid w:val="005E250E"/>
    <w:rsid w:val="005F0B0A"/>
    <w:rsid w:val="005F14AF"/>
    <w:rsid w:val="00606A34"/>
    <w:rsid w:val="006115A3"/>
    <w:rsid w:val="00616110"/>
    <w:rsid w:val="00645145"/>
    <w:rsid w:val="00645812"/>
    <w:rsid w:val="00653183"/>
    <w:rsid w:val="00653C97"/>
    <w:rsid w:val="00684170"/>
    <w:rsid w:val="006908F3"/>
    <w:rsid w:val="00694D13"/>
    <w:rsid w:val="00697FBD"/>
    <w:rsid w:val="006B0797"/>
    <w:rsid w:val="006B1B3B"/>
    <w:rsid w:val="006B4CF0"/>
    <w:rsid w:val="006C394B"/>
    <w:rsid w:val="006D03BF"/>
    <w:rsid w:val="006D3C26"/>
    <w:rsid w:val="006D499E"/>
    <w:rsid w:val="006D7DA6"/>
    <w:rsid w:val="006F3544"/>
    <w:rsid w:val="00701CF8"/>
    <w:rsid w:val="0070763E"/>
    <w:rsid w:val="007151E3"/>
    <w:rsid w:val="0074184C"/>
    <w:rsid w:val="00750448"/>
    <w:rsid w:val="00767D98"/>
    <w:rsid w:val="00790F57"/>
    <w:rsid w:val="007A1CCE"/>
    <w:rsid w:val="007A62C8"/>
    <w:rsid w:val="007B3D1A"/>
    <w:rsid w:val="007B7563"/>
    <w:rsid w:val="007C4E68"/>
    <w:rsid w:val="007C4F14"/>
    <w:rsid w:val="007D11B8"/>
    <w:rsid w:val="00800F56"/>
    <w:rsid w:val="00801D8F"/>
    <w:rsid w:val="00804D4C"/>
    <w:rsid w:val="00811B72"/>
    <w:rsid w:val="00814560"/>
    <w:rsid w:val="00823D49"/>
    <w:rsid w:val="008279A2"/>
    <w:rsid w:val="00833832"/>
    <w:rsid w:val="008456C9"/>
    <w:rsid w:val="0086080F"/>
    <w:rsid w:val="00862225"/>
    <w:rsid w:val="008A22F6"/>
    <w:rsid w:val="008A26D3"/>
    <w:rsid w:val="008C480D"/>
    <w:rsid w:val="00911076"/>
    <w:rsid w:val="0093059E"/>
    <w:rsid w:val="0093112A"/>
    <w:rsid w:val="00942EEA"/>
    <w:rsid w:val="009431B9"/>
    <w:rsid w:val="00955035"/>
    <w:rsid w:val="00956087"/>
    <w:rsid w:val="009626FD"/>
    <w:rsid w:val="009628B7"/>
    <w:rsid w:val="00967C49"/>
    <w:rsid w:val="00977E5E"/>
    <w:rsid w:val="009800A5"/>
    <w:rsid w:val="00981BF8"/>
    <w:rsid w:val="00991CFD"/>
    <w:rsid w:val="009A6774"/>
    <w:rsid w:val="009B2A65"/>
    <w:rsid w:val="009C1E77"/>
    <w:rsid w:val="009C1EB1"/>
    <w:rsid w:val="009D1837"/>
    <w:rsid w:val="009E2591"/>
    <w:rsid w:val="009F713F"/>
    <w:rsid w:val="00A1182B"/>
    <w:rsid w:val="00A24CA7"/>
    <w:rsid w:val="00A26844"/>
    <w:rsid w:val="00A400A5"/>
    <w:rsid w:val="00A804C7"/>
    <w:rsid w:val="00A80AC5"/>
    <w:rsid w:val="00A8425D"/>
    <w:rsid w:val="00A85A4A"/>
    <w:rsid w:val="00A94CAA"/>
    <w:rsid w:val="00A9781F"/>
    <w:rsid w:val="00AA1905"/>
    <w:rsid w:val="00AA66F3"/>
    <w:rsid w:val="00AB601B"/>
    <w:rsid w:val="00AC5B45"/>
    <w:rsid w:val="00AD328B"/>
    <w:rsid w:val="00AE69DA"/>
    <w:rsid w:val="00AF1019"/>
    <w:rsid w:val="00AF63F7"/>
    <w:rsid w:val="00B105ED"/>
    <w:rsid w:val="00B21CDB"/>
    <w:rsid w:val="00B43023"/>
    <w:rsid w:val="00B459E2"/>
    <w:rsid w:val="00B50495"/>
    <w:rsid w:val="00B50E51"/>
    <w:rsid w:val="00B53C1F"/>
    <w:rsid w:val="00B541B1"/>
    <w:rsid w:val="00B557B6"/>
    <w:rsid w:val="00B5580E"/>
    <w:rsid w:val="00B65F5C"/>
    <w:rsid w:val="00B7088F"/>
    <w:rsid w:val="00B7166B"/>
    <w:rsid w:val="00B81A7E"/>
    <w:rsid w:val="00B84A6D"/>
    <w:rsid w:val="00BA1AA9"/>
    <w:rsid w:val="00BA4037"/>
    <w:rsid w:val="00BA59DD"/>
    <w:rsid w:val="00BC5D49"/>
    <w:rsid w:val="00BE2F66"/>
    <w:rsid w:val="00BE39D6"/>
    <w:rsid w:val="00BF23FE"/>
    <w:rsid w:val="00C173B8"/>
    <w:rsid w:val="00C21488"/>
    <w:rsid w:val="00C21F89"/>
    <w:rsid w:val="00C27679"/>
    <w:rsid w:val="00C27859"/>
    <w:rsid w:val="00C40BF7"/>
    <w:rsid w:val="00C534FC"/>
    <w:rsid w:val="00C63AD8"/>
    <w:rsid w:val="00C642FE"/>
    <w:rsid w:val="00C67263"/>
    <w:rsid w:val="00C75C92"/>
    <w:rsid w:val="00C80610"/>
    <w:rsid w:val="00C80949"/>
    <w:rsid w:val="00C82543"/>
    <w:rsid w:val="00C84F5A"/>
    <w:rsid w:val="00C94CBA"/>
    <w:rsid w:val="00CA1E1E"/>
    <w:rsid w:val="00CC1B49"/>
    <w:rsid w:val="00CD1A19"/>
    <w:rsid w:val="00CE2C24"/>
    <w:rsid w:val="00CE405F"/>
    <w:rsid w:val="00D0650B"/>
    <w:rsid w:val="00D22498"/>
    <w:rsid w:val="00D25E48"/>
    <w:rsid w:val="00D26946"/>
    <w:rsid w:val="00D26B6D"/>
    <w:rsid w:val="00D309B7"/>
    <w:rsid w:val="00D33B62"/>
    <w:rsid w:val="00D35AC6"/>
    <w:rsid w:val="00D3760F"/>
    <w:rsid w:val="00D43485"/>
    <w:rsid w:val="00D761AA"/>
    <w:rsid w:val="00D87350"/>
    <w:rsid w:val="00D97D24"/>
    <w:rsid w:val="00DA6C04"/>
    <w:rsid w:val="00DB0E26"/>
    <w:rsid w:val="00DB1BC9"/>
    <w:rsid w:val="00DB3CF0"/>
    <w:rsid w:val="00DB7F9B"/>
    <w:rsid w:val="00DC2A8F"/>
    <w:rsid w:val="00DC470D"/>
    <w:rsid w:val="00DC66E0"/>
    <w:rsid w:val="00DE7FED"/>
    <w:rsid w:val="00E0295F"/>
    <w:rsid w:val="00E13556"/>
    <w:rsid w:val="00E17267"/>
    <w:rsid w:val="00E315DA"/>
    <w:rsid w:val="00E36FAC"/>
    <w:rsid w:val="00E45DE5"/>
    <w:rsid w:val="00E61008"/>
    <w:rsid w:val="00E61B04"/>
    <w:rsid w:val="00E6324F"/>
    <w:rsid w:val="00E75BD1"/>
    <w:rsid w:val="00E765E1"/>
    <w:rsid w:val="00E7746D"/>
    <w:rsid w:val="00E92AC1"/>
    <w:rsid w:val="00EA30A3"/>
    <w:rsid w:val="00EC33DC"/>
    <w:rsid w:val="00EC6308"/>
    <w:rsid w:val="00ED07AB"/>
    <w:rsid w:val="00ED35DD"/>
    <w:rsid w:val="00EF0B04"/>
    <w:rsid w:val="00EF6C77"/>
    <w:rsid w:val="00F00026"/>
    <w:rsid w:val="00F02E81"/>
    <w:rsid w:val="00F04427"/>
    <w:rsid w:val="00F051AA"/>
    <w:rsid w:val="00F05F75"/>
    <w:rsid w:val="00F157D0"/>
    <w:rsid w:val="00F157DD"/>
    <w:rsid w:val="00F17084"/>
    <w:rsid w:val="00F1785C"/>
    <w:rsid w:val="00F27E16"/>
    <w:rsid w:val="00F30F96"/>
    <w:rsid w:val="00F5339C"/>
    <w:rsid w:val="00F64174"/>
    <w:rsid w:val="00F66B8C"/>
    <w:rsid w:val="00F66F55"/>
    <w:rsid w:val="00F741EF"/>
    <w:rsid w:val="00F940E5"/>
    <w:rsid w:val="00F9681B"/>
    <w:rsid w:val="00FB42EF"/>
    <w:rsid w:val="00FD360B"/>
    <w:rsid w:val="00FD6A71"/>
    <w:rsid w:val="00FE3B53"/>
    <w:rsid w:val="00FE6745"/>
    <w:rsid w:val="00FE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customStyle="1" w:styleId="rynqvb">
    <w:name w:val="rynqvb"/>
    <w:basedOn w:val="DefaultParagraphFont"/>
    <w:rsid w:val="00F30F96"/>
  </w:style>
  <w:style w:type="paragraph" w:styleId="ListParagraph">
    <w:name w:val="List Paragraph"/>
    <w:basedOn w:val="Normal"/>
    <w:uiPriority w:val="34"/>
    <w:qFormat/>
    <w:rsid w:val="00CA1E1E"/>
    <w:pPr>
      <w:ind w:left="720"/>
      <w:contextualSpacing/>
    </w:pPr>
  </w:style>
  <w:style w:type="character" w:styleId="CommentReference">
    <w:name w:val="annotation reference"/>
    <w:basedOn w:val="DefaultParagraphFont"/>
    <w:uiPriority w:val="99"/>
    <w:semiHidden/>
    <w:unhideWhenUsed/>
    <w:rsid w:val="00D33B62"/>
    <w:rPr>
      <w:sz w:val="16"/>
      <w:szCs w:val="16"/>
    </w:rPr>
  </w:style>
  <w:style w:type="paragraph" w:styleId="CommentText">
    <w:name w:val="annotation text"/>
    <w:basedOn w:val="Normal"/>
    <w:link w:val="CommentTextChar"/>
    <w:uiPriority w:val="99"/>
    <w:unhideWhenUsed/>
    <w:rsid w:val="00D33B62"/>
    <w:rPr>
      <w:sz w:val="20"/>
      <w:szCs w:val="20"/>
    </w:rPr>
  </w:style>
  <w:style w:type="character" w:customStyle="1" w:styleId="CommentTextChar">
    <w:name w:val="Comment Text Char"/>
    <w:basedOn w:val="DefaultParagraphFont"/>
    <w:link w:val="CommentText"/>
    <w:uiPriority w:val="99"/>
    <w:rsid w:val="00D33B62"/>
    <w:rPr>
      <w:sz w:val="20"/>
      <w:szCs w:val="20"/>
    </w:rPr>
  </w:style>
  <w:style w:type="paragraph" w:styleId="CommentSubject">
    <w:name w:val="annotation subject"/>
    <w:basedOn w:val="CommentText"/>
    <w:next w:val="CommentText"/>
    <w:link w:val="CommentSubjectChar"/>
    <w:uiPriority w:val="99"/>
    <w:semiHidden/>
    <w:unhideWhenUsed/>
    <w:rsid w:val="00D33B62"/>
    <w:rPr>
      <w:b/>
      <w:bCs/>
    </w:rPr>
  </w:style>
  <w:style w:type="character" w:customStyle="1" w:styleId="CommentSubjectChar">
    <w:name w:val="Comment Subject Char"/>
    <w:basedOn w:val="CommentTextChar"/>
    <w:link w:val="CommentSubject"/>
    <w:uiPriority w:val="99"/>
    <w:semiHidden/>
    <w:rsid w:val="00D33B62"/>
    <w:rPr>
      <w:b/>
      <w:bCs/>
      <w:sz w:val="20"/>
      <w:szCs w:val="20"/>
    </w:rPr>
  </w:style>
  <w:style w:type="paragraph" w:styleId="FootnoteText">
    <w:name w:val="footnote text"/>
    <w:basedOn w:val="Normal"/>
    <w:link w:val="FootnoteTextChar"/>
    <w:uiPriority w:val="99"/>
    <w:semiHidden/>
    <w:unhideWhenUsed/>
    <w:rsid w:val="003F7183"/>
    <w:pPr>
      <w:spacing w:after="0"/>
    </w:pPr>
    <w:rPr>
      <w:sz w:val="20"/>
      <w:szCs w:val="20"/>
    </w:rPr>
  </w:style>
  <w:style w:type="character" w:customStyle="1" w:styleId="FootnoteTextChar">
    <w:name w:val="Footnote Text Char"/>
    <w:basedOn w:val="DefaultParagraphFont"/>
    <w:link w:val="FootnoteText"/>
    <w:uiPriority w:val="99"/>
    <w:semiHidden/>
    <w:rsid w:val="003F7183"/>
    <w:rPr>
      <w:sz w:val="20"/>
      <w:szCs w:val="20"/>
    </w:rPr>
  </w:style>
  <w:style w:type="character" w:styleId="FootnoteReference">
    <w:name w:val="footnote reference"/>
    <w:basedOn w:val="DefaultParagraphFont"/>
    <w:uiPriority w:val="99"/>
    <w:semiHidden/>
    <w:unhideWhenUsed/>
    <w:rsid w:val="003F7183"/>
    <w:rPr>
      <w:vertAlign w:val="superscript"/>
    </w:rPr>
  </w:style>
  <w:style w:type="character" w:styleId="Hyperlink">
    <w:name w:val="Hyperlink"/>
    <w:basedOn w:val="DefaultParagraphFont"/>
    <w:uiPriority w:val="99"/>
    <w:unhideWhenUsed/>
    <w:rsid w:val="005B537E"/>
    <w:rPr>
      <w:color w:val="0000FF" w:themeColor="hyperlink"/>
      <w:u w:val="single"/>
    </w:rPr>
  </w:style>
  <w:style w:type="character" w:styleId="UnresolvedMention">
    <w:name w:val="Unresolved Mention"/>
    <w:basedOn w:val="DefaultParagraphFont"/>
    <w:uiPriority w:val="99"/>
    <w:semiHidden/>
    <w:unhideWhenUsed/>
    <w:rsid w:val="005B537E"/>
    <w:rPr>
      <w:color w:val="605E5C"/>
      <w:shd w:val="clear" w:color="auto" w:fill="E1DFDD"/>
    </w:rPr>
  </w:style>
  <w:style w:type="paragraph" w:styleId="Revision">
    <w:name w:val="Revision"/>
    <w:hidden/>
    <w:uiPriority w:val="99"/>
    <w:semiHidden/>
    <w:rsid w:val="00C67263"/>
    <w:pPr>
      <w:spacing w:after="0"/>
    </w:pPr>
  </w:style>
  <w:style w:type="character" w:styleId="FollowedHyperlink">
    <w:name w:val="FollowedHyperlink"/>
    <w:basedOn w:val="DefaultParagraphFont"/>
    <w:uiPriority w:val="99"/>
    <w:semiHidden/>
    <w:unhideWhenUsed/>
    <w:rsid w:val="00255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7303">
      <w:bodyDiv w:val="1"/>
      <w:marLeft w:val="0"/>
      <w:marRight w:val="0"/>
      <w:marTop w:val="0"/>
      <w:marBottom w:val="0"/>
      <w:divBdr>
        <w:top w:val="none" w:sz="0" w:space="0" w:color="auto"/>
        <w:left w:val="none" w:sz="0" w:space="0" w:color="auto"/>
        <w:bottom w:val="none" w:sz="0" w:space="0" w:color="auto"/>
        <w:right w:val="none" w:sz="0" w:space="0" w:color="auto"/>
      </w:divBdr>
    </w:div>
    <w:div w:id="273051240">
      <w:bodyDiv w:val="1"/>
      <w:marLeft w:val="0"/>
      <w:marRight w:val="0"/>
      <w:marTop w:val="0"/>
      <w:marBottom w:val="0"/>
      <w:divBdr>
        <w:top w:val="none" w:sz="0" w:space="0" w:color="auto"/>
        <w:left w:val="none" w:sz="0" w:space="0" w:color="auto"/>
        <w:bottom w:val="none" w:sz="0" w:space="0" w:color="auto"/>
        <w:right w:val="none" w:sz="0" w:space="0" w:color="auto"/>
      </w:divBdr>
    </w:div>
    <w:div w:id="696203976">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074552065">
      <w:bodyDiv w:val="1"/>
      <w:marLeft w:val="0"/>
      <w:marRight w:val="0"/>
      <w:marTop w:val="0"/>
      <w:marBottom w:val="0"/>
      <w:divBdr>
        <w:top w:val="none" w:sz="0" w:space="0" w:color="auto"/>
        <w:left w:val="none" w:sz="0" w:space="0" w:color="auto"/>
        <w:bottom w:val="none" w:sz="0" w:space="0" w:color="auto"/>
        <w:right w:val="none" w:sz="0" w:space="0" w:color="auto"/>
      </w:divBdr>
    </w:div>
    <w:div w:id="1218516466">
      <w:bodyDiv w:val="1"/>
      <w:marLeft w:val="0"/>
      <w:marRight w:val="0"/>
      <w:marTop w:val="0"/>
      <w:marBottom w:val="0"/>
      <w:divBdr>
        <w:top w:val="none" w:sz="0" w:space="0" w:color="auto"/>
        <w:left w:val="none" w:sz="0" w:space="0" w:color="auto"/>
        <w:bottom w:val="none" w:sz="0" w:space="0" w:color="auto"/>
        <w:right w:val="none" w:sz="0" w:space="0" w:color="auto"/>
      </w:divBdr>
      <w:divsChild>
        <w:div w:id="1198741235">
          <w:marLeft w:val="0"/>
          <w:marRight w:val="0"/>
          <w:marTop w:val="0"/>
          <w:marBottom w:val="0"/>
          <w:divBdr>
            <w:top w:val="none" w:sz="0" w:space="0" w:color="auto"/>
            <w:left w:val="none" w:sz="0" w:space="0" w:color="auto"/>
            <w:bottom w:val="none" w:sz="0" w:space="0" w:color="auto"/>
            <w:right w:val="none" w:sz="0" w:space="0" w:color="auto"/>
          </w:divBdr>
          <w:divsChild>
            <w:div w:id="1759210946">
              <w:marLeft w:val="0"/>
              <w:marRight w:val="0"/>
              <w:marTop w:val="0"/>
              <w:marBottom w:val="0"/>
              <w:divBdr>
                <w:top w:val="none" w:sz="0" w:space="0" w:color="auto"/>
                <w:left w:val="none" w:sz="0" w:space="0" w:color="auto"/>
                <w:bottom w:val="none" w:sz="0" w:space="0" w:color="auto"/>
                <w:right w:val="none" w:sz="0" w:space="0" w:color="auto"/>
              </w:divBdr>
              <w:divsChild>
                <w:div w:id="768698204">
                  <w:marLeft w:val="0"/>
                  <w:marRight w:val="0"/>
                  <w:marTop w:val="0"/>
                  <w:marBottom w:val="0"/>
                  <w:divBdr>
                    <w:top w:val="none" w:sz="0" w:space="0" w:color="auto"/>
                    <w:left w:val="none" w:sz="0" w:space="0" w:color="auto"/>
                    <w:bottom w:val="none" w:sz="0" w:space="0" w:color="auto"/>
                    <w:right w:val="none" w:sz="0" w:space="0" w:color="auto"/>
                  </w:divBdr>
                  <w:divsChild>
                    <w:div w:id="1107505530">
                      <w:marLeft w:val="0"/>
                      <w:marRight w:val="0"/>
                      <w:marTop w:val="0"/>
                      <w:marBottom w:val="0"/>
                      <w:divBdr>
                        <w:top w:val="none" w:sz="0" w:space="0" w:color="auto"/>
                        <w:left w:val="none" w:sz="0" w:space="0" w:color="auto"/>
                        <w:bottom w:val="none" w:sz="0" w:space="0" w:color="auto"/>
                        <w:right w:val="none" w:sz="0" w:space="0" w:color="auto"/>
                      </w:divBdr>
                      <w:divsChild>
                        <w:div w:id="2066834878">
                          <w:marLeft w:val="0"/>
                          <w:marRight w:val="0"/>
                          <w:marTop w:val="0"/>
                          <w:marBottom w:val="0"/>
                          <w:divBdr>
                            <w:top w:val="none" w:sz="0" w:space="0" w:color="auto"/>
                            <w:left w:val="none" w:sz="0" w:space="0" w:color="auto"/>
                            <w:bottom w:val="none" w:sz="0" w:space="0" w:color="auto"/>
                            <w:right w:val="none" w:sz="0" w:space="0" w:color="auto"/>
                          </w:divBdr>
                          <w:divsChild>
                            <w:div w:id="2966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50217">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641643787">
      <w:bodyDiv w:val="1"/>
      <w:marLeft w:val="0"/>
      <w:marRight w:val="0"/>
      <w:marTop w:val="0"/>
      <w:marBottom w:val="0"/>
      <w:divBdr>
        <w:top w:val="none" w:sz="0" w:space="0" w:color="auto"/>
        <w:left w:val="none" w:sz="0" w:space="0" w:color="auto"/>
        <w:bottom w:val="none" w:sz="0" w:space="0" w:color="auto"/>
        <w:right w:val="none" w:sz="0" w:space="0" w:color="auto"/>
      </w:divBdr>
    </w:div>
    <w:div w:id="2124952948">
      <w:bodyDiv w:val="1"/>
      <w:marLeft w:val="0"/>
      <w:marRight w:val="0"/>
      <w:marTop w:val="0"/>
      <w:marBottom w:val="0"/>
      <w:divBdr>
        <w:top w:val="none" w:sz="0" w:space="0" w:color="auto"/>
        <w:left w:val="none" w:sz="0" w:space="0" w:color="auto"/>
        <w:bottom w:val="none" w:sz="0" w:space="0" w:color="auto"/>
        <w:right w:val="none" w:sz="0" w:space="0" w:color="auto"/>
      </w:divBdr>
      <w:divsChild>
        <w:div w:id="156461323">
          <w:marLeft w:val="0"/>
          <w:marRight w:val="0"/>
          <w:marTop w:val="0"/>
          <w:marBottom w:val="0"/>
          <w:divBdr>
            <w:top w:val="none" w:sz="0" w:space="0" w:color="auto"/>
            <w:left w:val="none" w:sz="0" w:space="0" w:color="auto"/>
            <w:bottom w:val="none" w:sz="0" w:space="0" w:color="auto"/>
            <w:right w:val="none" w:sz="0" w:space="0" w:color="auto"/>
          </w:divBdr>
          <w:divsChild>
            <w:div w:id="1807039275">
              <w:marLeft w:val="0"/>
              <w:marRight w:val="0"/>
              <w:marTop w:val="0"/>
              <w:marBottom w:val="0"/>
              <w:divBdr>
                <w:top w:val="none" w:sz="0" w:space="0" w:color="auto"/>
                <w:left w:val="none" w:sz="0" w:space="0" w:color="auto"/>
                <w:bottom w:val="none" w:sz="0" w:space="0" w:color="auto"/>
                <w:right w:val="none" w:sz="0" w:space="0" w:color="auto"/>
              </w:divBdr>
              <w:divsChild>
                <w:div w:id="691418809">
                  <w:marLeft w:val="0"/>
                  <w:marRight w:val="0"/>
                  <w:marTop w:val="0"/>
                  <w:marBottom w:val="0"/>
                  <w:divBdr>
                    <w:top w:val="none" w:sz="0" w:space="0" w:color="auto"/>
                    <w:left w:val="none" w:sz="0" w:space="0" w:color="auto"/>
                    <w:bottom w:val="none" w:sz="0" w:space="0" w:color="auto"/>
                    <w:right w:val="none" w:sz="0" w:space="0" w:color="auto"/>
                  </w:divBdr>
                  <w:divsChild>
                    <w:div w:id="1917589210">
                      <w:marLeft w:val="0"/>
                      <w:marRight w:val="0"/>
                      <w:marTop w:val="0"/>
                      <w:marBottom w:val="0"/>
                      <w:divBdr>
                        <w:top w:val="none" w:sz="0" w:space="0" w:color="auto"/>
                        <w:left w:val="none" w:sz="0" w:space="0" w:color="auto"/>
                        <w:bottom w:val="none" w:sz="0" w:space="0" w:color="auto"/>
                        <w:right w:val="none" w:sz="0" w:space="0" w:color="auto"/>
                      </w:divBdr>
                      <w:divsChild>
                        <w:div w:id="160390994">
                          <w:marLeft w:val="0"/>
                          <w:marRight w:val="0"/>
                          <w:marTop w:val="0"/>
                          <w:marBottom w:val="0"/>
                          <w:divBdr>
                            <w:top w:val="none" w:sz="0" w:space="0" w:color="auto"/>
                            <w:left w:val="none" w:sz="0" w:space="0" w:color="auto"/>
                            <w:bottom w:val="none" w:sz="0" w:space="0" w:color="auto"/>
                            <w:right w:val="none" w:sz="0" w:space="0" w:color="auto"/>
                          </w:divBdr>
                          <w:divsChild>
                            <w:div w:id="19004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6/02/06/bnc-fiche-aanbeveling-voor-het-openen-van-onderhandelingen-met-het-vk-over-deelname-aan-de-interne-elektriciteitsmarkt-en-een-bijdrage-van-het-vk-aan-cohesiefondsen" TargetMode="External"/><Relationship Id="rId2" Type="http://schemas.openxmlformats.org/officeDocument/2006/relationships/hyperlink" Target="https://www.rijksoverheid.nl/documenten/publicaties/2024/05/24/bnc-fiche-1-aanbeveling-onderhandelingen-jeugdmobiliteit-vk" TargetMode="External"/><Relationship Id="rId1" Type="http://schemas.openxmlformats.org/officeDocument/2006/relationships/hyperlink" Target="https://erasmus-plus.ec.europa.eu/whats-new/news/european-union-and-united-kingdom-take-decisive-step-towards-erasmus-association-in-2027" TargetMode="External"/><Relationship Id="rId4"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1141</ap:Words>
  <ap:Characters>6279</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2026-05-13T14:23:00.0000000Z</dcterms:created>
  <dcterms:modified xsi:type="dcterms:W3CDTF">2026-05-13T14:23:00.0000000Z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7d86c18a-3555-4fdf-9527-f9589655b7b7</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https://247.plaza.buzaservices.nl/subject/PV-RK2026042026/BZ2627970/GA%20RAZ.docx,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