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BAE" w:rsidRDefault="00E52BAE" w14:paraId="0B3948A9" w14:textId="77777777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</w:t>
      </w:r>
      <w:proofErr w:type="gramStart"/>
      <w:r w:rsidRPr="009A0CDF">
        <w:rPr>
          <w:b/>
        </w:rPr>
        <w:t>RONDETAFELGESPREK</w:t>
      </w:r>
      <w:r>
        <w:rPr>
          <w:b/>
        </w:rPr>
        <w:t xml:space="preserve"> /</w:t>
      </w:r>
      <w:proofErr w:type="gramEnd"/>
      <w:r>
        <w:rPr>
          <w:b/>
        </w:rPr>
        <w:t xml:space="preserve"> HOORZITTING</w:t>
      </w:r>
    </w:p>
    <w:p w:rsidR="00334418" w:rsidRDefault="00334418" w14:paraId="2FA52C53" w14:textId="77777777"/>
    <w:p w:rsidR="00E52BAE" w:rsidRDefault="00E52BAE" w14:paraId="6EA23714" w14:textId="77777777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 w14:paraId="4E119115" w14:textId="77777777">
        <w:tc>
          <w:tcPr>
            <w:tcW w:w="9039" w:type="dxa"/>
            <w:gridSpan w:val="2"/>
          </w:tcPr>
          <w:p w:rsidRPr="00A7605E" w:rsidR="00334418" w:rsidP="009932E9" w:rsidRDefault="00E52BAE" w14:paraId="6027ECAE" w14:textId="6FF614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411459">
              <w:rPr>
                <w:rFonts w:cs="Arial"/>
                <w:b/>
                <w:iCs/>
                <w:szCs w:val="22"/>
              </w:rPr>
              <w:t xml:space="preserve"> </w:t>
            </w:r>
            <w:r w:rsidRPr="006A015C" w:rsidR="00411459">
              <w:rPr>
                <w:rFonts w:cs="Arial"/>
                <w:bCs/>
                <w:iCs/>
                <w:szCs w:val="22"/>
              </w:rPr>
              <w:t>Laurens Dassen</w:t>
            </w:r>
          </w:p>
        </w:tc>
        <w:tc>
          <w:tcPr>
            <w:tcW w:w="6817" w:type="dxa"/>
          </w:tcPr>
          <w:p w:rsidRPr="00A7605E" w:rsidR="00E52BAE" w:rsidP="00BF46B7" w:rsidRDefault="00E52BAE" w14:paraId="76AFB722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4D8C8A77" w14:textId="77777777">
        <w:tc>
          <w:tcPr>
            <w:tcW w:w="9039" w:type="dxa"/>
            <w:gridSpan w:val="2"/>
          </w:tcPr>
          <w:p w:rsidRPr="00A7605E" w:rsidR="00E52BAE" w:rsidP="00BF46B7" w:rsidRDefault="00E52BAE" w14:paraId="12F7A4AE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BF46B7" w:rsidRDefault="00E52BAE" w14:paraId="417556B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175391D5" w14:textId="77777777">
        <w:tc>
          <w:tcPr>
            <w:tcW w:w="9039" w:type="dxa"/>
            <w:gridSpan w:val="2"/>
          </w:tcPr>
          <w:p w:rsidRPr="00A7605E" w:rsidR="00334418" w:rsidP="009932E9" w:rsidRDefault="00A12A2B" w14:paraId="23A8C4DC" w14:textId="32A4D9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proofErr w:type="gramStart"/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391063">
              <w:rPr>
                <w:rFonts w:cs="Arial"/>
                <w:b/>
                <w:iCs/>
                <w:szCs w:val="22"/>
              </w:rPr>
              <w:t>:</w:t>
            </w:r>
            <w:proofErr w:type="gramEnd"/>
            <w:r w:rsidR="00411459">
              <w:rPr>
                <w:rFonts w:cs="Arial"/>
                <w:b/>
                <w:iCs/>
                <w:szCs w:val="22"/>
              </w:rPr>
              <w:t xml:space="preserve"> </w:t>
            </w:r>
            <w:r w:rsidRPr="006A015C" w:rsidR="00411459">
              <w:rPr>
                <w:rFonts w:cs="Arial"/>
                <w:bCs/>
                <w:iCs/>
                <w:szCs w:val="22"/>
              </w:rPr>
              <w:t>Rondetafelgesprek</w:t>
            </w:r>
          </w:p>
        </w:tc>
        <w:tc>
          <w:tcPr>
            <w:tcW w:w="6817" w:type="dxa"/>
          </w:tcPr>
          <w:p w:rsidRPr="00A7605E" w:rsidR="00A34412" w:rsidP="00BF46B7" w:rsidRDefault="00A34412" w14:paraId="1C94E64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6D4E20EB" w14:textId="77777777">
        <w:tc>
          <w:tcPr>
            <w:tcW w:w="9039" w:type="dxa"/>
            <w:gridSpan w:val="2"/>
          </w:tcPr>
          <w:p w:rsidRPr="00A7605E" w:rsidR="00A34412" w:rsidP="00BF46B7" w:rsidRDefault="00A34412" w14:paraId="7C0E4FE6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A34412" w:rsidP="00BF46B7" w:rsidRDefault="00A34412" w14:paraId="4C1C1B3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25BEDF71" w14:textId="77777777">
        <w:tc>
          <w:tcPr>
            <w:tcW w:w="9039" w:type="dxa"/>
            <w:gridSpan w:val="2"/>
          </w:tcPr>
          <w:p w:rsidRPr="00A7605E" w:rsidR="00334418" w:rsidP="009932E9" w:rsidRDefault="00A12A2B" w14:paraId="6951B9D3" w14:textId="2646398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proofErr w:type="gramStart"/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391063">
              <w:rPr>
                <w:rFonts w:cs="Arial"/>
                <w:b/>
                <w:iCs/>
                <w:szCs w:val="22"/>
              </w:rPr>
              <w:t>:</w:t>
            </w:r>
            <w:proofErr w:type="gramEnd"/>
            <w:r w:rsidR="00411459">
              <w:rPr>
                <w:rFonts w:cs="Arial"/>
                <w:b/>
                <w:iCs/>
                <w:szCs w:val="22"/>
              </w:rPr>
              <w:t xml:space="preserve"> </w:t>
            </w:r>
            <w:r w:rsidRPr="006A015C" w:rsidR="00411459">
              <w:rPr>
                <w:rFonts w:cs="Arial"/>
                <w:bCs/>
                <w:iCs/>
                <w:szCs w:val="22"/>
              </w:rPr>
              <w:t>Openbaar</w:t>
            </w:r>
          </w:p>
        </w:tc>
        <w:tc>
          <w:tcPr>
            <w:tcW w:w="6817" w:type="dxa"/>
          </w:tcPr>
          <w:p w:rsidRPr="00A7605E" w:rsidR="00A34412" w:rsidP="00BF46B7" w:rsidRDefault="00A34412" w14:paraId="7F52C790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74933CC1" w14:textId="77777777">
        <w:tc>
          <w:tcPr>
            <w:tcW w:w="9039" w:type="dxa"/>
            <w:gridSpan w:val="2"/>
          </w:tcPr>
          <w:p w:rsidRPr="00A7605E" w:rsidR="00A34412" w:rsidP="00BF46B7" w:rsidRDefault="00A34412" w14:paraId="268EBCE8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A34412" w:rsidP="00BF46B7" w:rsidRDefault="00A34412" w14:paraId="4CF1D55D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565DE1CB" w14:textId="77777777">
        <w:tc>
          <w:tcPr>
            <w:tcW w:w="9039" w:type="dxa"/>
            <w:gridSpan w:val="2"/>
          </w:tcPr>
          <w:p w:rsidRPr="00A7605E" w:rsidR="00334418" w:rsidP="009932E9" w:rsidRDefault="00E52BAE" w14:paraId="4F8EAE80" w14:textId="01620E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411459">
              <w:rPr>
                <w:rFonts w:cs="Arial"/>
                <w:b/>
                <w:iCs/>
                <w:szCs w:val="22"/>
              </w:rPr>
              <w:t xml:space="preserve"> </w:t>
            </w:r>
            <w:r w:rsidRPr="006A015C" w:rsidR="00E95FDD">
              <w:rPr>
                <w:rFonts w:cs="Arial"/>
                <w:bCs/>
                <w:iCs/>
                <w:szCs w:val="22"/>
              </w:rPr>
              <w:t>Versnelde verzwakking van de Atlantische doorstroming (AMOC)</w:t>
            </w:r>
          </w:p>
        </w:tc>
        <w:tc>
          <w:tcPr>
            <w:tcW w:w="6817" w:type="dxa"/>
          </w:tcPr>
          <w:p w:rsidRPr="00A7605E" w:rsidR="00E52BAE" w:rsidP="00BF46B7" w:rsidRDefault="00E52BAE" w14:paraId="2FC93E0A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F91D740" w14:textId="77777777">
        <w:tc>
          <w:tcPr>
            <w:tcW w:w="9039" w:type="dxa"/>
            <w:gridSpan w:val="2"/>
          </w:tcPr>
          <w:p w:rsidRPr="00A7605E" w:rsidR="00E52BAE" w:rsidP="00BF46B7" w:rsidRDefault="00E52BAE" w14:paraId="6AAC129E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BF46B7" w:rsidRDefault="00E52BAE" w14:paraId="66532A7C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6F9A6F57" w14:textId="77777777">
        <w:tc>
          <w:tcPr>
            <w:tcW w:w="9039" w:type="dxa"/>
            <w:gridSpan w:val="2"/>
          </w:tcPr>
          <w:p w:rsidR="00334418" w:rsidP="00334418" w:rsidRDefault="00E52BAE" w14:paraId="38FB83EC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Pr="009932E9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9932E9">
              <w:rPr>
                <w:rFonts w:cs="Arial"/>
                <w:b/>
                <w:iCs/>
                <w:szCs w:val="22"/>
              </w:rPr>
              <w:t>eelvragen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</w:p>
          <w:p w:rsidRPr="00F94402" w:rsidR="004A1395" w:rsidP="004A1395" w:rsidRDefault="00F94402" w14:paraId="50CA26BE" w14:textId="6E8E4A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In hoeverre is Nederland voorbereid op het versneld verzwakken van de Atlantische doorstroming (AMOC)?</w:t>
            </w:r>
          </w:p>
          <w:p w:rsidRPr="00F94402" w:rsidR="00F94402" w:rsidP="004A1395" w:rsidRDefault="00F94402" w14:paraId="663A01A0" w14:textId="477CFE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Wat zijn de mogelijke gevolgen van de versnelde verzwakking van de Atlantische doorstroming (AMOC) voor Nederland?</w:t>
            </w:r>
          </w:p>
          <w:p w:rsidRPr="00F94402" w:rsidR="00F94402" w:rsidP="004A1395" w:rsidRDefault="00F94402" w14:paraId="2F5738FE" w14:textId="43FF97C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In hoeverre wordt er rekening gehouden met de versnelde verzwakking van de Atlantische doorstroming (AMOC) bij overheidsinstanties?</w:t>
            </w:r>
          </w:p>
          <w:p w:rsidRPr="00F94402" w:rsidR="00F94402" w:rsidP="004A1395" w:rsidRDefault="00F94402" w14:paraId="33454AC4" w14:textId="171BCB5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 xml:space="preserve">Wat zijn de meest recente conclusie over het verzwakken van de </w:t>
            </w:r>
            <w:r w:rsidR="006A015C">
              <w:rPr>
                <w:rFonts w:cs="Arial"/>
                <w:bCs/>
                <w:iCs/>
                <w:szCs w:val="22"/>
              </w:rPr>
              <w:t>Atlantische</w:t>
            </w:r>
            <w:r>
              <w:rPr>
                <w:rFonts w:cs="Arial"/>
                <w:bCs/>
                <w:iCs/>
                <w:szCs w:val="22"/>
              </w:rPr>
              <w:t xml:space="preserve"> doorstroming (AMOC)?</w:t>
            </w:r>
          </w:p>
          <w:p w:rsidRPr="009932E9" w:rsidR="00F94402" w:rsidP="004A1395" w:rsidRDefault="00F94402" w14:paraId="2E370053" w14:textId="78D89B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Wat zouden de klimatologische gevolgen zijn van het versneld verzwakken van de Atlantische doorstroming (AMOC)?</w:t>
            </w:r>
          </w:p>
          <w:p w:rsidR="00545D7D" w:rsidP="00BF46B7" w:rsidRDefault="00545D7D" w14:paraId="2400CE20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="00334418" w:rsidP="00334418" w:rsidRDefault="00545D7D" w14:paraId="4DF06FDA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</w:p>
          <w:p w:rsidRPr="009932E9" w:rsidR="00F94402" w:rsidP="00F94402" w:rsidRDefault="00F94402" w14:paraId="08AE576C" w14:textId="2B0E4D0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Voor het zomerreces</w:t>
            </w:r>
          </w:p>
          <w:p w:rsidR="00BF46B7" w:rsidP="00BF46B7" w:rsidRDefault="00BF46B7" w14:paraId="1BFFC9F3" w14:textId="77777777">
            <w:pPr>
              <w:pStyle w:val="Lijstalinea"/>
              <w:rPr>
                <w:rFonts w:cs="Arial"/>
                <w:b/>
                <w:iCs/>
                <w:szCs w:val="22"/>
              </w:rPr>
            </w:pPr>
          </w:p>
          <w:p w:rsidRPr="00A7605E" w:rsidR="00BF46B7" w:rsidP="00BF46B7" w:rsidRDefault="00BF46B7" w14:paraId="3EF33B41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Blokindeling:</w:t>
            </w:r>
          </w:p>
        </w:tc>
        <w:tc>
          <w:tcPr>
            <w:tcW w:w="6817" w:type="dxa"/>
          </w:tcPr>
          <w:p w:rsidRPr="00A7605E" w:rsidR="00E52BAE" w:rsidP="00BF46B7" w:rsidRDefault="00E52BAE" w14:paraId="14350D80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525395A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6BA123AC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1FE26EEE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4CC6543C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2A8AA2FC" w14:textId="77777777">
        <w:tc>
          <w:tcPr>
            <w:tcW w:w="9039" w:type="dxa"/>
            <w:gridSpan w:val="2"/>
          </w:tcPr>
          <w:p w:rsidRPr="00A7605E" w:rsidR="00E52BAE" w:rsidP="00A7605E" w:rsidRDefault="00E52BAE" w14:paraId="12AE4BE1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43A1A02C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 w14:paraId="6A05994B" w14:textId="77777777">
        <w:trPr>
          <w:gridAfter w:val="1"/>
          <w:wAfter w:w="6817" w:type="dxa"/>
        </w:trPr>
        <w:tc>
          <w:tcPr>
            <w:tcW w:w="1809" w:type="dxa"/>
          </w:tcPr>
          <w:p w:rsidRPr="00A7605E" w:rsidR="00600D9E" w:rsidP="00BF46B7" w:rsidRDefault="00600D9E" w14:paraId="239B5FB6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</w:tcPr>
          <w:p w:rsidRPr="00A7605E" w:rsidR="005A12C6" w:rsidRDefault="005A12C6" w14:paraId="1AB38B82" w14:textId="582D2661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1.</w:t>
            </w:r>
            <w:r w:rsidR="00F94402">
              <w:rPr>
                <w:rFonts w:cs="Arial"/>
                <w:iCs/>
                <w:szCs w:val="22"/>
              </w:rPr>
              <w:t xml:space="preserve"> </w:t>
            </w:r>
            <w:r w:rsidR="007876EA">
              <w:rPr>
                <w:rFonts w:cs="Arial"/>
                <w:iCs/>
                <w:szCs w:val="22"/>
              </w:rPr>
              <w:t>Klimaatwetenschap</w:t>
            </w:r>
          </w:p>
          <w:p w:rsidRPr="00A7605E" w:rsidR="005A12C6" w:rsidRDefault="005A12C6" w14:paraId="74FBAB27" w14:textId="68FB972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2.</w:t>
            </w:r>
            <w:r w:rsidR="00F94402">
              <w:rPr>
                <w:rFonts w:cs="Arial"/>
                <w:iCs/>
                <w:szCs w:val="22"/>
              </w:rPr>
              <w:t xml:space="preserve"> </w:t>
            </w:r>
            <w:r w:rsidR="007876EA">
              <w:rPr>
                <w:rFonts w:cs="Arial"/>
                <w:iCs/>
                <w:szCs w:val="22"/>
              </w:rPr>
              <w:t>Hoe voorbereid is Nederland?</w:t>
            </w:r>
          </w:p>
          <w:p w:rsidRPr="00A7605E" w:rsidR="005A12C6" w:rsidRDefault="005A12C6" w14:paraId="75E1E875" w14:textId="77777777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3.</w:t>
            </w:r>
          </w:p>
          <w:p w:rsidRPr="00A7605E" w:rsidR="0053673F" w:rsidP="00BF46B7" w:rsidRDefault="00E1358B" w14:paraId="769FC2EB" w14:textId="77777777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Etc.</w:t>
            </w:r>
          </w:p>
        </w:tc>
      </w:tr>
      <w:tr w:rsidRPr="00A7605E" w:rsidR="00E52BAE" w:rsidTr="000119C3" w14:paraId="5CDE73D0" w14:textId="77777777">
        <w:tc>
          <w:tcPr>
            <w:tcW w:w="9039" w:type="dxa"/>
            <w:gridSpan w:val="2"/>
          </w:tcPr>
          <w:p w:rsidRPr="00A7605E" w:rsidR="00E52BAE" w:rsidP="00A7605E" w:rsidRDefault="00E52BAE" w14:paraId="73D6D00C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12F85B9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61CE2989" w14:textId="77777777">
        <w:tc>
          <w:tcPr>
            <w:tcW w:w="9039" w:type="dxa"/>
            <w:gridSpan w:val="2"/>
          </w:tcPr>
          <w:p w:rsidR="00A27917" w:rsidP="00BF46B7" w:rsidRDefault="00BF46B7" w14:paraId="5D0DE919" w14:textId="7777777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Opmerking bij punt 7:</w:t>
            </w:r>
            <w:r>
              <w:rPr>
                <w:rFonts w:cs="Arial"/>
                <w:b/>
                <w:szCs w:val="22"/>
              </w:rPr>
              <w:br/>
            </w:r>
            <w:r w:rsidRPr="00BF46B7" w:rsidR="00545D7D">
              <w:rPr>
                <w:rFonts w:cs="Arial"/>
                <w:szCs w:val="22"/>
              </w:rPr>
              <w:t xml:space="preserve">Het aangeven van de eventuele blokken is voldoende. Het is niet nodig om </w:t>
            </w:r>
            <w:r w:rsidR="00FF7045">
              <w:rPr>
                <w:rFonts w:cs="Arial"/>
                <w:szCs w:val="22"/>
              </w:rPr>
              <w:t xml:space="preserve">hier al </w:t>
            </w:r>
            <w:r w:rsidRPr="00BF46B7" w:rsidR="00545D7D">
              <w:rPr>
                <w:rFonts w:cs="Arial"/>
                <w:szCs w:val="22"/>
              </w:rPr>
              <w:t>s</w:t>
            </w:r>
            <w:r w:rsidRPr="00BF46B7" w:rsidR="00684CC0">
              <w:rPr>
                <w:rFonts w:cs="Arial"/>
                <w:szCs w:val="22"/>
              </w:rPr>
              <w:t xml:space="preserve">uggesties voor namen van genodigden </w:t>
            </w:r>
            <w:r w:rsidRPr="00BF46B7" w:rsidR="00545D7D">
              <w:rPr>
                <w:rFonts w:cs="Arial"/>
                <w:szCs w:val="22"/>
              </w:rPr>
              <w:t xml:space="preserve">in te </w:t>
            </w:r>
            <w:r w:rsidRPr="00BF46B7" w:rsidR="00684CC0">
              <w:rPr>
                <w:rFonts w:cs="Arial"/>
                <w:szCs w:val="22"/>
              </w:rPr>
              <w:t xml:space="preserve">invullen. </w:t>
            </w:r>
          </w:p>
          <w:p w:rsidR="00A27917" w:rsidP="00BF46B7" w:rsidRDefault="00A27917" w14:paraId="79B44B8E" w14:textId="7777777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</w:p>
          <w:p w:rsidRPr="00BF46B7" w:rsidR="00684CC0" w:rsidP="00BF46B7" w:rsidRDefault="00684CC0" w14:paraId="14C380DF" w14:textId="7777777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  <w:r w:rsidRPr="00BF46B7">
              <w:rPr>
                <w:rFonts w:cs="Arial"/>
                <w:szCs w:val="22"/>
              </w:rPr>
              <w:t xml:space="preserve">Nadat de commissie </w:t>
            </w:r>
            <w:r w:rsidRPr="00BF46B7" w:rsidR="00545D7D">
              <w:rPr>
                <w:rFonts w:cs="Arial"/>
                <w:szCs w:val="22"/>
              </w:rPr>
              <w:t xml:space="preserve">heeft ingestemd met het voorstel tot het houden van </w:t>
            </w:r>
            <w:r w:rsidRPr="00BF46B7">
              <w:rPr>
                <w:rFonts w:cs="Arial"/>
                <w:szCs w:val="22"/>
              </w:rPr>
              <w:t>een rondetafelgesprek</w:t>
            </w:r>
            <w:r w:rsidR="00BF46B7">
              <w:rPr>
                <w:rFonts w:cs="Arial"/>
                <w:szCs w:val="22"/>
              </w:rPr>
              <w:t>/</w:t>
            </w:r>
            <w:r w:rsidRPr="00BF46B7">
              <w:rPr>
                <w:rFonts w:cs="Arial"/>
                <w:szCs w:val="22"/>
              </w:rPr>
              <w:t>hoorzitting</w:t>
            </w:r>
            <w:r w:rsidRPr="00BF46B7" w:rsidR="00545D7D">
              <w:rPr>
                <w:rFonts w:cs="Arial"/>
                <w:szCs w:val="22"/>
              </w:rPr>
              <w:t xml:space="preserve">, </w:t>
            </w:r>
            <w:r w:rsidR="00B45387">
              <w:rPr>
                <w:rFonts w:cs="Arial"/>
                <w:szCs w:val="22"/>
              </w:rPr>
              <w:t xml:space="preserve">kan 1) </w:t>
            </w:r>
            <w:r w:rsidRPr="00BF46B7">
              <w:rPr>
                <w:rFonts w:cs="Arial"/>
                <w:szCs w:val="22"/>
              </w:rPr>
              <w:t xml:space="preserve">via een </w:t>
            </w:r>
            <w:r w:rsidRPr="00BF46B7" w:rsidR="00545D7D">
              <w:rPr>
                <w:rFonts w:cs="Arial"/>
                <w:szCs w:val="22"/>
              </w:rPr>
              <w:t xml:space="preserve">separate </w:t>
            </w:r>
            <w:r w:rsidRPr="00BF46B7">
              <w:rPr>
                <w:rFonts w:cs="Arial"/>
                <w:szCs w:val="22"/>
              </w:rPr>
              <w:t>e</w:t>
            </w:r>
            <w:r w:rsidR="00B45387">
              <w:rPr>
                <w:rFonts w:cs="Arial"/>
                <w:szCs w:val="22"/>
              </w:rPr>
              <w:t>-</w:t>
            </w:r>
            <w:r w:rsidRPr="00BF46B7">
              <w:rPr>
                <w:rFonts w:cs="Arial"/>
                <w:szCs w:val="22"/>
              </w:rPr>
              <w:t>mail</w:t>
            </w:r>
            <w:r w:rsidR="00B45387">
              <w:rPr>
                <w:rFonts w:cs="Arial"/>
                <w:szCs w:val="22"/>
              </w:rPr>
              <w:t>inventarisatie</w:t>
            </w:r>
            <w:r w:rsidRPr="00BF46B7">
              <w:rPr>
                <w:rFonts w:cs="Arial"/>
                <w:szCs w:val="22"/>
              </w:rPr>
              <w:t xml:space="preserve"> </w:t>
            </w:r>
            <w:r w:rsidRPr="00BF46B7" w:rsidR="00BF46B7">
              <w:rPr>
                <w:rFonts w:cs="Arial"/>
                <w:szCs w:val="22"/>
              </w:rPr>
              <w:t xml:space="preserve">aan de fracties </w:t>
            </w:r>
            <w:r w:rsidRPr="00BF46B7">
              <w:rPr>
                <w:rFonts w:cs="Arial"/>
                <w:szCs w:val="22"/>
              </w:rPr>
              <w:t xml:space="preserve">worden </w:t>
            </w:r>
            <w:r w:rsidR="009932E9">
              <w:rPr>
                <w:rFonts w:cs="Arial"/>
                <w:szCs w:val="22"/>
              </w:rPr>
              <w:t xml:space="preserve">gevraagd </w:t>
            </w:r>
            <w:r w:rsidRPr="00BF46B7">
              <w:rPr>
                <w:rFonts w:cs="Arial"/>
                <w:szCs w:val="22"/>
              </w:rPr>
              <w:t>suggesties</w:t>
            </w:r>
            <w:r w:rsidR="00A27917">
              <w:rPr>
                <w:rFonts w:cs="Arial"/>
                <w:szCs w:val="22"/>
              </w:rPr>
              <w:t xml:space="preserve"> </w:t>
            </w:r>
            <w:r w:rsidR="00B45387">
              <w:rPr>
                <w:rFonts w:cs="Arial"/>
                <w:szCs w:val="22"/>
              </w:rPr>
              <w:t xml:space="preserve">voor genodigden aan te leveren </w:t>
            </w:r>
            <w:proofErr w:type="spellStart"/>
            <w:r w:rsidR="00B45387">
              <w:rPr>
                <w:rFonts w:cs="Arial"/>
                <w:szCs w:val="22"/>
              </w:rPr>
              <w:t>ò</w:t>
            </w:r>
            <w:r w:rsidR="00A27917">
              <w:rPr>
                <w:rFonts w:cs="Arial"/>
                <w:szCs w:val="22"/>
              </w:rPr>
              <w:t>f</w:t>
            </w:r>
            <w:proofErr w:type="spellEnd"/>
            <w:r w:rsidR="00A27917">
              <w:rPr>
                <w:rFonts w:cs="Arial"/>
                <w:szCs w:val="22"/>
              </w:rPr>
              <w:t xml:space="preserve"> </w:t>
            </w:r>
            <w:r w:rsidR="00B45387">
              <w:rPr>
                <w:rFonts w:cs="Arial"/>
                <w:szCs w:val="22"/>
              </w:rPr>
              <w:t xml:space="preserve">2) </w:t>
            </w:r>
            <w:r w:rsidR="00A27917">
              <w:rPr>
                <w:rFonts w:cs="Arial"/>
                <w:szCs w:val="22"/>
              </w:rPr>
              <w:t>kan worden voorgesteld om het voor te bereiden middels een zogenaamde voorbereidingsgroep waaraan meerdere leden deelnemen.</w:t>
            </w:r>
            <w:r w:rsidR="00B45387">
              <w:rPr>
                <w:rFonts w:cs="Arial"/>
                <w:szCs w:val="22"/>
              </w:rPr>
              <w:t xml:space="preserve"> Graag een voorkeur voor een optie aangeven in het voorstel.</w:t>
            </w:r>
          </w:p>
          <w:p w:rsidR="00684CC0" w:rsidP="00A7605E" w:rsidRDefault="00684CC0" w14:paraId="2B33AF46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334418" w:rsidP="009932E9" w:rsidRDefault="00E52BAE" w14:paraId="78D7D61C" w14:textId="702F9E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6A015C">
              <w:rPr>
                <w:rFonts w:cs="Arial"/>
                <w:b/>
                <w:szCs w:val="22"/>
              </w:rPr>
              <w:t xml:space="preserve"> </w:t>
            </w:r>
            <w:r w:rsidR="006A015C">
              <w:rPr>
                <w:rFonts w:cs="Arial"/>
                <w:bCs/>
                <w:szCs w:val="22"/>
              </w:rPr>
              <w:t>2-3</w:t>
            </w:r>
          </w:p>
        </w:tc>
        <w:tc>
          <w:tcPr>
            <w:tcW w:w="6817" w:type="dxa"/>
          </w:tcPr>
          <w:p w:rsidRPr="00A7605E" w:rsidR="00E52BAE" w:rsidP="00A7605E" w:rsidRDefault="00E52BAE" w14:paraId="0B3DED88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7D088540" w14:textId="77777777">
        <w:tc>
          <w:tcPr>
            <w:tcW w:w="9039" w:type="dxa"/>
            <w:gridSpan w:val="2"/>
          </w:tcPr>
          <w:p w:rsidRPr="00A7605E" w:rsidR="00E52BAE" w:rsidP="00A7605E" w:rsidRDefault="00E52BAE" w14:paraId="3D1C5046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02406FAA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287C2D47" w14:textId="77777777">
        <w:tc>
          <w:tcPr>
            <w:tcW w:w="9039" w:type="dxa"/>
            <w:gridSpan w:val="2"/>
          </w:tcPr>
          <w:p w:rsidRPr="00FF7045" w:rsidR="00334418" w:rsidP="00334418" w:rsidRDefault="005A12C6" w14:paraId="4AECE6CE" w14:textId="0BA7F8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391063">
              <w:rPr>
                <w:rFonts w:cs="Arial"/>
                <w:b/>
                <w:szCs w:val="22"/>
              </w:rPr>
              <w:t>:</w:t>
            </w:r>
            <w:r w:rsidR="006A015C">
              <w:rPr>
                <w:rFonts w:cs="Arial"/>
                <w:b/>
                <w:szCs w:val="22"/>
              </w:rPr>
              <w:t xml:space="preserve"> </w:t>
            </w:r>
            <w:r w:rsidR="006A015C">
              <w:rPr>
                <w:rFonts w:cs="Arial"/>
                <w:bCs/>
                <w:szCs w:val="22"/>
              </w:rPr>
              <w:t>30-45 min</w:t>
            </w:r>
          </w:p>
          <w:p w:rsidR="0053673F" w:rsidP="0053673F" w:rsidRDefault="0053673F" w14:paraId="7D5F55A8" w14:textId="77777777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7605E" w:rsidR="0053673F" w:rsidP="00771FA8" w:rsidRDefault="0053673F" w14:paraId="4D6612A7" w14:textId="0ED97D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</w:t>
            </w:r>
            <w:proofErr w:type="gramStart"/>
            <w:r w:rsidRPr="009932E9">
              <w:rPr>
                <w:rFonts w:cs="Arial"/>
                <w:b/>
                <w:szCs w:val="22"/>
              </w:rPr>
              <w:t>netwerkverkenning?</w:t>
            </w:r>
            <w:r w:rsidR="00391063">
              <w:rPr>
                <w:rFonts w:cs="Arial"/>
                <w:b/>
                <w:szCs w:val="22"/>
              </w:rPr>
              <w:t>:</w:t>
            </w:r>
            <w:proofErr w:type="gramEnd"/>
            <w:r w:rsidR="006A015C">
              <w:rPr>
                <w:rFonts w:cs="Arial"/>
                <w:b/>
                <w:szCs w:val="22"/>
              </w:rPr>
              <w:t xml:space="preserve"> </w:t>
            </w:r>
            <w:r w:rsidR="00BD6F2D">
              <w:rPr>
                <w:rFonts w:cs="Arial"/>
                <w:bCs/>
                <w:szCs w:val="22"/>
              </w:rPr>
              <w:t>Ja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334418">
              <w:rPr>
                <w:rFonts w:cs="Arial"/>
                <w:b/>
                <w:szCs w:val="22"/>
              </w:rPr>
              <w:br/>
              <w:t>Opmerking bij punt 10: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2A0594">
              <w:rPr>
                <w:rFonts w:cs="Arial"/>
                <w:szCs w:val="22"/>
              </w:rPr>
              <w:t>Een netwerkverkenning houdt in dat de Nederlandse Organisatie voor Weten</w:t>
            </w:r>
            <w:r w:rsidRPr="009932E9" w:rsidR="002A0594">
              <w:rPr>
                <w:rFonts w:cs="Arial"/>
                <w:szCs w:val="22"/>
              </w:rPr>
              <w:softHyphen/>
              <w:t>schappelijk Onderzoek (NWO) verkent o</w:t>
            </w:r>
            <w:r w:rsidR="00771FA8">
              <w:rPr>
                <w:rFonts w:cs="Arial"/>
                <w:szCs w:val="22"/>
              </w:rPr>
              <w:t>f</w:t>
            </w:r>
            <w:r w:rsidRPr="009932E9" w:rsidR="002A0594">
              <w:rPr>
                <w:rFonts w:cs="Arial"/>
                <w:szCs w:val="22"/>
              </w:rPr>
              <w:t xml:space="preserve"> er wetenschappers zijn die de commissie vanuit hun expertise kunnen informeren over het onderwerp. </w:t>
            </w:r>
            <w:r w:rsidRPr="009932E9" w:rsidR="002A0594">
              <w:rPr>
                <w:rFonts w:cs="Arial"/>
                <w:szCs w:val="22"/>
                <w:u w:val="single"/>
              </w:rPr>
              <w:t xml:space="preserve">Een verkenning duurt </w:t>
            </w:r>
            <w:r w:rsidRPr="009932E9" w:rsidR="002A0594">
              <w:rPr>
                <w:rFonts w:cs="Arial"/>
                <w:szCs w:val="22"/>
                <w:u w:val="single"/>
              </w:rPr>
              <w:lastRenderedPageBreak/>
              <w:t>1,5 à 2 weken</w:t>
            </w:r>
            <w:r w:rsidRPr="009932E9" w:rsidR="002A0594">
              <w:rPr>
                <w:rFonts w:cs="Arial"/>
                <w:szCs w:val="22"/>
              </w:rPr>
              <w:t>. Bij een verzoek om een netwerkverkenning is van belang de vraag aan de wetenschap duidelijk te formuleren</w:t>
            </w:r>
            <w:r w:rsidR="00FE76A4">
              <w:rPr>
                <w:rFonts w:cs="Arial"/>
                <w:szCs w:val="22"/>
              </w:rPr>
              <w:t>: w</w:t>
            </w:r>
            <w:r w:rsidRPr="009932E9" w:rsidR="002A0594">
              <w:rPr>
                <w:rFonts w:cs="Arial"/>
                <w:szCs w:val="22"/>
              </w:rPr>
              <w:t>elke weten</w:t>
            </w:r>
            <w:r w:rsidRPr="009932E9" w:rsidR="002A0594">
              <w:rPr>
                <w:rFonts w:cs="Arial"/>
                <w:szCs w:val="22"/>
              </w:rPr>
              <w:softHyphen/>
              <w:t>schappelijke vraag wilt u beantwoord hebben</w:t>
            </w:r>
            <w:r w:rsidR="00FE76A4">
              <w:rPr>
                <w:rFonts w:cs="Arial"/>
                <w:szCs w:val="22"/>
              </w:rPr>
              <w:t>;</w:t>
            </w:r>
            <w:r w:rsidRPr="009932E9" w:rsidR="002A0594">
              <w:rPr>
                <w:rFonts w:cs="Arial"/>
                <w:szCs w:val="22"/>
              </w:rPr>
              <w:t xml:space="preserve"> vanuit welke discipline?</w:t>
            </w:r>
            <w:r w:rsidR="009932E9">
              <w:rPr>
                <w:rFonts w:cs="Arial"/>
                <w:szCs w:val="22"/>
              </w:rPr>
              <w:t xml:space="preserve"> </w:t>
            </w:r>
            <w:r w:rsidR="00604110">
              <w:rPr>
                <w:rFonts w:cs="Arial"/>
                <w:szCs w:val="22"/>
              </w:rPr>
              <w:t>De staf kan u</w:t>
            </w:r>
            <w:r w:rsidR="00DD45D0">
              <w:rPr>
                <w:rFonts w:cs="Arial"/>
                <w:szCs w:val="22"/>
              </w:rPr>
              <w:t xml:space="preserve"> </w:t>
            </w:r>
            <w:r w:rsidR="00604110">
              <w:rPr>
                <w:rFonts w:cs="Arial"/>
                <w:szCs w:val="22"/>
              </w:rPr>
              <w:t>informeren over de mogelijkheden</w:t>
            </w:r>
            <w:r w:rsidR="00DD45D0">
              <w:rPr>
                <w:rFonts w:cs="Arial"/>
                <w:szCs w:val="22"/>
              </w:rPr>
              <w:t>,</w:t>
            </w:r>
            <w:r w:rsidR="009932E9">
              <w:rPr>
                <w:rFonts w:cs="Arial"/>
                <w:szCs w:val="22"/>
              </w:rPr>
              <w:t xml:space="preserve"> </w:t>
            </w:r>
            <w:r w:rsidR="00604110">
              <w:rPr>
                <w:rFonts w:cs="Arial"/>
                <w:szCs w:val="22"/>
              </w:rPr>
              <w:t>of met u van gedachten wisselen</w:t>
            </w:r>
            <w:r w:rsidR="00FF7045">
              <w:rPr>
                <w:rFonts w:cs="Arial"/>
                <w:szCs w:val="22"/>
              </w:rPr>
              <w:t xml:space="preserve"> over de formulering van de vraag.</w:t>
            </w:r>
          </w:p>
        </w:tc>
        <w:tc>
          <w:tcPr>
            <w:tcW w:w="6817" w:type="dxa"/>
          </w:tcPr>
          <w:p w:rsidRPr="00A7605E" w:rsidR="00E52BAE" w:rsidP="00A7605E" w:rsidRDefault="00E52BAE" w14:paraId="5FE67DFD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1CE64CC6" w14:textId="77777777">
        <w:tc>
          <w:tcPr>
            <w:tcW w:w="9039" w:type="dxa"/>
            <w:gridSpan w:val="2"/>
          </w:tcPr>
          <w:p w:rsidRPr="00A7605E" w:rsidR="00E52BAE" w:rsidP="00A7605E" w:rsidRDefault="00E52BAE" w14:paraId="3EE1B284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738A54D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0FE711F8" w14:textId="77777777">
        <w:tc>
          <w:tcPr>
            <w:tcW w:w="9039" w:type="dxa"/>
            <w:gridSpan w:val="2"/>
          </w:tcPr>
          <w:p w:rsidRPr="00A7605E" w:rsidR="00E52BAE" w:rsidP="00A7605E" w:rsidRDefault="00E52BAE" w14:paraId="4A1BFB1B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2E7D16F9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2CFB08A9" w14:textId="77777777">
        <w:tc>
          <w:tcPr>
            <w:tcW w:w="9039" w:type="dxa"/>
            <w:gridSpan w:val="2"/>
          </w:tcPr>
          <w:p w:rsidRPr="00A7605E" w:rsidR="00E52BAE" w:rsidP="00A7605E" w:rsidRDefault="00E52BAE" w14:paraId="2EA923D2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29D0092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 w14:paraId="358814C9" w14:textId="7777777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E29D" w14:textId="77777777" w:rsidR="00ED6442" w:rsidRDefault="00ED6442">
      <w:r>
        <w:separator/>
      </w:r>
    </w:p>
  </w:endnote>
  <w:endnote w:type="continuationSeparator" w:id="0">
    <w:p w14:paraId="68CC7F52" w14:textId="77777777" w:rsidR="00ED6442" w:rsidRDefault="00ED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1C0E" w14:textId="77777777" w:rsidR="00ED6442" w:rsidRDefault="00ED6442">
      <w:r>
        <w:separator/>
      </w:r>
    </w:p>
  </w:footnote>
  <w:footnote w:type="continuationSeparator" w:id="0">
    <w:p w14:paraId="769FCAA8" w14:textId="77777777" w:rsidR="00ED6442" w:rsidRDefault="00ED6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8B35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 xml:space="preserve">ommissie voor </w:t>
    </w:r>
    <w:r w:rsidR="000A11C4">
      <w:rPr>
        <w:rFonts w:ascii="Calibri" w:hAnsi="Calibri"/>
        <w:i/>
        <w:sz w:val="20"/>
        <w:szCs w:val="20"/>
      </w:rPr>
      <w:t>Klimaat &amp; Groene Groei</w:t>
    </w:r>
    <w:r w:rsidR="000A11C4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</w:r>
    <w:r w:rsidR="00A27917">
      <w:rPr>
        <w:rFonts w:ascii="Calibri" w:hAnsi="Calibri"/>
        <w:i/>
        <w:sz w:val="20"/>
        <w:szCs w:val="20"/>
      </w:rPr>
      <w:t>c</w:t>
    </w:r>
    <w:r w:rsidRPr="00E52BAE">
      <w:rPr>
        <w:rFonts w:ascii="Calibri" w:hAnsi="Calibri"/>
        <w:i/>
        <w:sz w:val="20"/>
        <w:szCs w:val="20"/>
      </w:rPr>
      <w:t>ie.</w:t>
    </w:r>
    <w:r w:rsidR="000A11C4">
      <w:rPr>
        <w:rFonts w:ascii="Calibri" w:hAnsi="Calibri"/>
        <w:i/>
        <w:sz w:val="20"/>
        <w:szCs w:val="20"/>
      </w:rPr>
      <w:t>kgg</w:t>
    </w:r>
    <w:r w:rsidR="0058287B">
      <w:rPr>
        <w:rFonts w:ascii="Calibri" w:hAnsi="Calibri"/>
        <w:i/>
        <w:sz w:val="20"/>
        <w:szCs w:val="20"/>
      </w:rPr>
      <w:t>@</w:t>
    </w:r>
    <w:r w:rsidRPr="00E52BAE">
      <w:rPr>
        <w:rFonts w:ascii="Calibri" w:hAnsi="Calibri"/>
        <w:i/>
        <w:sz w:val="20"/>
        <w:szCs w:val="20"/>
      </w:rPr>
      <w:t>tweedekamer.nl</w:t>
    </w:r>
  </w:p>
  <w:p w14:paraId="514D4CFA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14:paraId="1D8EE34C" w14:textId="77777777" w:rsidR="00196C98" w:rsidRPr="00E52BAE" w:rsidRDefault="00D1190C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 w14:anchorId="48525A8C">
        <v:rect id="_x0000_i1025" style="width:0;height:1.5pt" o:hralign="center" o:hrstd="t" o:hr="t" fillcolor="#aca899" stroked="f"/>
      </w:pict>
    </w:r>
  </w:p>
  <w:p w14:paraId="0DB2913C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9E0C8A"/>
    <w:multiLevelType w:val="hybridMultilevel"/>
    <w:tmpl w:val="C0F060B4"/>
    <w:lvl w:ilvl="0" w:tplc="9DA41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47134">
    <w:abstractNumId w:val="0"/>
  </w:num>
  <w:num w:numId="2" w16cid:durableId="1534228446">
    <w:abstractNumId w:val="1"/>
  </w:num>
  <w:num w:numId="3" w16cid:durableId="1239710107">
    <w:abstractNumId w:val="2"/>
  </w:num>
  <w:num w:numId="4" w16cid:durableId="2059276161">
    <w:abstractNumId w:val="3"/>
  </w:num>
  <w:num w:numId="5" w16cid:durableId="1785952796">
    <w:abstractNumId w:val="6"/>
  </w:num>
  <w:num w:numId="6" w16cid:durableId="1598825273">
    <w:abstractNumId w:val="5"/>
  </w:num>
  <w:num w:numId="7" w16cid:durableId="1526672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14"/>
    <w:rsid w:val="000065E7"/>
    <w:rsid w:val="00007221"/>
    <w:rsid w:val="000119C3"/>
    <w:rsid w:val="00023614"/>
    <w:rsid w:val="000636ED"/>
    <w:rsid w:val="0007167F"/>
    <w:rsid w:val="000862A6"/>
    <w:rsid w:val="00096D04"/>
    <w:rsid w:val="000A01EE"/>
    <w:rsid w:val="000A11C4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1F7341"/>
    <w:rsid w:val="00200B82"/>
    <w:rsid w:val="00200DFC"/>
    <w:rsid w:val="00202B28"/>
    <w:rsid w:val="002047F0"/>
    <w:rsid w:val="002064E8"/>
    <w:rsid w:val="00217E29"/>
    <w:rsid w:val="0022493E"/>
    <w:rsid w:val="002307B4"/>
    <w:rsid w:val="00236935"/>
    <w:rsid w:val="00261372"/>
    <w:rsid w:val="00261ABF"/>
    <w:rsid w:val="00263CFE"/>
    <w:rsid w:val="00263DEF"/>
    <w:rsid w:val="002829EB"/>
    <w:rsid w:val="002846C5"/>
    <w:rsid w:val="0028560E"/>
    <w:rsid w:val="002913D5"/>
    <w:rsid w:val="002921C2"/>
    <w:rsid w:val="00297DE3"/>
    <w:rsid w:val="002A0594"/>
    <w:rsid w:val="002A37C3"/>
    <w:rsid w:val="002B2C8A"/>
    <w:rsid w:val="002B2DA8"/>
    <w:rsid w:val="002B488C"/>
    <w:rsid w:val="002C7AD8"/>
    <w:rsid w:val="002C7F6C"/>
    <w:rsid w:val="002D6F80"/>
    <w:rsid w:val="002E3439"/>
    <w:rsid w:val="002E6334"/>
    <w:rsid w:val="002F1602"/>
    <w:rsid w:val="002F65DB"/>
    <w:rsid w:val="00304D89"/>
    <w:rsid w:val="00312B57"/>
    <w:rsid w:val="00320BD9"/>
    <w:rsid w:val="00334418"/>
    <w:rsid w:val="0033487E"/>
    <w:rsid w:val="00335AA7"/>
    <w:rsid w:val="003442D7"/>
    <w:rsid w:val="00360980"/>
    <w:rsid w:val="0036611C"/>
    <w:rsid w:val="00380327"/>
    <w:rsid w:val="00381EE8"/>
    <w:rsid w:val="0038699A"/>
    <w:rsid w:val="00391063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1459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83338"/>
    <w:rsid w:val="00497388"/>
    <w:rsid w:val="004A1395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287B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21A8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015C"/>
    <w:rsid w:val="006A25BC"/>
    <w:rsid w:val="006A394D"/>
    <w:rsid w:val="006C3672"/>
    <w:rsid w:val="006D05FB"/>
    <w:rsid w:val="006D2653"/>
    <w:rsid w:val="006D38B8"/>
    <w:rsid w:val="006D4743"/>
    <w:rsid w:val="006E2CC3"/>
    <w:rsid w:val="006F298B"/>
    <w:rsid w:val="007028A5"/>
    <w:rsid w:val="00707B53"/>
    <w:rsid w:val="007223E6"/>
    <w:rsid w:val="00725E1F"/>
    <w:rsid w:val="0072627A"/>
    <w:rsid w:val="00732A11"/>
    <w:rsid w:val="0074126C"/>
    <w:rsid w:val="007415E1"/>
    <w:rsid w:val="00754719"/>
    <w:rsid w:val="007648B9"/>
    <w:rsid w:val="0076732A"/>
    <w:rsid w:val="00771FA8"/>
    <w:rsid w:val="0077289C"/>
    <w:rsid w:val="007732FD"/>
    <w:rsid w:val="0078139C"/>
    <w:rsid w:val="007876EA"/>
    <w:rsid w:val="007926CB"/>
    <w:rsid w:val="00792F80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02D17"/>
    <w:rsid w:val="009141AB"/>
    <w:rsid w:val="009271F2"/>
    <w:rsid w:val="009275D9"/>
    <w:rsid w:val="00933658"/>
    <w:rsid w:val="00936705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32E9"/>
    <w:rsid w:val="00996ABA"/>
    <w:rsid w:val="009A7F43"/>
    <w:rsid w:val="009C1251"/>
    <w:rsid w:val="009E0BDC"/>
    <w:rsid w:val="00A015A8"/>
    <w:rsid w:val="00A12A2B"/>
    <w:rsid w:val="00A27917"/>
    <w:rsid w:val="00A34412"/>
    <w:rsid w:val="00A35777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45387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3719"/>
    <w:rsid w:val="00BA6129"/>
    <w:rsid w:val="00BB5E0D"/>
    <w:rsid w:val="00BB7915"/>
    <w:rsid w:val="00BC01D5"/>
    <w:rsid w:val="00BD6F2D"/>
    <w:rsid w:val="00BE123B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928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90C"/>
    <w:rsid w:val="00D11C52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D45D0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555BE"/>
    <w:rsid w:val="00E60278"/>
    <w:rsid w:val="00E64F83"/>
    <w:rsid w:val="00E76171"/>
    <w:rsid w:val="00E819F9"/>
    <w:rsid w:val="00E8235A"/>
    <w:rsid w:val="00E832BB"/>
    <w:rsid w:val="00E95FDD"/>
    <w:rsid w:val="00E97613"/>
    <w:rsid w:val="00EA2A23"/>
    <w:rsid w:val="00EB6AE4"/>
    <w:rsid w:val="00EC1DB7"/>
    <w:rsid w:val="00ED5FD8"/>
    <w:rsid w:val="00ED6442"/>
    <w:rsid w:val="00EE291F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94402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  <w:rsid w:val="00FE76A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2612F"/>
  <w15:chartTrackingRefBased/>
  <w15:docId w15:val="{F70A55EF-D6A3-4DE7-B908-EE4B7962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349</ap:Words>
  <ap:Characters>1921</ap:Characters>
  <ap:DocSecurity>4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2266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2026-05-13T13:57:00.0000000Z</dcterms:created>
  <dcterms:modified xsi:type="dcterms:W3CDTF">2026-05-13T13:57:00.0000000Z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QUUNYVTQ4MZV-138234656-74</vt:lpwstr>
  </property>
  <property fmtid="{D5CDD505-2E9C-101B-9397-08002B2CF9AE}" pid="3" name="_dlc_DocIdItemGuid">
    <vt:lpwstr>fcc6d055-6429-454f-b09d-0f0e14a90b69</vt:lpwstr>
  </property>
  <property fmtid="{D5CDD505-2E9C-101B-9397-08002B2CF9AE}" pid="4" name="_dlc_DocIdUrl">
    <vt:lpwstr>https://teamsites/commissie/LNV/_layouts/15/DocIdRedir.aspx?ID=QUUNYVTQ4MZV-138234656-74, QUUNYVTQ4MZV-138234656-74</vt:lpwstr>
  </property>
  <property fmtid="{D5CDD505-2E9C-101B-9397-08002B2CF9AE}" pid="5" name="display_urn:schemas-microsoft-com:office:office#Editor">
    <vt:lpwstr>svc_sp19_migratie</vt:lpwstr>
  </property>
  <property fmtid="{D5CDD505-2E9C-101B-9397-08002B2CF9AE}" pid="6" name="display_urn:schemas-microsoft-com:office:office#Author">
    <vt:lpwstr>Mulder-Schoenmaker, Carla</vt:lpwstr>
  </property>
</Properties>
</file>