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086" w:rsidP="00D71086" w:rsidRDefault="00D71086" w14:paraId="72FFDDD2" w14:textId="7FD0D7B7">
      <w:pPr>
        <w:pStyle w:val="Geenafstand"/>
        <w:rPr>
          <w:rFonts w:ascii="Verdana" w:hAnsi="Verdana"/>
          <w:sz w:val="18"/>
          <w:szCs w:val="18"/>
        </w:rPr>
      </w:pPr>
      <w:r>
        <w:rPr>
          <w:rFonts w:ascii="Verdana" w:hAnsi="Verdana"/>
          <w:sz w:val="18"/>
          <w:szCs w:val="18"/>
        </w:rPr>
        <w:t>AH 1913</w:t>
      </w:r>
    </w:p>
    <w:p w:rsidR="00D71086" w:rsidP="00D71086" w:rsidRDefault="00D71086" w14:paraId="6DD99C24" w14:textId="5E620AA2">
      <w:pPr>
        <w:pStyle w:val="Geenafstand"/>
        <w:rPr>
          <w:rFonts w:ascii="Verdana" w:hAnsi="Verdana"/>
          <w:sz w:val="18"/>
          <w:szCs w:val="18"/>
        </w:rPr>
      </w:pPr>
      <w:r>
        <w:rPr>
          <w:rFonts w:ascii="Verdana" w:hAnsi="Verdana"/>
          <w:sz w:val="18"/>
          <w:szCs w:val="18"/>
        </w:rPr>
        <w:t>2026Z08878</w:t>
      </w:r>
    </w:p>
    <w:p w:rsidR="00D71086" w:rsidP="00D71086" w:rsidRDefault="00D71086" w14:paraId="6E523FDD" w14:textId="41C1994C">
      <w:pPr>
        <w:pStyle w:val="Geenafstand"/>
        <w:rPr>
          <w:rFonts w:ascii="Verdana" w:hAnsi="Verdana"/>
          <w:sz w:val="24"/>
          <w:szCs w:val="24"/>
        </w:rPr>
      </w:pPr>
      <w:r w:rsidRPr="00D71086">
        <w:rPr>
          <w:rFonts w:ascii="Verdana" w:hAnsi="Verdana"/>
          <w:sz w:val="24"/>
          <w:szCs w:val="24"/>
        </w:rPr>
        <w:t xml:space="preserve">Antwoord van staatssecretaris Van der Burg (Binnenlandse Zaken en Koninkrijksrelaties) (ontvangen </w:t>
      </w:r>
      <w:r>
        <w:rPr>
          <w:rFonts w:ascii="Verdana" w:hAnsi="Verdana"/>
          <w:sz w:val="24"/>
          <w:szCs w:val="24"/>
        </w:rPr>
        <w:t xml:space="preserve"> 13 mei 2026)</w:t>
      </w:r>
    </w:p>
    <w:p w:rsidRPr="0035396D" w:rsidR="00D71086" w:rsidP="00D71086" w:rsidRDefault="00D71086" w14:paraId="42213540" w14:textId="77777777">
      <w:pPr>
        <w:pStyle w:val="Geenafstand"/>
        <w:rPr>
          <w:rFonts w:ascii="Verdana" w:hAnsi="Verdana"/>
          <w:sz w:val="18"/>
          <w:szCs w:val="18"/>
        </w:rPr>
      </w:pPr>
    </w:p>
    <w:p w:rsidR="00D71086" w:rsidP="00D71086" w:rsidRDefault="00D71086" w14:paraId="5CEDAD69" w14:textId="77777777">
      <w:pPr>
        <w:pStyle w:val="Geenafstand"/>
        <w:rPr>
          <w:rFonts w:ascii="Verdana" w:hAnsi="Verdana"/>
          <w:b/>
          <w:bCs/>
          <w:sz w:val="18"/>
          <w:szCs w:val="18"/>
        </w:rPr>
      </w:pPr>
      <w:r>
        <w:rPr>
          <w:rFonts w:ascii="Verdana" w:hAnsi="Verdana"/>
          <w:b/>
          <w:bCs/>
          <w:sz w:val="18"/>
          <w:szCs w:val="18"/>
        </w:rPr>
        <w:t>Vraag 1</w:t>
      </w:r>
    </w:p>
    <w:p w:rsidR="00D71086" w:rsidP="00D71086" w:rsidRDefault="00D71086" w14:paraId="2522732E" w14:textId="77777777">
      <w:pPr>
        <w:pStyle w:val="Geenafstand"/>
        <w:rPr>
          <w:rFonts w:ascii="Verdana" w:hAnsi="Verdana"/>
          <w:sz w:val="18"/>
          <w:szCs w:val="18"/>
        </w:rPr>
      </w:pPr>
      <w:r w:rsidRPr="0035396D">
        <w:rPr>
          <w:rFonts w:ascii="Verdana" w:hAnsi="Verdana"/>
          <w:sz w:val="18"/>
          <w:szCs w:val="18"/>
        </w:rPr>
        <w:t>Bent u bekend met het artikel “Rechter bombardeert gemeenten met duizenden informatieverzoeken</w:t>
      </w:r>
      <w:r>
        <w:rPr>
          <w:rFonts w:ascii="Verdana" w:hAnsi="Verdana"/>
          <w:sz w:val="18"/>
          <w:szCs w:val="18"/>
        </w:rPr>
        <w:t xml:space="preserve"> </w:t>
      </w:r>
      <w:r w:rsidRPr="0035396D">
        <w:rPr>
          <w:rFonts w:ascii="Verdana" w:hAnsi="Verdana"/>
          <w:sz w:val="18"/>
          <w:szCs w:val="18"/>
        </w:rPr>
        <w:t>om punt te maken”?</w:t>
      </w:r>
      <w:r>
        <w:rPr>
          <w:rStyle w:val="Voetnootmarkering"/>
          <w:rFonts w:ascii="Verdana" w:hAnsi="Verdana"/>
          <w:sz w:val="18"/>
          <w:szCs w:val="18"/>
        </w:rPr>
        <w:footnoteReference w:id="1"/>
      </w:r>
    </w:p>
    <w:p w:rsidR="00D71086" w:rsidP="00D71086" w:rsidRDefault="00D71086" w14:paraId="35A983FA" w14:textId="77777777">
      <w:pPr>
        <w:pStyle w:val="Geenafstand"/>
        <w:rPr>
          <w:rFonts w:ascii="Verdana" w:hAnsi="Verdana"/>
          <w:sz w:val="18"/>
          <w:szCs w:val="18"/>
        </w:rPr>
      </w:pPr>
    </w:p>
    <w:p w:rsidR="00D71086" w:rsidP="00D71086" w:rsidRDefault="00D71086" w14:paraId="4338E69C"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78F3D1E0" w14:textId="77777777">
      <w:pPr>
        <w:pStyle w:val="Geenafstand"/>
        <w:rPr>
          <w:rFonts w:ascii="Verdana" w:hAnsi="Verdana"/>
          <w:sz w:val="18"/>
          <w:szCs w:val="18"/>
        </w:rPr>
      </w:pPr>
      <w:r>
        <w:rPr>
          <w:rFonts w:ascii="Verdana" w:hAnsi="Verdana"/>
          <w:sz w:val="18"/>
          <w:szCs w:val="18"/>
        </w:rPr>
        <w:t xml:space="preserve">Ja. </w:t>
      </w:r>
    </w:p>
    <w:p w:rsidR="00D71086" w:rsidP="00D71086" w:rsidRDefault="00D71086" w14:paraId="3CC76B19" w14:textId="77777777">
      <w:pPr>
        <w:pStyle w:val="Geenafstand"/>
        <w:rPr>
          <w:rFonts w:ascii="Verdana" w:hAnsi="Verdana"/>
          <w:sz w:val="18"/>
          <w:szCs w:val="18"/>
        </w:rPr>
      </w:pPr>
    </w:p>
    <w:p w:rsidRPr="003A02B2" w:rsidR="00D71086" w:rsidP="00D71086" w:rsidRDefault="00D71086" w14:paraId="49646723" w14:textId="77777777">
      <w:pPr>
        <w:pStyle w:val="Geenafstand"/>
        <w:rPr>
          <w:rFonts w:ascii="Verdana" w:hAnsi="Verdana"/>
          <w:b/>
          <w:bCs/>
          <w:sz w:val="18"/>
          <w:szCs w:val="18"/>
        </w:rPr>
      </w:pPr>
      <w:r>
        <w:rPr>
          <w:rFonts w:ascii="Verdana" w:hAnsi="Verdana"/>
          <w:b/>
          <w:bCs/>
          <w:sz w:val="18"/>
          <w:szCs w:val="18"/>
        </w:rPr>
        <w:t>Vraag 2</w:t>
      </w:r>
    </w:p>
    <w:p w:rsidR="00D71086" w:rsidP="00D71086" w:rsidRDefault="00D71086" w14:paraId="2BD58760" w14:textId="77777777">
      <w:pPr>
        <w:pStyle w:val="Geenafstand"/>
        <w:rPr>
          <w:rFonts w:ascii="Verdana" w:hAnsi="Verdana"/>
          <w:sz w:val="18"/>
          <w:szCs w:val="18"/>
        </w:rPr>
      </w:pPr>
      <w:r w:rsidRPr="0035396D">
        <w:rPr>
          <w:rFonts w:ascii="Verdana" w:hAnsi="Verdana"/>
          <w:sz w:val="18"/>
          <w:szCs w:val="18"/>
        </w:rPr>
        <w:t xml:space="preserve">Klopt het dat een zittende rechter volgens deze berichtgeving op grote schaal </w:t>
      </w:r>
      <w:proofErr w:type="spellStart"/>
      <w:r w:rsidRPr="0035396D">
        <w:rPr>
          <w:rFonts w:ascii="Verdana" w:hAnsi="Verdana"/>
          <w:sz w:val="18"/>
          <w:szCs w:val="18"/>
        </w:rPr>
        <w:t>Woo</w:t>
      </w:r>
      <w:proofErr w:type="spellEnd"/>
      <w:r w:rsidRPr="0035396D">
        <w:rPr>
          <w:rFonts w:ascii="Verdana" w:hAnsi="Verdana"/>
          <w:sz w:val="18"/>
          <w:szCs w:val="18"/>
        </w:rPr>
        <w:t>-verzoeken heeft</w:t>
      </w:r>
      <w:r>
        <w:rPr>
          <w:rFonts w:ascii="Verdana" w:hAnsi="Verdana"/>
          <w:sz w:val="18"/>
          <w:szCs w:val="18"/>
        </w:rPr>
        <w:t xml:space="preserve"> </w:t>
      </w:r>
      <w:r w:rsidRPr="0035396D">
        <w:rPr>
          <w:rFonts w:ascii="Verdana" w:hAnsi="Verdana"/>
          <w:sz w:val="18"/>
          <w:szCs w:val="18"/>
        </w:rPr>
        <w:t>ingediend bij gemeenten, niet primair om informatie openbaar te krijgen, maar om aan te tonen hoe</w:t>
      </w:r>
      <w:r>
        <w:rPr>
          <w:rFonts w:ascii="Verdana" w:hAnsi="Verdana"/>
          <w:sz w:val="18"/>
          <w:szCs w:val="18"/>
        </w:rPr>
        <w:t xml:space="preserve"> </w:t>
      </w:r>
      <w:r w:rsidRPr="0035396D">
        <w:rPr>
          <w:rFonts w:ascii="Verdana" w:hAnsi="Verdana"/>
          <w:sz w:val="18"/>
          <w:szCs w:val="18"/>
        </w:rPr>
        <w:t xml:space="preserve">eenvoudig misbruik van de </w:t>
      </w:r>
      <w:proofErr w:type="spellStart"/>
      <w:r w:rsidRPr="0035396D">
        <w:rPr>
          <w:rFonts w:ascii="Verdana" w:hAnsi="Verdana"/>
          <w:sz w:val="18"/>
          <w:szCs w:val="18"/>
        </w:rPr>
        <w:t>Woo</w:t>
      </w:r>
      <w:proofErr w:type="spellEnd"/>
      <w:r w:rsidRPr="0035396D">
        <w:rPr>
          <w:rFonts w:ascii="Verdana" w:hAnsi="Verdana"/>
          <w:sz w:val="18"/>
          <w:szCs w:val="18"/>
        </w:rPr>
        <w:t xml:space="preserve"> mogelijk is? Zo ja, wat is uw reactie daarop?</w:t>
      </w:r>
    </w:p>
    <w:p w:rsidR="00D71086" w:rsidP="00D71086" w:rsidRDefault="00D71086" w14:paraId="39B749AA" w14:textId="77777777">
      <w:pPr>
        <w:pStyle w:val="Geenafstand"/>
        <w:rPr>
          <w:rFonts w:ascii="Verdana" w:hAnsi="Verdana"/>
          <w:sz w:val="18"/>
          <w:szCs w:val="18"/>
        </w:rPr>
      </w:pPr>
    </w:p>
    <w:p w:rsidR="00D71086" w:rsidP="00D71086" w:rsidRDefault="00D71086" w14:paraId="4791C5CA"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3E5DB7B7" w14:textId="77777777">
      <w:pPr>
        <w:pStyle w:val="Geenafstand"/>
        <w:rPr>
          <w:rFonts w:ascii="Verdana" w:hAnsi="Verdana"/>
          <w:sz w:val="18"/>
          <w:szCs w:val="18"/>
        </w:rPr>
      </w:pPr>
      <w:r>
        <w:rPr>
          <w:rFonts w:ascii="Verdana" w:hAnsi="Verdana"/>
          <w:sz w:val="18"/>
          <w:szCs w:val="18"/>
        </w:rPr>
        <w:t xml:space="preserve">Ja, dit klopt. </w:t>
      </w:r>
      <w:r w:rsidRPr="00F33770">
        <w:rPr>
          <w:rFonts w:ascii="Verdana" w:hAnsi="Verdana"/>
          <w:sz w:val="18"/>
          <w:szCs w:val="18"/>
        </w:rPr>
        <w:t xml:space="preserve">Het recht op </w:t>
      </w:r>
      <w:r>
        <w:rPr>
          <w:rFonts w:ascii="Verdana" w:hAnsi="Verdana"/>
          <w:sz w:val="18"/>
          <w:szCs w:val="18"/>
        </w:rPr>
        <w:t>toegang tot</w:t>
      </w:r>
      <w:r w:rsidRPr="00F33770">
        <w:rPr>
          <w:rFonts w:ascii="Verdana" w:hAnsi="Verdana"/>
          <w:sz w:val="18"/>
          <w:szCs w:val="18"/>
        </w:rPr>
        <w:t xml:space="preserve"> overheidsinformatie </w:t>
      </w:r>
      <w:r>
        <w:rPr>
          <w:rFonts w:ascii="Verdana" w:hAnsi="Verdana"/>
          <w:sz w:val="18"/>
          <w:szCs w:val="18"/>
        </w:rPr>
        <w:t xml:space="preserve">en het kunnen doen van een </w:t>
      </w:r>
      <w:proofErr w:type="spellStart"/>
      <w:r>
        <w:rPr>
          <w:rFonts w:ascii="Verdana" w:hAnsi="Verdana"/>
          <w:sz w:val="18"/>
          <w:szCs w:val="18"/>
        </w:rPr>
        <w:t>Woo</w:t>
      </w:r>
      <w:proofErr w:type="spellEnd"/>
      <w:r>
        <w:rPr>
          <w:rFonts w:ascii="Verdana" w:hAnsi="Verdana"/>
          <w:sz w:val="18"/>
          <w:szCs w:val="18"/>
        </w:rPr>
        <w:t xml:space="preserve">-verzoek </w:t>
      </w:r>
      <w:r w:rsidRPr="00F33770">
        <w:rPr>
          <w:rFonts w:ascii="Verdana" w:hAnsi="Verdana"/>
          <w:sz w:val="18"/>
          <w:szCs w:val="18"/>
        </w:rPr>
        <w:t xml:space="preserve">is </w:t>
      </w:r>
      <w:r>
        <w:rPr>
          <w:rFonts w:ascii="Verdana" w:hAnsi="Verdana"/>
          <w:sz w:val="18"/>
          <w:szCs w:val="18"/>
        </w:rPr>
        <w:t xml:space="preserve">belangrijk voor de werking van onze democratie. </w:t>
      </w:r>
      <w:r w:rsidRPr="00F33770">
        <w:rPr>
          <w:rFonts w:ascii="Verdana" w:hAnsi="Verdana"/>
          <w:sz w:val="18"/>
          <w:szCs w:val="18"/>
        </w:rPr>
        <w:t xml:space="preserve">Vanzelfsprekend is het </w:t>
      </w:r>
      <w:r>
        <w:rPr>
          <w:rFonts w:ascii="Verdana" w:hAnsi="Verdana"/>
          <w:sz w:val="18"/>
          <w:szCs w:val="18"/>
        </w:rPr>
        <w:t>onacceptabel</w:t>
      </w:r>
      <w:r w:rsidRPr="00F33770">
        <w:rPr>
          <w:rFonts w:ascii="Verdana" w:hAnsi="Verdana"/>
          <w:sz w:val="18"/>
          <w:szCs w:val="18"/>
        </w:rPr>
        <w:t xml:space="preserve"> dat dit belangrijke recht uit de </w:t>
      </w:r>
      <w:proofErr w:type="spellStart"/>
      <w:r w:rsidRPr="00F33770">
        <w:rPr>
          <w:rFonts w:ascii="Verdana" w:hAnsi="Verdana"/>
          <w:sz w:val="18"/>
          <w:szCs w:val="18"/>
        </w:rPr>
        <w:t>Woo</w:t>
      </w:r>
      <w:proofErr w:type="spellEnd"/>
      <w:r w:rsidRPr="00F33770">
        <w:rPr>
          <w:rFonts w:ascii="Verdana" w:hAnsi="Verdana"/>
          <w:sz w:val="18"/>
          <w:szCs w:val="18"/>
        </w:rPr>
        <w:t xml:space="preserve"> wordt misbruikt. </w:t>
      </w:r>
      <w:r>
        <w:rPr>
          <w:rFonts w:ascii="Verdana" w:hAnsi="Verdana"/>
          <w:sz w:val="18"/>
          <w:szCs w:val="18"/>
        </w:rPr>
        <w:t xml:space="preserve">Misbruik maken van de </w:t>
      </w:r>
      <w:proofErr w:type="spellStart"/>
      <w:r>
        <w:rPr>
          <w:rFonts w:ascii="Verdana" w:hAnsi="Verdana"/>
          <w:sz w:val="18"/>
          <w:szCs w:val="18"/>
        </w:rPr>
        <w:t>Woo</w:t>
      </w:r>
      <w:proofErr w:type="spellEnd"/>
      <w:r>
        <w:rPr>
          <w:rFonts w:ascii="Verdana" w:hAnsi="Verdana"/>
          <w:sz w:val="18"/>
          <w:szCs w:val="18"/>
        </w:rPr>
        <w:t xml:space="preserve"> leidt tot verspilling van publieke middelen en levert het overheidsorganisaties een hoop extra werk op. Misbruik ondermijnt een goede werking van het openbaarheidsstelsel, bijvoorbeeld omdat dit </w:t>
      </w:r>
      <w:r>
        <w:rPr>
          <w:rStyle w:val="Verwijzingopmerking"/>
          <w:rFonts w:ascii="Verdana" w:hAnsi="Verdana" w:eastAsia="DejaVu Sans" w:cs="Lohit Hindi"/>
          <w:color w:val="000000"/>
          <w:kern w:val="0"/>
          <w:lang w:eastAsia="nl-NL"/>
          <w14:ligatures w14:val="none"/>
        </w:rPr>
        <w:t>t</w:t>
      </w:r>
      <w:r>
        <w:rPr>
          <w:rFonts w:ascii="Verdana" w:hAnsi="Verdana"/>
          <w:sz w:val="18"/>
          <w:szCs w:val="18"/>
        </w:rPr>
        <w:t xml:space="preserve">en koste gaat van de doorlooptijd van andere </w:t>
      </w:r>
      <w:proofErr w:type="spellStart"/>
      <w:r>
        <w:rPr>
          <w:rFonts w:ascii="Verdana" w:hAnsi="Verdana"/>
          <w:sz w:val="18"/>
          <w:szCs w:val="18"/>
        </w:rPr>
        <w:t>Woo</w:t>
      </w:r>
      <w:proofErr w:type="spellEnd"/>
      <w:r>
        <w:rPr>
          <w:rFonts w:ascii="Verdana" w:hAnsi="Verdana"/>
          <w:sz w:val="18"/>
          <w:szCs w:val="18"/>
        </w:rPr>
        <w:t xml:space="preserve">-verzoeken. </w:t>
      </w:r>
      <w:r w:rsidRPr="00240253">
        <w:t xml:space="preserve"> </w:t>
      </w:r>
      <w:r>
        <w:rPr>
          <w:rFonts w:ascii="Verdana" w:hAnsi="Verdana"/>
          <w:sz w:val="18"/>
          <w:szCs w:val="18"/>
        </w:rPr>
        <w:t xml:space="preserve"> </w:t>
      </w:r>
    </w:p>
    <w:p w:rsidR="00D71086" w:rsidP="00D71086" w:rsidRDefault="00D71086" w14:paraId="2C5DBF73" w14:textId="77777777">
      <w:pPr>
        <w:pStyle w:val="Geenafstand"/>
        <w:rPr>
          <w:rFonts w:ascii="Verdana" w:hAnsi="Verdana"/>
          <w:sz w:val="18"/>
          <w:szCs w:val="18"/>
        </w:rPr>
      </w:pPr>
    </w:p>
    <w:p w:rsidRPr="003A02B2" w:rsidR="00D71086" w:rsidP="00D71086" w:rsidRDefault="00D71086" w14:paraId="23865BB2" w14:textId="77777777">
      <w:pPr>
        <w:pStyle w:val="Geenafstand"/>
        <w:rPr>
          <w:rFonts w:ascii="Verdana" w:hAnsi="Verdana"/>
          <w:b/>
          <w:bCs/>
          <w:sz w:val="18"/>
          <w:szCs w:val="18"/>
        </w:rPr>
      </w:pPr>
      <w:r>
        <w:rPr>
          <w:rFonts w:ascii="Verdana" w:hAnsi="Verdana"/>
          <w:b/>
          <w:bCs/>
          <w:sz w:val="18"/>
          <w:szCs w:val="18"/>
        </w:rPr>
        <w:t>Vraag 3</w:t>
      </w:r>
    </w:p>
    <w:p w:rsidR="00D71086" w:rsidP="00D71086" w:rsidRDefault="00D71086" w14:paraId="747888FD" w14:textId="77777777">
      <w:pPr>
        <w:pStyle w:val="Geenafstand"/>
        <w:rPr>
          <w:rFonts w:ascii="Verdana" w:hAnsi="Verdana"/>
          <w:sz w:val="18"/>
          <w:szCs w:val="18"/>
        </w:rPr>
      </w:pPr>
      <w:r w:rsidRPr="0035396D">
        <w:rPr>
          <w:rFonts w:ascii="Verdana" w:hAnsi="Verdana"/>
          <w:sz w:val="18"/>
          <w:szCs w:val="18"/>
        </w:rPr>
        <w:t xml:space="preserve">Deelt u de opvatting dat de </w:t>
      </w:r>
      <w:proofErr w:type="spellStart"/>
      <w:r w:rsidRPr="0035396D">
        <w:rPr>
          <w:rFonts w:ascii="Verdana" w:hAnsi="Verdana"/>
          <w:sz w:val="18"/>
          <w:szCs w:val="18"/>
        </w:rPr>
        <w:t>Woo</w:t>
      </w:r>
      <w:proofErr w:type="spellEnd"/>
      <w:r w:rsidRPr="0035396D">
        <w:rPr>
          <w:rFonts w:ascii="Verdana" w:hAnsi="Verdana"/>
          <w:sz w:val="18"/>
          <w:szCs w:val="18"/>
        </w:rPr>
        <w:t xml:space="preserve"> bedoeld is om openbaarheid van bestuur te bevorderen, maar niet</w:t>
      </w:r>
      <w:r>
        <w:rPr>
          <w:rFonts w:ascii="Verdana" w:hAnsi="Verdana"/>
          <w:sz w:val="18"/>
          <w:szCs w:val="18"/>
        </w:rPr>
        <w:t xml:space="preserve"> </w:t>
      </w:r>
      <w:r w:rsidRPr="0035396D">
        <w:rPr>
          <w:rFonts w:ascii="Verdana" w:hAnsi="Verdana"/>
          <w:sz w:val="18"/>
          <w:szCs w:val="18"/>
        </w:rPr>
        <w:t>om overheden op grote schaal doelbewust administratief te belasten of de uitvoeringspraktijk te</w:t>
      </w:r>
      <w:r>
        <w:rPr>
          <w:rFonts w:ascii="Verdana" w:hAnsi="Verdana"/>
          <w:sz w:val="18"/>
          <w:szCs w:val="18"/>
        </w:rPr>
        <w:t xml:space="preserve"> </w:t>
      </w:r>
      <w:r w:rsidRPr="0035396D">
        <w:rPr>
          <w:rFonts w:ascii="Verdana" w:hAnsi="Verdana"/>
          <w:sz w:val="18"/>
          <w:szCs w:val="18"/>
        </w:rPr>
        <w:t>ontregelen?</w:t>
      </w:r>
    </w:p>
    <w:p w:rsidR="00D71086" w:rsidP="00D71086" w:rsidRDefault="00D71086" w14:paraId="4F2C3D22" w14:textId="77777777">
      <w:pPr>
        <w:pStyle w:val="Geenafstand"/>
        <w:rPr>
          <w:rFonts w:ascii="Verdana" w:hAnsi="Verdana"/>
          <w:sz w:val="18"/>
          <w:szCs w:val="18"/>
        </w:rPr>
      </w:pPr>
    </w:p>
    <w:p w:rsidR="00D71086" w:rsidP="00D71086" w:rsidRDefault="00D71086" w14:paraId="6F32187E"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6FE27D20" w14:textId="77777777">
      <w:pPr>
        <w:pStyle w:val="Geenafstand"/>
        <w:rPr>
          <w:rFonts w:ascii="Verdana" w:hAnsi="Verdana"/>
          <w:sz w:val="18"/>
          <w:szCs w:val="18"/>
        </w:rPr>
      </w:pPr>
      <w:r>
        <w:rPr>
          <w:rFonts w:ascii="Verdana" w:hAnsi="Verdana"/>
          <w:sz w:val="18"/>
          <w:szCs w:val="18"/>
        </w:rPr>
        <w:t xml:space="preserve">Ja. </w:t>
      </w:r>
      <w:r>
        <w:rPr>
          <w:rFonts w:ascii="Verdana" w:hAnsi="Verdana"/>
          <w:sz w:val="18"/>
          <w:szCs w:val="18"/>
          <w:highlight w:val="yellow"/>
        </w:rPr>
        <w:t xml:space="preserve"> </w:t>
      </w:r>
      <w:r w:rsidRPr="009217C1">
        <w:rPr>
          <w:rFonts w:ascii="Verdana" w:hAnsi="Verdana"/>
          <w:sz w:val="18"/>
          <w:szCs w:val="18"/>
          <w:highlight w:val="yellow"/>
        </w:rPr>
        <w:t xml:space="preserve"> </w:t>
      </w:r>
    </w:p>
    <w:p w:rsidR="00D71086" w:rsidP="00D71086" w:rsidRDefault="00D71086" w14:paraId="5EE72F6E" w14:textId="77777777">
      <w:pPr>
        <w:pStyle w:val="Geenafstand"/>
        <w:rPr>
          <w:rFonts w:ascii="Verdana" w:hAnsi="Verdana"/>
          <w:sz w:val="18"/>
          <w:szCs w:val="18"/>
        </w:rPr>
      </w:pPr>
    </w:p>
    <w:p w:rsidRPr="003A02B2" w:rsidR="00D71086" w:rsidP="00D71086" w:rsidRDefault="00D71086" w14:paraId="66138412" w14:textId="77777777">
      <w:pPr>
        <w:pStyle w:val="Geenafstand"/>
        <w:rPr>
          <w:rFonts w:ascii="Verdana" w:hAnsi="Verdana"/>
          <w:b/>
          <w:bCs/>
          <w:sz w:val="18"/>
          <w:szCs w:val="18"/>
        </w:rPr>
      </w:pPr>
      <w:r>
        <w:rPr>
          <w:rFonts w:ascii="Verdana" w:hAnsi="Verdana"/>
          <w:b/>
          <w:bCs/>
          <w:sz w:val="18"/>
          <w:szCs w:val="18"/>
        </w:rPr>
        <w:t>Vraag 4</w:t>
      </w:r>
    </w:p>
    <w:p w:rsidR="00D71086" w:rsidP="00D71086" w:rsidRDefault="00D71086" w14:paraId="15BEA313" w14:textId="77777777">
      <w:pPr>
        <w:pStyle w:val="Geenafstand"/>
        <w:rPr>
          <w:rFonts w:ascii="Verdana" w:hAnsi="Verdana"/>
          <w:sz w:val="18"/>
          <w:szCs w:val="18"/>
        </w:rPr>
      </w:pPr>
      <w:r w:rsidRPr="0035396D">
        <w:rPr>
          <w:rFonts w:ascii="Verdana" w:hAnsi="Verdana"/>
          <w:sz w:val="18"/>
          <w:szCs w:val="18"/>
        </w:rPr>
        <w:t xml:space="preserve">Hoe beoordeelt u het risico dat dit soort massale en mogelijk strategische </w:t>
      </w:r>
      <w:proofErr w:type="spellStart"/>
      <w:r w:rsidRPr="0035396D">
        <w:rPr>
          <w:rFonts w:ascii="Verdana" w:hAnsi="Verdana"/>
          <w:sz w:val="18"/>
          <w:szCs w:val="18"/>
        </w:rPr>
        <w:t>Woo</w:t>
      </w:r>
      <w:proofErr w:type="spellEnd"/>
      <w:r w:rsidRPr="0035396D">
        <w:rPr>
          <w:rFonts w:ascii="Verdana" w:hAnsi="Verdana"/>
          <w:sz w:val="18"/>
          <w:szCs w:val="18"/>
        </w:rPr>
        <w:t>-verzoeken, zeker bij</w:t>
      </w:r>
      <w:r>
        <w:rPr>
          <w:rFonts w:ascii="Verdana" w:hAnsi="Verdana"/>
          <w:sz w:val="18"/>
          <w:szCs w:val="18"/>
        </w:rPr>
        <w:t xml:space="preserve"> </w:t>
      </w:r>
      <w:r w:rsidRPr="0035396D">
        <w:rPr>
          <w:rFonts w:ascii="Verdana" w:hAnsi="Verdana"/>
          <w:sz w:val="18"/>
          <w:szCs w:val="18"/>
        </w:rPr>
        <w:t>kleinere gemeenten, leidt tot verdringing van reguliere publieke taken, oplopende uitvoeringskosten</w:t>
      </w:r>
      <w:r>
        <w:rPr>
          <w:rFonts w:ascii="Verdana" w:hAnsi="Verdana"/>
          <w:sz w:val="18"/>
          <w:szCs w:val="18"/>
        </w:rPr>
        <w:t xml:space="preserve"> </w:t>
      </w:r>
      <w:r w:rsidRPr="0035396D">
        <w:rPr>
          <w:rFonts w:ascii="Verdana" w:hAnsi="Verdana"/>
          <w:sz w:val="18"/>
          <w:szCs w:val="18"/>
        </w:rPr>
        <w:t>en langere wachttijden voor bonafide verzoekers?</w:t>
      </w:r>
    </w:p>
    <w:p w:rsidR="00D71086" w:rsidP="00D71086" w:rsidRDefault="00D71086" w14:paraId="4D82BF08" w14:textId="77777777">
      <w:pPr>
        <w:pStyle w:val="Geenafstand"/>
        <w:rPr>
          <w:rFonts w:ascii="Verdana" w:hAnsi="Verdana"/>
          <w:sz w:val="18"/>
          <w:szCs w:val="18"/>
        </w:rPr>
      </w:pPr>
    </w:p>
    <w:p w:rsidR="00D71086" w:rsidP="00D71086" w:rsidRDefault="00D71086" w14:paraId="2BE7796A"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6A299360" w14:textId="77777777">
      <w:pPr>
        <w:pStyle w:val="Geenafstand"/>
        <w:rPr>
          <w:rFonts w:ascii="Verdana" w:hAnsi="Verdana"/>
          <w:sz w:val="18"/>
          <w:szCs w:val="18"/>
        </w:rPr>
      </w:pPr>
      <w:r>
        <w:rPr>
          <w:rFonts w:ascii="Verdana" w:hAnsi="Verdana"/>
          <w:sz w:val="18"/>
          <w:szCs w:val="18"/>
        </w:rPr>
        <w:t xml:space="preserve">Transparantie van overheidshandelen en openbaarmaking van overheidsinformatie zijn belangrijke waarborgen in onze democratische rechtsstaat. Misbruik van het recht om </w:t>
      </w:r>
      <w:proofErr w:type="spellStart"/>
      <w:r>
        <w:rPr>
          <w:rFonts w:ascii="Verdana" w:hAnsi="Verdana"/>
          <w:sz w:val="18"/>
          <w:szCs w:val="18"/>
        </w:rPr>
        <w:t>Woo</w:t>
      </w:r>
      <w:proofErr w:type="spellEnd"/>
      <w:r>
        <w:rPr>
          <w:rFonts w:ascii="Verdana" w:hAnsi="Verdana"/>
          <w:sz w:val="18"/>
          <w:szCs w:val="18"/>
        </w:rPr>
        <w:t xml:space="preserve">-verzoeken te doen, is dan ook onacceptabel. Deze casus laat zien dat misbruik van de </w:t>
      </w:r>
      <w:proofErr w:type="spellStart"/>
      <w:r>
        <w:rPr>
          <w:rFonts w:ascii="Verdana" w:hAnsi="Verdana"/>
          <w:sz w:val="18"/>
          <w:szCs w:val="18"/>
        </w:rPr>
        <w:t>Woo</w:t>
      </w:r>
      <w:proofErr w:type="spellEnd"/>
      <w:r>
        <w:rPr>
          <w:rFonts w:ascii="Verdana" w:hAnsi="Verdana"/>
          <w:sz w:val="18"/>
          <w:szCs w:val="18"/>
        </w:rPr>
        <w:t xml:space="preserve"> mogelijk is. </w:t>
      </w:r>
    </w:p>
    <w:p w:rsidR="00D71086" w:rsidP="00D71086" w:rsidRDefault="00D71086" w14:paraId="5807A8BC" w14:textId="77777777">
      <w:pPr>
        <w:pStyle w:val="Geenafstand"/>
        <w:rPr>
          <w:rFonts w:ascii="Verdana" w:hAnsi="Verdana"/>
          <w:sz w:val="18"/>
          <w:szCs w:val="18"/>
        </w:rPr>
      </w:pPr>
    </w:p>
    <w:p w:rsidR="00D71086" w:rsidP="00D71086" w:rsidRDefault="00D71086" w14:paraId="38E10C7D" w14:textId="77777777">
      <w:pPr>
        <w:pStyle w:val="Geenafstand"/>
        <w:rPr>
          <w:rFonts w:ascii="Verdana" w:hAnsi="Verdana"/>
          <w:sz w:val="18"/>
          <w:szCs w:val="18"/>
        </w:rPr>
      </w:pPr>
      <w:r>
        <w:rPr>
          <w:rFonts w:ascii="Verdana" w:hAnsi="Verdana"/>
          <w:sz w:val="18"/>
          <w:szCs w:val="18"/>
        </w:rPr>
        <w:t xml:space="preserve">Om misbruik tegen te gaan, bevat de </w:t>
      </w:r>
      <w:proofErr w:type="spellStart"/>
      <w:r>
        <w:rPr>
          <w:rFonts w:ascii="Verdana" w:hAnsi="Verdana"/>
          <w:sz w:val="18"/>
          <w:szCs w:val="18"/>
        </w:rPr>
        <w:t>Woo</w:t>
      </w:r>
      <w:proofErr w:type="spellEnd"/>
      <w:r>
        <w:rPr>
          <w:rFonts w:ascii="Verdana" w:hAnsi="Verdana"/>
          <w:sz w:val="18"/>
          <w:szCs w:val="18"/>
        </w:rPr>
        <w:t xml:space="preserve"> een antimisbruikbepaling. Van deze bepaling kunnen overheidsorganisaties gebruik maken als een </w:t>
      </w:r>
      <w:proofErr w:type="spellStart"/>
      <w:r>
        <w:rPr>
          <w:rFonts w:ascii="Verdana" w:hAnsi="Verdana"/>
          <w:sz w:val="18"/>
          <w:szCs w:val="18"/>
        </w:rPr>
        <w:t>Woo</w:t>
      </w:r>
      <w:proofErr w:type="spellEnd"/>
      <w:r>
        <w:rPr>
          <w:rFonts w:ascii="Verdana" w:hAnsi="Verdana"/>
          <w:sz w:val="18"/>
          <w:szCs w:val="18"/>
        </w:rPr>
        <w:t xml:space="preserve">-verzoeker kennelijk een ander doel heeft dan het verkrijgen van publieke informatie. </w:t>
      </w:r>
      <w:r w:rsidRPr="00771E2A">
        <w:rPr>
          <w:rFonts w:ascii="Verdana" w:hAnsi="Verdana"/>
          <w:sz w:val="18"/>
          <w:szCs w:val="18"/>
        </w:rPr>
        <w:t xml:space="preserve">Op dit moment heb ik geen signalen dat misbruik van de </w:t>
      </w:r>
      <w:proofErr w:type="spellStart"/>
      <w:r w:rsidRPr="00771E2A">
        <w:rPr>
          <w:rFonts w:ascii="Verdana" w:hAnsi="Verdana"/>
          <w:sz w:val="18"/>
          <w:szCs w:val="18"/>
        </w:rPr>
        <w:t>Woo</w:t>
      </w:r>
      <w:proofErr w:type="spellEnd"/>
      <w:r w:rsidRPr="00771E2A">
        <w:rPr>
          <w:rFonts w:ascii="Verdana" w:hAnsi="Verdana"/>
          <w:sz w:val="18"/>
          <w:szCs w:val="18"/>
        </w:rPr>
        <w:t xml:space="preserve"> op grote schaal voorkomt. </w:t>
      </w:r>
      <w:r w:rsidRPr="00771E2A">
        <w:rPr>
          <w:rFonts w:ascii="Verdana" w:hAnsi="Verdana"/>
          <w:sz w:val="18"/>
          <w:szCs w:val="18"/>
        </w:rPr>
        <w:lastRenderedPageBreak/>
        <w:t xml:space="preserve">Wel </w:t>
      </w:r>
      <w:r>
        <w:rPr>
          <w:rFonts w:ascii="Verdana" w:hAnsi="Verdana"/>
          <w:sz w:val="18"/>
          <w:szCs w:val="18"/>
        </w:rPr>
        <w:t>is het voor</w:t>
      </w:r>
      <w:r w:rsidRPr="00771E2A">
        <w:rPr>
          <w:rFonts w:ascii="Verdana" w:hAnsi="Verdana"/>
          <w:sz w:val="18"/>
          <w:szCs w:val="18"/>
        </w:rPr>
        <w:t xml:space="preserve"> bestuursorganen </w:t>
      </w:r>
      <w:r>
        <w:rPr>
          <w:rFonts w:ascii="Verdana" w:hAnsi="Verdana"/>
          <w:sz w:val="18"/>
          <w:szCs w:val="18"/>
        </w:rPr>
        <w:t xml:space="preserve">soms </w:t>
      </w:r>
      <w:r w:rsidRPr="00771E2A">
        <w:rPr>
          <w:rFonts w:ascii="Verdana" w:hAnsi="Verdana"/>
          <w:sz w:val="18"/>
          <w:szCs w:val="18"/>
        </w:rPr>
        <w:t>lastig om te bepalen wanneer zij</w:t>
      </w:r>
      <w:r>
        <w:rPr>
          <w:rFonts w:ascii="Verdana" w:hAnsi="Verdana"/>
          <w:sz w:val="18"/>
          <w:szCs w:val="18"/>
        </w:rPr>
        <w:t xml:space="preserve"> gebruik kunnen maken van</w:t>
      </w:r>
      <w:r w:rsidRPr="00771E2A">
        <w:rPr>
          <w:rFonts w:ascii="Verdana" w:hAnsi="Verdana"/>
          <w:sz w:val="18"/>
          <w:szCs w:val="18"/>
        </w:rPr>
        <w:t xml:space="preserve"> de antimisbruikbepaling. </w:t>
      </w:r>
      <w:r>
        <w:rPr>
          <w:rFonts w:ascii="Verdana" w:hAnsi="Verdana"/>
          <w:sz w:val="18"/>
          <w:szCs w:val="18"/>
        </w:rPr>
        <w:t xml:space="preserve">Daarom hebben we een </w:t>
      </w:r>
      <w:r w:rsidRPr="00771E2A">
        <w:rPr>
          <w:rFonts w:ascii="Verdana" w:hAnsi="Verdana"/>
          <w:sz w:val="18"/>
          <w:szCs w:val="18"/>
        </w:rPr>
        <w:t>handreiking gepubliceerd die bestuursorganen hierbij help</w:t>
      </w:r>
      <w:r>
        <w:rPr>
          <w:rFonts w:ascii="Verdana" w:hAnsi="Verdana"/>
          <w:sz w:val="18"/>
          <w:szCs w:val="18"/>
        </w:rPr>
        <w:t>t</w:t>
      </w:r>
      <w:r w:rsidRPr="00771E2A">
        <w:rPr>
          <w:rFonts w:ascii="Verdana" w:hAnsi="Verdana"/>
          <w:sz w:val="18"/>
          <w:szCs w:val="18"/>
        </w:rPr>
        <w:t>.</w:t>
      </w:r>
      <w:r>
        <w:rPr>
          <w:rStyle w:val="Voetnootmarkering"/>
          <w:rFonts w:ascii="Verdana" w:hAnsi="Verdana"/>
          <w:sz w:val="18"/>
          <w:szCs w:val="18"/>
        </w:rPr>
        <w:footnoteReference w:id="2"/>
      </w:r>
      <w:r w:rsidRPr="008F03B1">
        <w:rPr>
          <w:rFonts w:ascii="Verdana" w:hAnsi="Verdana"/>
          <w:sz w:val="18"/>
          <w:szCs w:val="18"/>
        </w:rPr>
        <w:t xml:space="preserve"> Daarnaast wordt dit jaar de </w:t>
      </w:r>
      <w:proofErr w:type="spellStart"/>
      <w:r w:rsidRPr="008F03B1">
        <w:rPr>
          <w:rFonts w:ascii="Verdana" w:hAnsi="Verdana"/>
          <w:sz w:val="18"/>
          <w:szCs w:val="18"/>
        </w:rPr>
        <w:t>Woo</w:t>
      </w:r>
      <w:proofErr w:type="spellEnd"/>
      <w:r w:rsidRPr="008F03B1">
        <w:rPr>
          <w:rFonts w:ascii="Verdana" w:hAnsi="Verdana"/>
          <w:sz w:val="18"/>
          <w:szCs w:val="18"/>
        </w:rPr>
        <w:t xml:space="preserve"> geëvalueerd, waarbij ook wordt gekeken naar de werking van de antimisbruikbepaling. Op basis van de uitkomsten </w:t>
      </w:r>
      <w:r>
        <w:rPr>
          <w:rFonts w:ascii="Verdana" w:hAnsi="Verdana"/>
          <w:sz w:val="18"/>
          <w:szCs w:val="18"/>
        </w:rPr>
        <w:t xml:space="preserve">van de evaluatie </w:t>
      </w:r>
      <w:r w:rsidRPr="008F03B1">
        <w:rPr>
          <w:rFonts w:ascii="Verdana" w:hAnsi="Verdana"/>
          <w:sz w:val="18"/>
          <w:szCs w:val="18"/>
        </w:rPr>
        <w:t>kunnen we kijken of extra maatregelen nodig zijn om misbruik</w:t>
      </w:r>
      <w:r>
        <w:rPr>
          <w:rFonts w:ascii="Verdana" w:hAnsi="Verdana"/>
          <w:sz w:val="18"/>
          <w:szCs w:val="18"/>
        </w:rPr>
        <w:t xml:space="preserve"> te</w:t>
      </w:r>
      <w:r w:rsidRPr="008F03B1">
        <w:rPr>
          <w:rFonts w:ascii="Verdana" w:hAnsi="Verdana"/>
          <w:sz w:val="18"/>
          <w:szCs w:val="18"/>
        </w:rPr>
        <w:t xml:space="preserve"> </w:t>
      </w:r>
      <w:r>
        <w:rPr>
          <w:rFonts w:ascii="Verdana" w:hAnsi="Verdana"/>
          <w:sz w:val="18"/>
          <w:szCs w:val="18"/>
        </w:rPr>
        <w:t xml:space="preserve">voorkomen en </w:t>
      </w:r>
      <w:r w:rsidRPr="008F03B1">
        <w:rPr>
          <w:rFonts w:ascii="Verdana" w:hAnsi="Verdana"/>
          <w:sz w:val="18"/>
          <w:szCs w:val="18"/>
        </w:rPr>
        <w:t>te bestrijden.</w:t>
      </w:r>
      <w:r>
        <w:rPr>
          <w:rFonts w:ascii="Verdana" w:hAnsi="Verdana"/>
          <w:sz w:val="18"/>
          <w:szCs w:val="18"/>
        </w:rPr>
        <w:t xml:space="preserve"> </w:t>
      </w:r>
    </w:p>
    <w:p w:rsidR="00D71086" w:rsidP="00D71086" w:rsidRDefault="00D71086" w14:paraId="2CA8E93C" w14:textId="77777777">
      <w:pPr>
        <w:pStyle w:val="Geenafstand"/>
        <w:rPr>
          <w:rFonts w:ascii="Verdana" w:hAnsi="Verdana"/>
          <w:sz w:val="18"/>
          <w:szCs w:val="18"/>
        </w:rPr>
      </w:pPr>
    </w:p>
    <w:p w:rsidRPr="003A02B2" w:rsidR="00D71086" w:rsidP="00D71086" w:rsidRDefault="00D71086" w14:paraId="670863C2" w14:textId="77777777">
      <w:pPr>
        <w:pStyle w:val="Geenafstand"/>
        <w:rPr>
          <w:rFonts w:ascii="Verdana" w:hAnsi="Verdana"/>
          <w:b/>
          <w:bCs/>
          <w:sz w:val="18"/>
          <w:szCs w:val="18"/>
        </w:rPr>
      </w:pPr>
      <w:r>
        <w:rPr>
          <w:rFonts w:ascii="Verdana" w:hAnsi="Verdana"/>
          <w:b/>
          <w:bCs/>
          <w:sz w:val="18"/>
          <w:szCs w:val="18"/>
        </w:rPr>
        <w:t>Vraag 5</w:t>
      </w:r>
    </w:p>
    <w:p w:rsidR="00D71086" w:rsidP="00D71086" w:rsidRDefault="00D71086" w14:paraId="47E7F5D3" w14:textId="77777777">
      <w:pPr>
        <w:pStyle w:val="Geenafstand"/>
        <w:rPr>
          <w:rFonts w:ascii="Verdana" w:hAnsi="Verdana"/>
          <w:sz w:val="18"/>
          <w:szCs w:val="18"/>
        </w:rPr>
      </w:pPr>
      <w:r w:rsidRPr="0035396D">
        <w:rPr>
          <w:rFonts w:ascii="Verdana" w:hAnsi="Verdana"/>
          <w:sz w:val="18"/>
          <w:szCs w:val="18"/>
        </w:rPr>
        <w:t>Heeft u zicht op de omvang van de belasting voor gemeenten door dit soort bulkverzoeken,</w:t>
      </w:r>
      <w:r>
        <w:rPr>
          <w:rFonts w:ascii="Verdana" w:hAnsi="Verdana"/>
          <w:sz w:val="18"/>
          <w:szCs w:val="18"/>
        </w:rPr>
        <w:t xml:space="preserve"> </w:t>
      </w:r>
      <w:r w:rsidRPr="0035396D">
        <w:rPr>
          <w:rFonts w:ascii="Verdana" w:hAnsi="Verdana"/>
          <w:sz w:val="18"/>
          <w:szCs w:val="18"/>
        </w:rPr>
        <w:t>bijvoorbeeld in termen van extra ambtelijke inzet, externe juridische kosten en vertraging in de</w:t>
      </w:r>
      <w:r>
        <w:rPr>
          <w:rFonts w:ascii="Verdana" w:hAnsi="Verdana"/>
          <w:sz w:val="18"/>
          <w:szCs w:val="18"/>
        </w:rPr>
        <w:t xml:space="preserve"> </w:t>
      </w:r>
      <w:r w:rsidRPr="0035396D">
        <w:rPr>
          <w:rFonts w:ascii="Verdana" w:hAnsi="Verdana"/>
          <w:sz w:val="18"/>
          <w:szCs w:val="18"/>
        </w:rPr>
        <w:t xml:space="preserve">afhandeling van andere </w:t>
      </w:r>
      <w:proofErr w:type="spellStart"/>
      <w:r w:rsidRPr="0035396D">
        <w:rPr>
          <w:rFonts w:ascii="Verdana" w:hAnsi="Verdana"/>
          <w:sz w:val="18"/>
          <w:szCs w:val="18"/>
        </w:rPr>
        <w:t>Woo</w:t>
      </w:r>
      <w:proofErr w:type="spellEnd"/>
      <w:r w:rsidRPr="0035396D">
        <w:rPr>
          <w:rFonts w:ascii="Verdana" w:hAnsi="Verdana"/>
          <w:sz w:val="18"/>
          <w:szCs w:val="18"/>
        </w:rPr>
        <w:t>-verzoeken? Zo nee, bent u bereid dit via de Vereniging van Nederlandse</w:t>
      </w:r>
      <w:r>
        <w:rPr>
          <w:rFonts w:ascii="Verdana" w:hAnsi="Verdana"/>
          <w:sz w:val="18"/>
          <w:szCs w:val="18"/>
        </w:rPr>
        <w:t xml:space="preserve"> </w:t>
      </w:r>
      <w:r w:rsidRPr="0035396D">
        <w:rPr>
          <w:rFonts w:ascii="Verdana" w:hAnsi="Verdana"/>
          <w:sz w:val="18"/>
          <w:szCs w:val="18"/>
        </w:rPr>
        <w:t>Gemeenten (VNG) uit te vragen?</w:t>
      </w:r>
    </w:p>
    <w:p w:rsidR="00D71086" w:rsidP="00D71086" w:rsidRDefault="00D71086" w14:paraId="28CE6C28" w14:textId="77777777">
      <w:pPr>
        <w:pStyle w:val="Geenafstand"/>
        <w:rPr>
          <w:rFonts w:ascii="Verdana" w:hAnsi="Verdana"/>
          <w:sz w:val="18"/>
          <w:szCs w:val="18"/>
        </w:rPr>
      </w:pPr>
    </w:p>
    <w:p w:rsidR="00D71086" w:rsidP="00D71086" w:rsidRDefault="00D71086" w14:paraId="1217FF78"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3DB05644" w14:textId="77777777">
      <w:pPr>
        <w:pStyle w:val="Geenafstand"/>
        <w:rPr>
          <w:rFonts w:ascii="Verdana" w:hAnsi="Verdana"/>
          <w:sz w:val="18"/>
          <w:szCs w:val="18"/>
        </w:rPr>
      </w:pPr>
      <w:r>
        <w:rPr>
          <w:rFonts w:ascii="Verdana" w:hAnsi="Verdana"/>
          <w:sz w:val="18"/>
          <w:szCs w:val="18"/>
        </w:rPr>
        <w:t xml:space="preserve">Onlangs is een onderzoek uitgevoerd naar de uitvoeringslasten van </w:t>
      </w:r>
      <w:proofErr w:type="spellStart"/>
      <w:r>
        <w:rPr>
          <w:rFonts w:ascii="Verdana" w:hAnsi="Verdana"/>
          <w:sz w:val="18"/>
          <w:szCs w:val="18"/>
        </w:rPr>
        <w:t>Woo</w:t>
      </w:r>
      <w:proofErr w:type="spellEnd"/>
      <w:r>
        <w:rPr>
          <w:rFonts w:ascii="Verdana" w:hAnsi="Verdana"/>
          <w:sz w:val="18"/>
          <w:szCs w:val="18"/>
        </w:rPr>
        <w:t>-verzoeken.</w:t>
      </w:r>
      <w:r>
        <w:rPr>
          <w:rStyle w:val="Voetnootmarkering"/>
          <w:rFonts w:ascii="Verdana" w:hAnsi="Verdana"/>
          <w:sz w:val="18"/>
          <w:szCs w:val="18"/>
        </w:rPr>
        <w:footnoteReference w:id="3"/>
      </w:r>
      <w:r>
        <w:rPr>
          <w:rFonts w:ascii="Verdana" w:hAnsi="Verdana"/>
          <w:sz w:val="18"/>
          <w:szCs w:val="18"/>
        </w:rPr>
        <w:t xml:space="preserve"> In dit onderzoek is niet specifiek gekeken naar bulkverzoeken, maar wel naar zogenaamde ‘zeer complexe’ verzoeken,</w:t>
      </w:r>
      <w:r w:rsidRPr="004776B8">
        <w:rPr>
          <w:rStyle w:val="Voetnootmarkering"/>
          <w:rFonts w:ascii="Verdana" w:hAnsi="Verdana"/>
          <w:sz w:val="18"/>
          <w:szCs w:val="18"/>
        </w:rPr>
        <w:t xml:space="preserve"> </w:t>
      </w:r>
      <w:r>
        <w:rPr>
          <w:rStyle w:val="Voetnootmarkering"/>
          <w:rFonts w:ascii="Verdana" w:hAnsi="Verdana"/>
          <w:sz w:val="18"/>
          <w:szCs w:val="18"/>
        </w:rPr>
        <w:footnoteReference w:id="4"/>
      </w:r>
      <w:r>
        <w:rPr>
          <w:rFonts w:ascii="Verdana" w:hAnsi="Verdana"/>
          <w:sz w:val="18"/>
          <w:szCs w:val="18"/>
        </w:rPr>
        <w:t xml:space="preserve"> waar ook de hier bedoelde bulkverzoeken onder kunnen vallen. O</w:t>
      </w:r>
      <w:r w:rsidRPr="00FB4CC3">
        <w:rPr>
          <w:rFonts w:ascii="Verdana" w:hAnsi="Verdana"/>
          <w:sz w:val="18"/>
          <w:szCs w:val="18"/>
        </w:rPr>
        <w:t xml:space="preserve">p landelijk niveau </w:t>
      </w:r>
      <w:r>
        <w:rPr>
          <w:rFonts w:ascii="Verdana" w:hAnsi="Verdana"/>
          <w:sz w:val="18"/>
          <w:szCs w:val="18"/>
        </w:rPr>
        <w:t xml:space="preserve">vergen </w:t>
      </w:r>
      <w:r w:rsidRPr="00FB4CC3">
        <w:rPr>
          <w:rFonts w:ascii="Verdana" w:hAnsi="Verdana"/>
          <w:sz w:val="18"/>
          <w:szCs w:val="18"/>
        </w:rPr>
        <w:t xml:space="preserve">de 10% meest complexe </w:t>
      </w:r>
      <w:proofErr w:type="spellStart"/>
      <w:r w:rsidRPr="00FB4CC3">
        <w:rPr>
          <w:rFonts w:ascii="Verdana" w:hAnsi="Verdana"/>
          <w:sz w:val="18"/>
          <w:szCs w:val="18"/>
        </w:rPr>
        <w:t>Woo</w:t>
      </w:r>
      <w:proofErr w:type="spellEnd"/>
      <w:r w:rsidRPr="00FB4CC3">
        <w:rPr>
          <w:rFonts w:ascii="Verdana" w:hAnsi="Verdana"/>
          <w:sz w:val="18"/>
          <w:szCs w:val="18"/>
        </w:rPr>
        <w:t xml:space="preserve">-verzoeken circa 30% van de totale tijd die wordt besteed aan de afhandeling van </w:t>
      </w:r>
      <w:proofErr w:type="spellStart"/>
      <w:r w:rsidRPr="00FB4CC3">
        <w:rPr>
          <w:rFonts w:ascii="Verdana" w:hAnsi="Verdana"/>
          <w:sz w:val="18"/>
          <w:szCs w:val="18"/>
        </w:rPr>
        <w:t>Woo</w:t>
      </w:r>
      <w:proofErr w:type="spellEnd"/>
      <w:r w:rsidRPr="00FB4CC3">
        <w:rPr>
          <w:rFonts w:ascii="Verdana" w:hAnsi="Verdana"/>
          <w:sz w:val="18"/>
          <w:szCs w:val="18"/>
        </w:rPr>
        <w:t>-verzoeken.</w:t>
      </w:r>
      <w:r>
        <w:rPr>
          <w:rFonts w:ascii="Verdana" w:hAnsi="Verdana"/>
          <w:sz w:val="18"/>
          <w:szCs w:val="18"/>
        </w:rPr>
        <w:t xml:space="preserve"> De gemiddelde tijdsbesteding voor zeer complexe </w:t>
      </w:r>
      <w:proofErr w:type="spellStart"/>
      <w:r>
        <w:rPr>
          <w:rFonts w:ascii="Verdana" w:hAnsi="Verdana"/>
          <w:sz w:val="18"/>
          <w:szCs w:val="18"/>
        </w:rPr>
        <w:t>Woo</w:t>
      </w:r>
      <w:proofErr w:type="spellEnd"/>
      <w:r>
        <w:rPr>
          <w:rFonts w:ascii="Verdana" w:hAnsi="Verdana"/>
          <w:sz w:val="18"/>
          <w:szCs w:val="18"/>
        </w:rPr>
        <w:t xml:space="preserve">-verzoeken bedraagt 113 uren voor kleine gemeenten, 128 uren voor middelgrote gemeenten en 159 uren voor grote gemeenten. </w:t>
      </w:r>
      <w:r w:rsidRPr="00D62F82">
        <w:rPr>
          <w:rFonts w:ascii="Verdana" w:hAnsi="Verdana"/>
          <w:sz w:val="18"/>
          <w:szCs w:val="18"/>
        </w:rPr>
        <w:t xml:space="preserve">Dit betreffen uitdrukkelijk niet allemaal verzoeken waarmee misbruik wordt gemaakt van de </w:t>
      </w:r>
      <w:proofErr w:type="spellStart"/>
      <w:r w:rsidRPr="00D62F82">
        <w:rPr>
          <w:rFonts w:ascii="Verdana" w:hAnsi="Verdana"/>
          <w:sz w:val="18"/>
          <w:szCs w:val="18"/>
        </w:rPr>
        <w:t>Woo</w:t>
      </w:r>
      <w:proofErr w:type="spellEnd"/>
      <w:r w:rsidRPr="00D62F82">
        <w:rPr>
          <w:rFonts w:ascii="Verdana" w:hAnsi="Verdana"/>
          <w:sz w:val="18"/>
          <w:szCs w:val="18"/>
        </w:rPr>
        <w:t>.</w:t>
      </w:r>
      <w:r>
        <w:rPr>
          <w:rFonts w:ascii="Verdana" w:hAnsi="Verdana"/>
          <w:sz w:val="18"/>
          <w:szCs w:val="18"/>
        </w:rPr>
        <w:t xml:space="preserve"> In de wetsevaluatie wordt nader gekeken naar de effecten van de </w:t>
      </w:r>
      <w:proofErr w:type="spellStart"/>
      <w:r>
        <w:rPr>
          <w:rFonts w:ascii="Verdana" w:hAnsi="Verdana"/>
          <w:sz w:val="18"/>
          <w:szCs w:val="18"/>
        </w:rPr>
        <w:t>Woo</w:t>
      </w:r>
      <w:proofErr w:type="spellEnd"/>
      <w:r>
        <w:rPr>
          <w:rFonts w:ascii="Verdana" w:hAnsi="Verdana"/>
          <w:sz w:val="18"/>
          <w:szCs w:val="18"/>
        </w:rPr>
        <w:t xml:space="preserve"> in de praktijk en de werking van de antimisbruikbepaling. De uitkomsten van het onderzoek naar de uitvoeringslasten worden in de wetsevaluatie meegenomen. </w:t>
      </w:r>
    </w:p>
    <w:p w:rsidR="00D71086" w:rsidP="00D71086" w:rsidRDefault="00D71086" w14:paraId="30EA46F8" w14:textId="77777777">
      <w:pPr>
        <w:pStyle w:val="Geenafstand"/>
        <w:rPr>
          <w:rFonts w:ascii="Verdana" w:hAnsi="Verdana"/>
          <w:sz w:val="18"/>
          <w:szCs w:val="18"/>
        </w:rPr>
      </w:pPr>
    </w:p>
    <w:p w:rsidRPr="003A02B2" w:rsidR="00D71086" w:rsidP="00D71086" w:rsidRDefault="00D71086" w14:paraId="26B170E3" w14:textId="77777777">
      <w:pPr>
        <w:pStyle w:val="Geenafstand"/>
        <w:rPr>
          <w:rFonts w:ascii="Verdana" w:hAnsi="Verdana"/>
          <w:b/>
          <w:bCs/>
          <w:sz w:val="18"/>
          <w:szCs w:val="18"/>
        </w:rPr>
      </w:pPr>
      <w:r>
        <w:rPr>
          <w:rFonts w:ascii="Verdana" w:hAnsi="Verdana"/>
          <w:b/>
          <w:bCs/>
          <w:sz w:val="18"/>
          <w:szCs w:val="18"/>
        </w:rPr>
        <w:t>Vraag 6</w:t>
      </w:r>
    </w:p>
    <w:p w:rsidR="00D71086" w:rsidP="00D71086" w:rsidRDefault="00D71086" w14:paraId="00447150" w14:textId="77777777">
      <w:pPr>
        <w:pStyle w:val="Geenafstand"/>
        <w:rPr>
          <w:rFonts w:ascii="Verdana" w:hAnsi="Verdana"/>
          <w:sz w:val="18"/>
          <w:szCs w:val="18"/>
        </w:rPr>
      </w:pPr>
      <w:r w:rsidRPr="0035396D">
        <w:rPr>
          <w:rFonts w:ascii="Verdana" w:hAnsi="Verdana"/>
          <w:sz w:val="18"/>
          <w:szCs w:val="18"/>
        </w:rPr>
        <w:t>Welke mogelijkheden hebben bestuursorganen op dit moment om op te treden tegen kennelijk</w:t>
      </w:r>
      <w:r>
        <w:rPr>
          <w:rFonts w:ascii="Verdana" w:hAnsi="Verdana"/>
          <w:sz w:val="18"/>
          <w:szCs w:val="18"/>
        </w:rPr>
        <w:t xml:space="preserve"> </w:t>
      </w:r>
      <w:r w:rsidRPr="0035396D">
        <w:rPr>
          <w:rFonts w:ascii="Verdana" w:hAnsi="Verdana"/>
          <w:sz w:val="18"/>
          <w:szCs w:val="18"/>
        </w:rPr>
        <w:t xml:space="preserve">oneigenlijk of disproportioneel gebruik van de </w:t>
      </w:r>
      <w:proofErr w:type="spellStart"/>
      <w:r w:rsidRPr="0035396D">
        <w:rPr>
          <w:rFonts w:ascii="Verdana" w:hAnsi="Verdana"/>
          <w:sz w:val="18"/>
          <w:szCs w:val="18"/>
        </w:rPr>
        <w:t>Woo</w:t>
      </w:r>
      <w:proofErr w:type="spellEnd"/>
      <w:r w:rsidRPr="0035396D">
        <w:rPr>
          <w:rFonts w:ascii="Verdana" w:hAnsi="Verdana"/>
          <w:sz w:val="18"/>
          <w:szCs w:val="18"/>
        </w:rPr>
        <w:t>, en acht u dat instrumentarium toereikend?</w:t>
      </w:r>
    </w:p>
    <w:p w:rsidR="00D71086" w:rsidP="00D71086" w:rsidRDefault="00D71086" w14:paraId="5CBBAA0E" w14:textId="77777777">
      <w:pPr>
        <w:pStyle w:val="Geenafstand"/>
        <w:rPr>
          <w:rFonts w:ascii="Verdana" w:hAnsi="Verdana"/>
          <w:sz w:val="18"/>
          <w:szCs w:val="18"/>
        </w:rPr>
      </w:pPr>
    </w:p>
    <w:p w:rsidR="00D71086" w:rsidP="00D71086" w:rsidRDefault="00D71086" w14:paraId="2677CA6F"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5C9DC30A" w14:textId="77777777">
      <w:r>
        <w:t>Zoals eerder genoemd, heeft de</w:t>
      </w:r>
      <w:r w:rsidRPr="006B4A33">
        <w:t xml:space="preserve"> </w:t>
      </w:r>
      <w:proofErr w:type="spellStart"/>
      <w:r w:rsidRPr="006B4A33">
        <w:t>Woo</w:t>
      </w:r>
      <w:proofErr w:type="spellEnd"/>
      <w:r w:rsidRPr="006B4A33">
        <w:t xml:space="preserve"> </w:t>
      </w:r>
      <w:r>
        <w:t xml:space="preserve">een </w:t>
      </w:r>
      <w:r w:rsidRPr="006B4A33">
        <w:t>antimisbruikbepaling</w:t>
      </w:r>
      <w:r>
        <w:t xml:space="preserve"> (artikel 4.6)</w:t>
      </w:r>
      <w:r w:rsidRPr="006B4A33">
        <w:t xml:space="preserve"> waarmee </w:t>
      </w:r>
      <w:r>
        <w:t>bestuursorganen</w:t>
      </w:r>
      <w:r w:rsidRPr="006B4A33">
        <w:t xml:space="preserve"> een middel hebben om </w:t>
      </w:r>
      <w:proofErr w:type="spellStart"/>
      <w:r w:rsidRPr="006B4A33">
        <w:t>Woo</w:t>
      </w:r>
      <w:proofErr w:type="spellEnd"/>
      <w:r w:rsidRPr="006B4A33">
        <w:t>-verzoeken die een ander doel hebben dan het verkrijgen van informatie</w:t>
      </w:r>
      <w:r>
        <w:t xml:space="preserve"> niet in behandeling te nemen</w:t>
      </w:r>
      <w:r w:rsidRPr="006B4A33">
        <w:t>. </w:t>
      </w:r>
      <w:r>
        <w:t xml:space="preserve">Hier heeft de gemeente Utrecht in deze casus ook een beroep op gedaan. </w:t>
      </w:r>
    </w:p>
    <w:p w:rsidR="00D71086" w:rsidP="00D71086" w:rsidRDefault="00D71086" w14:paraId="2B5031BF" w14:textId="77777777"/>
    <w:p w:rsidR="00D71086" w:rsidP="00D71086" w:rsidRDefault="00D71086" w14:paraId="3E91416E" w14:textId="77777777">
      <w:r>
        <w:t xml:space="preserve">Of de antimisbruikbepaling wordt ingezet, is een afweging die het bestuursorgaan zelf moet maken op basis van de relevante feiten en omstandigheden van de betreffende casus. Er is dus geen standaardformule die altijd kan worden toegepast als er een vermoeden van een oneigenlijk of misbruikverzoek is. Zoals hiervoor al benoemd, is vanuit mijn ministerie - in samenwerking met een </w:t>
      </w:r>
      <w:proofErr w:type="spellStart"/>
      <w:r>
        <w:t>overheidsbrede</w:t>
      </w:r>
      <w:proofErr w:type="spellEnd"/>
      <w:r>
        <w:t xml:space="preserve"> werkgroep - een handreiking opgesteld met handvatten voor de toepassing van de </w:t>
      </w:r>
      <w:r>
        <w:lastRenderedPageBreak/>
        <w:t xml:space="preserve">antimisbruikbepaling. Zo kan met behulp van indicatoren uit de wet, jurisprudentie en de praktijk worden bepaald of in een casus toepassing van de antimisbruikbepaling passend is. </w:t>
      </w:r>
    </w:p>
    <w:p w:rsidR="00D71086" w:rsidP="00D71086" w:rsidRDefault="00D71086" w14:paraId="6587F904" w14:textId="77777777"/>
    <w:p w:rsidR="00D71086" w:rsidP="00D71086" w:rsidRDefault="00D71086" w14:paraId="2C690969" w14:textId="77777777">
      <w:r>
        <w:t xml:space="preserve">De handreiking is net gepubliceerd en moet zijn effect in de praktijk dus nog krijgen. Uiteraard herzien we zo nodig de handreiking op basis van signalen uit de praktijk en nieuwe jurisprudentie. Eventuele aanvullingen van het instrumentarium kunnen volgen naar aanleiding van de wetsevaluatie van de </w:t>
      </w:r>
      <w:proofErr w:type="spellStart"/>
      <w:r>
        <w:t>Woo</w:t>
      </w:r>
      <w:proofErr w:type="spellEnd"/>
      <w:r>
        <w:t xml:space="preserve">. </w:t>
      </w:r>
    </w:p>
    <w:p w:rsidR="00D71086" w:rsidP="00D71086" w:rsidRDefault="00D71086" w14:paraId="549ADDC1" w14:textId="77777777"/>
    <w:p w:rsidRPr="003A02B2" w:rsidR="00D71086" w:rsidP="00D71086" w:rsidRDefault="00D71086" w14:paraId="543A226F" w14:textId="77777777">
      <w:pPr>
        <w:pStyle w:val="Geenafstand"/>
        <w:rPr>
          <w:rFonts w:ascii="Verdana" w:hAnsi="Verdana"/>
          <w:b/>
          <w:bCs/>
          <w:sz w:val="18"/>
          <w:szCs w:val="18"/>
        </w:rPr>
      </w:pPr>
      <w:r>
        <w:rPr>
          <w:rFonts w:ascii="Verdana" w:hAnsi="Verdana"/>
          <w:b/>
          <w:bCs/>
          <w:sz w:val="18"/>
          <w:szCs w:val="18"/>
        </w:rPr>
        <w:t>Vraag 7</w:t>
      </w:r>
    </w:p>
    <w:p w:rsidR="00D71086" w:rsidP="00D71086" w:rsidRDefault="00D71086" w14:paraId="5547D6B0" w14:textId="77777777">
      <w:pPr>
        <w:pStyle w:val="Geenafstand"/>
        <w:rPr>
          <w:rFonts w:ascii="Verdana" w:hAnsi="Verdana"/>
          <w:sz w:val="18"/>
          <w:szCs w:val="18"/>
        </w:rPr>
      </w:pPr>
      <w:r w:rsidRPr="0035396D">
        <w:rPr>
          <w:rFonts w:ascii="Verdana" w:hAnsi="Verdana"/>
          <w:sz w:val="18"/>
          <w:szCs w:val="18"/>
        </w:rPr>
        <w:t>In hoeverre deelt u de opvatting dat er een betere balans nodig is tussen enerzijds het recht op</w:t>
      </w:r>
      <w:r>
        <w:rPr>
          <w:rFonts w:ascii="Verdana" w:hAnsi="Verdana"/>
          <w:sz w:val="18"/>
          <w:szCs w:val="18"/>
        </w:rPr>
        <w:t xml:space="preserve"> </w:t>
      </w:r>
      <w:r w:rsidRPr="0035396D">
        <w:rPr>
          <w:rFonts w:ascii="Verdana" w:hAnsi="Verdana"/>
          <w:sz w:val="18"/>
          <w:szCs w:val="18"/>
        </w:rPr>
        <w:t>openbaarheid en anderzijds bescherming van bestuursorganen tegen seriematig of evident</w:t>
      </w:r>
      <w:r>
        <w:rPr>
          <w:rFonts w:ascii="Verdana" w:hAnsi="Verdana"/>
          <w:sz w:val="18"/>
          <w:szCs w:val="18"/>
        </w:rPr>
        <w:t xml:space="preserve"> </w:t>
      </w:r>
      <w:r w:rsidRPr="0035396D">
        <w:rPr>
          <w:rFonts w:ascii="Verdana" w:hAnsi="Verdana"/>
          <w:sz w:val="18"/>
          <w:szCs w:val="18"/>
        </w:rPr>
        <w:t xml:space="preserve">oneigenlijk gebruik van de </w:t>
      </w:r>
      <w:proofErr w:type="spellStart"/>
      <w:r w:rsidRPr="0035396D">
        <w:rPr>
          <w:rFonts w:ascii="Verdana" w:hAnsi="Verdana"/>
          <w:sz w:val="18"/>
          <w:szCs w:val="18"/>
        </w:rPr>
        <w:t>Woo</w:t>
      </w:r>
      <w:proofErr w:type="spellEnd"/>
      <w:r w:rsidRPr="0035396D">
        <w:rPr>
          <w:rFonts w:ascii="Verdana" w:hAnsi="Verdana"/>
          <w:sz w:val="18"/>
          <w:szCs w:val="18"/>
        </w:rPr>
        <w:t>?</w:t>
      </w:r>
    </w:p>
    <w:p w:rsidR="00D71086" w:rsidP="00D71086" w:rsidRDefault="00D71086" w14:paraId="4003FA06" w14:textId="77777777">
      <w:pPr>
        <w:pStyle w:val="Geenafstand"/>
        <w:rPr>
          <w:rFonts w:ascii="Verdana" w:hAnsi="Verdana"/>
          <w:sz w:val="18"/>
          <w:szCs w:val="18"/>
        </w:rPr>
      </w:pPr>
    </w:p>
    <w:p w:rsidR="00D71086" w:rsidP="00D71086" w:rsidRDefault="00D71086" w14:paraId="739B9B15"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33996BD7" w14:textId="77777777">
      <w:pPr>
        <w:pStyle w:val="Geenafstand"/>
        <w:rPr>
          <w:rFonts w:ascii="Verdana" w:hAnsi="Verdana"/>
          <w:sz w:val="18"/>
          <w:szCs w:val="18"/>
        </w:rPr>
      </w:pPr>
      <w:r w:rsidRPr="4536D58A">
        <w:rPr>
          <w:rFonts w:ascii="Verdana" w:hAnsi="Verdana"/>
          <w:sz w:val="18"/>
          <w:szCs w:val="18"/>
        </w:rPr>
        <w:t xml:space="preserve">Een goed werkend openbaarheidsstelsel is van groot belang. Binnen dit stelsel moeten zowel het recht op overheidsinformatie als mogelijkheden voor bestuursorganen om met misbruik van dit recht om te gaan, geborgd zijn. Het is daarom belangrijk om hier </w:t>
      </w:r>
      <w:r>
        <w:rPr>
          <w:rFonts w:ascii="Verdana" w:hAnsi="Verdana"/>
          <w:sz w:val="18"/>
          <w:szCs w:val="18"/>
        </w:rPr>
        <w:t xml:space="preserve">ook </w:t>
      </w:r>
      <w:r w:rsidRPr="4536D58A">
        <w:rPr>
          <w:rFonts w:ascii="Verdana" w:hAnsi="Verdana"/>
          <w:sz w:val="18"/>
          <w:szCs w:val="18"/>
        </w:rPr>
        <w:t xml:space="preserve">in het onderzoek van de wetsevaluatie grondig en objectief naar te laten kijken.  </w:t>
      </w:r>
    </w:p>
    <w:p w:rsidR="00D71086" w:rsidP="00D71086" w:rsidRDefault="00D71086" w14:paraId="1FCAF0A6" w14:textId="77777777">
      <w:pPr>
        <w:pStyle w:val="Geenafstand"/>
        <w:rPr>
          <w:rFonts w:ascii="Verdana" w:hAnsi="Verdana"/>
          <w:sz w:val="18"/>
          <w:szCs w:val="18"/>
        </w:rPr>
      </w:pPr>
    </w:p>
    <w:p w:rsidRPr="003A02B2" w:rsidR="00D71086" w:rsidP="00D71086" w:rsidRDefault="00D71086" w14:paraId="477EC61A" w14:textId="77777777">
      <w:pPr>
        <w:pStyle w:val="Geenafstand"/>
        <w:rPr>
          <w:rFonts w:ascii="Verdana" w:hAnsi="Verdana"/>
          <w:b/>
          <w:bCs/>
          <w:sz w:val="18"/>
          <w:szCs w:val="18"/>
        </w:rPr>
      </w:pPr>
      <w:r>
        <w:rPr>
          <w:rFonts w:ascii="Verdana" w:hAnsi="Verdana"/>
          <w:b/>
          <w:bCs/>
          <w:sz w:val="18"/>
          <w:szCs w:val="18"/>
        </w:rPr>
        <w:t>Vraag 8</w:t>
      </w:r>
    </w:p>
    <w:p w:rsidR="00D71086" w:rsidP="00D71086" w:rsidRDefault="00D71086" w14:paraId="6582BD51" w14:textId="77777777">
      <w:pPr>
        <w:pStyle w:val="Geenafstand"/>
        <w:rPr>
          <w:rFonts w:ascii="Verdana" w:hAnsi="Verdana"/>
          <w:sz w:val="18"/>
          <w:szCs w:val="18"/>
        </w:rPr>
      </w:pPr>
      <w:r w:rsidRPr="0035396D">
        <w:rPr>
          <w:rFonts w:ascii="Verdana" w:hAnsi="Verdana"/>
          <w:sz w:val="18"/>
          <w:szCs w:val="18"/>
        </w:rPr>
        <w:t>Bent u bereid te onderzoeken of aanvullende waarborgen nodig zijn tegen massale, herhaalde of</w:t>
      </w:r>
      <w:r>
        <w:rPr>
          <w:rFonts w:ascii="Verdana" w:hAnsi="Verdana"/>
          <w:sz w:val="18"/>
          <w:szCs w:val="18"/>
        </w:rPr>
        <w:t xml:space="preserve"> </w:t>
      </w:r>
      <w:r w:rsidRPr="0035396D">
        <w:rPr>
          <w:rFonts w:ascii="Verdana" w:hAnsi="Verdana"/>
          <w:sz w:val="18"/>
          <w:szCs w:val="18"/>
        </w:rPr>
        <w:t xml:space="preserve">geautomatiseerd ingediende </w:t>
      </w:r>
      <w:proofErr w:type="spellStart"/>
      <w:r w:rsidRPr="0035396D">
        <w:rPr>
          <w:rFonts w:ascii="Verdana" w:hAnsi="Verdana"/>
          <w:sz w:val="18"/>
          <w:szCs w:val="18"/>
        </w:rPr>
        <w:t>Woo</w:t>
      </w:r>
      <w:proofErr w:type="spellEnd"/>
      <w:r w:rsidRPr="0035396D">
        <w:rPr>
          <w:rFonts w:ascii="Verdana" w:hAnsi="Verdana"/>
          <w:sz w:val="18"/>
          <w:szCs w:val="18"/>
        </w:rPr>
        <w:t>-verzoeken, bijvoorbeeld door bundeling van identieke verzoeken,</w:t>
      </w:r>
      <w:r>
        <w:rPr>
          <w:rFonts w:ascii="Verdana" w:hAnsi="Verdana"/>
          <w:sz w:val="18"/>
          <w:szCs w:val="18"/>
        </w:rPr>
        <w:t xml:space="preserve"> </w:t>
      </w:r>
      <w:r w:rsidRPr="0035396D">
        <w:rPr>
          <w:rFonts w:ascii="Verdana" w:hAnsi="Verdana"/>
          <w:sz w:val="18"/>
          <w:szCs w:val="18"/>
        </w:rPr>
        <w:t>een steviger misbruiktoets of andere procedurele drempels voor evident oneigenlijk gebruik?</w:t>
      </w:r>
    </w:p>
    <w:p w:rsidR="00D71086" w:rsidP="00D71086" w:rsidRDefault="00D71086" w14:paraId="63A5BF84" w14:textId="77777777">
      <w:pPr>
        <w:pStyle w:val="Geenafstand"/>
        <w:rPr>
          <w:rFonts w:ascii="Verdana" w:hAnsi="Verdana"/>
          <w:sz w:val="18"/>
          <w:szCs w:val="18"/>
        </w:rPr>
      </w:pPr>
    </w:p>
    <w:p w:rsidRPr="003A02B2" w:rsidR="00D71086" w:rsidP="00D71086" w:rsidRDefault="00D71086" w14:paraId="68B104CA" w14:textId="77777777">
      <w:pPr>
        <w:pStyle w:val="Geenafstand"/>
        <w:rPr>
          <w:rFonts w:ascii="Verdana" w:hAnsi="Verdana"/>
          <w:b/>
          <w:bCs/>
          <w:sz w:val="18"/>
          <w:szCs w:val="18"/>
        </w:rPr>
      </w:pPr>
      <w:r>
        <w:rPr>
          <w:rFonts w:ascii="Verdana" w:hAnsi="Verdana"/>
          <w:b/>
          <w:bCs/>
          <w:sz w:val="18"/>
          <w:szCs w:val="18"/>
        </w:rPr>
        <w:t>Vraag 9</w:t>
      </w:r>
    </w:p>
    <w:p w:rsidR="00D71086" w:rsidP="00D71086" w:rsidRDefault="00D71086" w14:paraId="6A11B16A" w14:textId="77777777">
      <w:pPr>
        <w:pStyle w:val="Geenafstand"/>
        <w:rPr>
          <w:rFonts w:ascii="Verdana" w:hAnsi="Verdana"/>
          <w:sz w:val="18"/>
          <w:szCs w:val="18"/>
        </w:rPr>
      </w:pPr>
      <w:r w:rsidRPr="0035396D">
        <w:rPr>
          <w:rFonts w:ascii="Verdana" w:hAnsi="Verdana"/>
          <w:sz w:val="18"/>
          <w:szCs w:val="18"/>
        </w:rPr>
        <w:t>In hoeverre worden de uitvoeringsproblemen die samenhangen met dit soort bulkverzoeken</w:t>
      </w:r>
      <w:r>
        <w:rPr>
          <w:rFonts w:ascii="Verdana" w:hAnsi="Verdana"/>
          <w:sz w:val="18"/>
          <w:szCs w:val="18"/>
        </w:rPr>
        <w:t xml:space="preserve"> </w:t>
      </w:r>
      <w:r w:rsidRPr="0035396D">
        <w:rPr>
          <w:rFonts w:ascii="Verdana" w:hAnsi="Verdana"/>
          <w:sz w:val="18"/>
          <w:szCs w:val="18"/>
        </w:rPr>
        <w:t xml:space="preserve">meegenomen in de lopende evaluatie, monitoring en verbetermaatregelen rond de </w:t>
      </w:r>
      <w:proofErr w:type="spellStart"/>
      <w:r w:rsidRPr="0035396D">
        <w:rPr>
          <w:rFonts w:ascii="Verdana" w:hAnsi="Verdana"/>
          <w:sz w:val="18"/>
          <w:szCs w:val="18"/>
        </w:rPr>
        <w:t>Woo</w:t>
      </w:r>
      <w:proofErr w:type="spellEnd"/>
      <w:r w:rsidRPr="0035396D">
        <w:rPr>
          <w:rFonts w:ascii="Verdana" w:hAnsi="Verdana"/>
          <w:sz w:val="18"/>
          <w:szCs w:val="18"/>
        </w:rPr>
        <w:t>, en hoe</w:t>
      </w:r>
      <w:r>
        <w:rPr>
          <w:rFonts w:ascii="Verdana" w:hAnsi="Verdana"/>
          <w:sz w:val="18"/>
          <w:szCs w:val="18"/>
        </w:rPr>
        <w:t xml:space="preserve"> </w:t>
      </w:r>
      <w:r w:rsidRPr="0035396D">
        <w:rPr>
          <w:rFonts w:ascii="Verdana" w:hAnsi="Verdana"/>
          <w:sz w:val="18"/>
          <w:szCs w:val="18"/>
        </w:rPr>
        <w:t xml:space="preserve">voorkomt u dat misbruik door enkelen het maatschappelijk en bestuurlijk draagvlak voor de </w:t>
      </w:r>
      <w:proofErr w:type="spellStart"/>
      <w:r w:rsidRPr="0035396D">
        <w:rPr>
          <w:rFonts w:ascii="Verdana" w:hAnsi="Verdana"/>
          <w:sz w:val="18"/>
          <w:szCs w:val="18"/>
        </w:rPr>
        <w:t>Woo</w:t>
      </w:r>
      <w:proofErr w:type="spellEnd"/>
      <w:r>
        <w:rPr>
          <w:rFonts w:ascii="Verdana" w:hAnsi="Verdana"/>
          <w:sz w:val="18"/>
          <w:szCs w:val="18"/>
        </w:rPr>
        <w:t xml:space="preserve"> </w:t>
      </w:r>
      <w:r w:rsidRPr="0035396D">
        <w:rPr>
          <w:rFonts w:ascii="Verdana" w:hAnsi="Verdana"/>
          <w:sz w:val="18"/>
          <w:szCs w:val="18"/>
        </w:rPr>
        <w:t>verder ondermijnt?</w:t>
      </w:r>
    </w:p>
    <w:p w:rsidR="00D71086" w:rsidP="00D71086" w:rsidRDefault="00D71086" w14:paraId="43D02F43" w14:textId="77777777">
      <w:pPr>
        <w:pStyle w:val="Geenafstand"/>
        <w:rPr>
          <w:rFonts w:ascii="Verdana" w:hAnsi="Verdana"/>
          <w:sz w:val="18"/>
          <w:szCs w:val="18"/>
        </w:rPr>
      </w:pPr>
    </w:p>
    <w:p w:rsidRPr="003A02B2" w:rsidR="00D71086" w:rsidP="00D71086" w:rsidRDefault="00D71086" w14:paraId="24B1EB91" w14:textId="77777777">
      <w:pPr>
        <w:pStyle w:val="Geenafstand"/>
        <w:rPr>
          <w:rFonts w:ascii="Verdana" w:hAnsi="Verdana"/>
          <w:b/>
          <w:bCs/>
          <w:sz w:val="18"/>
          <w:szCs w:val="18"/>
        </w:rPr>
      </w:pPr>
      <w:r>
        <w:rPr>
          <w:rFonts w:ascii="Verdana" w:hAnsi="Verdana"/>
          <w:b/>
          <w:bCs/>
          <w:sz w:val="18"/>
          <w:szCs w:val="18"/>
        </w:rPr>
        <w:t>Vraag 10</w:t>
      </w:r>
    </w:p>
    <w:p w:rsidR="00D71086" w:rsidP="00D71086" w:rsidRDefault="00D71086" w14:paraId="58A6E56D" w14:textId="77777777">
      <w:pPr>
        <w:pStyle w:val="Geenafstand"/>
        <w:rPr>
          <w:rFonts w:ascii="Verdana" w:hAnsi="Verdana"/>
          <w:sz w:val="18"/>
          <w:szCs w:val="18"/>
        </w:rPr>
      </w:pPr>
      <w:r w:rsidRPr="0035396D">
        <w:rPr>
          <w:rFonts w:ascii="Verdana" w:hAnsi="Verdana"/>
          <w:sz w:val="18"/>
          <w:szCs w:val="18"/>
        </w:rPr>
        <w:t>Bent u bereid om samen met gemeenten te bezien welke praktische maatregelen op korte termijn</w:t>
      </w:r>
      <w:r>
        <w:rPr>
          <w:rFonts w:ascii="Verdana" w:hAnsi="Verdana"/>
          <w:sz w:val="18"/>
          <w:szCs w:val="18"/>
        </w:rPr>
        <w:t xml:space="preserve"> </w:t>
      </w:r>
      <w:r w:rsidRPr="0035396D">
        <w:rPr>
          <w:rFonts w:ascii="Verdana" w:hAnsi="Verdana"/>
          <w:sz w:val="18"/>
          <w:szCs w:val="18"/>
        </w:rPr>
        <w:t xml:space="preserve">mogelijk zijn om de afhandeling van grootschalige en kennelijk oneigenlijke </w:t>
      </w:r>
      <w:proofErr w:type="spellStart"/>
      <w:r w:rsidRPr="0035396D">
        <w:rPr>
          <w:rFonts w:ascii="Verdana" w:hAnsi="Verdana"/>
          <w:sz w:val="18"/>
          <w:szCs w:val="18"/>
        </w:rPr>
        <w:t>Woo</w:t>
      </w:r>
      <w:proofErr w:type="spellEnd"/>
      <w:r w:rsidRPr="0035396D">
        <w:rPr>
          <w:rFonts w:ascii="Verdana" w:hAnsi="Verdana"/>
          <w:sz w:val="18"/>
          <w:szCs w:val="18"/>
        </w:rPr>
        <w:t>-verzoeken beter te</w:t>
      </w:r>
      <w:r>
        <w:rPr>
          <w:rFonts w:ascii="Verdana" w:hAnsi="Verdana"/>
          <w:sz w:val="18"/>
          <w:szCs w:val="18"/>
        </w:rPr>
        <w:t xml:space="preserve"> </w:t>
      </w:r>
      <w:r w:rsidRPr="0035396D">
        <w:rPr>
          <w:rFonts w:ascii="Verdana" w:hAnsi="Verdana"/>
          <w:sz w:val="18"/>
          <w:szCs w:val="18"/>
        </w:rPr>
        <w:t>organiseren?</w:t>
      </w:r>
    </w:p>
    <w:p w:rsidR="00D71086" w:rsidP="00D71086" w:rsidRDefault="00D71086" w14:paraId="15BC78F1" w14:textId="77777777">
      <w:pPr>
        <w:pStyle w:val="Geenafstand"/>
        <w:rPr>
          <w:rFonts w:ascii="Verdana" w:hAnsi="Verdana"/>
          <w:sz w:val="18"/>
          <w:szCs w:val="18"/>
        </w:rPr>
      </w:pPr>
    </w:p>
    <w:p w:rsidR="00D71086" w:rsidP="00D71086" w:rsidRDefault="00D71086" w14:paraId="7A787011" w14:textId="77777777">
      <w:pPr>
        <w:pStyle w:val="Geenafstand"/>
        <w:rPr>
          <w:rFonts w:ascii="Verdana" w:hAnsi="Verdana"/>
          <w:b/>
          <w:bCs/>
          <w:sz w:val="18"/>
          <w:szCs w:val="18"/>
        </w:rPr>
      </w:pPr>
      <w:r>
        <w:rPr>
          <w:rFonts w:ascii="Verdana" w:hAnsi="Verdana"/>
          <w:b/>
          <w:bCs/>
          <w:sz w:val="18"/>
          <w:szCs w:val="18"/>
        </w:rPr>
        <w:t xml:space="preserve">Antwoord op vraag 8, 9 en 10 </w:t>
      </w:r>
    </w:p>
    <w:p w:rsidR="00D71086" w:rsidP="00D71086" w:rsidRDefault="00D71086" w14:paraId="7970370E" w14:textId="77777777">
      <w:pPr>
        <w:pStyle w:val="Geenafstand"/>
        <w:rPr>
          <w:rFonts w:ascii="Verdana" w:hAnsi="Verdana"/>
          <w:sz w:val="18"/>
          <w:szCs w:val="18"/>
        </w:rPr>
      </w:pPr>
      <w:r>
        <w:rPr>
          <w:rFonts w:ascii="Verdana" w:hAnsi="Verdana"/>
          <w:sz w:val="18"/>
          <w:szCs w:val="18"/>
        </w:rPr>
        <w:t xml:space="preserve">Tijdens de wetsevaluatie van de </w:t>
      </w:r>
      <w:proofErr w:type="spellStart"/>
      <w:r>
        <w:rPr>
          <w:rFonts w:ascii="Verdana" w:hAnsi="Verdana"/>
          <w:sz w:val="18"/>
          <w:szCs w:val="18"/>
        </w:rPr>
        <w:t>Woo</w:t>
      </w:r>
      <w:proofErr w:type="spellEnd"/>
      <w:r>
        <w:rPr>
          <w:rFonts w:ascii="Verdana" w:hAnsi="Verdana"/>
          <w:sz w:val="18"/>
          <w:szCs w:val="18"/>
        </w:rPr>
        <w:t xml:space="preserve"> worden de doeltreffendheid en de effecten van de wet in de praktijk onderzocht. Hieronder vallen dus ook de doeltreffendheid van de antimisbruikbepaling en misbruik van de </w:t>
      </w:r>
      <w:proofErr w:type="spellStart"/>
      <w:r>
        <w:rPr>
          <w:rFonts w:ascii="Verdana" w:hAnsi="Verdana"/>
          <w:sz w:val="18"/>
          <w:szCs w:val="18"/>
        </w:rPr>
        <w:t>Woo</w:t>
      </w:r>
      <w:proofErr w:type="spellEnd"/>
      <w:r>
        <w:rPr>
          <w:rFonts w:ascii="Verdana" w:hAnsi="Verdana"/>
          <w:sz w:val="18"/>
          <w:szCs w:val="18"/>
        </w:rPr>
        <w:t xml:space="preserve"> in de praktijk. De onderzoekers zal worden gevraagd om aanbevelingen te doen voor verbetering van de uitvoering en uitvoerbaarheid van de wet. </w:t>
      </w:r>
    </w:p>
    <w:p w:rsidR="00D71086" w:rsidP="00D71086" w:rsidRDefault="00D71086" w14:paraId="60FD1017" w14:textId="77777777">
      <w:pPr>
        <w:pStyle w:val="Geenafstand"/>
        <w:rPr>
          <w:rFonts w:ascii="Verdana" w:hAnsi="Verdana"/>
          <w:sz w:val="18"/>
          <w:szCs w:val="18"/>
        </w:rPr>
      </w:pPr>
    </w:p>
    <w:p w:rsidR="00D71086" w:rsidP="00D71086" w:rsidRDefault="00D71086" w14:paraId="675F33DF" w14:textId="77777777">
      <w:pPr>
        <w:pStyle w:val="Geenafstand"/>
        <w:rPr>
          <w:rFonts w:ascii="Verdana" w:hAnsi="Verdana"/>
          <w:b/>
          <w:bCs/>
          <w:sz w:val="18"/>
          <w:szCs w:val="18"/>
        </w:rPr>
      </w:pPr>
      <w:r>
        <w:rPr>
          <w:rFonts w:ascii="Verdana" w:hAnsi="Verdana"/>
          <w:sz w:val="18"/>
          <w:szCs w:val="18"/>
        </w:rPr>
        <w:t xml:space="preserve">In tussentijd zetten we al stappen om tot een betere uitvoering en uitvoerbaarheid van de </w:t>
      </w:r>
      <w:proofErr w:type="spellStart"/>
      <w:r>
        <w:rPr>
          <w:rFonts w:ascii="Verdana" w:hAnsi="Verdana"/>
          <w:sz w:val="18"/>
          <w:szCs w:val="18"/>
        </w:rPr>
        <w:t>Woo</w:t>
      </w:r>
      <w:proofErr w:type="spellEnd"/>
      <w:r>
        <w:rPr>
          <w:rFonts w:ascii="Verdana" w:hAnsi="Verdana"/>
          <w:sz w:val="18"/>
          <w:szCs w:val="18"/>
        </w:rPr>
        <w:t xml:space="preserve"> te komen. Zo hebben we zeer recent een </w:t>
      </w:r>
      <w:r w:rsidRPr="00771E2A">
        <w:rPr>
          <w:rFonts w:ascii="Verdana" w:hAnsi="Verdana"/>
          <w:sz w:val="18"/>
          <w:szCs w:val="18"/>
        </w:rPr>
        <w:t xml:space="preserve">handreiking gepubliceerd die bestuursorganen </w:t>
      </w:r>
      <w:r>
        <w:rPr>
          <w:rFonts w:ascii="Verdana" w:hAnsi="Verdana"/>
          <w:sz w:val="18"/>
          <w:szCs w:val="18"/>
        </w:rPr>
        <w:t xml:space="preserve">helpt bij het omgaan met misbruik van de </w:t>
      </w:r>
      <w:proofErr w:type="spellStart"/>
      <w:r w:rsidRPr="001455C3">
        <w:rPr>
          <w:rFonts w:ascii="Verdana" w:hAnsi="Verdana"/>
          <w:sz w:val="18"/>
          <w:szCs w:val="18"/>
        </w:rPr>
        <w:t>Woo</w:t>
      </w:r>
      <w:proofErr w:type="spellEnd"/>
      <w:r w:rsidRPr="001455C3">
        <w:rPr>
          <w:rFonts w:ascii="Verdana" w:hAnsi="Verdana"/>
          <w:sz w:val="18"/>
          <w:szCs w:val="18"/>
        </w:rPr>
        <w:t>.</w:t>
      </w:r>
      <w:r>
        <w:rPr>
          <w:rStyle w:val="Voetnootmarkering"/>
          <w:rFonts w:ascii="Verdana" w:hAnsi="Verdana"/>
          <w:sz w:val="18"/>
          <w:szCs w:val="18"/>
        </w:rPr>
        <w:footnoteReference w:id="5"/>
      </w:r>
      <w:r>
        <w:rPr>
          <w:rFonts w:ascii="Verdana" w:hAnsi="Verdana"/>
          <w:sz w:val="18"/>
          <w:szCs w:val="18"/>
        </w:rPr>
        <w:t xml:space="preserve"> Aan de handreiking hebben ook verschillende gemeenten meegewerkt. Ook is er een openbare internetconsultatie gedaan waarin iedereen op de concepthandreiking </w:t>
      </w:r>
      <w:r>
        <w:rPr>
          <w:rFonts w:ascii="Verdana" w:hAnsi="Verdana"/>
          <w:sz w:val="18"/>
          <w:szCs w:val="18"/>
        </w:rPr>
        <w:lastRenderedPageBreak/>
        <w:t xml:space="preserve">kon reageren. Vanuit de praktijk bleek vooral behoefte aan een handreiking met praktische handvatten voor de toepassing van de antimisbruikbepaling. De handreiking is dan ook een praktisch product geworden dat helpt om misbruik van de </w:t>
      </w:r>
      <w:proofErr w:type="spellStart"/>
      <w:r>
        <w:rPr>
          <w:rFonts w:ascii="Verdana" w:hAnsi="Verdana"/>
          <w:sz w:val="18"/>
          <w:szCs w:val="18"/>
        </w:rPr>
        <w:t>Woo</w:t>
      </w:r>
      <w:proofErr w:type="spellEnd"/>
      <w:r>
        <w:rPr>
          <w:rFonts w:ascii="Verdana" w:hAnsi="Verdana"/>
          <w:sz w:val="18"/>
          <w:szCs w:val="18"/>
        </w:rPr>
        <w:t xml:space="preserve"> te herkennen en te bestrijden.</w:t>
      </w:r>
    </w:p>
    <w:p w:rsidR="00D71086" w:rsidP="00D71086" w:rsidRDefault="00D71086" w14:paraId="4A55D2F8" w14:textId="77777777">
      <w:pPr>
        <w:pStyle w:val="Geenafstand"/>
        <w:rPr>
          <w:rFonts w:ascii="Verdana" w:hAnsi="Verdana"/>
          <w:sz w:val="18"/>
          <w:szCs w:val="18"/>
        </w:rPr>
      </w:pPr>
    </w:p>
    <w:p w:rsidRPr="003A02B2" w:rsidR="00D71086" w:rsidP="00D71086" w:rsidRDefault="00D71086" w14:paraId="598B4F94" w14:textId="77777777">
      <w:pPr>
        <w:pStyle w:val="Geenafstand"/>
        <w:rPr>
          <w:rFonts w:ascii="Verdana" w:hAnsi="Verdana"/>
          <w:b/>
          <w:bCs/>
          <w:sz w:val="18"/>
          <w:szCs w:val="18"/>
        </w:rPr>
      </w:pPr>
      <w:r>
        <w:rPr>
          <w:rFonts w:ascii="Verdana" w:hAnsi="Verdana"/>
          <w:b/>
          <w:bCs/>
          <w:sz w:val="18"/>
          <w:szCs w:val="18"/>
        </w:rPr>
        <w:t>Vraag 11</w:t>
      </w:r>
    </w:p>
    <w:p w:rsidR="00D71086" w:rsidP="00D71086" w:rsidRDefault="00D71086" w14:paraId="5078D8A6" w14:textId="77777777">
      <w:pPr>
        <w:pStyle w:val="Geenafstand"/>
        <w:rPr>
          <w:rFonts w:ascii="Verdana" w:hAnsi="Verdana"/>
          <w:sz w:val="18"/>
          <w:szCs w:val="18"/>
        </w:rPr>
      </w:pPr>
      <w:r w:rsidRPr="0035396D">
        <w:rPr>
          <w:rFonts w:ascii="Verdana" w:hAnsi="Verdana"/>
          <w:sz w:val="18"/>
          <w:szCs w:val="18"/>
        </w:rPr>
        <w:t>Bent u tevens bereid om, gelet op de bijzondere positie van een rechterlijke ambtsdrager in deze</w:t>
      </w:r>
      <w:r>
        <w:rPr>
          <w:rFonts w:ascii="Verdana" w:hAnsi="Verdana"/>
          <w:sz w:val="18"/>
          <w:szCs w:val="18"/>
        </w:rPr>
        <w:t xml:space="preserve"> </w:t>
      </w:r>
      <w:r w:rsidRPr="0035396D">
        <w:rPr>
          <w:rFonts w:ascii="Verdana" w:hAnsi="Verdana"/>
          <w:sz w:val="18"/>
          <w:szCs w:val="18"/>
        </w:rPr>
        <w:t>kwestie, hierover in overleg te treden met de Raad voor de rechtspraak en de Kamer voor het</w:t>
      </w:r>
      <w:r>
        <w:rPr>
          <w:rFonts w:ascii="Verdana" w:hAnsi="Verdana"/>
          <w:sz w:val="18"/>
          <w:szCs w:val="18"/>
        </w:rPr>
        <w:t xml:space="preserve"> </w:t>
      </w:r>
      <w:r w:rsidRPr="0035396D">
        <w:rPr>
          <w:rFonts w:ascii="Verdana" w:hAnsi="Verdana"/>
          <w:sz w:val="18"/>
          <w:szCs w:val="18"/>
        </w:rPr>
        <w:t>commissiedebat Wet open overheid te informeren welke concrete opties u ziet om misbruik van de</w:t>
      </w:r>
      <w:r>
        <w:rPr>
          <w:rFonts w:ascii="Verdana" w:hAnsi="Verdana"/>
          <w:sz w:val="18"/>
          <w:szCs w:val="18"/>
        </w:rPr>
        <w:t xml:space="preserve"> </w:t>
      </w:r>
      <w:proofErr w:type="spellStart"/>
      <w:r w:rsidRPr="0035396D">
        <w:rPr>
          <w:rFonts w:ascii="Verdana" w:hAnsi="Verdana"/>
          <w:sz w:val="18"/>
          <w:szCs w:val="18"/>
        </w:rPr>
        <w:t>Woo</w:t>
      </w:r>
      <w:proofErr w:type="spellEnd"/>
      <w:r w:rsidRPr="0035396D">
        <w:rPr>
          <w:rFonts w:ascii="Verdana" w:hAnsi="Verdana"/>
          <w:sz w:val="18"/>
          <w:szCs w:val="18"/>
        </w:rPr>
        <w:t xml:space="preserve"> tegen te gaan, zonder het fundamentele recht op openbaarheid voor normale verzoekers onnodig</w:t>
      </w:r>
      <w:r>
        <w:rPr>
          <w:rFonts w:ascii="Verdana" w:hAnsi="Verdana"/>
          <w:sz w:val="18"/>
          <w:szCs w:val="18"/>
        </w:rPr>
        <w:t xml:space="preserve"> </w:t>
      </w:r>
      <w:r w:rsidRPr="0035396D">
        <w:rPr>
          <w:rFonts w:ascii="Verdana" w:hAnsi="Verdana"/>
          <w:sz w:val="18"/>
          <w:szCs w:val="18"/>
        </w:rPr>
        <w:t>te beperken?</w:t>
      </w:r>
    </w:p>
    <w:p w:rsidR="00D71086" w:rsidP="00D71086" w:rsidRDefault="00D71086" w14:paraId="471C4A1F" w14:textId="77777777">
      <w:pPr>
        <w:pStyle w:val="Geenafstand"/>
        <w:rPr>
          <w:rFonts w:ascii="Verdana" w:hAnsi="Verdana"/>
          <w:sz w:val="18"/>
          <w:szCs w:val="18"/>
        </w:rPr>
      </w:pPr>
    </w:p>
    <w:p w:rsidR="00D71086" w:rsidP="00D71086" w:rsidRDefault="00D71086" w14:paraId="23545DBB" w14:textId="77777777">
      <w:pPr>
        <w:pStyle w:val="Geenafstand"/>
        <w:rPr>
          <w:rFonts w:ascii="Verdana" w:hAnsi="Verdana"/>
          <w:b/>
          <w:bCs/>
          <w:sz w:val="18"/>
          <w:szCs w:val="18"/>
        </w:rPr>
      </w:pPr>
      <w:r>
        <w:rPr>
          <w:rFonts w:ascii="Verdana" w:hAnsi="Verdana"/>
          <w:b/>
          <w:bCs/>
          <w:sz w:val="18"/>
          <w:szCs w:val="18"/>
        </w:rPr>
        <w:t>Antwoord</w:t>
      </w:r>
    </w:p>
    <w:p w:rsidR="00D71086" w:rsidP="00D71086" w:rsidRDefault="00D71086" w14:paraId="769C99EF" w14:textId="77777777">
      <w:pPr>
        <w:pStyle w:val="Geenafstand"/>
      </w:pPr>
      <w:r w:rsidRPr="4536D58A">
        <w:rPr>
          <w:rFonts w:ascii="Verdana" w:hAnsi="Verdana"/>
          <w:sz w:val="18"/>
          <w:szCs w:val="18"/>
        </w:rPr>
        <w:t>Ik vind het niet noodzakelijk</w:t>
      </w:r>
      <w:r>
        <w:rPr>
          <w:rFonts w:ascii="Verdana" w:hAnsi="Verdana"/>
          <w:sz w:val="18"/>
          <w:szCs w:val="18"/>
        </w:rPr>
        <w:t>,</w:t>
      </w:r>
      <w:r w:rsidRPr="4536D58A">
        <w:rPr>
          <w:rFonts w:ascii="Verdana" w:hAnsi="Verdana"/>
          <w:sz w:val="18"/>
          <w:szCs w:val="18"/>
        </w:rPr>
        <w:t xml:space="preserve"> en gezien de onafhankelijke positie van de rechterlijke macht onwenselijk</w:t>
      </w:r>
      <w:r>
        <w:rPr>
          <w:rFonts w:ascii="Verdana" w:hAnsi="Verdana"/>
          <w:sz w:val="18"/>
          <w:szCs w:val="18"/>
        </w:rPr>
        <w:t>,</w:t>
      </w:r>
      <w:r w:rsidRPr="4536D58A">
        <w:rPr>
          <w:rFonts w:ascii="Verdana" w:hAnsi="Verdana"/>
          <w:sz w:val="18"/>
          <w:szCs w:val="18"/>
        </w:rPr>
        <w:t xml:space="preserve"> om over deze kwestie in overleg te treden met de Raad voor de rechtspraak.</w:t>
      </w:r>
      <w:r>
        <w:rPr>
          <w:rFonts w:ascii="Verdana" w:hAnsi="Verdana"/>
          <w:sz w:val="18"/>
          <w:szCs w:val="18"/>
        </w:rPr>
        <w:t xml:space="preserve"> Daarnaast heeft de rechtbank Noord-Holland ook aangegeven deze kwestie hoog op te nemen en gemeld dat de betreffende rechter geen zaken meer behandelt totdat duidelijk is of het handelen gevolgen moet hebben (en zo ja, in welke vorm).</w:t>
      </w:r>
      <w:r>
        <w:rPr>
          <w:rStyle w:val="Voetnootmarkering"/>
          <w:rFonts w:ascii="Verdana" w:hAnsi="Verdana"/>
          <w:sz w:val="18"/>
          <w:szCs w:val="18"/>
        </w:rPr>
        <w:footnoteReference w:id="6"/>
      </w:r>
      <w:r>
        <w:rPr>
          <w:rFonts w:ascii="Verdana" w:hAnsi="Verdana"/>
          <w:sz w:val="18"/>
          <w:szCs w:val="18"/>
        </w:rPr>
        <w:t xml:space="preserve"> </w:t>
      </w:r>
      <w:r w:rsidRPr="4536D58A">
        <w:rPr>
          <w:rFonts w:ascii="Verdana" w:hAnsi="Verdana"/>
          <w:sz w:val="18"/>
          <w:szCs w:val="18"/>
        </w:rPr>
        <w:t xml:space="preserve">De concrete acties die </w:t>
      </w:r>
      <w:r>
        <w:rPr>
          <w:rFonts w:ascii="Verdana" w:hAnsi="Verdana"/>
          <w:sz w:val="18"/>
          <w:szCs w:val="18"/>
        </w:rPr>
        <w:t>ik vanuit BZK</w:t>
      </w:r>
      <w:r w:rsidRPr="4536D58A">
        <w:rPr>
          <w:rFonts w:ascii="Verdana" w:hAnsi="Verdana"/>
          <w:sz w:val="18"/>
          <w:szCs w:val="18"/>
        </w:rPr>
        <w:t xml:space="preserve"> ondern</w:t>
      </w:r>
      <w:r>
        <w:rPr>
          <w:rFonts w:ascii="Verdana" w:hAnsi="Verdana"/>
          <w:sz w:val="18"/>
          <w:szCs w:val="18"/>
        </w:rPr>
        <w:t>eem</w:t>
      </w:r>
      <w:r w:rsidRPr="4536D58A">
        <w:rPr>
          <w:rFonts w:ascii="Verdana" w:hAnsi="Verdana"/>
          <w:sz w:val="18"/>
          <w:szCs w:val="18"/>
        </w:rPr>
        <w:t>,</w:t>
      </w:r>
      <w:r>
        <w:rPr>
          <w:rFonts w:ascii="Verdana" w:hAnsi="Verdana"/>
          <w:sz w:val="18"/>
          <w:szCs w:val="18"/>
        </w:rPr>
        <w:t xml:space="preserve"> zoals</w:t>
      </w:r>
      <w:r w:rsidRPr="4536D58A">
        <w:rPr>
          <w:rFonts w:ascii="Verdana" w:hAnsi="Verdana"/>
          <w:sz w:val="18"/>
          <w:szCs w:val="18"/>
        </w:rPr>
        <w:t xml:space="preserve"> de handreiking en het onderzoek in het kader van de wetsevaluatie, heb ik in de voorgaande antwoorden toegelicht. </w:t>
      </w:r>
    </w:p>
    <w:p w:rsidR="00D71086" w:rsidP="00D71086" w:rsidRDefault="00D71086" w14:paraId="70CA5F35" w14:textId="77777777"/>
    <w:p w:rsidR="00D71086" w:rsidP="00D71086" w:rsidRDefault="00D71086" w14:paraId="1EB357FC" w14:textId="77777777"/>
    <w:p w:rsidR="00C01852" w:rsidRDefault="00C01852" w14:paraId="61432F65" w14:textId="77777777"/>
    <w:sectPr w:rsidR="00C01852" w:rsidSect="00D7108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E7AE" w14:textId="77777777" w:rsidR="00D71086" w:rsidRDefault="00D71086" w:rsidP="00D71086">
      <w:pPr>
        <w:spacing w:after="0" w:line="240" w:lineRule="auto"/>
      </w:pPr>
      <w:r>
        <w:separator/>
      </w:r>
    </w:p>
  </w:endnote>
  <w:endnote w:type="continuationSeparator" w:id="0">
    <w:p w14:paraId="7C425201" w14:textId="77777777" w:rsidR="00D71086" w:rsidRDefault="00D71086" w:rsidP="00D7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95BE" w14:textId="77777777" w:rsidR="00D71086" w:rsidRPr="00D71086" w:rsidRDefault="00D71086" w:rsidP="00D710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889A" w14:textId="77777777" w:rsidR="00D71086" w:rsidRPr="00D71086" w:rsidRDefault="00D71086" w:rsidP="00D710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AB55" w14:textId="77777777" w:rsidR="00D71086" w:rsidRPr="00D71086" w:rsidRDefault="00D71086" w:rsidP="00D710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1BE8" w14:textId="77777777" w:rsidR="00D71086" w:rsidRDefault="00D71086" w:rsidP="00D71086">
      <w:pPr>
        <w:spacing w:after="0" w:line="240" w:lineRule="auto"/>
      </w:pPr>
      <w:r>
        <w:separator/>
      </w:r>
    </w:p>
  </w:footnote>
  <w:footnote w:type="continuationSeparator" w:id="0">
    <w:p w14:paraId="337FAA34" w14:textId="77777777" w:rsidR="00D71086" w:rsidRDefault="00D71086" w:rsidP="00D71086">
      <w:pPr>
        <w:spacing w:after="0" w:line="240" w:lineRule="auto"/>
      </w:pPr>
      <w:r>
        <w:continuationSeparator/>
      </w:r>
    </w:p>
  </w:footnote>
  <w:footnote w:id="1">
    <w:p w14:paraId="517DD96E" w14:textId="77777777" w:rsidR="00D71086" w:rsidRPr="0035396D" w:rsidRDefault="00D71086" w:rsidP="00D71086">
      <w:pPr>
        <w:pStyle w:val="Geenafstand"/>
        <w:rPr>
          <w:rFonts w:ascii="Verdana" w:hAnsi="Verdana"/>
          <w:sz w:val="18"/>
          <w:szCs w:val="18"/>
        </w:rPr>
      </w:pPr>
      <w:r>
        <w:rPr>
          <w:rStyle w:val="Voetnootmarkering"/>
        </w:rPr>
        <w:footnoteRef/>
      </w:r>
      <w:r>
        <w:t xml:space="preserve"> </w:t>
      </w:r>
      <w:r w:rsidRPr="003A02B2">
        <w:rPr>
          <w:rFonts w:ascii="Verdana" w:hAnsi="Verdana"/>
          <w:sz w:val="16"/>
          <w:szCs w:val="16"/>
        </w:rPr>
        <w:t xml:space="preserve">Follow </w:t>
      </w:r>
      <w:proofErr w:type="spellStart"/>
      <w:r w:rsidRPr="003A02B2">
        <w:rPr>
          <w:rFonts w:ascii="Verdana" w:hAnsi="Verdana"/>
          <w:sz w:val="16"/>
          <w:szCs w:val="16"/>
        </w:rPr>
        <w:t>the</w:t>
      </w:r>
      <w:proofErr w:type="spellEnd"/>
      <w:r w:rsidRPr="003A02B2">
        <w:rPr>
          <w:rFonts w:ascii="Verdana" w:hAnsi="Verdana"/>
          <w:sz w:val="16"/>
          <w:szCs w:val="16"/>
        </w:rPr>
        <w:t xml:space="preserve"> Money, 22 april 2026, 'Rechter bombardeert gemeenten met duizenden informatieverzoeken om punt te maken' (</w:t>
      </w:r>
      <w:hyperlink r:id="rId1" w:history="1">
        <w:r w:rsidRPr="003A02B2">
          <w:rPr>
            <w:rStyle w:val="Hyperlink"/>
            <w:rFonts w:ascii="Verdana" w:hAnsi="Verdana"/>
            <w:sz w:val="16"/>
            <w:szCs w:val="16"/>
          </w:rPr>
          <w:t>Rechter bombardeert gemeenten met duizenden informatie</w:t>
        </w:r>
        <w:r w:rsidRPr="003A02B2">
          <w:rPr>
            <w:rStyle w:val="Hyperlink"/>
            <w:rFonts w:ascii="Verdana" w:hAnsi="Verdana"/>
            <w:sz w:val="16"/>
            <w:szCs w:val="16"/>
          </w:rPr>
          <w:softHyphen/>
          <w:t xml:space="preserve">verzoeken om punt te maken - Follow </w:t>
        </w:r>
        <w:proofErr w:type="spellStart"/>
        <w:r w:rsidRPr="003A02B2">
          <w:rPr>
            <w:rStyle w:val="Hyperlink"/>
            <w:rFonts w:ascii="Verdana" w:hAnsi="Verdana"/>
            <w:sz w:val="16"/>
            <w:szCs w:val="16"/>
          </w:rPr>
          <w:t>the</w:t>
        </w:r>
        <w:proofErr w:type="spellEnd"/>
        <w:r w:rsidRPr="003A02B2">
          <w:rPr>
            <w:rStyle w:val="Hyperlink"/>
            <w:rFonts w:ascii="Verdana" w:hAnsi="Verdana"/>
            <w:sz w:val="16"/>
            <w:szCs w:val="16"/>
          </w:rPr>
          <w:t xml:space="preserve"> Money - Platform voor onderzoeksjournalistiek</w:t>
        </w:r>
      </w:hyperlink>
      <w:r w:rsidRPr="003A02B2">
        <w:rPr>
          <w:rFonts w:ascii="Verdana" w:hAnsi="Verdana"/>
          <w:sz w:val="16"/>
          <w:szCs w:val="16"/>
        </w:rPr>
        <w:t>)</w:t>
      </w:r>
      <w:r>
        <w:rPr>
          <w:rFonts w:ascii="Verdana" w:hAnsi="Verdana"/>
          <w:sz w:val="16"/>
          <w:szCs w:val="16"/>
        </w:rPr>
        <w:t>.</w:t>
      </w:r>
    </w:p>
    <w:p w14:paraId="640B1FEF" w14:textId="77777777" w:rsidR="00D71086" w:rsidRDefault="00D71086" w:rsidP="00D71086">
      <w:pPr>
        <w:pStyle w:val="Voetnoottekst"/>
      </w:pPr>
    </w:p>
  </w:footnote>
  <w:footnote w:id="2">
    <w:p w14:paraId="19D4FEE6" w14:textId="77777777" w:rsidR="00D71086" w:rsidRPr="00771E2A" w:rsidRDefault="00D71086" w:rsidP="00D71086">
      <w:pPr>
        <w:pStyle w:val="Voetnoottekst"/>
        <w:rPr>
          <w:sz w:val="16"/>
          <w:szCs w:val="16"/>
        </w:rPr>
      </w:pPr>
      <w:r w:rsidRPr="00C47AEB">
        <w:rPr>
          <w:rStyle w:val="Voetnootmarkering"/>
          <w:sz w:val="16"/>
          <w:szCs w:val="16"/>
        </w:rPr>
        <w:footnoteRef/>
      </w:r>
      <w:r w:rsidRPr="00C47AEB">
        <w:rPr>
          <w:sz w:val="16"/>
          <w:szCs w:val="16"/>
        </w:rPr>
        <w:t xml:space="preserve"> </w:t>
      </w:r>
      <w:hyperlink r:id="rId2" w:history="1">
        <w:r w:rsidRPr="00C47AEB">
          <w:rPr>
            <w:rStyle w:val="Hyperlink"/>
            <w:sz w:val="16"/>
            <w:szCs w:val="16"/>
          </w:rPr>
          <w:t>Handreiking 'ZO! ga je om met de antimisbruikbepaling'</w:t>
        </w:r>
      </w:hyperlink>
    </w:p>
  </w:footnote>
  <w:footnote w:id="3">
    <w:p w14:paraId="1B4386B0" w14:textId="77777777" w:rsidR="00D71086" w:rsidRPr="00771E2A" w:rsidRDefault="00D71086" w:rsidP="00D71086">
      <w:pPr>
        <w:pStyle w:val="Voetnoottekst"/>
        <w:rPr>
          <w:sz w:val="16"/>
          <w:szCs w:val="16"/>
        </w:rPr>
      </w:pPr>
      <w:r w:rsidRPr="00152F9C">
        <w:rPr>
          <w:rStyle w:val="Voetnootmarkering"/>
          <w:sz w:val="16"/>
          <w:szCs w:val="16"/>
        </w:rPr>
        <w:footnoteRef/>
      </w:r>
      <w:r w:rsidRPr="00152F9C">
        <w:rPr>
          <w:sz w:val="16"/>
          <w:szCs w:val="16"/>
        </w:rPr>
        <w:t xml:space="preserve"> Het rapport van dit onderzoek zal gelijktijdig, met de voortgangsbrief open overheid (mei 2026), aan uw Kamer worden aangeboden.</w:t>
      </w:r>
    </w:p>
  </w:footnote>
  <w:footnote w:id="4">
    <w:p w14:paraId="0892CC35" w14:textId="77777777" w:rsidR="00D71086" w:rsidRPr="00CF28DD" w:rsidRDefault="00D71086" w:rsidP="00D71086">
      <w:pPr>
        <w:pStyle w:val="Voetnoottekst"/>
        <w:rPr>
          <w:sz w:val="16"/>
          <w:szCs w:val="16"/>
        </w:rPr>
      </w:pPr>
      <w:r w:rsidRPr="00CF28DD">
        <w:rPr>
          <w:rStyle w:val="Voetnootmarkering"/>
          <w:sz w:val="16"/>
          <w:szCs w:val="16"/>
        </w:rPr>
        <w:footnoteRef/>
      </w:r>
      <w:r w:rsidRPr="00CF28DD">
        <w:rPr>
          <w:sz w:val="16"/>
          <w:szCs w:val="16"/>
        </w:rPr>
        <w:t xml:space="preserve"> </w:t>
      </w:r>
      <w:r>
        <w:rPr>
          <w:sz w:val="16"/>
          <w:szCs w:val="16"/>
        </w:rPr>
        <w:t xml:space="preserve">Zeer-complexe verzoeken zijn verzoeken van meer dan </w:t>
      </w:r>
      <w:r w:rsidRPr="00CF28DD">
        <w:rPr>
          <w:sz w:val="16"/>
          <w:szCs w:val="16"/>
        </w:rPr>
        <w:t>500 beoordeelde documenten, of 100-500 documenten maar inhoudelijk complex</w:t>
      </w:r>
      <w:r>
        <w:rPr>
          <w:sz w:val="16"/>
          <w:szCs w:val="16"/>
        </w:rPr>
        <w:t>. Inhoudelijke complexiteit kan bijvoorbeeld spelen bij een groot aantal doorzochte documenten, veel aanpalende wetgeving, grote politieke belangstelling, veel afstemming of oude (papieren) archiefstukken.</w:t>
      </w:r>
    </w:p>
  </w:footnote>
  <w:footnote w:id="5">
    <w:p w14:paraId="02B0BE90" w14:textId="77777777" w:rsidR="00D71086" w:rsidRDefault="00D71086" w:rsidP="00D71086">
      <w:pPr>
        <w:pStyle w:val="Voetnoottekst"/>
      </w:pPr>
      <w:r w:rsidRPr="00771E2A">
        <w:rPr>
          <w:rStyle w:val="Voetnootmarkering"/>
          <w:sz w:val="16"/>
          <w:szCs w:val="16"/>
        </w:rPr>
        <w:footnoteRef/>
      </w:r>
      <w:r w:rsidRPr="00771E2A">
        <w:rPr>
          <w:sz w:val="16"/>
          <w:szCs w:val="16"/>
        </w:rPr>
        <w:t xml:space="preserve"> </w:t>
      </w:r>
      <w:hyperlink r:id="rId3" w:history="1">
        <w:r w:rsidRPr="00C47AEB">
          <w:rPr>
            <w:rStyle w:val="Hyperlink"/>
            <w:sz w:val="16"/>
            <w:szCs w:val="16"/>
          </w:rPr>
          <w:t>Handreiking 'ZO! ga je om met de antimisbruikbepaling'</w:t>
        </w:r>
      </w:hyperlink>
    </w:p>
  </w:footnote>
  <w:footnote w:id="6">
    <w:p w14:paraId="518B3B5B" w14:textId="77777777" w:rsidR="00D71086" w:rsidRDefault="00D71086" w:rsidP="00D71086">
      <w:pPr>
        <w:pStyle w:val="Voetnoottekst"/>
      </w:pPr>
      <w:r>
        <w:rPr>
          <w:rStyle w:val="Voetnootmarkering"/>
        </w:rPr>
        <w:footnoteRef/>
      </w:r>
      <w:r>
        <w:t xml:space="preserve"> </w:t>
      </w:r>
      <w:r w:rsidRPr="00AE06A0">
        <w:rPr>
          <w:sz w:val="16"/>
          <w:szCs w:val="16"/>
        </w:rPr>
        <w:t xml:space="preserve">Zie het nieuwsbericht van de rechtbank Noord-Holland: </w:t>
      </w:r>
      <w:hyperlink r:id="rId4" w:history="1">
        <w:r w:rsidRPr="00AE06A0">
          <w:rPr>
            <w:rStyle w:val="Hyperlink"/>
            <w:sz w:val="16"/>
            <w:szCs w:val="16"/>
          </w:rPr>
          <w:t>https://www.rechtspraak.nl/organisatie-en-contact/organisatie/rechtbanken/rechtbank-noord-holland/nieuws/reactie-op-berichtgeving-over-rechter-die-woo-verzoeken-deed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35B3" w14:textId="77777777" w:rsidR="00D71086" w:rsidRPr="00D71086" w:rsidRDefault="00D71086" w:rsidP="00D710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EADE" w14:textId="77777777" w:rsidR="00D71086" w:rsidRPr="00D71086" w:rsidRDefault="00D71086" w:rsidP="00D710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25ED" w14:textId="77777777" w:rsidR="00D71086" w:rsidRPr="00D71086" w:rsidRDefault="00D71086" w:rsidP="00D710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86"/>
    <w:rsid w:val="00530611"/>
    <w:rsid w:val="00C01852"/>
    <w:rsid w:val="00D71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3CFB"/>
  <w15:chartTrackingRefBased/>
  <w15:docId w15:val="{0A4DE315-0DD7-493F-BD21-4F50B66C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10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1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10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10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10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10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10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10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10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10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10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10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10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10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10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10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10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1086"/>
    <w:rPr>
      <w:rFonts w:eastAsiaTheme="majorEastAsia" w:cstheme="majorBidi"/>
      <w:color w:val="272727" w:themeColor="text1" w:themeTint="D8"/>
    </w:rPr>
  </w:style>
  <w:style w:type="paragraph" w:styleId="Titel">
    <w:name w:val="Title"/>
    <w:basedOn w:val="Standaard"/>
    <w:next w:val="Standaard"/>
    <w:link w:val="TitelChar"/>
    <w:uiPriority w:val="10"/>
    <w:qFormat/>
    <w:rsid w:val="00D71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10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10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10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10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1086"/>
    <w:rPr>
      <w:i/>
      <w:iCs/>
      <w:color w:val="404040" w:themeColor="text1" w:themeTint="BF"/>
    </w:rPr>
  </w:style>
  <w:style w:type="paragraph" w:styleId="Lijstalinea">
    <w:name w:val="List Paragraph"/>
    <w:basedOn w:val="Standaard"/>
    <w:uiPriority w:val="34"/>
    <w:qFormat/>
    <w:rsid w:val="00D71086"/>
    <w:pPr>
      <w:ind w:left="720"/>
      <w:contextualSpacing/>
    </w:pPr>
  </w:style>
  <w:style w:type="character" w:styleId="Intensievebenadrukking">
    <w:name w:val="Intense Emphasis"/>
    <w:basedOn w:val="Standaardalinea-lettertype"/>
    <w:uiPriority w:val="21"/>
    <w:qFormat/>
    <w:rsid w:val="00D71086"/>
    <w:rPr>
      <w:i/>
      <w:iCs/>
      <w:color w:val="2F5496" w:themeColor="accent1" w:themeShade="BF"/>
    </w:rPr>
  </w:style>
  <w:style w:type="paragraph" w:styleId="Duidelijkcitaat">
    <w:name w:val="Intense Quote"/>
    <w:basedOn w:val="Standaard"/>
    <w:next w:val="Standaard"/>
    <w:link w:val="DuidelijkcitaatChar"/>
    <w:uiPriority w:val="30"/>
    <w:qFormat/>
    <w:rsid w:val="00D71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1086"/>
    <w:rPr>
      <w:i/>
      <w:iCs/>
      <w:color w:val="2F5496" w:themeColor="accent1" w:themeShade="BF"/>
    </w:rPr>
  </w:style>
  <w:style w:type="character" w:styleId="Intensieveverwijzing">
    <w:name w:val="Intense Reference"/>
    <w:basedOn w:val="Standaardalinea-lettertype"/>
    <w:uiPriority w:val="32"/>
    <w:qFormat/>
    <w:rsid w:val="00D71086"/>
    <w:rPr>
      <w:b/>
      <w:bCs/>
      <w:smallCaps/>
      <w:color w:val="2F5496" w:themeColor="accent1" w:themeShade="BF"/>
      <w:spacing w:val="5"/>
    </w:rPr>
  </w:style>
  <w:style w:type="character" w:styleId="Hyperlink">
    <w:name w:val="Hyperlink"/>
    <w:basedOn w:val="Standaardalinea-lettertype"/>
    <w:uiPriority w:val="99"/>
    <w:unhideWhenUsed/>
    <w:rsid w:val="00D71086"/>
    <w:rPr>
      <w:color w:val="0563C1" w:themeColor="hyperlink"/>
      <w:u w:val="single"/>
    </w:rPr>
  </w:style>
  <w:style w:type="paragraph" w:customStyle="1" w:styleId="Referentiegegevens">
    <w:name w:val="Referentiegegevens"/>
    <w:basedOn w:val="Standaard"/>
    <w:next w:val="Standaard"/>
    <w:rsid w:val="00D7108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7108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7108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7108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710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108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10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108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71086"/>
    <w:pPr>
      <w:spacing w:after="0" w:line="240" w:lineRule="auto"/>
    </w:pPr>
  </w:style>
  <w:style w:type="paragraph" w:styleId="Voetnoottekst">
    <w:name w:val="footnote text"/>
    <w:basedOn w:val="Standaard"/>
    <w:link w:val="VoetnoottekstChar"/>
    <w:uiPriority w:val="99"/>
    <w:semiHidden/>
    <w:unhideWhenUsed/>
    <w:rsid w:val="00D7108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108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1086"/>
    <w:rPr>
      <w:vertAlign w:val="superscript"/>
    </w:rPr>
  </w:style>
  <w:style w:type="character" w:styleId="Verwijzingopmerking">
    <w:name w:val="annotation reference"/>
    <w:basedOn w:val="Standaardalinea-lettertype"/>
    <w:uiPriority w:val="99"/>
    <w:semiHidden/>
    <w:unhideWhenUsed/>
    <w:rsid w:val="00D710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pen-overheid.nl/documenten/2026/04/29/handreiking-zo-ga-je-om-met-de-antimisbruikbepaling" TargetMode="External"/><Relationship Id="rId2" Type="http://schemas.openxmlformats.org/officeDocument/2006/relationships/hyperlink" Target="https://www.open-overheid.nl/documenten/2026/04/29/handreiking-zo-ga-je-om-met-de-antimisbruikbepaling" TargetMode="External"/><Relationship Id="rId1" Type="http://schemas.openxmlformats.org/officeDocument/2006/relationships/hyperlink" Target="https://www.ftm.nl/artikelen/mysterieuze-indiener-duizenden-informatieverzoeken-blijkt-rechter-die-misbruik-wet-wil-aantonen" TargetMode="External"/><Relationship Id="rId4" Type="http://schemas.openxmlformats.org/officeDocument/2006/relationships/hyperlink" Target="https://www.rechtspraak.nl/organisatie-en-contact/organisatie/rechtbanken/rechtbank-noord-holland/nieuws/reactie-op-berichtgeving-over-rechter-die-woo-verzoeken-de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1344</ap:Words>
  <ap:Characters>7396</ap:Characters>
  <ap:DocSecurity>0</ap:DocSecurity>
  <ap:Lines>61</ap:Lines>
  <ap:Paragraphs>17</ap:Paragraphs>
  <ap:ScaleCrop>false</ap:ScaleCrop>
  <ap:LinksUpToDate>false</ap:LinksUpToDate>
  <ap:CharactersWithSpaces>8723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2026-05-13T14:08:00.0000000Z</dcterms:created>
  <dcterms:modified xsi:type="dcterms:W3CDTF">2026-05-13T14:08:00.0000000Z</dcterms:modified>
  <version/>
  <category/>
</coreProperties>
</file>