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A32" w:rsidRDefault="003D683F" w14:paraId="2C07DA68" w14:textId="77777777">
      <w:r>
        <w:br w:type="page"/>
      </w:r>
    </w:p>
    <w:p w:rsidR="00AD3A32" w:rsidP="00E1619F" w:rsidRDefault="003D683F" w14:paraId="44527F4E" w14:textId="77777777">
      <w:pPr>
        <w:pStyle w:val="Standaardvet"/>
      </w:pPr>
      <w:r>
        <w:lastRenderedPageBreak/>
        <w:t>Colofon</w:t>
      </w:r>
    </w:p>
    <w:tbl>
      <w:tblPr>
        <w:tblW w:w="7721" w:type="dxa"/>
        <w:tblLayout w:type="fixed"/>
        <w:tblLook w:val="07E0" w:firstRow="1" w:lastRow="1" w:firstColumn="1" w:lastColumn="1" w:noHBand="1" w:noVBand="1"/>
      </w:tblPr>
      <w:tblGrid>
        <w:gridCol w:w="2290"/>
        <w:gridCol w:w="3141"/>
        <w:gridCol w:w="2290"/>
      </w:tblGrid>
      <w:tr w:rsidR="00DF407A" w:rsidTr="00DF407A" w14:paraId="6621DC16" w14:textId="77777777">
        <w:trPr>
          <w:gridAfter w:val="1"/>
          <w:wAfter w:w="2290" w:type="dxa"/>
          <w:trHeight w:val="240"/>
        </w:trPr>
        <w:tc>
          <w:tcPr>
            <w:tcW w:w="5431" w:type="dxa"/>
            <w:gridSpan w:val="2"/>
          </w:tcPr>
          <w:p w:rsidR="00DF407A" w:rsidRDefault="00DF407A" w14:paraId="2BEAB4AB" w14:textId="77777777"/>
        </w:tc>
      </w:tr>
      <w:tr w:rsidR="00DF407A" w:rsidTr="00DF407A" w14:paraId="2AF419C2" w14:textId="77777777">
        <w:trPr>
          <w:gridAfter w:val="1"/>
          <w:wAfter w:w="2290" w:type="dxa"/>
          <w:trHeight w:val="240"/>
        </w:trPr>
        <w:tc>
          <w:tcPr>
            <w:tcW w:w="5431" w:type="dxa"/>
            <w:gridSpan w:val="2"/>
          </w:tcPr>
          <w:p w:rsidR="00DF407A" w:rsidRDefault="00DF407A" w14:paraId="3C051B46" w14:textId="77777777"/>
        </w:tc>
      </w:tr>
      <w:tr w:rsidR="00DF407A" w:rsidTr="00DF407A" w14:paraId="4653764F" w14:textId="77777777">
        <w:trPr>
          <w:gridAfter w:val="1"/>
          <w:wAfter w:w="2290" w:type="dxa"/>
          <w:trHeight w:val="240"/>
        </w:trPr>
        <w:tc>
          <w:tcPr>
            <w:tcW w:w="5431" w:type="dxa"/>
            <w:gridSpan w:val="2"/>
          </w:tcPr>
          <w:p w:rsidR="00DF407A" w:rsidRDefault="00DF407A" w14:paraId="718CEC55" w14:textId="77777777"/>
        </w:tc>
      </w:tr>
      <w:tr w:rsidR="00DF407A" w:rsidTr="00DF407A" w14:paraId="7D469125" w14:textId="77777777">
        <w:trPr>
          <w:gridAfter w:val="1"/>
          <w:wAfter w:w="2290" w:type="dxa"/>
          <w:trHeight w:val="240"/>
        </w:trPr>
        <w:tc>
          <w:tcPr>
            <w:tcW w:w="5431" w:type="dxa"/>
            <w:gridSpan w:val="2"/>
          </w:tcPr>
          <w:p w:rsidR="00DF407A" w:rsidRDefault="00DF407A" w14:paraId="0AEE913D" w14:textId="77777777"/>
        </w:tc>
      </w:tr>
      <w:tr w:rsidR="00DF407A" w:rsidTr="00DF407A" w14:paraId="56AB1BAB" w14:textId="77777777">
        <w:trPr>
          <w:gridAfter w:val="1"/>
          <w:wAfter w:w="2290" w:type="dxa"/>
          <w:trHeight w:val="240"/>
        </w:trPr>
        <w:tc>
          <w:tcPr>
            <w:tcW w:w="5431" w:type="dxa"/>
            <w:gridSpan w:val="2"/>
          </w:tcPr>
          <w:p w:rsidR="00DF407A" w:rsidRDefault="00DF407A" w14:paraId="173B3D4B" w14:textId="77777777"/>
        </w:tc>
      </w:tr>
      <w:tr w:rsidR="00AD3A32" w:rsidTr="00DF407A" w14:paraId="6780A37F" w14:textId="77777777">
        <w:trPr>
          <w:trHeight w:val="240"/>
        </w:trPr>
        <w:tc>
          <w:tcPr>
            <w:tcW w:w="2290" w:type="dxa"/>
          </w:tcPr>
          <w:p w:rsidR="00AD3A32" w:rsidRDefault="00AD3A32" w14:paraId="7D515C83" w14:textId="594173EF"/>
        </w:tc>
        <w:tc>
          <w:tcPr>
            <w:tcW w:w="5431" w:type="dxa"/>
            <w:gridSpan w:val="2"/>
          </w:tcPr>
          <w:p w:rsidR="00A62ACD" w:rsidRDefault="00A62ACD" w14:paraId="28F804A1" w14:textId="77777777">
            <w:r>
              <w:t>Ministerie van Financiën</w:t>
            </w:r>
          </w:p>
          <w:p w:rsidR="00AD3A32" w:rsidRDefault="003D683F" w14:paraId="73F3AF87" w14:textId="412AFB50">
            <w:r>
              <w:t>Korte Voorhout 7 | 2511 CW  Den Haag</w:t>
            </w:r>
          </w:p>
          <w:p w:rsidR="00AD3A32" w:rsidRDefault="003D683F" w14:paraId="66A1C7F3" w14:textId="77777777">
            <w:r>
              <w:t>POSTBUS 20201 | 2500 EE  Den Haag</w:t>
            </w:r>
          </w:p>
        </w:tc>
      </w:tr>
      <w:tr w:rsidR="00AD3A32" w:rsidTr="00DF407A" w14:paraId="2A4EAE57" w14:textId="77777777">
        <w:trPr>
          <w:trHeight w:val="240"/>
        </w:trPr>
        <w:tc>
          <w:tcPr>
            <w:tcW w:w="2290" w:type="dxa"/>
          </w:tcPr>
          <w:p w:rsidR="00AD3A32" w:rsidRDefault="00AD3A32" w14:paraId="4D0D2065" w14:textId="77777777"/>
        </w:tc>
        <w:tc>
          <w:tcPr>
            <w:tcW w:w="5431" w:type="dxa"/>
            <w:gridSpan w:val="2"/>
          </w:tcPr>
          <w:p w:rsidR="00AD3A32" w:rsidRDefault="00AD3A32" w14:paraId="0BA093B1" w14:textId="77777777"/>
        </w:tc>
      </w:tr>
      <w:tr w:rsidR="00AD3A32" w:rsidTr="00DF407A" w14:paraId="444B8C30" w14:textId="77777777">
        <w:trPr>
          <w:trHeight w:val="240"/>
        </w:trPr>
        <w:tc>
          <w:tcPr>
            <w:tcW w:w="2290" w:type="dxa"/>
          </w:tcPr>
          <w:p w:rsidR="00AD3A32" w:rsidRDefault="00AD3A32" w14:paraId="27830C8F" w14:textId="77777777"/>
        </w:tc>
        <w:tc>
          <w:tcPr>
            <w:tcW w:w="5431" w:type="dxa"/>
            <w:gridSpan w:val="2"/>
          </w:tcPr>
          <w:p w:rsidR="00AD3A32" w:rsidRDefault="00AD3A32" w14:paraId="69859254" w14:textId="77777777"/>
        </w:tc>
      </w:tr>
      <w:tr w:rsidR="00AD3A32" w:rsidTr="00DF407A" w14:paraId="513147A3" w14:textId="77777777">
        <w:trPr>
          <w:trHeight w:val="240"/>
        </w:trPr>
        <w:tc>
          <w:tcPr>
            <w:tcW w:w="2290" w:type="dxa"/>
          </w:tcPr>
          <w:p w:rsidR="00AD3A32" w:rsidRDefault="00AD3A32" w14:paraId="214DE7F4" w14:textId="77777777"/>
        </w:tc>
        <w:tc>
          <w:tcPr>
            <w:tcW w:w="5431" w:type="dxa"/>
            <w:gridSpan w:val="2"/>
          </w:tcPr>
          <w:p w:rsidR="00AD3A32" w:rsidRDefault="00AD3A32" w14:paraId="44C83F4D" w14:textId="77777777"/>
        </w:tc>
      </w:tr>
      <w:tr w:rsidR="00AD3A32" w:rsidTr="00DF407A" w14:paraId="2D2D8FE5" w14:textId="77777777">
        <w:trPr>
          <w:trHeight w:val="240"/>
        </w:trPr>
        <w:tc>
          <w:tcPr>
            <w:tcW w:w="2290" w:type="dxa"/>
          </w:tcPr>
          <w:p w:rsidR="00AD3A32" w:rsidRDefault="00AD3A32" w14:paraId="6A9609CF" w14:textId="77777777"/>
        </w:tc>
        <w:tc>
          <w:tcPr>
            <w:tcW w:w="5431" w:type="dxa"/>
            <w:gridSpan w:val="2"/>
          </w:tcPr>
          <w:p w:rsidR="00AD3A32" w:rsidRDefault="00AD3A32" w14:paraId="190342FC" w14:textId="77777777"/>
        </w:tc>
      </w:tr>
      <w:tr w:rsidR="00AD3A32" w:rsidTr="00DF407A" w14:paraId="77203441" w14:textId="77777777">
        <w:trPr>
          <w:trHeight w:val="240"/>
        </w:trPr>
        <w:tc>
          <w:tcPr>
            <w:tcW w:w="2290" w:type="dxa"/>
          </w:tcPr>
          <w:p w:rsidR="00AD3A32" w:rsidRDefault="003D683F" w14:paraId="47F60F92" w14:textId="77777777">
            <w:r>
              <w:t>Bijlage(n)</w:t>
            </w:r>
          </w:p>
        </w:tc>
        <w:tc>
          <w:tcPr>
            <w:tcW w:w="5431" w:type="dxa"/>
            <w:gridSpan w:val="2"/>
          </w:tcPr>
          <w:p w:rsidR="008A17C4" w:rsidRDefault="00DF407A" w14:paraId="45C0238A" w14:textId="77777777">
            <w:r>
              <w:t>Fichebundel</w:t>
            </w:r>
            <w:r w:rsidR="00CF25BD">
              <w:t xml:space="preserve">, voorbeeldsituaties, </w:t>
            </w:r>
            <w:r w:rsidR="0083568C">
              <w:rPr>
                <w:noProof/>
              </w:rPr>
              <w:t>b</w:t>
            </w:r>
            <w:r w:rsidRPr="0083568C" w:rsidR="0083568C">
              <w:rPr>
                <w:noProof/>
              </w:rPr>
              <w:t>udgettaire effecten afschaffen HRA voor hypotheken afgesloten vóór 2013 – tussenliggende jaren</w:t>
            </w:r>
          </w:p>
        </w:tc>
      </w:tr>
      <w:tr w:rsidR="00AD3A32" w:rsidTr="00DF407A" w14:paraId="169E1157" w14:textId="77777777">
        <w:trPr>
          <w:trHeight w:val="240"/>
        </w:trPr>
        <w:tc>
          <w:tcPr>
            <w:tcW w:w="2290" w:type="dxa"/>
          </w:tcPr>
          <w:p w:rsidR="00AD3A32" w:rsidRDefault="00AD3A32" w14:paraId="29819AA0" w14:textId="77777777"/>
        </w:tc>
        <w:tc>
          <w:tcPr>
            <w:tcW w:w="5431" w:type="dxa"/>
            <w:gridSpan w:val="2"/>
          </w:tcPr>
          <w:p w:rsidR="00AD3A32" w:rsidRDefault="00AD3A32" w14:paraId="6C15AD16" w14:textId="77777777"/>
        </w:tc>
      </w:tr>
      <w:tr w:rsidR="00AD3A32" w:rsidTr="00DF407A" w14:paraId="4716D3A0" w14:textId="77777777">
        <w:trPr>
          <w:trHeight w:val="240"/>
        </w:trPr>
        <w:tc>
          <w:tcPr>
            <w:tcW w:w="2290" w:type="dxa"/>
          </w:tcPr>
          <w:p w:rsidR="00AD3A32" w:rsidRDefault="003D683F" w14:paraId="490C0342" w14:textId="77777777">
            <w:r>
              <w:t>Auteur(s)</w:t>
            </w:r>
          </w:p>
        </w:tc>
        <w:tc>
          <w:tcPr>
            <w:tcW w:w="5431" w:type="dxa"/>
            <w:gridSpan w:val="2"/>
          </w:tcPr>
          <w:p w:rsidR="00AD3A32" w:rsidRDefault="00980E23" w14:paraId="6CE5CDD8" w14:textId="77777777">
            <w:r>
              <w:t>M</w:t>
            </w:r>
            <w:r w:rsidR="008A17C4">
              <w:t>inisterie van Financiën</w:t>
            </w:r>
            <w:r w:rsidR="002E34DF">
              <w:t>,</w:t>
            </w:r>
            <w:r w:rsidR="008A17C4">
              <w:t xml:space="preserve"> </w:t>
            </w:r>
            <w:r w:rsidR="004A497B">
              <w:t>m</w:t>
            </w:r>
            <w:r w:rsidR="008A17C4">
              <w:t>inisterie van</w:t>
            </w:r>
            <w:r w:rsidR="00882544">
              <w:t xml:space="preserve"> Binnenlandse Zaken en Koninkrijksrelaties</w:t>
            </w:r>
            <w:r w:rsidR="002E34DF">
              <w:t xml:space="preserve"> </w:t>
            </w:r>
            <w:r>
              <w:t>en</w:t>
            </w:r>
            <w:r w:rsidR="002E34DF">
              <w:t xml:space="preserve"> De Nederlandsche Bank</w:t>
            </w:r>
          </w:p>
        </w:tc>
      </w:tr>
    </w:tbl>
    <w:p w:rsidRPr="00E1619F" w:rsidR="00E1619F" w:rsidP="00E1619F" w:rsidRDefault="00E1619F" w14:paraId="51C17A37" w14:textId="77777777">
      <w:pPr>
        <w:tabs>
          <w:tab w:val="left" w:pos="987"/>
        </w:tabs>
        <w:sectPr w:rsidRPr="00E1619F" w:rsidR="00E1619F">
          <w:headerReference w:type="even" r:id="rId7"/>
          <w:headerReference w:type="default" r:id="rId8"/>
          <w:footerReference w:type="even" r:id="rId9"/>
          <w:footerReference w:type="default" r:id="rId10"/>
          <w:headerReference w:type="first" r:id="rId11"/>
          <w:footerReference w:type="first" r:id="rId12"/>
          <w:pgSz w:w="11905" w:h="16837"/>
          <w:pgMar w:top="2641" w:right="963" w:bottom="1077" w:left="3231" w:header="0" w:footer="0" w:gutter="0"/>
          <w:cols w:space="708"/>
          <w:titlePg/>
        </w:sectPr>
      </w:pPr>
    </w:p>
    <w:p w:rsidR="00AD3A32" w:rsidRDefault="003D683F" w14:paraId="067A68B3" w14:textId="77777777">
      <w:pPr>
        <w:pStyle w:val="Kop-Inhoudsopgave"/>
      </w:pPr>
      <w:r>
        <w:lastRenderedPageBreak/>
        <w:t>Inhoud</w:t>
      </w:r>
    </w:p>
    <w:p w:rsidR="00A80C76" w:rsidRDefault="00A26CDC" w14:paraId="210F50E7" w14:textId="1F082707">
      <w:pPr>
        <w:pStyle w:val="Inhopg1"/>
        <w:rPr>
          <w:rFonts w:asciiTheme="minorHAnsi" w:hAnsiTheme="minorHAnsi" w:eastAsiaTheme="minorEastAsia" w:cstheme="minorBidi"/>
          <w:b w:val="0"/>
          <w:noProof/>
          <w:kern w:val="2"/>
          <w:sz w:val="24"/>
          <w:szCs w:val="24"/>
          <w14:ligatures w14:val="standardContextual"/>
        </w:rPr>
      </w:pPr>
      <w:r>
        <w:rPr>
          <w:b w:val="0"/>
        </w:rPr>
        <w:fldChar w:fldCharType="begin"/>
      </w:r>
      <w:r w:rsidR="00053786">
        <w:rPr>
          <w:b w:val="0"/>
        </w:rPr>
        <w:instrText xml:space="preserve"> TOC \o "1-3" \p " " \h \z \t "Kop 4;4" </w:instrText>
      </w:r>
      <w:r>
        <w:rPr>
          <w:b w:val="0"/>
        </w:rPr>
        <w:fldChar w:fldCharType="separate"/>
      </w:r>
      <w:hyperlink w:history="1" w:anchor="_Toc226640250">
        <w:r w:rsidRPr="0017764C" w:rsidR="008A7AE1">
          <w:rPr>
            <w:rStyle w:val="Hyperlink"/>
            <w:noProof/>
          </w:rPr>
          <w:t>Samenvatting</w:t>
        </w:r>
        <w:r w:rsidR="008A7AE1">
          <w:rPr>
            <w:noProof/>
            <w:webHidden/>
          </w:rPr>
          <w:t xml:space="preserve"> </w:t>
        </w:r>
        <w:r w:rsidR="008A7AE1">
          <w:rPr>
            <w:noProof/>
            <w:webHidden/>
          </w:rPr>
          <w:fldChar w:fldCharType="begin"/>
        </w:r>
        <w:r w:rsidR="008A7AE1">
          <w:rPr>
            <w:noProof/>
            <w:webHidden/>
          </w:rPr>
          <w:instrText xml:space="preserve"> PAGEREF _Toc226640250 \h </w:instrText>
        </w:r>
        <w:r w:rsidR="008A7AE1">
          <w:rPr>
            <w:noProof/>
            <w:webHidden/>
          </w:rPr>
        </w:r>
        <w:r w:rsidR="008A7AE1">
          <w:rPr>
            <w:noProof/>
            <w:webHidden/>
          </w:rPr>
          <w:fldChar w:fldCharType="separate"/>
        </w:r>
        <w:r w:rsidR="00053786">
          <w:rPr>
            <w:noProof/>
            <w:webHidden/>
          </w:rPr>
          <w:t>1</w:t>
        </w:r>
        <w:r w:rsidR="008A7AE1">
          <w:rPr>
            <w:noProof/>
            <w:webHidden/>
          </w:rPr>
          <w:fldChar w:fldCharType="end"/>
        </w:r>
      </w:hyperlink>
    </w:p>
    <w:p w:rsidR="008A7AE1" w:rsidRDefault="008A7AE1" w14:paraId="639F7865" w14:textId="0A350E4B">
      <w:pPr>
        <w:pStyle w:val="Inhopg1"/>
        <w:rPr>
          <w:rFonts w:asciiTheme="minorHAnsi" w:hAnsiTheme="minorHAnsi" w:eastAsiaTheme="minorEastAsia" w:cstheme="minorBidi"/>
          <w:b w:val="0"/>
          <w:noProof/>
          <w:kern w:val="2"/>
          <w:sz w:val="24"/>
          <w:szCs w:val="24"/>
          <w14:ligatures w14:val="standardContextual"/>
        </w:rPr>
      </w:pPr>
      <w:hyperlink w:history="1" w:anchor="_Toc226640251">
        <w:r w:rsidRPr="0017764C">
          <w:rPr>
            <w:rStyle w:val="Hyperlink"/>
            <w:noProof/>
          </w:rPr>
          <w:t>Begrippenlijst</w:t>
        </w:r>
        <w:r>
          <w:rPr>
            <w:noProof/>
            <w:webHidden/>
          </w:rPr>
          <w:t xml:space="preserve"> </w:t>
        </w:r>
        <w:r>
          <w:rPr>
            <w:noProof/>
            <w:webHidden/>
          </w:rPr>
          <w:fldChar w:fldCharType="begin"/>
        </w:r>
        <w:r>
          <w:rPr>
            <w:noProof/>
            <w:webHidden/>
          </w:rPr>
          <w:instrText xml:space="preserve"> PAGEREF _Toc226640251 \h </w:instrText>
        </w:r>
        <w:r>
          <w:rPr>
            <w:noProof/>
            <w:webHidden/>
          </w:rPr>
        </w:r>
        <w:r>
          <w:rPr>
            <w:noProof/>
            <w:webHidden/>
          </w:rPr>
          <w:fldChar w:fldCharType="separate"/>
        </w:r>
        <w:r w:rsidR="00053786">
          <w:rPr>
            <w:noProof/>
            <w:webHidden/>
          </w:rPr>
          <w:t>9</w:t>
        </w:r>
        <w:r>
          <w:rPr>
            <w:noProof/>
            <w:webHidden/>
          </w:rPr>
          <w:fldChar w:fldCharType="end"/>
        </w:r>
      </w:hyperlink>
    </w:p>
    <w:p w:rsidR="008A7AE1" w:rsidRDefault="008A7AE1" w14:paraId="77DAA9A8" w14:textId="2247AF92">
      <w:pPr>
        <w:pStyle w:val="Inhopg1"/>
        <w:rPr>
          <w:rFonts w:asciiTheme="minorHAnsi" w:hAnsiTheme="minorHAnsi" w:eastAsiaTheme="minorEastAsia" w:cstheme="minorBidi"/>
          <w:b w:val="0"/>
          <w:noProof/>
          <w:kern w:val="2"/>
          <w:sz w:val="24"/>
          <w:szCs w:val="24"/>
          <w14:ligatures w14:val="standardContextual"/>
        </w:rPr>
      </w:pPr>
      <w:hyperlink w:history="1" w:anchor="_Toc226640252">
        <w:r w:rsidRPr="0017764C">
          <w:rPr>
            <w:rStyle w:val="Hyperlink"/>
            <w:noProof/>
          </w:rPr>
          <w:t>Inleiding</w:t>
        </w:r>
        <w:r>
          <w:rPr>
            <w:noProof/>
            <w:webHidden/>
          </w:rPr>
          <w:t xml:space="preserve"> </w:t>
        </w:r>
        <w:r>
          <w:rPr>
            <w:noProof/>
            <w:webHidden/>
          </w:rPr>
          <w:fldChar w:fldCharType="begin"/>
        </w:r>
        <w:r>
          <w:rPr>
            <w:noProof/>
            <w:webHidden/>
          </w:rPr>
          <w:instrText xml:space="preserve"> PAGEREF _Toc226640252 \h </w:instrText>
        </w:r>
        <w:r>
          <w:rPr>
            <w:noProof/>
            <w:webHidden/>
          </w:rPr>
        </w:r>
        <w:r>
          <w:rPr>
            <w:noProof/>
            <w:webHidden/>
          </w:rPr>
          <w:fldChar w:fldCharType="separate"/>
        </w:r>
        <w:r w:rsidR="00053786">
          <w:rPr>
            <w:noProof/>
            <w:webHidden/>
          </w:rPr>
          <w:t>11</w:t>
        </w:r>
        <w:r>
          <w:rPr>
            <w:noProof/>
            <w:webHidden/>
          </w:rPr>
          <w:fldChar w:fldCharType="end"/>
        </w:r>
      </w:hyperlink>
    </w:p>
    <w:p w:rsidR="008A7AE1" w:rsidRDefault="008A7AE1" w14:paraId="1AAB929C" w14:textId="019973D1">
      <w:pPr>
        <w:pStyle w:val="Inhopg1"/>
        <w:rPr>
          <w:rFonts w:asciiTheme="minorHAnsi" w:hAnsiTheme="minorHAnsi" w:eastAsiaTheme="minorEastAsia" w:cstheme="minorBidi"/>
          <w:b w:val="0"/>
          <w:noProof/>
          <w:kern w:val="2"/>
          <w:sz w:val="24"/>
          <w:szCs w:val="24"/>
          <w14:ligatures w14:val="standardContextual"/>
        </w:rPr>
      </w:pPr>
      <w:hyperlink w:history="1" w:anchor="_Toc226640253">
        <w:r w:rsidRPr="0017764C">
          <w:rPr>
            <w:rStyle w:val="Hyperlink"/>
            <w:noProof/>
          </w:rPr>
          <w:t>1</w:t>
        </w:r>
        <w:r>
          <w:rPr>
            <w:rFonts w:asciiTheme="minorHAnsi" w:hAnsiTheme="minorHAnsi" w:eastAsiaTheme="minorEastAsia" w:cstheme="minorBidi"/>
            <w:b w:val="0"/>
            <w:noProof/>
            <w:kern w:val="2"/>
            <w:sz w:val="24"/>
            <w:szCs w:val="24"/>
            <w14:ligatures w14:val="standardContextual"/>
          </w:rPr>
          <w:tab/>
        </w:r>
        <w:r w:rsidRPr="0017764C">
          <w:rPr>
            <w:rStyle w:val="Hyperlink"/>
            <w:noProof/>
          </w:rPr>
          <w:t>Historische context 30-jaarstermijn</w:t>
        </w:r>
        <w:r>
          <w:rPr>
            <w:noProof/>
            <w:webHidden/>
          </w:rPr>
          <w:t xml:space="preserve"> </w:t>
        </w:r>
        <w:r>
          <w:rPr>
            <w:noProof/>
            <w:webHidden/>
          </w:rPr>
          <w:fldChar w:fldCharType="begin"/>
        </w:r>
        <w:r>
          <w:rPr>
            <w:noProof/>
            <w:webHidden/>
          </w:rPr>
          <w:instrText xml:space="preserve"> PAGEREF _Toc226640253 \h </w:instrText>
        </w:r>
        <w:r>
          <w:rPr>
            <w:noProof/>
            <w:webHidden/>
          </w:rPr>
        </w:r>
        <w:r>
          <w:rPr>
            <w:noProof/>
            <w:webHidden/>
          </w:rPr>
          <w:fldChar w:fldCharType="separate"/>
        </w:r>
        <w:r w:rsidR="00053786">
          <w:rPr>
            <w:noProof/>
            <w:webHidden/>
          </w:rPr>
          <w:t>13</w:t>
        </w:r>
        <w:r>
          <w:rPr>
            <w:noProof/>
            <w:webHidden/>
          </w:rPr>
          <w:fldChar w:fldCharType="end"/>
        </w:r>
      </w:hyperlink>
    </w:p>
    <w:p w:rsidR="008A7AE1" w:rsidRDefault="008A7AE1" w14:paraId="432438D2" w14:textId="5B5CDB8A">
      <w:pPr>
        <w:pStyle w:val="Inhopg1"/>
        <w:rPr>
          <w:rFonts w:asciiTheme="minorHAnsi" w:hAnsiTheme="minorHAnsi" w:eastAsiaTheme="minorEastAsia" w:cstheme="minorBidi"/>
          <w:b w:val="0"/>
          <w:noProof/>
          <w:kern w:val="2"/>
          <w:sz w:val="24"/>
          <w:szCs w:val="24"/>
          <w14:ligatures w14:val="standardContextual"/>
        </w:rPr>
      </w:pPr>
      <w:hyperlink w:history="1" w:anchor="_Toc226640254">
        <w:r w:rsidRPr="0017764C">
          <w:rPr>
            <w:rStyle w:val="Hyperlink"/>
            <w:noProof/>
          </w:rPr>
          <w:t>2</w:t>
        </w:r>
        <w:r>
          <w:rPr>
            <w:rFonts w:asciiTheme="minorHAnsi" w:hAnsiTheme="minorHAnsi" w:eastAsiaTheme="minorEastAsia" w:cstheme="minorBidi"/>
            <w:b w:val="0"/>
            <w:noProof/>
            <w:kern w:val="2"/>
            <w:sz w:val="24"/>
            <w:szCs w:val="24"/>
            <w14:ligatures w14:val="standardContextual"/>
          </w:rPr>
          <w:tab/>
        </w:r>
        <w:r w:rsidRPr="0017764C">
          <w:rPr>
            <w:rStyle w:val="Hyperlink"/>
            <w:noProof/>
          </w:rPr>
          <w:t>Complexiteit van de 30-jaarstermijn in de praktijk</w:t>
        </w:r>
        <w:r>
          <w:rPr>
            <w:noProof/>
            <w:webHidden/>
          </w:rPr>
          <w:t xml:space="preserve"> </w:t>
        </w:r>
        <w:r>
          <w:rPr>
            <w:noProof/>
            <w:webHidden/>
          </w:rPr>
          <w:fldChar w:fldCharType="begin"/>
        </w:r>
        <w:r>
          <w:rPr>
            <w:noProof/>
            <w:webHidden/>
          </w:rPr>
          <w:instrText xml:space="preserve"> PAGEREF _Toc226640254 \h </w:instrText>
        </w:r>
        <w:r>
          <w:rPr>
            <w:noProof/>
            <w:webHidden/>
          </w:rPr>
        </w:r>
        <w:r>
          <w:rPr>
            <w:noProof/>
            <w:webHidden/>
          </w:rPr>
          <w:fldChar w:fldCharType="separate"/>
        </w:r>
        <w:r w:rsidR="00053786">
          <w:rPr>
            <w:noProof/>
            <w:webHidden/>
          </w:rPr>
          <w:t>17</w:t>
        </w:r>
        <w:r>
          <w:rPr>
            <w:noProof/>
            <w:webHidden/>
          </w:rPr>
          <w:fldChar w:fldCharType="end"/>
        </w:r>
      </w:hyperlink>
    </w:p>
    <w:p w:rsidR="008A7AE1" w:rsidRDefault="008A7AE1" w14:paraId="5FA4BB6F" w14:textId="1F012022">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55">
        <w:r w:rsidRPr="0017764C">
          <w:rPr>
            <w:rStyle w:val="Hyperlink"/>
            <w:noProof/>
          </w:rPr>
          <w:t>2.1</w:t>
        </w:r>
        <w:r>
          <w:rPr>
            <w:rFonts w:asciiTheme="minorHAnsi" w:hAnsiTheme="minorHAnsi" w:eastAsiaTheme="minorEastAsia" w:cstheme="minorBidi"/>
            <w:noProof/>
            <w:kern w:val="2"/>
            <w:sz w:val="24"/>
            <w:szCs w:val="24"/>
            <w14:ligatures w14:val="standardContextual"/>
          </w:rPr>
          <w:tab/>
        </w:r>
        <w:r w:rsidRPr="0017764C">
          <w:rPr>
            <w:rStyle w:val="Hyperlink"/>
            <w:noProof/>
          </w:rPr>
          <w:t>Omvang probleem</w:t>
        </w:r>
        <w:r>
          <w:rPr>
            <w:noProof/>
            <w:webHidden/>
          </w:rPr>
          <w:t xml:space="preserve"> </w:t>
        </w:r>
        <w:r>
          <w:rPr>
            <w:noProof/>
            <w:webHidden/>
          </w:rPr>
          <w:fldChar w:fldCharType="begin"/>
        </w:r>
        <w:r>
          <w:rPr>
            <w:noProof/>
            <w:webHidden/>
          </w:rPr>
          <w:instrText xml:space="preserve"> PAGEREF _Toc226640255 \h </w:instrText>
        </w:r>
        <w:r>
          <w:rPr>
            <w:noProof/>
            <w:webHidden/>
          </w:rPr>
        </w:r>
        <w:r>
          <w:rPr>
            <w:noProof/>
            <w:webHidden/>
          </w:rPr>
          <w:fldChar w:fldCharType="separate"/>
        </w:r>
        <w:r w:rsidR="00053786">
          <w:rPr>
            <w:noProof/>
            <w:webHidden/>
          </w:rPr>
          <w:t>17</w:t>
        </w:r>
        <w:r>
          <w:rPr>
            <w:noProof/>
            <w:webHidden/>
          </w:rPr>
          <w:fldChar w:fldCharType="end"/>
        </w:r>
      </w:hyperlink>
    </w:p>
    <w:p w:rsidR="008A7AE1" w:rsidRDefault="008A7AE1" w14:paraId="4DB787C9" w14:textId="21363677">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56">
        <w:r w:rsidRPr="0017764C">
          <w:rPr>
            <w:rStyle w:val="Hyperlink"/>
            <w:noProof/>
          </w:rPr>
          <w:t>2.2</w:t>
        </w:r>
        <w:r>
          <w:rPr>
            <w:rFonts w:asciiTheme="minorHAnsi" w:hAnsiTheme="minorHAnsi" w:eastAsiaTheme="minorEastAsia" w:cstheme="minorBidi"/>
            <w:noProof/>
            <w:kern w:val="2"/>
            <w:sz w:val="24"/>
            <w:szCs w:val="24"/>
            <w14:ligatures w14:val="standardContextual"/>
          </w:rPr>
          <w:tab/>
        </w:r>
        <w:r w:rsidRPr="0017764C">
          <w:rPr>
            <w:rStyle w:val="Hyperlink"/>
            <w:noProof/>
          </w:rPr>
          <w:t>Knelpunten voor belastingplichtigen</w:t>
        </w:r>
        <w:r>
          <w:rPr>
            <w:noProof/>
            <w:webHidden/>
          </w:rPr>
          <w:t xml:space="preserve"> </w:t>
        </w:r>
        <w:r>
          <w:rPr>
            <w:noProof/>
            <w:webHidden/>
          </w:rPr>
          <w:fldChar w:fldCharType="begin"/>
        </w:r>
        <w:r>
          <w:rPr>
            <w:noProof/>
            <w:webHidden/>
          </w:rPr>
          <w:instrText xml:space="preserve"> PAGEREF _Toc226640256 \h </w:instrText>
        </w:r>
        <w:r>
          <w:rPr>
            <w:noProof/>
            <w:webHidden/>
          </w:rPr>
        </w:r>
        <w:r>
          <w:rPr>
            <w:noProof/>
            <w:webHidden/>
          </w:rPr>
          <w:fldChar w:fldCharType="separate"/>
        </w:r>
        <w:r w:rsidR="00053786">
          <w:rPr>
            <w:noProof/>
            <w:webHidden/>
          </w:rPr>
          <w:t>19</w:t>
        </w:r>
        <w:r>
          <w:rPr>
            <w:noProof/>
            <w:webHidden/>
          </w:rPr>
          <w:fldChar w:fldCharType="end"/>
        </w:r>
      </w:hyperlink>
    </w:p>
    <w:p w:rsidR="008A7AE1" w:rsidRDefault="008A7AE1" w14:paraId="14E10A88" w14:textId="64811586">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57">
        <w:r w:rsidRPr="0017764C">
          <w:rPr>
            <w:rStyle w:val="Hyperlink"/>
            <w:noProof/>
          </w:rPr>
          <w:t>2.3</w:t>
        </w:r>
        <w:r>
          <w:rPr>
            <w:rFonts w:asciiTheme="minorHAnsi" w:hAnsiTheme="minorHAnsi" w:eastAsiaTheme="minorEastAsia" w:cstheme="minorBidi"/>
            <w:noProof/>
            <w:kern w:val="2"/>
            <w:sz w:val="24"/>
            <w:szCs w:val="24"/>
            <w14:ligatures w14:val="standardContextual"/>
          </w:rPr>
          <w:tab/>
        </w:r>
        <w:r w:rsidRPr="0017764C">
          <w:rPr>
            <w:rStyle w:val="Hyperlink"/>
            <w:noProof/>
          </w:rPr>
          <w:t>Knelpunten voor adviseurs en financieel dienstverleners</w:t>
        </w:r>
        <w:r>
          <w:rPr>
            <w:noProof/>
            <w:webHidden/>
          </w:rPr>
          <w:t xml:space="preserve"> </w:t>
        </w:r>
        <w:r>
          <w:rPr>
            <w:noProof/>
            <w:webHidden/>
          </w:rPr>
          <w:fldChar w:fldCharType="begin"/>
        </w:r>
        <w:r>
          <w:rPr>
            <w:noProof/>
            <w:webHidden/>
          </w:rPr>
          <w:instrText xml:space="preserve"> PAGEREF _Toc226640257 \h </w:instrText>
        </w:r>
        <w:r>
          <w:rPr>
            <w:noProof/>
            <w:webHidden/>
          </w:rPr>
        </w:r>
        <w:r>
          <w:rPr>
            <w:noProof/>
            <w:webHidden/>
          </w:rPr>
          <w:fldChar w:fldCharType="separate"/>
        </w:r>
        <w:r w:rsidR="00053786">
          <w:rPr>
            <w:noProof/>
            <w:webHidden/>
          </w:rPr>
          <w:t>22</w:t>
        </w:r>
        <w:r>
          <w:rPr>
            <w:noProof/>
            <w:webHidden/>
          </w:rPr>
          <w:fldChar w:fldCharType="end"/>
        </w:r>
      </w:hyperlink>
    </w:p>
    <w:p w:rsidR="008A7AE1" w:rsidRDefault="008A7AE1" w14:paraId="185DB516" w14:textId="3B53E6D5">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58">
        <w:r w:rsidRPr="0017764C">
          <w:rPr>
            <w:rStyle w:val="Hyperlink"/>
            <w:noProof/>
          </w:rPr>
          <w:t>2.4</w:t>
        </w:r>
        <w:r>
          <w:rPr>
            <w:rFonts w:asciiTheme="minorHAnsi" w:hAnsiTheme="minorHAnsi" w:eastAsiaTheme="minorEastAsia" w:cstheme="minorBidi"/>
            <w:noProof/>
            <w:kern w:val="2"/>
            <w:sz w:val="24"/>
            <w:szCs w:val="24"/>
            <w14:ligatures w14:val="standardContextual"/>
          </w:rPr>
          <w:tab/>
        </w:r>
        <w:r w:rsidRPr="0017764C">
          <w:rPr>
            <w:rStyle w:val="Hyperlink"/>
            <w:noProof/>
          </w:rPr>
          <w:t>Knelpunten voor de Belastingdienst</w:t>
        </w:r>
        <w:r>
          <w:rPr>
            <w:noProof/>
            <w:webHidden/>
          </w:rPr>
          <w:t xml:space="preserve"> </w:t>
        </w:r>
        <w:r>
          <w:rPr>
            <w:noProof/>
            <w:webHidden/>
          </w:rPr>
          <w:fldChar w:fldCharType="begin"/>
        </w:r>
        <w:r>
          <w:rPr>
            <w:noProof/>
            <w:webHidden/>
          </w:rPr>
          <w:instrText xml:space="preserve"> PAGEREF _Toc226640258 \h </w:instrText>
        </w:r>
        <w:r>
          <w:rPr>
            <w:noProof/>
            <w:webHidden/>
          </w:rPr>
        </w:r>
        <w:r>
          <w:rPr>
            <w:noProof/>
            <w:webHidden/>
          </w:rPr>
          <w:fldChar w:fldCharType="separate"/>
        </w:r>
        <w:r w:rsidR="00053786">
          <w:rPr>
            <w:noProof/>
            <w:webHidden/>
          </w:rPr>
          <w:t>22</w:t>
        </w:r>
        <w:r>
          <w:rPr>
            <w:noProof/>
            <w:webHidden/>
          </w:rPr>
          <w:fldChar w:fldCharType="end"/>
        </w:r>
      </w:hyperlink>
    </w:p>
    <w:p w:rsidR="008A7AE1" w:rsidRDefault="008A7AE1" w14:paraId="5DF8D0E0" w14:textId="3EA36442">
      <w:pPr>
        <w:pStyle w:val="Inhopg1"/>
        <w:rPr>
          <w:rFonts w:asciiTheme="minorHAnsi" w:hAnsiTheme="minorHAnsi" w:eastAsiaTheme="minorEastAsia" w:cstheme="minorBidi"/>
          <w:b w:val="0"/>
          <w:noProof/>
          <w:kern w:val="2"/>
          <w:sz w:val="24"/>
          <w:szCs w:val="24"/>
          <w14:ligatures w14:val="standardContextual"/>
        </w:rPr>
      </w:pPr>
      <w:hyperlink w:history="1" w:anchor="_Toc226640259">
        <w:r w:rsidRPr="0017764C">
          <w:rPr>
            <w:rStyle w:val="Hyperlink"/>
            <w:noProof/>
          </w:rPr>
          <w:t>3</w:t>
        </w:r>
        <w:r>
          <w:rPr>
            <w:rFonts w:asciiTheme="minorHAnsi" w:hAnsiTheme="minorHAnsi" w:eastAsiaTheme="minorEastAsia" w:cstheme="minorBidi"/>
            <w:b w:val="0"/>
            <w:noProof/>
            <w:kern w:val="2"/>
            <w:sz w:val="24"/>
            <w:szCs w:val="24"/>
            <w14:ligatures w14:val="standardContextual"/>
          </w:rPr>
          <w:tab/>
        </w:r>
        <w:r w:rsidRPr="0017764C">
          <w:rPr>
            <w:rStyle w:val="Hyperlink"/>
            <w:noProof/>
          </w:rPr>
          <w:t>Mogelijke oplossingsrichtingen</w:t>
        </w:r>
        <w:r>
          <w:rPr>
            <w:noProof/>
            <w:webHidden/>
          </w:rPr>
          <w:t xml:space="preserve"> </w:t>
        </w:r>
        <w:r>
          <w:rPr>
            <w:noProof/>
            <w:webHidden/>
          </w:rPr>
          <w:fldChar w:fldCharType="begin"/>
        </w:r>
        <w:r>
          <w:rPr>
            <w:noProof/>
            <w:webHidden/>
          </w:rPr>
          <w:instrText xml:space="preserve"> PAGEREF _Toc226640259 \h </w:instrText>
        </w:r>
        <w:r>
          <w:rPr>
            <w:noProof/>
            <w:webHidden/>
          </w:rPr>
        </w:r>
        <w:r>
          <w:rPr>
            <w:noProof/>
            <w:webHidden/>
          </w:rPr>
          <w:fldChar w:fldCharType="separate"/>
        </w:r>
        <w:r w:rsidR="00053786">
          <w:rPr>
            <w:noProof/>
            <w:webHidden/>
          </w:rPr>
          <w:t>25</w:t>
        </w:r>
        <w:r>
          <w:rPr>
            <w:noProof/>
            <w:webHidden/>
          </w:rPr>
          <w:fldChar w:fldCharType="end"/>
        </w:r>
      </w:hyperlink>
    </w:p>
    <w:p w:rsidR="008A7AE1" w:rsidRDefault="008A7AE1" w14:paraId="2D7210F2" w14:textId="3DA01057">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60">
        <w:r w:rsidRPr="0017764C">
          <w:rPr>
            <w:rStyle w:val="Hyperlink"/>
            <w:noProof/>
          </w:rPr>
          <w:t>3.1</w:t>
        </w:r>
        <w:r>
          <w:rPr>
            <w:rFonts w:asciiTheme="minorHAnsi" w:hAnsiTheme="minorHAnsi" w:eastAsiaTheme="minorEastAsia" w:cstheme="minorBidi"/>
            <w:noProof/>
            <w:kern w:val="2"/>
            <w:sz w:val="24"/>
            <w:szCs w:val="24"/>
            <w14:ligatures w14:val="standardContextual"/>
          </w:rPr>
          <w:tab/>
        </w:r>
        <w:r w:rsidRPr="0017764C">
          <w:rPr>
            <w:rStyle w:val="Hyperlink"/>
            <w:noProof/>
          </w:rPr>
          <w:t>Fiche 1A: Per 2031 afschaffen HRA voor hypotheken afgesloten vóór 2013 zonder overgangsregeling</w:t>
        </w:r>
        <w:r>
          <w:rPr>
            <w:noProof/>
            <w:webHidden/>
          </w:rPr>
          <w:t xml:space="preserve"> </w:t>
        </w:r>
        <w:r>
          <w:rPr>
            <w:noProof/>
            <w:webHidden/>
          </w:rPr>
          <w:fldChar w:fldCharType="begin"/>
        </w:r>
        <w:r>
          <w:rPr>
            <w:noProof/>
            <w:webHidden/>
          </w:rPr>
          <w:instrText xml:space="preserve"> PAGEREF _Toc226640260 \h </w:instrText>
        </w:r>
        <w:r>
          <w:rPr>
            <w:noProof/>
            <w:webHidden/>
          </w:rPr>
        </w:r>
        <w:r>
          <w:rPr>
            <w:noProof/>
            <w:webHidden/>
          </w:rPr>
          <w:fldChar w:fldCharType="separate"/>
        </w:r>
        <w:r w:rsidR="00053786">
          <w:rPr>
            <w:noProof/>
            <w:webHidden/>
          </w:rPr>
          <w:t>28</w:t>
        </w:r>
        <w:r>
          <w:rPr>
            <w:noProof/>
            <w:webHidden/>
          </w:rPr>
          <w:fldChar w:fldCharType="end"/>
        </w:r>
      </w:hyperlink>
    </w:p>
    <w:p w:rsidR="008A7AE1" w:rsidRDefault="008A7AE1" w14:paraId="0C00D927" w14:textId="48667D16">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61">
        <w:r w:rsidRPr="0017764C">
          <w:rPr>
            <w:rStyle w:val="Hyperlink"/>
            <w:i/>
            <w:iCs/>
            <w:noProof/>
          </w:rPr>
          <w:t>3.2</w:t>
        </w:r>
        <w:r>
          <w:rPr>
            <w:rFonts w:asciiTheme="minorHAnsi" w:hAnsiTheme="minorHAnsi" w:eastAsiaTheme="minorEastAsia" w:cstheme="minorBidi"/>
            <w:noProof/>
            <w:kern w:val="2"/>
            <w:sz w:val="24"/>
            <w:szCs w:val="24"/>
            <w14:ligatures w14:val="standardContextual"/>
          </w:rPr>
          <w:tab/>
        </w:r>
        <w:r w:rsidRPr="0017764C">
          <w:rPr>
            <w:rStyle w:val="Hyperlink"/>
            <w:noProof/>
          </w:rPr>
          <w:t xml:space="preserve">Fiche 1B: zoals 1A, maar met overgangsbepaling. Bij oversluiten naar annuïtair aflosschema geldt behoud van HRA </w:t>
        </w:r>
        <w:r w:rsidRPr="0017764C">
          <w:rPr>
            <w:rStyle w:val="Hyperlink"/>
            <w:i/>
            <w:iCs/>
            <w:noProof/>
          </w:rPr>
          <w:t>tot en met 2042</w:t>
        </w:r>
        <w:r>
          <w:rPr>
            <w:noProof/>
            <w:webHidden/>
          </w:rPr>
          <w:t xml:space="preserve"> </w:t>
        </w:r>
        <w:r>
          <w:rPr>
            <w:noProof/>
            <w:webHidden/>
          </w:rPr>
          <w:fldChar w:fldCharType="begin"/>
        </w:r>
        <w:r>
          <w:rPr>
            <w:noProof/>
            <w:webHidden/>
          </w:rPr>
          <w:instrText xml:space="preserve"> PAGEREF _Toc226640261 \h </w:instrText>
        </w:r>
        <w:r>
          <w:rPr>
            <w:noProof/>
            <w:webHidden/>
          </w:rPr>
        </w:r>
        <w:r>
          <w:rPr>
            <w:noProof/>
            <w:webHidden/>
          </w:rPr>
          <w:fldChar w:fldCharType="separate"/>
        </w:r>
        <w:r w:rsidR="00053786">
          <w:rPr>
            <w:noProof/>
            <w:webHidden/>
          </w:rPr>
          <w:t>29</w:t>
        </w:r>
        <w:r>
          <w:rPr>
            <w:noProof/>
            <w:webHidden/>
          </w:rPr>
          <w:fldChar w:fldCharType="end"/>
        </w:r>
      </w:hyperlink>
    </w:p>
    <w:p w:rsidR="008A7AE1" w:rsidRDefault="008A7AE1" w14:paraId="17975A5A" w14:textId="1DDE754F">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62">
        <w:r w:rsidRPr="0017764C">
          <w:rPr>
            <w:rStyle w:val="Hyperlink"/>
            <w:noProof/>
          </w:rPr>
          <w:t>3.3</w:t>
        </w:r>
        <w:r>
          <w:rPr>
            <w:rFonts w:asciiTheme="minorHAnsi" w:hAnsiTheme="minorHAnsi" w:eastAsiaTheme="minorEastAsia" w:cstheme="minorBidi"/>
            <w:noProof/>
            <w:kern w:val="2"/>
            <w:sz w:val="24"/>
            <w:szCs w:val="24"/>
            <w14:ligatures w14:val="standardContextual"/>
          </w:rPr>
          <w:tab/>
        </w:r>
        <w:r w:rsidRPr="0017764C">
          <w:rPr>
            <w:rStyle w:val="Hyperlink"/>
            <w:noProof/>
          </w:rPr>
          <w:t xml:space="preserve">Fiche 1C: zoals 1A, maar met overgangsbepaling. Bij oversluiten naar annuïtair aflosschema geldt behoud van HRA </w:t>
        </w:r>
        <w:r w:rsidRPr="0017764C">
          <w:rPr>
            <w:rStyle w:val="Hyperlink"/>
            <w:i/>
            <w:iCs/>
            <w:noProof/>
          </w:rPr>
          <w:t>tot einde looptijd lening</w:t>
        </w:r>
        <w:r>
          <w:rPr>
            <w:noProof/>
            <w:webHidden/>
          </w:rPr>
          <w:t xml:space="preserve"> </w:t>
        </w:r>
        <w:r>
          <w:rPr>
            <w:noProof/>
            <w:webHidden/>
          </w:rPr>
          <w:fldChar w:fldCharType="begin"/>
        </w:r>
        <w:r>
          <w:rPr>
            <w:noProof/>
            <w:webHidden/>
          </w:rPr>
          <w:instrText xml:space="preserve"> PAGEREF _Toc226640262 \h </w:instrText>
        </w:r>
        <w:r>
          <w:rPr>
            <w:noProof/>
            <w:webHidden/>
          </w:rPr>
        </w:r>
        <w:r>
          <w:rPr>
            <w:noProof/>
            <w:webHidden/>
          </w:rPr>
          <w:fldChar w:fldCharType="separate"/>
        </w:r>
        <w:r w:rsidR="00053786">
          <w:rPr>
            <w:noProof/>
            <w:webHidden/>
          </w:rPr>
          <w:t>30</w:t>
        </w:r>
        <w:r>
          <w:rPr>
            <w:noProof/>
            <w:webHidden/>
          </w:rPr>
          <w:fldChar w:fldCharType="end"/>
        </w:r>
      </w:hyperlink>
    </w:p>
    <w:p w:rsidR="008A7AE1" w:rsidRDefault="008A7AE1" w14:paraId="2471F67B" w14:textId="14227C66">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63">
        <w:r w:rsidRPr="0017764C">
          <w:rPr>
            <w:rStyle w:val="Hyperlink"/>
            <w:noProof/>
          </w:rPr>
          <w:t>3.4</w:t>
        </w:r>
        <w:r>
          <w:rPr>
            <w:rFonts w:asciiTheme="minorHAnsi" w:hAnsiTheme="minorHAnsi" w:eastAsiaTheme="minorEastAsia" w:cstheme="minorBidi"/>
            <w:noProof/>
            <w:kern w:val="2"/>
            <w:sz w:val="24"/>
            <w:szCs w:val="24"/>
            <w14:ligatures w14:val="standardContextual"/>
          </w:rPr>
          <w:tab/>
        </w:r>
        <w:r w:rsidRPr="0017764C">
          <w:rPr>
            <w:rStyle w:val="Hyperlink"/>
            <w:noProof/>
          </w:rPr>
          <w:t>Fiche 1D: zoals 1C, maar met uitbreiding voor leningen van na 1-1-2013</w:t>
        </w:r>
        <w:r>
          <w:rPr>
            <w:noProof/>
            <w:webHidden/>
          </w:rPr>
          <w:t xml:space="preserve"> </w:t>
        </w:r>
        <w:r>
          <w:rPr>
            <w:noProof/>
            <w:webHidden/>
          </w:rPr>
          <w:fldChar w:fldCharType="begin"/>
        </w:r>
        <w:r>
          <w:rPr>
            <w:noProof/>
            <w:webHidden/>
          </w:rPr>
          <w:instrText xml:space="preserve"> PAGEREF _Toc226640263 \h </w:instrText>
        </w:r>
        <w:r>
          <w:rPr>
            <w:noProof/>
            <w:webHidden/>
          </w:rPr>
        </w:r>
        <w:r>
          <w:rPr>
            <w:noProof/>
            <w:webHidden/>
          </w:rPr>
          <w:fldChar w:fldCharType="separate"/>
        </w:r>
        <w:r w:rsidR="00053786">
          <w:rPr>
            <w:noProof/>
            <w:webHidden/>
          </w:rPr>
          <w:t>30</w:t>
        </w:r>
        <w:r>
          <w:rPr>
            <w:noProof/>
            <w:webHidden/>
          </w:rPr>
          <w:fldChar w:fldCharType="end"/>
        </w:r>
      </w:hyperlink>
    </w:p>
    <w:p w:rsidR="008A7AE1" w:rsidRDefault="008A7AE1" w14:paraId="4309809C" w14:textId="6755786B">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64">
        <w:r w:rsidRPr="0017764C">
          <w:rPr>
            <w:rStyle w:val="Hyperlink"/>
            <w:noProof/>
          </w:rPr>
          <w:t>3.5</w:t>
        </w:r>
        <w:r>
          <w:rPr>
            <w:rFonts w:asciiTheme="minorHAnsi" w:hAnsiTheme="minorHAnsi" w:eastAsiaTheme="minorEastAsia" w:cstheme="minorBidi"/>
            <w:noProof/>
            <w:kern w:val="2"/>
            <w:sz w:val="24"/>
            <w:szCs w:val="24"/>
            <w14:ligatures w14:val="standardContextual"/>
          </w:rPr>
          <w:tab/>
        </w:r>
        <w:r w:rsidRPr="0017764C">
          <w:rPr>
            <w:rStyle w:val="Hyperlink"/>
            <w:noProof/>
          </w:rPr>
          <w:t>Fiche 2A: Per 2043 afschaffen HRA voor hypotheken afgesloten vóór 2013 (fiche 1A per 2043 i.p.v. 2031)</w:t>
        </w:r>
        <w:r>
          <w:rPr>
            <w:noProof/>
            <w:webHidden/>
          </w:rPr>
          <w:t xml:space="preserve"> </w:t>
        </w:r>
        <w:r>
          <w:rPr>
            <w:noProof/>
            <w:webHidden/>
          </w:rPr>
          <w:fldChar w:fldCharType="begin"/>
        </w:r>
        <w:r>
          <w:rPr>
            <w:noProof/>
            <w:webHidden/>
          </w:rPr>
          <w:instrText xml:space="preserve"> PAGEREF _Toc226640264 \h </w:instrText>
        </w:r>
        <w:r>
          <w:rPr>
            <w:noProof/>
            <w:webHidden/>
          </w:rPr>
        </w:r>
        <w:r>
          <w:rPr>
            <w:noProof/>
            <w:webHidden/>
          </w:rPr>
          <w:fldChar w:fldCharType="separate"/>
        </w:r>
        <w:r w:rsidR="00053786">
          <w:rPr>
            <w:noProof/>
            <w:webHidden/>
          </w:rPr>
          <w:t>31</w:t>
        </w:r>
        <w:r>
          <w:rPr>
            <w:noProof/>
            <w:webHidden/>
          </w:rPr>
          <w:fldChar w:fldCharType="end"/>
        </w:r>
      </w:hyperlink>
    </w:p>
    <w:p w:rsidR="008A7AE1" w:rsidRDefault="008A7AE1" w14:paraId="5E97B5CA" w14:textId="030A9C9A">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65">
        <w:r w:rsidRPr="0017764C">
          <w:rPr>
            <w:rStyle w:val="Hyperlink"/>
            <w:noProof/>
          </w:rPr>
          <w:t>3.6</w:t>
        </w:r>
        <w:r>
          <w:rPr>
            <w:rFonts w:asciiTheme="minorHAnsi" w:hAnsiTheme="minorHAnsi" w:eastAsiaTheme="minorEastAsia" w:cstheme="minorBidi"/>
            <w:noProof/>
            <w:kern w:val="2"/>
            <w:sz w:val="24"/>
            <w:szCs w:val="24"/>
            <w14:ligatures w14:val="standardContextual"/>
          </w:rPr>
          <w:tab/>
        </w:r>
        <w:r w:rsidRPr="0017764C">
          <w:rPr>
            <w:rStyle w:val="Hyperlink"/>
            <w:noProof/>
          </w:rPr>
          <w:t>Fiche 2B: zoals 2A, maar met uitbreiding voor leningen van na 1-1-2013</w:t>
        </w:r>
        <w:r>
          <w:rPr>
            <w:noProof/>
            <w:webHidden/>
          </w:rPr>
          <w:t xml:space="preserve"> </w:t>
        </w:r>
        <w:r>
          <w:rPr>
            <w:noProof/>
            <w:webHidden/>
          </w:rPr>
          <w:fldChar w:fldCharType="begin"/>
        </w:r>
        <w:r>
          <w:rPr>
            <w:noProof/>
            <w:webHidden/>
          </w:rPr>
          <w:instrText xml:space="preserve"> PAGEREF _Toc226640265 \h </w:instrText>
        </w:r>
        <w:r>
          <w:rPr>
            <w:noProof/>
            <w:webHidden/>
          </w:rPr>
        </w:r>
        <w:r>
          <w:rPr>
            <w:noProof/>
            <w:webHidden/>
          </w:rPr>
          <w:fldChar w:fldCharType="separate"/>
        </w:r>
        <w:r w:rsidR="00053786">
          <w:rPr>
            <w:noProof/>
            <w:webHidden/>
          </w:rPr>
          <w:t>31</w:t>
        </w:r>
        <w:r>
          <w:rPr>
            <w:noProof/>
            <w:webHidden/>
          </w:rPr>
          <w:fldChar w:fldCharType="end"/>
        </w:r>
      </w:hyperlink>
    </w:p>
    <w:p w:rsidR="008A7AE1" w:rsidRDefault="008A7AE1" w14:paraId="7D25ED68" w14:textId="6354C5D6">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66">
        <w:r w:rsidRPr="0017764C">
          <w:rPr>
            <w:rStyle w:val="Hyperlink"/>
            <w:noProof/>
          </w:rPr>
          <w:t>3.7</w:t>
        </w:r>
        <w:r>
          <w:rPr>
            <w:rFonts w:asciiTheme="minorHAnsi" w:hAnsiTheme="minorHAnsi" w:eastAsiaTheme="minorEastAsia" w:cstheme="minorBidi"/>
            <w:noProof/>
            <w:kern w:val="2"/>
            <w:sz w:val="24"/>
            <w:szCs w:val="24"/>
            <w14:ligatures w14:val="standardContextual"/>
          </w:rPr>
          <w:tab/>
        </w:r>
        <w:r w:rsidRPr="0017764C">
          <w:rPr>
            <w:rStyle w:val="Hyperlink"/>
            <w:noProof/>
          </w:rPr>
          <w:t>Fiche 3: fiche 1A, maar met geleidelijke afbouw HRA voor BEWS vanaf 2031</w:t>
        </w:r>
        <w:r>
          <w:rPr>
            <w:noProof/>
            <w:webHidden/>
          </w:rPr>
          <w:t xml:space="preserve"> </w:t>
        </w:r>
        <w:r>
          <w:rPr>
            <w:noProof/>
            <w:webHidden/>
          </w:rPr>
          <w:fldChar w:fldCharType="begin"/>
        </w:r>
        <w:r>
          <w:rPr>
            <w:noProof/>
            <w:webHidden/>
          </w:rPr>
          <w:instrText xml:space="preserve"> PAGEREF _Toc226640266 \h </w:instrText>
        </w:r>
        <w:r>
          <w:rPr>
            <w:noProof/>
            <w:webHidden/>
          </w:rPr>
        </w:r>
        <w:r>
          <w:rPr>
            <w:noProof/>
            <w:webHidden/>
          </w:rPr>
          <w:fldChar w:fldCharType="separate"/>
        </w:r>
        <w:r w:rsidR="00053786">
          <w:rPr>
            <w:noProof/>
            <w:webHidden/>
          </w:rPr>
          <w:t>32</w:t>
        </w:r>
        <w:r>
          <w:rPr>
            <w:noProof/>
            <w:webHidden/>
          </w:rPr>
          <w:fldChar w:fldCharType="end"/>
        </w:r>
      </w:hyperlink>
    </w:p>
    <w:p w:rsidR="008A7AE1" w:rsidRDefault="008A7AE1" w14:paraId="3311A59E" w14:textId="38555840">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26640267">
        <w:r w:rsidRPr="0017764C">
          <w:rPr>
            <w:rStyle w:val="Hyperlink"/>
            <w:noProof/>
          </w:rPr>
          <w:t>3.8</w:t>
        </w:r>
        <w:r>
          <w:rPr>
            <w:rFonts w:asciiTheme="minorHAnsi" w:hAnsiTheme="minorHAnsi" w:eastAsiaTheme="minorEastAsia" w:cstheme="minorBidi"/>
            <w:noProof/>
            <w:kern w:val="2"/>
            <w:sz w:val="24"/>
            <w:szCs w:val="24"/>
            <w14:ligatures w14:val="standardContextual"/>
          </w:rPr>
          <w:tab/>
        </w:r>
        <w:r w:rsidRPr="0017764C">
          <w:rPr>
            <w:rStyle w:val="Hyperlink"/>
            <w:noProof/>
          </w:rPr>
          <w:t>(Beleids)context en duiding van de oplossingsrichtingen</w:t>
        </w:r>
        <w:r>
          <w:rPr>
            <w:noProof/>
            <w:webHidden/>
          </w:rPr>
          <w:t xml:space="preserve"> </w:t>
        </w:r>
        <w:r>
          <w:rPr>
            <w:noProof/>
            <w:webHidden/>
          </w:rPr>
          <w:fldChar w:fldCharType="begin"/>
        </w:r>
        <w:r>
          <w:rPr>
            <w:noProof/>
            <w:webHidden/>
          </w:rPr>
          <w:instrText xml:space="preserve"> PAGEREF _Toc226640267 \h </w:instrText>
        </w:r>
        <w:r>
          <w:rPr>
            <w:noProof/>
            <w:webHidden/>
          </w:rPr>
        </w:r>
        <w:r>
          <w:rPr>
            <w:noProof/>
            <w:webHidden/>
          </w:rPr>
          <w:fldChar w:fldCharType="separate"/>
        </w:r>
        <w:r w:rsidR="00053786">
          <w:rPr>
            <w:noProof/>
            <w:webHidden/>
          </w:rPr>
          <w:t>32</w:t>
        </w:r>
        <w:r>
          <w:rPr>
            <w:noProof/>
            <w:webHidden/>
          </w:rPr>
          <w:fldChar w:fldCharType="end"/>
        </w:r>
      </w:hyperlink>
    </w:p>
    <w:p w:rsidR="008A7AE1" w:rsidRDefault="008A7AE1" w14:paraId="470B7B89" w14:textId="2D087CBE">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26640268">
        <w:r w:rsidRPr="0017764C">
          <w:rPr>
            <w:rStyle w:val="Hyperlink"/>
            <w:noProof/>
          </w:rPr>
          <w:t>3.8.1</w:t>
        </w:r>
        <w:r>
          <w:rPr>
            <w:rFonts w:asciiTheme="minorHAnsi" w:hAnsiTheme="minorHAnsi" w:eastAsiaTheme="minorEastAsia" w:cstheme="minorBidi"/>
            <w:noProof/>
            <w:kern w:val="2"/>
            <w:sz w:val="24"/>
            <w:szCs w:val="24"/>
            <w14:ligatures w14:val="standardContextual"/>
          </w:rPr>
          <w:tab/>
        </w:r>
        <w:r w:rsidRPr="0017764C">
          <w:rPr>
            <w:rStyle w:val="Hyperlink"/>
            <w:noProof/>
          </w:rPr>
          <w:t>(Macro)economische gevolgen</w:t>
        </w:r>
        <w:r>
          <w:rPr>
            <w:noProof/>
            <w:webHidden/>
          </w:rPr>
          <w:t xml:space="preserve"> </w:t>
        </w:r>
        <w:r>
          <w:rPr>
            <w:noProof/>
            <w:webHidden/>
          </w:rPr>
          <w:fldChar w:fldCharType="begin"/>
        </w:r>
        <w:r>
          <w:rPr>
            <w:noProof/>
            <w:webHidden/>
          </w:rPr>
          <w:instrText xml:space="preserve"> PAGEREF _Toc226640268 \h </w:instrText>
        </w:r>
        <w:r>
          <w:rPr>
            <w:noProof/>
            <w:webHidden/>
          </w:rPr>
        </w:r>
        <w:r>
          <w:rPr>
            <w:noProof/>
            <w:webHidden/>
          </w:rPr>
          <w:fldChar w:fldCharType="separate"/>
        </w:r>
        <w:r w:rsidR="00053786">
          <w:rPr>
            <w:noProof/>
            <w:webHidden/>
          </w:rPr>
          <w:t>32</w:t>
        </w:r>
        <w:r>
          <w:rPr>
            <w:noProof/>
            <w:webHidden/>
          </w:rPr>
          <w:fldChar w:fldCharType="end"/>
        </w:r>
      </w:hyperlink>
    </w:p>
    <w:p w:rsidR="008A7AE1" w:rsidRDefault="008A7AE1" w14:paraId="1E8F0825" w14:textId="3D530450">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26640269">
        <w:r w:rsidRPr="0017764C">
          <w:rPr>
            <w:rStyle w:val="Hyperlink"/>
            <w:noProof/>
          </w:rPr>
          <w:t>3.8.2</w:t>
        </w:r>
        <w:r>
          <w:rPr>
            <w:rFonts w:asciiTheme="minorHAnsi" w:hAnsiTheme="minorHAnsi" w:eastAsiaTheme="minorEastAsia" w:cstheme="minorBidi"/>
            <w:noProof/>
            <w:kern w:val="2"/>
            <w:sz w:val="24"/>
            <w:szCs w:val="24"/>
            <w14:ligatures w14:val="standardContextual"/>
          </w:rPr>
          <w:tab/>
        </w:r>
        <w:r w:rsidRPr="0017764C">
          <w:rPr>
            <w:rStyle w:val="Hyperlink"/>
            <w:noProof/>
          </w:rPr>
          <w:t>Inkomenseffecten</w:t>
        </w:r>
        <w:r>
          <w:rPr>
            <w:noProof/>
            <w:webHidden/>
          </w:rPr>
          <w:t xml:space="preserve"> </w:t>
        </w:r>
        <w:r>
          <w:rPr>
            <w:noProof/>
            <w:webHidden/>
          </w:rPr>
          <w:fldChar w:fldCharType="begin"/>
        </w:r>
        <w:r>
          <w:rPr>
            <w:noProof/>
            <w:webHidden/>
          </w:rPr>
          <w:instrText xml:space="preserve"> PAGEREF _Toc226640269 \h </w:instrText>
        </w:r>
        <w:r>
          <w:rPr>
            <w:noProof/>
            <w:webHidden/>
          </w:rPr>
        </w:r>
        <w:r>
          <w:rPr>
            <w:noProof/>
            <w:webHidden/>
          </w:rPr>
          <w:fldChar w:fldCharType="separate"/>
        </w:r>
        <w:r w:rsidR="00053786">
          <w:rPr>
            <w:noProof/>
            <w:webHidden/>
          </w:rPr>
          <w:t>33</w:t>
        </w:r>
        <w:r>
          <w:rPr>
            <w:noProof/>
            <w:webHidden/>
          </w:rPr>
          <w:fldChar w:fldCharType="end"/>
        </w:r>
      </w:hyperlink>
    </w:p>
    <w:p w:rsidR="008A7AE1" w:rsidRDefault="008A7AE1" w14:paraId="703830F4" w14:textId="0E99F76A">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26640270">
        <w:r w:rsidRPr="0017764C">
          <w:rPr>
            <w:rStyle w:val="Hyperlink"/>
            <w:noProof/>
          </w:rPr>
          <w:t>3.8.3</w:t>
        </w:r>
        <w:r>
          <w:rPr>
            <w:rFonts w:asciiTheme="minorHAnsi" w:hAnsiTheme="minorHAnsi" w:eastAsiaTheme="minorEastAsia" w:cstheme="minorBidi"/>
            <w:noProof/>
            <w:kern w:val="2"/>
            <w:sz w:val="24"/>
            <w:szCs w:val="24"/>
            <w14:ligatures w14:val="standardContextual"/>
          </w:rPr>
          <w:tab/>
        </w:r>
        <w:r w:rsidRPr="0017764C">
          <w:rPr>
            <w:rStyle w:val="Hyperlink"/>
            <w:noProof/>
          </w:rPr>
          <w:t>Interactie met box 3</w:t>
        </w:r>
        <w:r>
          <w:rPr>
            <w:noProof/>
            <w:webHidden/>
          </w:rPr>
          <w:t xml:space="preserve"> </w:t>
        </w:r>
        <w:r>
          <w:rPr>
            <w:noProof/>
            <w:webHidden/>
          </w:rPr>
          <w:fldChar w:fldCharType="begin"/>
        </w:r>
        <w:r>
          <w:rPr>
            <w:noProof/>
            <w:webHidden/>
          </w:rPr>
          <w:instrText xml:space="preserve"> PAGEREF _Toc226640270 \h </w:instrText>
        </w:r>
        <w:r>
          <w:rPr>
            <w:noProof/>
            <w:webHidden/>
          </w:rPr>
        </w:r>
        <w:r>
          <w:rPr>
            <w:noProof/>
            <w:webHidden/>
          </w:rPr>
          <w:fldChar w:fldCharType="separate"/>
        </w:r>
        <w:r w:rsidR="00053786">
          <w:rPr>
            <w:noProof/>
            <w:webHidden/>
          </w:rPr>
          <w:t>34</w:t>
        </w:r>
        <w:r>
          <w:rPr>
            <w:noProof/>
            <w:webHidden/>
          </w:rPr>
          <w:fldChar w:fldCharType="end"/>
        </w:r>
      </w:hyperlink>
    </w:p>
    <w:p w:rsidR="008A7AE1" w:rsidRDefault="008A7AE1" w14:paraId="36BB05B7" w14:textId="1CEB10FD">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26640271">
        <w:r w:rsidRPr="0017764C">
          <w:rPr>
            <w:rStyle w:val="Hyperlink"/>
            <w:noProof/>
          </w:rPr>
          <w:t>3.8.4</w:t>
        </w:r>
        <w:r>
          <w:rPr>
            <w:rFonts w:asciiTheme="minorHAnsi" w:hAnsiTheme="minorHAnsi" w:eastAsiaTheme="minorEastAsia" w:cstheme="minorBidi"/>
            <w:noProof/>
            <w:kern w:val="2"/>
            <w:sz w:val="24"/>
            <w:szCs w:val="24"/>
            <w14:ligatures w14:val="standardContextual"/>
          </w:rPr>
          <w:tab/>
        </w:r>
        <w:r w:rsidRPr="0017764C">
          <w:rPr>
            <w:rStyle w:val="Hyperlink"/>
            <w:noProof/>
          </w:rPr>
          <w:t>Budgettair</w:t>
        </w:r>
        <w:r>
          <w:rPr>
            <w:noProof/>
            <w:webHidden/>
          </w:rPr>
          <w:t xml:space="preserve"> </w:t>
        </w:r>
        <w:r>
          <w:rPr>
            <w:noProof/>
            <w:webHidden/>
          </w:rPr>
          <w:fldChar w:fldCharType="begin"/>
        </w:r>
        <w:r>
          <w:rPr>
            <w:noProof/>
            <w:webHidden/>
          </w:rPr>
          <w:instrText xml:space="preserve"> PAGEREF _Toc226640271 \h </w:instrText>
        </w:r>
        <w:r>
          <w:rPr>
            <w:noProof/>
            <w:webHidden/>
          </w:rPr>
        </w:r>
        <w:r>
          <w:rPr>
            <w:noProof/>
            <w:webHidden/>
          </w:rPr>
          <w:fldChar w:fldCharType="separate"/>
        </w:r>
        <w:r w:rsidR="00053786">
          <w:rPr>
            <w:noProof/>
            <w:webHidden/>
          </w:rPr>
          <w:t>34</w:t>
        </w:r>
        <w:r>
          <w:rPr>
            <w:noProof/>
            <w:webHidden/>
          </w:rPr>
          <w:fldChar w:fldCharType="end"/>
        </w:r>
      </w:hyperlink>
    </w:p>
    <w:p w:rsidR="008A7AE1" w:rsidRDefault="008A7AE1" w14:paraId="3FD707BC" w14:textId="33902E12">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26640272">
        <w:r w:rsidRPr="0017764C">
          <w:rPr>
            <w:rStyle w:val="Hyperlink"/>
            <w:noProof/>
          </w:rPr>
          <w:t>3.8.5</w:t>
        </w:r>
        <w:r>
          <w:rPr>
            <w:rFonts w:asciiTheme="minorHAnsi" w:hAnsiTheme="minorHAnsi" w:eastAsiaTheme="minorEastAsia" w:cstheme="minorBidi"/>
            <w:noProof/>
            <w:kern w:val="2"/>
            <w:sz w:val="24"/>
            <w:szCs w:val="24"/>
            <w14:ligatures w14:val="standardContextual"/>
          </w:rPr>
          <w:tab/>
        </w:r>
        <w:r w:rsidRPr="0017764C">
          <w:rPr>
            <w:rStyle w:val="Hyperlink"/>
            <w:noProof/>
          </w:rPr>
          <w:t>Doenvermogen en administratieve lasten</w:t>
        </w:r>
        <w:r>
          <w:rPr>
            <w:noProof/>
            <w:webHidden/>
          </w:rPr>
          <w:t xml:space="preserve"> </w:t>
        </w:r>
        <w:r>
          <w:rPr>
            <w:noProof/>
            <w:webHidden/>
          </w:rPr>
          <w:fldChar w:fldCharType="begin"/>
        </w:r>
        <w:r>
          <w:rPr>
            <w:noProof/>
            <w:webHidden/>
          </w:rPr>
          <w:instrText xml:space="preserve"> PAGEREF _Toc226640272 \h </w:instrText>
        </w:r>
        <w:r>
          <w:rPr>
            <w:noProof/>
            <w:webHidden/>
          </w:rPr>
        </w:r>
        <w:r>
          <w:rPr>
            <w:noProof/>
            <w:webHidden/>
          </w:rPr>
          <w:fldChar w:fldCharType="separate"/>
        </w:r>
        <w:r w:rsidR="00053786">
          <w:rPr>
            <w:noProof/>
            <w:webHidden/>
          </w:rPr>
          <w:t>37</w:t>
        </w:r>
        <w:r>
          <w:rPr>
            <w:noProof/>
            <w:webHidden/>
          </w:rPr>
          <w:fldChar w:fldCharType="end"/>
        </w:r>
      </w:hyperlink>
    </w:p>
    <w:p w:rsidR="008A7AE1" w:rsidRDefault="008A7AE1" w14:paraId="3750915D" w14:textId="7E9F4150">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26640273">
        <w:r w:rsidRPr="0017764C">
          <w:rPr>
            <w:rStyle w:val="Hyperlink"/>
            <w:noProof/>
          </w:rPr>
          <w:t>3.8.6</w:t>
        </w:r>
        <w:r>
          <w:rPr>
            <w:rFonts w:asciiTheme="minorHAnsi" w:hAnsiTheme="minorHAnsi" w:eastAsiaTheme="minorEastAsia" w:cstheme="minorBidi"/>
            <w:noProof/>
            <w:kern w:val="2"/>
            <w:sz w:val="24"/>
            <w:szCs w:val="24"/>
            <w14:ligatures w14:val="standardContextual"/>
          </w:rPr>
          <w:tab/>
        </w:r>
        <w:r w:rsidRPr="0017764C">
          <w:rPr>
            <w:rStyle w:val="Hyperlink"/>
            <w:noProof/>
          </w:rPr>
          <w:t>Uitvoeringsaspecten</w:t>
        </w:r>
        <w:r>
          <w:rPr>
            <w:noProof/>
            <w:webHidden/>
          </w:rPr>
          <w:t xml:space="preserve"> </w:t>
        </w:r>
        <w:r>
          <w:rPr>
            <w:noProof/>
            <w:webHidden/>
          </w:rPr>
          <w:fldChar w:fldCharType="begin"/>
        </w:r>
        <w:r>
          <w:rPr>
            <w:noProof/>
            <w:webHidden/>
          </w:rPr>
          <w:instrText xml:space="preserve"> PAGEREF _Toc226640273 \h </w:instrText>
        </w:r>
        <w:r>
          <w:rPr>
            <w:noProof/>
            <w:webHidden/>
          </w:rPr>
        </w:r>
        <w:r>
          <w:rPr>
            <w:noProof/>
            <w:webHidden/>
          </w:rPr>
          <w:fldChar w:fldCharType="separate"/>
        </w:r>
        <w:r w:rsidR="00053786">
          <w:rPr>
            <w:noProof/>
            <w:webHidden/>
          </w:rPr>
          <w:t>37</w:t>
        </w:r>
        <w:r>
          <w:rPr>
            <w:noProof/>
            <w:webHidden/>
          </w:rPr>
          <w:fldChar w:fldCharType="end"/>
        </w:r>
      </w:hyperlink>
    </w:p>
    <w:p w:rsidR="008A7AE1" w:rsidRDefault="008A7AE1" w14:paraId="28E55D00" w14:textId="26750C61">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26640274">
        <w:r w:rsidRPr="0017764C">
          <w:rPr>
            <w:rStyle w:val="Hyperlink"/>
            <w:noProof/>
          </w:rPr>
          <w:t>3.8.7</w:t>
        </w:r>
        <w:r>
          <w:rPr>
            <w:rFonts w:asciiTheme="minorHAnsi" w:hAnsiTheme="minorHAnsi" w:eastAsiaTheme="minorEastAsia" w:cstheme="minorBidi"/>
            <w:noProof/>
            <w:kern w:val="2"/>
            <w:sz w:val="24"/>
            <w:szCs w:val="24"/>
            <w14:ligatures w14:val="standardContextual"/>
          </w:rPr>
          <w:tab/>
        </w:r>
        <w:r w:rsidRPr="0017764C">
          <w:rPr>
            <w:rStyle w:val="Hyperlink"/>
            <w:noProof/>
          </w:rPr>
          <w:t>Overig</w:t>
        </w:r>
        <w:r>
          <w:rPr>
            <w:noProof/>
            <w:webHidden/>
          </w:rPr>
          <w:t xml:space="preserve"> </w:t>
        </w:r>
        <w:r>
          <w:rPr>
            <w:noProof/>
            <w:webHidden/>
          </w:rPr>
          <w:fldChar w:fldCharType="begin"/>
        </w:r>
        <w:r>
          <w:rPr>
            <w:noProof/>
            <w:webHidden/>
          </w:rPr>
          <w:instrText xml:space="preserve"> PAGEREF _Toc226640274 \h </w:instrText>
        </w:r>
        <w:r>
          <w:rPr>
            <w:noProof/>
            <w:webHidden/>
          </w:rPr>
        </w:r>
        <w:r>
          <w:rPr>
            <w:noProof/>
            <w:webHidden/>
          </w:rPr>
          <w:fldChar w:fldCharType="separate"/>
        </w:r>
        <w:r w:rsidR="00053786">
          <w:rPr>
            <w:noProof/>
            <w:webHidden/>
          </w:rPr>
          <w:t>38</w:t>
        </w:r>
        <w:r>
          <w:rPr>
            <w:noProof/>
            <w:webHidden/>
          </w:rPr>
          <w:fldChar w:fldCharType="end"/>
        </w:r>
      </w:hyperlink>
    </w:p>
    <w:p w:rsidR="008A7AE1" w:rsidRDefault="008A7AE1" w14:paraId="022D9608" w14:textId="1212EF7D">
      <w:pPr>
        <w:pStyle w:val="Inhopg1"/>
        <w:rPr>
          <w:rFonts w:asciiTheme="minorHAnsi" w:hAnsiTheme="minorHAnsi" w:eastAsiaTheme="minorEastAsia" w:cstheme="minorBidi"/>
          <w:b w:val="0"/>
          <w:noProof/>
          <w:kern w:val="2"/>
          <w:sz w:val="24"/>
          <w:szCs w:val="24"/>
          <w14:ligatures w14:val="standardContextual"/>
        </w:rPr>
      </w:pPr>
      <w:hyperlink w:history="1" w:anchor="_Toc226640275">
        <w:r w:rsidRPr="0017764C">
          <w:rPr>
            <w:rStyle w:val="Hyperlink"/>
            <w:noProof/>
          </w:rPr>
          <w:t>4</w:t>
        </w:r>
        <w:r>
          <w:rPr>
            <w:rFonts w:asciiTheme="minorHAnsi" w:hAnsiTheme="minorHAnsi" w:eastAsiaTheme="minorEastAsia" w:cstheme="minorBidi"/>
            <w:b w:val="0"/>
            <w:noProof/>
            <w:kern w:val="2"/>
            <w:sz w:val="24"/>
            <w:szCs w:val="24"/>
            <w14:ligatures w14:val="standardContextual"/>
          </w:rPr>
          <w:tab/>
        </w:r>
        <w:r w:rsidRPr="0017764C">
          <w:rPr>
            <w:rStyle w:val="Hyperlink"/>
            <w:noProof/>
          </w:rPr>
          <w:t>Bijlage 1 Fichebundel</w:t>
        </w:r>
        <w:r>
          <w:rPr>
            <w:noProof/>
            <w:webHidden/>
          </w:rPr>
          <w:t xml:space="preserve"> </w:t>
        </w:r>
        <w:r>
          <w:rPr>
            <w:noProof/>
            <w:webHidden/>
          </w:rPr>
          <w:fldChar w:fldCharType="begin"/>
        </w:r>
        <w:r>
          <w:rPr>
            <w:noProof/>
            <w:webHidden/>
          </w:rPr>
          <w:instrText xml:space="preserve"> PAGEREF _Toc226640275 \h </w:instrText>
        </w:r>
        <w:r>
          <w:rPr>
            <w:noProof/>
            <w:webHidden/>
          </w:rPr>
        </w:r>
        <w:r>
          <w:rPr>
            <w:noProof/>
            <w:webHidden/>
          </w:rPr>
          <w:fldChar w:fldCharType="separate"/>
        </w:r>
        <w:r w:rsidR="00053786">
          <w:rPr>
            <w:noProof/>
            <w:webHidden/>
          </w:rPr>
          <w:t>39</w:t>
        </w:r>
        <w:r>
          <w:rPr>
            <w:noProof/>
            <w:webHidden/>
          </w:rPr>
          <w:fldChar w:fldCharType="end"/>
        </w:r>
      </w:hyperlink>
    </w:p>
    <w:p w:rsidR="008A7AE1" w:rsidRDefault="008A7AE1" w14:paraId="29E159E5" w14:textId="1B80BBAD">
      <w:pPr>
        <w:pStyle w:val="Inhopg1"/>
        <w:rPr>
          <w:rFonts w:asciiTheme="minorHAnsi" w:hAnsiTheme="minorHAnsi" w:eastAsiaTheme="minorEastAsia" w:cstheme="minorBidi"/>
          <w:b w:val="0"/>
          <w:noProof/>
          <w:kern w:val="2"/>
          <w:sz w:val="24"/>
          <w:szCs w:val="24"/>
          <w14:ligatures w14:val="standardContextual"/>
        </w:rPr>
      </w:pPr>
      <w:hyperlink w:history="1" w:anchor="_Toc226640276">
        <w:r w:rsidRPr="0017764C">
          <w:rPr>
            <w:rStyle w:val="Hyperlink"/>
            <w:noProof/>
          </w:rPr>
          <w:t>5</w:t>
        </w:r>
        <w:r>
          <w:rPr>
            <w:rFonts w:asciiTheme="minorHAnsi" w:hAnsiTheme="minorHAnsi" w:eastAsiaTheme="minorEastAsia" w:cstheme="minorBidi"/>
            <w:b w:val="0"/>
            <w:noProof/>
            <w:kern w:val="2"/>
            <w:sz w:val="24"/>
            <w:szCs w:val="24"/>
            <w14:ligatures w14:val="standardContextual"/>
          </w:rPr>
          <w:tab/>
        </w:r>
        <w:r w:rsidRPr="0017764C">
          <w:rPr>
            <w:rStyle w:val="Hyperlink"/>
            <w:noProof/>
          </w:rPr>
          <w:t>Bijlage 2 voorbeeldsituaties</w:t>
        </w:r>
        <w:r>
          <w:rPr>
            <w:noProof/>
            <w:webHidden/>
          </w:rPr>
          <w:t xml:space="preserve"> </w:t>
        </w:r>
        <w:r>
          <w:rPr>
            <w:noProof/>
            <w:webHidden/>
          </w:rPr>
          <w:fldChar w:fldCharType="begin"/>
        </w:r>
        <w:r>
          <w:rPr>
            <w:noProof/>
            <w:webHidden/>
          </w:rPr>
          <w:instrText xml:space="preserve"> PAGEREF _Toc226640276 \h </w:instrText>
        </w:r>
        <w:r>
          <w:rPr>
            <w:noProof/>
            <w:webHidden/>
          </w:rPr>
        </w:r>
        <w:r>
          <w:rPr>
            <w:noProof/>
            <w:webHidden/>
          </w:rPr>
          <w:fldChar w:fldCharType="separate"/>
        </w:r>
        <w:r w:rsidR="00053786">
          <w:rPr>
            <w:noProof/>
            <w:webHidden/>
          </w:rPr>
          <w:t>57</w:t>
        </w:r>
        <w:r>
          <w:rPr>
            <w:noProof/>
            <w:webHidden/>
          </w:rPr>
          <w:fldChar w:fldCharType="end"/>
        </w:r>
      </w:hyperlink>
    </w:p>
    <w:p w:rsidR="008A7AE1" w:rsidRDefault="008A7AE1" w14:paraId="45426762" w14:textId="5B762FA6">
      <w:pPr>
        <w:pStyle w:val="Inhopg1"/>
        <w:rPr>
          <w:rFonts w:asciiTheme="minorHAnsi" w:hAnsiTheme="minorHAnsi" w:eastAsiaTheme="minorEastAsia" w:cstheme="minorBidi"/>
          <w:b w:val="0"/>
          <w:noProof/>
          <w:kern w:val="2"/>
          <w:sz w:val="24"/>
          <w:szCs w:val="24"/>
          <w14:ligatures w14:val="standardContextual"/>
        </w:rPr>
      </w:pPr>
      <w:hyperlink w:history="1" w:anchor="_Toc226640277">
        <w:r w:rsidRPr="0017764C">
          <w:rPr>
            <w:rStyle w:val="Hyperlink"/>
            <w:noProof/>
          </w:rPr>
          <w:t>6</w:t>
        </w:r>
        <w:r>
          <w:rPr>
            <w:rFonts w:asciiTheme="minorHAnsi" w:hAnsiTheme="minorHAnsi" w:eastAsiaTheme="minorEastAsia" w:cstheme="minorBidi"/>
            <w:b w:val="0"/>
            <w:noProof/>
            <w:kern w:val="2"/>
            <w:sz w:val="24"/>
            <w:szCs w:val="24"/>
            <w14:ligatures w14:val="standardContextual"/>
          </w:rPr>
          <w:tab/>
        </w:r>
        <w:r w:rsidRPr="0017764C">
          <w:rPr>
            <w:rStyle w:val="Hyperlink"/>
            <w:noProof/>
          </w:rPr>
          <w:t>Bijlage 3 budgettaire effecten afschaffen HRA voor hypotheken afgesloten vóór 2013 – tussenliggende jaren</w:t>
        </w:r>
        <w:r>
          <w:rPr>
            <w:noProof/>
            <w:webHidden/>
          </w:rPr>
          <w:t xml:space="preserve"> </w:t>
        </w:r>
        <w:r>
          <w:rPr>
            <w:noProof/>
            <w:webHidden/>
          </w:rPr>
          <w:fldChar w:fldCharType="begin"/>
        </w:r>
        <w:r>
          <w:rPr>
            <w:noProof/>
            <w:webHidden/>
          </w:rPr>
          <w:instrText xml:space="preserve"> PAGEREF _Toc226640277 \h </w:instrText>
        </w:r>
        <w:r>
          <w:rPr>
            <w:noProof/>
            <w:webHidden/>
          </w:rPr>
        </w:r>
        <w:r>
          <w:rPr>
            <w:noProof/>
            <w:webHidden/>
          </w:rPr>
          <w:fldChar w:fldCharType="separate"/>
        </w:r>
        <w:r w:rsidR="00053786">
          <w:rPr>
            <w:noProof/>
            <w:webHidden/>
          </w:rPr>
          <w:t>59</w:t>
        </w:r>
        <w:r>
          <w:rPr>
            <w:noProof/>
            <w:webHidden/>
          </w:rPr>
          <w:fldChar w:fldCharType="end"/>
        </w:r>
      </w:hyperlink>
    </w:p>
    <w:p w:rsidR="00AD3A32" w:rsidP="00E1619F" w:rsidRDefault="00A26CDC" w14:paraId="1F84E622" w14:textId="77777777">
      <w:pPr>
        <w:pStyle w:val="Inhopg1"/>
      </w:pPr>
      <w:r>
        <w:rPr>
          <w:b w:val="0"/>
        </w:rPr>
        <w:fldChar w:fldCharType="end"/>
      </w:r>
      <w:r w:rsidR="00E1619F">
        <w:t xml:space="preserve"> </w:t>
      </w:r>
    </w:p>
    <w:p w:rsidR="00AD3A32" w:rsidRDefault="00AD3A32" w14:paraId="487D5D6C" w14:textId="77777777">
      <w:pPr>
        <w:sectPr w:rsidR="00AD3A32">
          <w:headerReference w:type="default" r:id="rId13"/>
          <w:footerReference w:type="default" r:id="rId14"/>
          <w:pgSz w:w="11905" w:h="16837"/>
          <w:pgMar w:top="2641" w:right="963" w:bottom="1077" w:left="3231" w:header="0" w:footer="0" w:gutter="0"/>
          <w:cols w:space="708"/>
        </w:sectPr>
      </w:pPr>
    </w:p>
    <w:p w:rsidRPr="00AA1093" w:rsidR="00AD3A32" w:rsidP="00AA1093" w:rsidRDefault="00F2505F" w14:paraId="0C75E57C" w14:textId="77777777">
      <w:pPr>
        <w:pStyle w:val="Kop1-nietgenummerd"/>
      </w:pPr>
      <w:bookmarkStart w:name="_Toc222756868" w:id="0"/>
      <w:bookmarkStart w:name="_Toc223516955" w:id="1"/>
      <w:bookmarkStart w:name="_Toc223517842" w:id="2"/>
      <w:bookmarkStart w:name="_Toc226640250" w:id="3"/>
      <w:r w:rsidRPr="00AA1093">
        <w:lastRenderedPageBreak/>
        <w:t>Samenvatting</w:t>
      </w:r>
      <w:bookmarkEnd w:id="0"/>
      <w:bookmarkEnd w:id="1"/>
      <w:bookmarkEnd w:id="2"/>
      <w:bookmarkEnd w:id="3"/>
    </w:p>
    <w:p w:rsidR="00EA173F" w:rsidP="00EA173F" w:rsidRDefault="00EA173F" w14:paraId="21F17315" w14:textId="77777777">
      <w:r w:rsidRPr="00F62866">
        <w:t>Dit rapport brengt de problematiek rondom de 30-jaarstermijn</w:t>
      </w:r>
      <w:r>
        <w:t xml:space="preserve"> en de gevolgen hiervan</w:t>
      </w:r>
      <w:r w:rsidRPr="00F62866">
        <w:t xml:space="preserve"> </w:t>
      </w:r>
      <w:r>
        <w:t>voor</w:t>
      </w:r>
      <w:r w:rsidRPr="00F62866">
        <w:t xml:space="preserve"> de hypotheekrenteaftrek (HRA</w:t>
      </w:r>
      <w:r w:rsidR="00EC795F">
        <w:rPr>
          <w:rStyle w:val="Voetnootmarkering"/>
        </w:rPr>
        <w:footnoteReference w:id="1"/>
      </w:r>
      <w:r w:rsidRPr="00F62866">
        <w:t xml:space="preserve">) in beeld en presenteert verschillende oplossingsrichtingen. De 30-jaarstermijn </w:t>
      </w:r>
      <w:r>
        <w:t>is sinds</w:t>
      </w:r>
      <w:r w:rsidRPr="00F62866">
        <w:t xml:space="preserve"> 2001 van toepassing</w:t>
      </w:r>
      <w:r>
        <w:t xml:space="preserve">. </w:t>
      </w:r>
      <w:r w:rsidR="006F02BE">
        <w:t>De regeling bepaalt</w:t>
      </w:r>
      <w:r w:rsidRPr="00F62866">
        <w:t xml:space="preserve"> dat </w:t>
      </w:r>
      <w:r>
        <w:t>de</w:t>
      </w:r>
      <w:r w:rsidRPr="00F62866">
        <w:t xml:space="preserve"> hypotheekrente</w:t>
      </w:r>
      <w:r>
        <w:t xml:space="preserve"> van een lening</w:t>
      </w:r>
      <w:r w:rsidRPr="00F62866">
        <w:t xml:space="preserve"> maximaal 30 jaar aftrekbaar is in box</w:t>
      </w:r>
      <w:r w:rsidR="00541EA4">
        <w:t> </w:t>
      </w:r>
      <w:r w:rsidRPr="00F62866">
        <w:t xml:space="preserve">1. </w:t>
      </w:r>
      <w:r>
        <w:t>De bedoeling van de 30-jaarstermijn is om onbeperkte HRA</w:t>
      </w:r>
      <w:r w:rsidR="00EC795F">
        <w:t xml:space="preserve"> in box 1</w:t>
      </w:r>
      <w:r w:rsidRPr="00F62866">
        <w:t xml:space="preserve"> te voorkomen, aflossing te stimuleren en </w:t>
      </w:r>
      <w:r>
        <w:t xml:space="preserve">om </w:t>
      </w:r>
      <w:r w:rsidRPr="00F62866">
        <w:t>de</w:t>
      </w:r>
      <w:r>
        <w:t xml:space="preserve"> belastingderving</w:t>
      </w:r>
      <w:r w:rsidRPr="00F62866">
        <w:t xml:space="preserve"> te beperken. Na de</w:t>
      </w:r>
      <w:r>
        <w:t>ze</w:t>
      </w:r>
      <w:r w:rsidRPr="00F62866">
        <w:t xml:space="preserve"> periode</w:t>
      </w:r>
      <w:r>
        <w:t xml:space="preserve"> </w:t>
      </w:r>
      <w:r w:rsidR="00D81373">
        <w:t xml:space="preserve">van 30 jaar </w:t>
      </w:r>
      <w:r w:rsidRPr="00F62866">
        <w:t>vervalt het recht op HRA</w:t>
      </w:r>
      <w:r>
        <w:t xml:space="preserve"> in box 1</w:t>
      </w:r>
      <w:r w:rsidR="00D81373">
        <w:t xml:space="preserve"> en als de lening dan nog niet volledig is afgelost gaat deze</w:t>
      </w:r>
      <w:r>
        <w:t xml:space="preserve"> over naar</w:t>
      </w:r>
      <w:r w:rsidRPr="00F62866">
        <w:t xml:space="preserve"> box 3</w:t>
      </w:r>
      <w:r w:rsidR="00927251">
        <w:rPr>
          <w:rStyle w:val="Voetnootmarkering"/>
        </w:rPr>
        <w:footnoteReference w:id="2"/>
      </w:r>
      <w:r w:rsidR="002F7ADC">
        <w:t>.</w:t>
      </w:r>
      <w:r>
        <w:t xml:space="preserve"> De 30-jaarstermijn heeft ook tot gevolg dat in de toekomst voor het bedrag van de lening geen eigenwoningschuld meer kan worden afgesloten</w:t>
      </w:r>
      <w:r w:rsidR="00EC795F">
        <w:t xml:space="preserve"> (die in aanmerking komt voor HRA)</w:t>
      </w:r>
      <w:r>
        <w:t>. Op 1 januari 2031 loopt de 30-jaarstermijn af voor de eerste, gro</w:t>
      </w:r>
      <w:r w:rsidR="002F7ADC">
        <w:t>t</w:t>
      </w:r>
      <w:r>
        <w:t xml:space="preserve">e groep belastingplichtigen die een hypotheek </w:t>
      </w:r>
      <w:proofErr w:type="gramStart"/>
      <w:r>
        <w:t>hebben</w:t>
      </w:r>
      <w:proofErr w:type="gramEnd"/>
      <w:r>
        <w:t xml:space="preserve"> van voor 2001.</w:t>
      </w:r>
      <w:r w:rsidR="00927251">
        <w:t xml:space="preserve"> In de evaluatie van de eigenwoningregeling door </w:t>
      </w:r>
      <w:proofErr w:type="spellStart"/>
      <w:r w:rsidR="00927251">
        <w:t>Panteia</w:t>
      </w:r>
      <w:proofErr w:type="spellEnd"/>
      <w:r w:rsidR="00927251">
        <w:rPr>
          <w:rStyle w:val="Voetnootmarkering"/>
        </w:rPr>
        <w:footnoteReference w:id="3"/>
      </w:r>
      <w:r w:rsidR="00927251">
        <w:t xml:space="preserve"> </w:t>
      </w:r>
      <w:r w:rsidR="006A3F81">
        <w:t>uit</w:t>
      </w:r>
      <w:r w:rsidR="00927251">
        <w:t xml:space="preserve"> 2019 en het rapport Bouwstenen voor een beter</w:t>
      </w:r>
      <w:r w:rsidR="006A3F81">
        <w:t xml:space="preserve"> en eenvoudiger</w:t>
      </w:r>
      <w:r w:rsidR="00927251">
        <w:t xml:space="preserve"> belastingstelsel</w:t>
      </w:r>
      <w:r w:rsidR="00927251">
        <w:rPr>
          <w:rStyle w:val="Voetnootmarkering"/>
        </w:rPr>
        <w:footnoteReference w:id="4"/>
      </w:r>
      <w:r w:rsidR="00927251">
        <w:t xml:space="preserve"> </w:t>
      </w:r>
      <w:r w:rsidR="006A3F81">
        <w:t>uit</w:t>
      </w:r>
      <w:r w:rsidR="00927251">
        <w:t xml:space="preserve"> 2024 is al uitgebreid aandacht besteed aan deze problematiek.</w:t>
      </w:r>
      <w:r w:rsidR="006A3F81">
        <w:t xml:space="preserve"> Voor dit onderzoek is ook gebruik gemaakt van deze onderzoeken.</w:t>
      </w:r>
      <w:r w:rsidRPr="00F62866">
        <w:t xml:space="preserve"> </w:t>
      </w:r>
      <w:r w:rsidR="006A3F81">
        <w:t>Ook is ten behoeve van dit onderzoek een sessie georganiseerd met stakeholders</w:t>
      </w:r>
      <w:r w:rsidR="002F7ADC">
        <w:t>.</w:t>
      </w:r>
    </w:p>
    <w:p w:rsidR="00091D0F" w:rsidP="00F2505F" w:rsidRDefault="00091D0F" w14:paraId="46D8A679" w14:textId="77777777"/>
    <w:p w:rsidR="00EA173F" w:rsidP="00F2505F" w:rsidRDefault="00EA173F" w14:paraId="0077527E" w14:textId="77777777">
      <w:r w:rsidRPr="002F7ADC">
        <w:t>De problematiek van de 30-jaarstermijn spitst zich met name toe op eigenwoningleningen (hierna ook: hypotheken) afgesloten vóór 2013.</w:t>
      </w:r>
      <w:r w:rsidRPr="006A3F81">
        <w:t xml:space="preserve"> </w:t>
      </w:r>
      <w:r>
        <w:t>De</w:t>
      </w:r>
      <w:r w:rsidR="00781FEA">
        <w:t>ze</w:t>
      </w:r>
      <w:r>
        <w:t xml:space="preserve"> hypotheken</w:t>
      </w:r>
      <w:r w:rsidR="00D81373">
        <w:t xml:space="preserve"> </w:t>
      </w:r>
      <w:r w:rsidRPr="00F62866">
        <w:t>vallen onder het overgangsrecht, de zogenaamde ‘bestaande eigenwoningschulden’ (BEWS).</w:t>
      </w:r>
      <w:r>
        <w:t xml:space="preserve"> Dit zijn met name aflossingsvrije hypotheken</w:t>
      </w:r>
      <w:r w:rsidR="00140137">
        <w:t>.</w:t>
      </w:r>
      <w:r>
        <w:t xml:space="preserve"> Voor belastingplichtigen met een BEWS is vaak niet duidelijk of zij al 30 jaar gebruikgemaakt hebben van HRA. Ook spaar-, beleggings-, of levenshypotheken </w:t>
      </w:r>
      <w:r w:rsidR="00781FEA">
        <w:t>(</w:t>
      </w:r>
      <w:r w:rsidR="00140137">
        <w:t xml:space="preserve">hierna ook: </w:t>
      </w:r>
      <w:r w:rsidR="00781FEA">
        <w:t xml:space="preserve">SEW/BEW/KEW) </w:t>
      </w:r>
      <w:r>
        <w:t xml:space="preserve">vallen onder het overgangsrecht. Voor deze hypotheken is aflossing van (een deel van) de hypotheek binnen 30 jaar gewaarborgd. </w:t>
      </w:r>
    </w:p>
    <w:p w:rsidR="00EA173F" w:rsidP="00F2505F" w:rsidRDefault="00EA173F" w14:paraId="7CA459C7" w14:textId="77777777"/>
    <w:p w:rsidR="00EA173F" w:rsidP="00F2505F" w:rsidRDefault="00EA173F" w14:paraId="4815155D" w14:textId="77777777">
      <w:r w:rsidRPr="002F7ADC">
        <w:t>Voor leningen die vanaf 2013 zijn afgesloten is de 30-jaarstermijn een minder groot probleem.</w:t>
      </w:r>
      <w:r>
        <w:t xml:space="preserve"> Sinds</w:t>
      </w:r>
      <w:r w:rsidR="00D81373">
        <w:t xml:space="preserve"> 2013</w:t>
      </w:r>
      <w:r>
        <w:t xml:space="preserve"> bestaat alleen recht op HRA voor leningen d</w:t>
      </w:r>
      <w:r w:rsidRPr="00F62866">
        <w:t>ie in</w:t>
      </w:r>
      <w:r>
        <w:t xml:space="preserve"> maximaal 3</w:t>
      </w:r>
      <w:r w:rsidR="00A4637D">
        <w:t xml:space="preserve">60 maanden </w:t>
      </w:r>
      <w:r>
        <w:t>worden afgelost. Wel geldt dat – indien van toepassing - rekening moet worden gehouden met de verstreken looptijd van een BEWS. Voor belastingplichtigen die ook een lening hadden afgesloten vóór 2013, tellen</w:t>
      </w:r>
      <w:r w:rsidR="00781FEA">
        <w:t xml:space="preserve"> dus</w:t>
      </w:r>
      <w:r>
        <w:t xml:space="preserve"> de </w:t>
      </w:r>
      <w:proofErr w:type="gramStart"/>
      <w:r>
        <w:t>reeds</w:t>
      </w:r>
      <w:proofErr w:type="gramEnd"/>
      <w:r>
        <w:t xml:space="preserve"> verstreken jaren van die oorspronkelijke 30-jaarstermijn mee voor de maximale periode waarop recht op HRA bestaat voor de ‘nieuwe’ lening. In zo’n situatie stopt het recht op HRA dus voordat de periode van 360 maanden is verstreken en dus voordat de lening volledig is afgelost.</w:t>
      </w:r>
      <w:r w:rsidR="00C26EC9">
        <w:t xml:space="preserve"> De figuur hieronder geeft een versimpeld, schematisch overzicht van de problematiek rondom de 30-jaarstermijn:</w:t>
      </w:r>
    </w:p>
    <w:p w:rsidR="00C26EC9" w:rsidP="00F2505F" w:rsidRDefault="00C26EC9" w14:paraId="6BE16FB8" w14:textId="77777777"/>
    <w:p w:rsidR="00C26EC9" w:rsidP="00F2505F" w:rsidRDefault="00C26EC9" w14:paraId="4287C501" w14:textId="77777777"/>
    <w:p w:rsidR="001C4D8B" w:rsidP="001C4D8B" w:rsidRDefault="00C26EC9" w14:paraId="6D9D8536" w14:textId="77777777">
      <w:bookmarkStart w:name="_Toc222756869" w:id="4"/>
      <w:r w:rsidRPr="00C26EC9">
        <w:rPr>
          <w:noProof/>
        </w:rPr>
        <w:lastRenderedPageBreak/>
        <w:drawing>
          <wp:anchor distT="0" distB="0" distL="114300" distR="114300" simplePos="0" relativeHeight="251685888" behindDoc="0" locked="0" layoutInCell="1" allowOverlap="1" wp14:editId="78A42A3D" wp14:anchorId="0135665A">
            <wp:simplePos x="0" y="0"/>
            <wp:positionH relativeFrom="margin">
              <wp:posOffset>-1685925</wp:posOffset>
            </wp:positionH>
            <wp:positionV relativeFrom="paragraph">
              <wp:posOffset>124</wp:posOffset>
            </wp:positionV>
            <wp:extent cx="6690251" cy="3061846"/>
            <wp:effectExtent l="0" t="0" r="0" b="5715"/>
            <wp:wrapSquare wrapText="bothSides"/>
            <wp:docPr id="9040943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94385" name=""/>
                    <pic:cNvPicPr/>
                  </pic:nvPicPr>
                  <pic:blipFill>
                    <a:blip r:embed="rId15">
                      <a:extLst>
                        <a:ext uri="{28A0092B-C50C-407E-A947-70E740481C1C}">
                          <a14:useLocalDpi xmlns:a14="http://schemas.microsoft.com/office/drawing/2010/main" val="0"/>
                        </a:ext>
                      </a:extLst>
                    </a:blip>
                    <a:stretch>
                      <a:fillRect/>
                    </a:stretch>
                  </pic:blipFill>
                  <pic:spPr>
                    <a:xfrm>
                      <a:off x="0" y="0"/>
                      <a:ext cx="6699349" cy="3066010"/>
                    </a:xfrm>
                    <a:prstGeom prst="rect">
                      <a:avLst/>
                    </a:prstGeom>
                  </pic:spPr>
                </pic:pic>
              </a:graphicData>
            </a:graphic>
            <wp14:sizeRelH relativeFrom="page">
              <wp14:pctWidth>0</wp14:pctWidth>
            </wp14:sizeRelH>
            <wp14:sizeRelV relativeFrom="page">
              <wp14:pctHeight>0</wp14:pctHeight>
            </wp14:sizeRelV>
          </wp:anchor>
        </w:drawing>
      </w:r>
      <w:r w:rsidR="001C4D8B">
        <w:t xml:space="preserve"> </w:t>
      </w:r>
      <w:r w:rsidRPr="00F62866" w:rsidR="001C4D8B">
        <w:t xml:space="preserve"> </w:t>
      </w:r>
    </w:p>
    <w:p w:rsidR="00C26EC9" w:rsidP="001C4D8B" w:rsidRDefault="00C26EC9" w14:paraId="4F0C5E41" w14:textId="77777777">
      <w:pPr>
        <w:rPr>
          <w:b/>
          <w:bCs/>
        </w:rPr>
      </w:pPr>
    </w:p>
    <w:p w:rsidR="00541BCD" w:rsidP="001C4D8B" w:rsidRDefault="00541BCD" w14:paraId="2888C459" w14:textId="77777777"/>
    <w:p w:rsidR="002B1FD0" w:rsidP="001C4D8B" w:rsidRDefault="002B1FD0" w14:paraId="21E150EB" w14:textId="77777777">
      <w:pPr>
        <w:rPr>
          <w:i/>
          <w:iCs/>
        </w:rPr>
      </w:pPr>
    </w:p>
    <w:p w:rsidR="001C4D8B" w:rsidP="001C4D8B" w:rsidRDefault="001C4D8B" w14:paraId="5BE9FEE4" w14:textId="77777777">
      <w:pPr>
        <w:rPr>
          <w:i/>
          <w:iCs/>
        </w:rPr>
      </w:pPr>
      <w:r w:rsidRPr="00F62866">
        <w:rPr>
          <w:i/>
          <w:iCs/>
        </w:rPr>
        <w:t>Knelpunten rondom de 30-jaarstermijn</w:t>
      </w:r>
    </w:p>
    <w:p w:rsidRPr="00F62866" w:rsidR="001C4D8B" w:rsidP="001C4D8B" w:rsidRDefault="001C4D8B" w14:paraId="3AE46185" w14:textId="77777777">
      <w:pPr>
        <w:rPr>
          <w:i/>
          <w:iCs/>
        </w:rPr>
      </w:pPr>
    </w:p>
    <w:p w:rsidRPr="006A3F81" w:rsidR="006A3F81" w:rsidP="006A3F81" w:rsidRDefault="006A3F81" w14:paraId="667E0C59" w14:textId="77777777">
      <w:r w:rsidRPr="006A3F81">
        <w:t>De Belastingdienst beschikt niet over voldoende historische gegevens om het recht op HRA goed te controleren en belastingplichtigen te informeren. Voor het controleren van de 30</w:t>
      </w:r>
      <w:r w:rsidRPr="006A3F81">
        <w:noBreakHyphen/>
        <w:t xml:space="preserve">jaarstermijn is uitgebreide historische informatie vereist die meestal ontbreekt. Door wettelijke bewaartermijnen is bepaalde data niet meer voorhanden, vooral van leningen van vóór 2013. Ook informatie van derden, bijvoorbeeld het Kadaster, is onvoldoende om de 30-jaarstermijn goed te kunnen handhaven. Complexe situaties, zoals wisselende eigendomsverhoudingen, partnerschappen en </w:t>
      </w:r>
      <w:r w:rsidRPr="006A3F81">
        <w:rPr>
          <w:i/>
          <w:iCs/>
        </w:rPr>
        <w:t>life events</w:t>
      </w:r>
      <w:r w:rsidRPr="006A3F81">
        <w:t>, vergroten het probleem. Dit leidt tot onzekerheid over de status van het recht op HRA en fouten in aanslagen, waardoor mogelijk ten onrechte HRA geclaimd wordt.</w:t>
      </w:r>
    </w:p>
    <w:p w:rsidR="006A3F81" w:rsidP="009E3A48" w:rsidRDefault="006A3F81" w14:paraId="0CAC94CB" w14:textId="77777777"/>
    <w:p w:rsidR="004645C4" w:rsidP="009E3A48" w:rsidRDefault="009E3A48" w14:paraId="53D4D6C8" w14:textId="77777777">
      <w:r w:rsidRPr="002F7ADC">
        <w:t>De 30-jaarstermijn kan voor belastingplichtigen zeer complex zijn</w:t>
      </w:r>
      <w:r w:rsidRPr="002F7ADC" w:rsidR="00781FEA">
        <w:t xml:space="preserve">, met name </w:t>
      </w:r>
      <w:r w:rsidRPr="002F7ADC">
        <w:t>door</w:t>
      </w:r>
      <w:r w:rsidRPr="002F7ADC" w:rsidR="00781FEA">
        <w:t xml:space="preserve"> </w:t>
      </w:r>
      <w:r w:rsidRPr="002F7ADC">
        <w:rPr>
          <w:i/>
          <w:iCs/>
        </w:rPr>
        <w:t>life events</w:t>
      </w:r>
      <w:r w:rsidRPr="002F7ADC" w:rsidR="00781FEA">
        <w:t>.</w:t>
      </w:r>
      <w:r w:rsidRPr="00CF1ABF" w:rsidR="00781FEA">
        <w:rPr>
          <w:b/>
          <w:bCs/>
        </w:rPr>
        <w:t xml:space="preserve"> </w:t>
      </w:r>
      <w:r>
        <w:t xml:space="preserve">Bij </w:t>
      </w:r>
      <w:r w:rsidRPr="00BD1FBB">
        <w:rPr>
          <w:i/>
          <w:iCs/>
        </w:rPr>
        <w:t>life events</w:t>
      </w:r>
      <w:r w:rsidRPr="00701EC4">
        <w:t xml:space="preserve"> kan gedacht worden aan</w:t>
      </w:r>
      <w:r w:rsidRPr="006F6757">
        <w:t xml:space="preserve"> </w:t>
      </w:r>
      <w:r>
        <w:t>samenwonen, echt</w:t>
      </w:r>
      <w:r w:rsidRPr="006F6757">
        <w:t>scheiding, verhuiz</w:t>
      </w:r>
      <w:r>
        <w:t>en</w:t>
      </w:r>
      <w:r w:rsidRPr="006F6757">
        <w:t xml:space="preserve"> of verbouwen. Er is vaak onvoldoende inzicht in hoeveel jaren van de 30-jaarstermijn zijn </w:t>
      </w:r>
      <w:r>
        <w:t>verstreken</w:t>
      </w:r>
      <w:r w:rsidRPr="006F6757">
        <w:t xml:space="preserve">. Dit </w:t>
      </w:r>
      <w:r>
        <w:t>geldt nog sterker voor</w:t>
      </w:r>
      <w:r w:rsidRPr="006F6757">
        <w:t xml:space="preserve"> </w:t>
      </w:r>
      <w:proofErr w:type="spellStart"/>
      <w:r w:rsidRPr="006F6757">
        <w:t>leningdelen</w:t>
      </w:r>
      <w:proofErr w:type="spellEnd"/>
      <w:r w:rsidRPr="006F6757">
        <w:t xml:space="preserve"> met verschillende startdat</w:t>
      </w:r>
      <w:r>
        <w:t>a</w:t>
      </w:r>
      <w:r w:rsidRPr="006F6757">
        <w:t xml:space="preserve">. </w:t>
      </w:r>
      <w:r w:rsidRPr="006F02BE" w:rsidR="004645C4">
        <w:t xml:space="preserve">Belastingplichtigen moeten vanaf 2031 aannemelijk maken dat zij nog binnen de 30-jaarstermijn vallen. In veel gevallen kunnen zij dit </w:t>
      </w:r>
      <w:r w:rsidRPr="00CD5D92" w:rsidR="004645C4">
        <w:t xml:space="preserve">echter niet. </w:t>
      </w:r>
      <w:r w:rsidRPr="00CD5D92" w:rsidR="00CD5D92">
        <w:t>Als d</w:t>
      </w:r>
      <w:r w:rsidRPr="00CD5D92" w:rsidR="004645C4">
        <w:t xml:space="preserve">e Belastingdienst gegevens </w:t>
      </w:r>
      <w:r w:rsidRPr="00F13D71" w:rsidR="004645C4">
        <w:t>opvra</w:t>
      </w:r>
      <w:r w:rsidRPr="00F13D71" w:rsidR="00CD5D92">
        <w:t>agt</w:t>
      </w:r>
      <w:r w:rsidRPr="00CD5D92" w:rsidR="00CD5D92">
        <w:t xml:space="preserve"> zal</w:t>
      </w:r>
      <w:r w:rsidRPr="00CD5D92" w:rsidR="004645C4">
        <w:t xml:space="preserve"> veelal de</w:t>
      </w:r>
      <w:r w:rsidRPr="006F02BE" w:rsidR="004645C4">
        <w:t xml:space="preserve"> belastingplichtige, hypotheekadviseur of bank niet meer beschikken over alle historische informatie die nodig is om te bepalen of er nog recht bestaat op HRA. De regeling is daarmee voor burgers zodanig ondoenlijk en complex, dat deze in de praktijk nagenoeg niet handhaafbaar is. </w:t>
      </w:r>
      <w:r w:rsidR="00EC795F">
        <w:t>Omdat de bewijslast bij belastingplichtigen ligt kan i</w:t>
      </w:r>
      <w:r w:rsidRPr="006F02BE" w:rsidR="004645C4">
        <w:t>n die gevallen het recht op HRA</w:t>
      </w:r>
      <w:r w:rsidR="00F13D71">
        <w:t xml:space="preserve"> (deels) vervallen</w:t>
      </w:r>
      <w:r w:rsidRPr="006F02BE" w:rsidR="004645C4">
        <w:t xml:space="preserve"> voordat de 30-jaarstermijn verstreken is. </w:t>
      </w:r>
      <w:r w:rsidR="00F13D71">
        <w:t xml:space="preserve">Ook is het mogelijk dat belastingplichtigen ten onrechte wel HRA claimen en toegekend krijgen, terwijl de 30-jaarstermijn (deels) is verstreken. Ten slotte </w:t>
      </w:r>
      <w:r w:rsidRPr="006F02BE" w:rsidR="004645C4">
        <w:t>zal de ene belastingplichtige zekerheidshalve geen HRA claimen, terwijl de ander dat juist wel zal doen. D</w:t>
      </w:r>
      <w:r w:rsidR="006A3F81">
        <w:t xml:space="preserve">it </w:t>
      </w:r>
      <w:r w:rsidRPr="006F02BE" w:rsidR="004645C4">
        <w:t xml:space="preserve">raakt </w:t>
      </w:r>
      <w:r w:rsidR="00B1778E">
        <w:t xml:space="preserve">aan </w:t>
      </w:r>
      <w:r w:rsidRPr="006F02BE" w:rsidR="004645C4">
        <w:t>de belastingmoraal.</w:t>
      </w:r>
    </w:p>
    <w:p w:rsidR="004645C4" w:rsidP="009E3A48" w:rsidRDefault="004645C4" w14:paraId="2740A8D9" w14:textId="77777777"/>
    <w:p w:rsidR="006A3F81" w:rsidP="009E3A48" w:rsidRDefault="002F7ADC" w14:paraId="769A5FC6" w14:textId="77777777">
      <w:r>
        <w:lastRenderedPageBreak/>
        <w:t>Ook k</w:t>
      </w:r>
      <w:r w:rsidRPr="002F7ADC" w:rsidR="009E3A48">
        <w:t>redietverstrekkers en financieel adviseurs lopen tegen de grenzen van het systeem aan door het ontbreken van een uniform en compleet hypotheekoverzicht.</w:t>
      </w:r>
      <w:r w:rsidRPr="006A3F81" w:rsidR="009E3A48">
        <w:t xml:space="preserve"> Dossiers</w:t>
      </w:r>
      <w:r w:rsidRPr="006F6757" w:rsidR="009E3A48">
        <w:t xml:space="preserve"> zijn vaak niet volledig, zeker als de klant van aanbieder is gewisseld. Dit belemmert passend advies en het</w:t>
      </w:r>
      <w:r w:rsidR="009E3A48">
        <w:t xml:space="preserve"> juist kunnen</w:t>
      </w:r>
      <w:r w:rsidRPr="006F6757" w:rsidR="009E3A48">
        <w:t xml:space="preserve"> beoordelen van het recht op HRA. Adviseurs zijn afhankelijk van gegevens die door de klant verstrekt worden, wat tot uitvoeringsproblemen en risico's leidt bij het verstrekken van hypotheken en belastingadvies. De financiële sector ervaart deze problematiek breed en waarschuwt voor fouten, onzekerheid en </w:t>
      </w:r>
      <w:r w:rsidR="009E3A48">
        <w:t>mogelijke</w:t>
      </w:r>
      <w:r w:rsidRPr="006F6757" w:rsidR="009E3A48">
        <w:t xml:space="preserve"> lastenverzwaring</w:t>
      </w:r>
      <w:r w:rsidR="009E3A48">
        <w:t>en bij onduidelijkheden over het resterende recht op HRA.</w:t>
      </w:r>
    </w:p>
    <w:p w:rsidR="001C4D8B" w:rsidP="001C4D8B" w:rsidRDefault="001C4D8B" w14:paraId="1B59320F" w14:textId="77777777"/>
    <w:p w:rsidR="00A567A1" w:rsidP="00796DE9" w:rsidRDefault="00A567A1" w14:paraId="47E21821" w14:textId="77777777">
      <w:pPr>
        <w:rPr>
          <w:b/>
          <w:bCs/>
        </w:rPr>
      </w:pPr>
    </w:p>
    <w:p w:rsidRPr="00A567A1" w:rsidR="00A567A1" w:rsidP="00A567A1" w:rsidRDefault="00A567A1" w14:paraId="47C48A0C" w14:textId="77777777">
      <w:r w:rsidRPr="00A567A1">
        <w:rPr>
          <w:b/>
          <w:bCs/>
        </w:rPr>
        <w:t xml:space="preserve">Het is volgens de werkgroep noodzakelijk dat er besluitvorming plaatsvindt over hoe om te gaan met de 30-jaarstermijn. </w:t>
      </w:r>
      <w:r w:rsidRPr="00A567A1">
        <w:t>Uit het rapport volgt dat de</w:t>
      </w:r>
      <w:r>
        <w:t xml:space="preserve"> 30-jaarstermijn problematisch is voor belastingplichtigen en de</w:t>
      </w:r>
      <w:r w:rsidRPr="00A567A1">
        <w:t xml:space="preserve"> uitvoerbaarheid (door </w:t>
      </w:r>
      <w:r>
        <w:t>de Belastingdienst</w:t>
      </w:r>
      <w:r w:rsidRPr="00A567A1">
        <w:t xml:space="preserve"> en financieel dienstverleners) en handhaafbaarheid (door de Belastingdienst)</w:t>
      </w:r>
      <w:r>
        <w:t xml:space="preserve"> ervan</w:t>
      </w:r>
      <w:r w:rsidRPr="00A567A1">
        <w:t xml:space="preserve"> ernstig onder druk staan. </w:t>
      </w:r>
      <w:bookmarkStart w:name="_Hlk224804986" w:id="5"/>
      <w:r w:rsidRPr="00A567A1">
        <w:t xml:space="preserve">Als er geen besluitvorming plaatsvindt – en de huidige situatie dus in stand blijft – </w:t>
      </w:r>
      <w:r w:rsidR="0048497C">
        <w:t xml:space="preserve">worden vanaf 2031 problemen voorzien rondom de uitvoerbaarheid en handhaafbaarheid van de 30-jaarstermijn. Bovendien </w:t>
      </w:r>
      <w:r w:rsidR="002F7ADC">
        <w:t>kunnen de</w:t>
      </w:r>
      <w:r w:rsidRPr="00A567A1">
        <w:t xml:space="preserve"> gemiste </w:t>
      </w:r>
      <w:r w:rsidR="002F7ADC">
        <w:t xml:space="preserve">jaarlijkse </w:t>
      </w:r>
      <w:r w:rsidRPr="00A567A1">
        <w:t xml:space="preserve">belastingopbrengsten vanaf 2031 </w:t>
      </w:r>
      <w:r w:rsidR="00CF001C">
        <w:t>oplopen tot boven de 100 miljoen euro door het (on)bewust overschrijden van de 30-jaarstermijn door burgers</w:t>
      </w:r>
      <w:r w:rsidRPr="00A567A1">
        <w:t>.</w:t>
      </w:r>
      <w:bookmarkEnd w:id="5"/>
      <w:r w:rsidRPr="00A567A1">
        <w:t xml:space="preserve"> Met de in dit rapport gepresenteerde oplossingsrichtingen kan de problematiek rondom de 30-</w:t>
      </w:r>
      <w:r w:rsidRPr="00A567A1" w:rsidR="00541EA4">
        <w:t>jaars</w:t>
      </w:r>
      <w:r w:rsidR="00541EA4">
        <w:t>termijn</w:t>
      </w:r>
      <w:r w:rsidRPr="00A567A1" w:rsidR="00541EA4">
        <w:t xml:space="preserve"> </w:t>
      </w:r>
      <w:r w:rsidR="00EC795F">
        <w:t>aanzienlijk verminderd worden</w:t>
      </w:r>
      <w:r w:rsidRPr="00A567A1">
        <w:t xml:space="preserve">, waardoor er duidelijkheid komt voor belastingplichtigen, financieel dienstverleners en de Belastingdienst. Elke optie heeft voor- en nadelen qua budgettaire gevolgen, impact op belastingplichtigen, macro-economische effecten en uitvoerbaarheid. </w:t>
      </w:r>
    </w:p>
    <w:p w:rsidR="00796DE9" w:rsidP="001C4D8B" w:rsidRDefault="00796DE9" w14:paraId="59F0C2F4" w14:textId="77777777"/>
    <w:p w:rsidRPr="00F62866" w:rsidR="002B1FD0" w:rsidP="001C4D8B" w:rsidRDefault="002B1FD0" w14:paraId="0473E742" w14:textId="77777777"/>
    <w:p w:rsidR="001C4D8B" w:rsidP="001C4D8B" w:rsidRDefault="001C4D8B" w14:paraId="6D7B6F91" w14:textId="77777777">
      <w:pPr>
        <w:rPr>
          <w:i/>
          <w:iCs/>
        </w:rPr>
      </w:pPr>
      <w:r w:rsidRPr="00F62866">
        <w:rPr>
          <w:i/>
          <w:iCs/>
        </w:rPr>
        <w:t>Oplossingsrichtingen</w:t>
      </w:r>
    </w:p>
    <w:p w:rsidR="009E3A48" w:rsidP="009E3A48" w:rsidRDefault="009E3A48" w14:paraId="33740E67" w14:textId="77777777"/>
    <w:p w:rsidR="00EC795F" w:rsidP="009E3A48" w:rsidRDefault="00CD5D92" w14:paraId="065961A9" w14:textId="77777777">
      <w:r>
        <w:rPr>
          <w:b/>
          <w:bCs/>
        </w:rPr>
        <w:t>In het rapport wordt</w:t>
      </w:r>
      <w:r w:rsidRPr="00B45159" w:rsidR="009E3A48">
        <w:rPr>
          <w:b/>
          <w:bCs/>
        </w:rPr>
        <w:t xml:space="preserve"> </w:t>
      </w:r>
      <w:r>
        <w:rPr>
          <w:b/>
          <w:bCs/>
        </w:rPr>
        <w:t>ge</w:t>
      </w:r>
      <w:r w:rsidRPr="00B45159" w:rsidR="009E3A48">
        <w:rPr>
          <w:b/>
          <w:bCs/>
        </w:rPr>
        <w:t>constateer</w:t>
      </w:r>
      <w:r>
        <w:rPr>
          <w:b/>
          <w:bCs/>
        </w:rPr>
        <w:t>d</w:t>
      </w:r>
      <w:r w:rsidRPr="00B45159" w:rsidR="009E3A48">
        <w:rPr>
          <w:b/>
          <w:bCs/>
        </w:rPr>
        <w:t xml:space="preserve"> dat de huidige regeling </w:t>
      </w:r>
      <w:proofErr w:type="gramStart"/>
      <w:r w:rsidRPr="00B45159" w:rsidR="009E3A48">
        <w:rPr>
          <w:b/>
          <w:bCs/>
        </w:rPr>
        <w:t>teveel</w:t>
      </w:r>
      <w:proofErr w:type="gramEnd"/>
      <w:r w:rsidRPr="00B45159" w:rsidR="009E3A48">
        <w:rPr>
          <w:b/>
          <w:bCs/>
        </w:rPr>
        <w:t xml:space="preserve"> vraagt van burgers en voor de Belastingdienst niet goed handhaafbaar is.</w:t>
      </w:r>
      <w:r w:rsidR="00B1778E">
        <w:rPr>
          <w:b/>
          <w:bCs/>
        </w:rPr>
        <w:t xml:space="preserve"> D</w:t>
      </w:r>
      <w:r w:rsidRPr="00B45159" w:rsidR="009E3A48">
        <w:rPr>
          <w:b/>
          <w:bCs/>
        </w:rPr>
        <w:t>aarom</w:t>
      </w:r>
      <w:r w:rsidR="00B1778E">
        <w:rPr>
          <w:b/>
          <w:bCs/>
        </w:rPr>
        <w:t xml:space="preserve"> worden</w:t>
      </w:r>
      <w:r w:rsidRPr="00B45159" w:rsidR="009E3A48">
        <w:rPr>
          <w:b/>
          <w:bCs/>
        </w:rPr>
        <w:t xml:space="preserve"> meerdere oplossingsrichtingen geschetst.</w:t>
      </w:r>
      <w:r w:rsidR="009E3A48">
        <w:t xml:space="preserve"> Hierbij geldt als uitgangspunt dat de oplossing duidelijkheid</w:t>
      </w:r>
      <w:r w:rsidR="00CD3577">
        <w:t xml:space="preserve"> en handelingsperspectief</w:t>
      </w:r>
      <w:r w:rsidR="009E3A48">
        <w:t xml:space="preserve"> biedt aan burgers over wanneer ze wel of geen recht (meer) hebben op HRA zonder een te groot beroep te doen op hun </w:t>
      </w:r>
      <w:proofErr w:type="spellStart"/>
      <w:r w:rsidR="009E3A48">
        <w:t>doenvermogen</w:t>
      </w:r>
      <w:proofErr w:type="spellEnd"/>
      <w:r w:rsidR="009E3A48">
        <w:t>. Ook is van belang dat complexiteit in de handhaving wordt weggenomen. Deze twee uitgangspunten kunnen ondervangen worden door zoveel mogelijk uit te gaan van actuele gegevens</w:t>
      </w:r>
      <w:r w:rsidR="00DD7440">
        <w:t xml:space="preserve"> en de status van lening(delen) eenmalig te boordelen, waarna per </w:t>
      </w:r>
      <w:proofErr w:type="spellStart"/>
      <w:r w:rsidR="00DD7440">
        <w:t>leningdeel</w:t>
      </w:r>
      <w:proofErr w:type="spellEnd"/>
      <w:r w:rsidR="00DD7440">
        <w:t xml:space="preserve"> geen administratie meer nodig is die 30 jaar </w:t>
      </w:r>
      <w:proofErr w:type="gramStart"/>
      <w:r w:rsidR="00DD7440">
        <w:t>terug gaat</w:t>
      </w:r>
      <w:proofErr w:type="gramEnd"/>
      <w:r w:rsidR="00DD7440">
        <w:t>.</w:t>
      </w:r>
    </w:p>
    <w:p w:rsidR="00EC795F" w:rsidP="009E3A48" w:rsidRDefault="00EC795F" w14:paraId="2E043483" w14:textId="77777777"/>
    <w:p w:rsidR="009E3A48" w:rsidP="009E3A48" w:rsidRDefault="00B1778E" w14:paraId="725F4E31" w14:textId="77777777">
      <w:r>
        <w:t>Een uiterste maatregel om de uitvoeringsproblematiek voor alle typen schulden weg te nemen is het v</w:t>
      </w:r>
      <w:r w:rsidR="00EC795F">
        <w:t xml:space="preserve">olledig afschaffen van de HRA, maar deze optie valt buiten de reikwijdte van dit onderzoek. </w:t>
      </w:r>
    </w:p>
    <w:p w:rsidR="00EC795F" w:rsidP="009E3A48" w:rsidRDefault="00EC795F" w14:paraId="4D47AE61" w14:textId="77777777"/>
    <w:p w:rsidR="001C4D8B" w:rsidP="001C4D8B" w:rsidRDefault="001C4D8B" w14:paraId="51F98D63" w14:textId="77777777">
      <w:r>
        <w:t>De volgende oplossingsrichtingen zijn uitgewerkt:</w:t>
      </w:r>
    </w:p>
    <w:p w:rsidRPr="00F62866" w:rsidR="001C4D8B" w:rsidP="001C4D8B" w:rsidRDefault="001C4D8B" w14:paraId="6DB1FA1C" w14:textId="77777777"/>
    <w:p w:rsidRPr="00F62866" w:rsidR="001C4D8B" w:rsidP="001C4D8B" w:rsidRDefault="00B45159" w14:paraId="5FD4FAA2" w14:textId="77777777">
      <w:pPr>
        <w:numPr>
          <w:ilvl w:val="0"/>
          <w:numId w:val="50"/>
        </w:numPr>
        <w:autoSpaceDN/>
        <w:spacing w:after="160" w:line="259" w:lineRule="auto"/>
        <w:textAlignment w:val="auto"/>
      </w:pPr>
      <w:r>
        <w:rPr>
          <w:b/>
          <w:bCs/>
        </w:rPr>
        <w:t>Per 2031 a</w:t>
      </w:r>
      <w:r w:rsidRPr="00CF1ABF" w:rsidR="001C4D8B">
        <w:rPr>
          <w:b/>
          <w:bCs/>
        </w:rPr>
        <w:t xml:space="preserve">fschaffen HRA </w:t>
      </w:r>
      <w:r w:rsidRPr="00CF1ABF" w:rsidR="009E3A48">
        <w:rPr>
          <w:b/>
          <w:bCs/>
        </w:rPr>
        <w:t>voor hypotheken afgesloten vóór 2013</w:t>
      </w:r>
      <w:r w:rsidRPr="00CF1ABF" w:rsidR="001C4D8B">
        <w:rPr>
          <w:b/>
          <w:bCs/>
        </w:rPr>
        <w:t xml:space="preserve"> </w:t>
      </w:r>
      <w:r w:rsidRPr="00C26EC9" w:rsidR="001C4D8B">
        <w:rPr>
          <w:b/>
          <w:bCs/>
        </w:rPr>
        <w:t>(Fiche 1A):</w:t>
      </w:r>
      <w:r w:rsidRPr="00F62866" w:rsidR="001C4D8B">
        <w:br/>
        <w:t xml:space="preserve">De HRA voor </w:t>
      </w:r>
      <w:r w:rsidR="00254DD0">
        <w:t>á</w:t>
      </w:r>
      <w:r w:rsidRPr="00F62866" w:rsidR="001C4D8B">
        <w:t xml:space="preserve">lle BEWS stopt per 1 januari 2031. Deze leningen </w:t>
      </w:r>
      <w:r w:rsidR="001C4D8B">
        <w:t>worden</w:t>
      </w:r>
      <w:r w:rsidRPr="00F62866" w:rsidR="001C4D8B">
        <w:t xml:space="preserve"> </w:t>
      </w:r>
      <w:r w:rsidR="001C4D8B">
        <w:t xml:space="preserve">verplichte </w:t>
      </w:r>
      <w:r w:rsidRPr="00F62866" w:rsidR="001C4D8B">
        <w:t xml:space="preserve">box 3-schulden en </w:t>
      </w:r>
      <w:r w:rsidR="00332083">
        <w:t xml:space="preserve">deze schulden </w:t>
      </w:r>
      <w:r w:rsidRPr="00F62866" w:rsidR="001C4D8B">
        <w:t xml:space="preserve">komen nooit meer voor HRA in aanmerking. </w:t>
      </w:r>
    </w:p>
    <w:p w:rsidRPr="00F62866" w:rsidR="001C4D8B" w:rsidP="001C4D8B" w:rsidRDefault="00B45159" w14:paraId="089FF970" w14:textId="77777777">
      <w:pPr>
        <w:numPr>
          <w:ilvl w:val="0"/>
          <w:numId w:val="50"/>
        </w:numPr>
        <w:autoSpaceDN/>
        <w:spacing w:after="160" w:line="259" w:lineRule="auto"/>
        <w:textAlignment w:val="auto"/>
      </w:pPr>
      <w:r>
        <w:rPr>
          <w:b/>
          <w:bCs/>
        </w:rPr>
        <w:t>Per 2031 a</w:t>
      </w:r>
      <w:r w:rsidRPr="00CF1ABF" w:rsidR="001C4D8B">
        <w:rPr>
          <w:b/>
          <w:bCs/>
        </w:rPr>
        <w:t xml:space="preserve">fschaffen HRA </w:t>
      </w:r>
      <w:r w:rsidRPr="00CF1ABF" w:rsidR="009E3A48">
        <w:rPr>
          <w:b/>
          <w:bCs/>
        </w:rPr>
        <w:t xml:space="preserve">voor hypotheken afgesloten vóór 2013 </w:t>
      </w:r>
      <w:r w:rsidRPr="00CF1ABF" w:rsidR="001C4D8B">
        <w:rPr>
          <w:b/>
          <w:bCs/>
        </w:rPr>
        <w:t>met overgangsregel</w:t>
      </w:r>
      <w:r w:rsidRPr="00CF1ABF" w:rsidR="00541BCD">
        <w:rPr>
          <w:b/>
          <w:bCs/>
        </w:rPr>
        <w:t>ing</w:t>
      </w:r>
      <w:r w:rsidRPr="00F62866" w:rsidR="001C4D8B">
        <w:t xml:space="preserve"> </w:t>
      </w:r>
      <w:r w:rsidRPr="00C26EC9" w:rsidR="001C4D8B">
        <w:rPr>
          <w:b/>
          <w:bCs/>
        </w:rPr>
        <w:t>(Fiche</w:t>
      </w:r>
      <w:r w:rsidRPr="00C26EC9" w:rsidR="00781FEA">
        <w:rPr>
          <w:b/>
          <w:bCs/>
        </w:rPr>
        <w:t>s</w:t>
      </w:r>
      <w:r w:rsidRPr="00C26EC9" w:rsidR="001C4D8B">
        <w:rPr>
          <w:b/>
          <w:bCs/>
        </w:rPr>
        <w:t xml:space="preserve"> 1B en 1C):</w:t>
      </w:r>
      <w:r w:rsidRPr="00F62866" w:rsidR="001C4D8B">
        <w:br/>
      </w:r>
      <w:r w:rsidR="009E3A48">
        <w:lastRenderedPageBreak/>
        <w:t xml:space="preserve">Als overgangsregeling geldt dat als vóór 1 januari 2031 de aflossingsvrije hypotheek is omgezet </w:t>
      </w:r>
      <w:r w:rsidRPr="00F62866" w:rsidR="001C4D8B">
        <w:t>naar een</w:t>
      </w:r>
      <w:r w:rsidR="001C4D8B">
        <w:t xml:space="preserve"> lening met een </w:t>
      </w:r>
      <w:r w:rsidR="009E3A48">
        <w:t xml:space="preserve">ten minste </w:t>
      </w:r>
      <w:r w:rsidRPr="00F62866" w:rsidR="001C4D8B">
        <w:t>annuïtair aflosschema,</w:t>
      </w:r>
      <w:r w:rsidR="009E3A48">
        <w:t xml:space="preserve"> het recht op</w:t>
      </w:r>
      <w:r w:rsidRPr="00F62866" w:rsidR="001C4D8B">
        <w:t xml:space="preserve"> HRA </w:t>
      </w:r>
      <w:r w:rsidR="009E3A48">
        <w:t xml:space="preserve">wordt </w:t>
      </w:r>
      <w:r w:rsidRPr="00F62866" w:rsidR="001C4D8B">
        <w:t xml:space="preserve">behouden tot uiterlijk 2042 (1B) of tot het einde </w:t>
      </w:r>
      <w:r w:rsidR="001C4D8B">
        <w:t xml:space="preserve">van de </w:t>
      </w:r>
      <w:r w:rsidRPr="00F62866" w:rsidR="001C4D8B">
        <w:t xml:space="preserve">looptijd </w:t>
      </w:r>
      <w:r w:rsidR="002E34DF">
        <w:t>van 30 jaar</w:t>
      </w:r>
      <w:r w:rsidRPr="00F62866" w:rsidR="001C4D8B">
        <w:t xml:space="preserve"> (1C). </w:t>
      </w:r>
      <w:r w:rsidR="002E34DF">
        <w:t>De hypotheekvormen KEW/SEW/BEW behouden recht op HRA na 2031.</w:t>
      </w:r>
    </w:p>
    <w:p w:rsidRPr="00F62866" w:rsidR="001C4D8B" w:rsidP="001C4D8B" w:rsidRDefault="001C4D8B" w14:paraId="7C30F654" w14:textId="77777777">
      <w:pPr>
        <w:numPr>
          <w:ilvl w:val="0"/>
          <w:numId w:val="50"/>
        </w:numPr>
        <w:autoSpaceDN/>
        <w:spacing w:after="160" w:line="259" w:lineRule="auto"/>
        <w:textAlignment w:val="auto"/>
      </w:pPr>
      <w:r w:rsidRPr="00CF1ABF">
        <w:rPr>
          <w:b/>
          <w:bCs/>
        </w:rPr>
        <w:t xml:space="preserve">HRA </w:t>
      </w:r>
      <w:r w:rsidRPr="00CF1ABF" w:rsidR="009E3A48">
        <w:rPr>
          <w:b/>
          <w:bCs/>
        </w:rPr>
        <w:t xml:space="preserve">voor </w:t>
      </w:r>
      <w:r w:rsidR="006C6319">
        <w:rPr>
          <w:b/>
          <w:bCs/>
        </w:rPr>
        <w:t xml:space="preserve">alle </w:t>
      </w:r>
      <w:r w:rsidRPr="00CF1ABF" w:rsidR="009E3A48">
        <w:rPr>
          <w:b/>
          <w:bCs/>
        </w:rPr>
        <w:t>hypotheken afgesloten vóór 2013</w:t>
      </w:r>
      <w:r w:rsidR="00781FEA">
        <w:rPr>
          <w:b/>
          <w:bCs/>
        </w:rPr>
        <w:t xml:space="preserve"> </w:t>
      </w:r>
      <w:r w:rsidR="006C6319">
        <w:rPr>
          <w:b/>
          <w:bCs/>
        </w:rPr>
        <w:t xml:space="preserve">tot 2043 </w:t>
      </w:r>
      <w:r w:rsidRPr="00C26EC9">
        <w:rPr>
          <w:b/>
          <w:bCs/>
        </w:rPr>
        <w:t>(Fiche 2A):</w:t>
      </w:r>
      <w:r w:rsidRPr="00F62866">
        <w:br/>
      </w:r>
      <w:r w:rsidR="009E3A48">
        <w:t xml:space="preserve">Verruiming van de HRA zodat in alle gevallen </w:t>
      </w:r>
      <w:r w:rsidRPr="00F62866" w:rsidR="009E3A48">
        <w:t xml:space="preserve">ten minste 30 jaar </w:t>
      </w:r>
      <w:r w:rsidR="00781FEA">
        <w:t xml:space="preserve">recht op </w:t>
      </w:r>
      <w:r w:rsidRPr="00F62866" w:rsidR="009E3A48">
        <w:t>HRA</w:t>
      </w:r>
      <w:r w:rsidR="00781FEA">
        <w:t xml:space="preserve"> bestaat</w:t>
      </w:r>
      <w:r w:rsidR="009E3A48">
        <w:t xml:space="preserve">. </w:t>
      </w:r>
      <w:r>
        <w:t xml:space="preserve">Vanaf 2043 worden deze leningen verplichte box 3-schulden en </w:t>
      </w:r>
      <w:r w:rsidR="00332083">
        <w:t xml:space="preserve">deze schulden </w:t>
      </w:r>
      <w:r>
        <w:t>komen nooit meer voor HRA in aanmerking.</w:t>
      </w:r>
      <w:r w:rsidRPr="00F62866">
        <w:t xml:space="preserve"> </w:t>
      </w:r>
    </w:p>
    <w:p w:rsidR="001C4D8B" w:rsidP="001C4D8B" w:rsidRDefault="009E3A48" w14:paraId="7D670101" w14:textId="77777777">
      <w:pPr>
        <w:numPr>
          <w:ilvl w:val="0"/>
          <w:numId w:val="50"/>
        </w:numPr>
        <w:autoSpaceDN/>
        <w:spacing w:after="160" w:line="259" w:lineRule="auto"/>
        <w:textAlignment w:val="auto"/>
      </w:pPr>
      <w:r w:rsidRPr="00701EC4">
        <w:rPr>
          <w:b/>
          <w:bCs/>
        </w:rPr>
        <w:t xml:space="preserve">Voor alle hypotheekvormen </w:t>
      </w:r>
      <w:r w:rsidR="006C6319">
        <w:rPr>
          <w:b/>
          <w:bCs/>
        </w:rPr>
        <w:t xml:space="preserve">(opnieuw) </w:t>
      </w:r>
      <w:r>
        <w:rPr>
          <w:b/>
          <w:bCs/>
        </w:rPr>
        <w:t xml:space="preserve">30 jaar </w:t>
      </w:r>
      <w:r w:rsidRPr="00701EC4">
        <w:rPr>
          <w:b/>
          <w:bCs/>
        </w:rPr>
        <w:t xml:space="preserve">HRA na </w:t>
      </w:r>
      <w:r w:rsidR="006C6319">
        <w:rPr>
          <w:b/>
          <w:bCs/>
        </w:rPr>
        <w:t xml:space="preserve">elke </w:t>
      </w:r>
      <w:r w:rsidRPr="00701EC4">
        <w:rPr>
          <w:b/>
          <w:bCs/>
        </w:rPr>
        <w:t>verhuizing</w:t>
      </w:r>
      <w:r>
        <w:rPr>
          <w:b/>
          <w:bCs/>
        </w:rPr>
        <w:t xml:space="preserve"> </w:t>
      </w:r>
      <w:r w:rsidRPr="00C26EC9" w:rsidR="001C4D8B">
        <w:rPr>
          <w:b/>
          <w:bCs/>
        </w:rPr>
        <w:t>(Fiches 1D en 2B):</w:t>
      </w:r>
      <w:r w:rsidRPr="00F62866" w:rsidR="001C4D8B">
        <w:br/>
      </w:r>
      <w:r w:rsidR="00B45159">
        <w:t>Uitbreiding op fiches 1</w:t>
      </w:r>
      <w:r w:rsidR="00FB06AE">
        <w:t>C</w:t>
      </w:r>
      <w:r w:rsidR="00B45159">
        <w:t xml:space="preserve"> en 2A. </w:t>
      </w:r>
      <w:r w:rsidR="00A4636E">
        <w:t>Per 2031 (1D) of per 2043 (2B) geldt dat a</w:t>
      </w:r>
      <w:r w:rsidR="001C4D8B">
        <w:t xml:space="preserve">lle leningen die </w:t>
      </w:r>
      <w:r>
        <w:t xml:space="preserve">voldoen aan de aflossingseis </w:t>
      </w:r>
      <w:r w:rsidR="001C4D8B">
        <w:t>in aanmerking</w:t>
      </w:r>
      <w:r w:rsidR="00A4636E">
        <w:t xml:space="preserve"> komen</w:t>
      </w:r>
      <w:r w:rsidR="001C4D8B">
        <w:t xml:space="preserve"> voor HRA. </w:t>
      </w:r>
      <w:proofErr w:type="gramStart"/>
      <w:r w:rsidR="001C4D8B">
        <w:t>Indien</w:t>
      </w:r>
      <w:proofErr w:type="gramEnd"/>
      <w:r w:rsidR="001C4D8B">
        <w:t xml:space="preserve"> dit niet het geval is</w:t>
      </w:r>
      <w:r w:rsidR="00781FEA">
        <w:t>,</w:t>
      </w:r>
      <w:r w:rsidR="001C4D8B">
        <w:t xml:space="preserve"> valt de lening in box 3. Deze regeling geldt </w:t>
      </w:r>
      <w:r>
        <w:t xml:space="preserve">voor BEWS die zijn omgezet, maar </w:t>
      </w:r>
      <w:r w:rsidR="001C4D8B">
        <w:t>ook voor n</w:t>
      </w:r>
      <w:r w:rsidRPr="00F62866" w:rsidR="001C4D8B">
        <w:t>ieuwe leningen</w:t>
      </w:r>
      <w:r w:rsidR="001C4D8B">
        <w:t>. Bij</w:t>
      </w:r>
      <w:r w:rsidRPr="00F62866" w:rsidR="001C4D8B">
        <w:t xml:space="preserve"> verhuiz</w:t>
      </w:r>
      <w:r w:rsidR="001C4D8B">
        <w:t>en</w:t>
      </w:r>
      <w:r w:rsidRPr="00F62866" w:rsidR="001C4D8B">
        <w:t xml:space="preserve"> krijgen </w:t>
      </w:r>
      <w:r w:rsidR="001C4D8B">
        <w:t>belastingplichtige</w:t>
      </w:r>
      <w:r>
        <w:t>n</w:t>
      </w:r>
      <w:r w:rsidR="001C4D8B">
        <w:t xml:space="preserve"> </w:t>
      </w:r>
      <w:r w:rsidR="0072585A">
        <w:t>de mogelijkheid om opnieuw een lening met een looptijd van 360 maanden af te sluiten en de rente daarover gedurende de gehele looptijd af te trekken.</w:t>
      </w:r>
      <w:r w:rsidDel="009E3A48">
        <w:t xml:space="preserve"> </w:t>
      </w:r>
      <w:r w:rsidR="001C4D8B">
        <w:t>Bij deze optie</w:t>
      </w:r>
      <w:r>
        <w:t>s</w:t>
      </w:r>
      <w:r w:rsidR="001C4D8B">
        <w:t xml:space="preserve"> is het niet meer van belang wanneer een lening is aangegaan</w:t>
      </w:r>
      <w:r>
        <w:t xml:space="preserve"> en is alleen de lopende </w:t>
      </w:r>
      <w:r w:rsidR="00B45159">
        <w:t>lening overeenkomst</w:t>
      </w:r>
      <w:r>
        <w:t xml:space="preserve"> van belang</w:t>
      </w:r>
      <w:r w:rsidR="001C4D8B">
        <w:t xml:space="preserve">. </w:t>
      </w:r>
    </w:p>
    <w:p w:rsidR="00091D0F" w:rsidP="0047375E" w:rsidRDefault="00B45159" w14:paraId="739E7361" w14:textId="77777777">
      <w:pPr>
        <w:pStyle w:val="Lijstalinea"/>
        <w:numPr>
          <w:ilvl w:val="0"/>
          <w:numId w:val="50"/>
        </w:numPr>
        <w:autoSpaceDN/>
        <w:spacing w:after="160" w:line="259" w:lineRule="auto"/>
        <w:textAlignment w:val="auto"/>
      </w:pPr>
      <w:r>
        <w:rPr>
          <w:b/>
          <w:bCs/>
        </w:rPr>
        <w:t>Per 2031 g</w:t>
      </w:r>
      <w:r w:rsidRPr="00CF1ABF" w:rsidR="001C4D8B">
        <w:rPr>
          <w:b/>
          <w:bCs/>
        </w:rPr>
        <w:t xml:space="preserve">eleidelijke afbouw HRA voor </w:t>
      </w:r>
      <w:r w:rsidRPr="00CF1ABF" w:rsidR="009E3A48">
        <w:rPr>
          <w:b/>
          <w:bCs/>
        </w:rPr>
        <w:t xml:space="preserve">hypotheken afgesloten vóór 2013 </w:t>
      </w:r>
      <w:r w:rsidRPr="00C26EC9" w:rsidR="001C4D8B">
        <w:rPr>
          <w:b/>
          <w:bCs/>
        </w:rPr>
        <w:t>(Fiche 3):</w:t>
      </w:r>
      <w:r w:rsidRPr="00F62866" w:rsidR="001C4D8B">
        <w:br/>
      </w:r>
      <w:r w:rsidR="009E3A48">
        <w:t>Vanaf</w:t>
      </w:r>
      <w:r w:rsidRPr="00F62866" w:rsidR="001C4D8B">
        <w:t xml:space="preserve"> 2031 wordt het </w:t>
      </w:r>
      <w:r w:rsidR="00B45962">
        <w:t>bedrag</w:t>
      </w:r>
      <w:r w:rsidR="009E3A48">
        <w:t xml:space="preserve"> aan betaalde rente over een BEWS dat in aanmerking komt voor HRA </w:t>
      </w:r>
      <w:r w:rsidRPr="00F62866" w:rsidR="001C4D8B">
        <w:t xml:space="preserve">jaarlijks met 5%-punt verlaagd tot het </w:t>
      </w:r>
      <w:r w:rsidR="009E3A48">
        <w:t xml:space="preserve">bedrag dat in aanmerking komt voor HRA </w:t>
      </w:r>
      <w:r w:rsidRPr="00F62866" w:rsidR="001C4D8B">
        <w:t xml:space="preserve">40% </w:t>
      </w:r>
      <w:r w:rsidR="009E3A48">
        <w:t>van het total</w:t>
      </w:r>
      <w:r w:rsidR="00781FEA">
        <w:t>e rentebedrag</w:t>
      </w:r>
      <w:r w:rsidR="009E3A48">
        <w:t xml:space="preserve"> bedraagt</w:t>
      </w:r>
      <w:r w:rsidRPr="00F62866" w:rsidR="001C4D8B">
        <w:t xml:space="preserve"> in 2042</w:t>
      </w:r>
      <w:r w:rsidR="001C4D8B">
        <w:t>. Na 2042 worden deze leningen aangemerkt als een verplichte box</w:t>
      </w:r>
      <w:r w:rsidR="00541EA4">
        <w:t> </w:t>
      </w:r>
      <w:r w:rsidR="001C4D8B">
        <w:t>3-schuld.</w:t>
      </w:r>
      <w:r w:rsidR="0090068E">
        <w:t xml:space="preserve"> </w:t>
      </w:r>
    </w:p>
    <w:p w:rsidR="00C26EC9" w:rsidP="001C4D8B" w:rsidRDefault="001C4D8B" w14:paraId="20BD3F5C" w14:textId="77777777">
      <w:r w:rsidRPr="00254DD0">
        <w:rPr>
          <w:b/>
          <w:bCs/>
        </w:rPr>
        <w:t>Fiche 1A</w:t>
      </w:r>
      <w:r>
        <w:t xml:space="preserve"> </w:t>
      </w:r>
      <w:r w:rsidRPr="003E6EEA">
        <w:rPr>
          <w:b/>
          <w:bCs/>
        </w:rPr>
        <w:t xml:space="preserve">is de </w:t>
      </w:r>
      <w:r w:rsidRPr="003E6EEA" w:rsidR="00B45159">
        <w:rPr>
          <w:b/>
          <w:bCs/>
        </w:rPr>
        <w:t xml:space="preserve">ene </w:t>
      </w:r>
      <w:r w:rsidRPr="003E6EEA" w:rsidR="00254DD0">
        <w:rPr>
          <w:b/>
          <w:bCs/>
        </w:rPr>
        <w:t>basisvariant</w:t>
      </w:r>
      <w:r w:rsidR="00254DD0">
        <w:t xml:space="preserve"> en ook de </w:t>
      </w:r>
      <w:r w:rsidR="00A4637D">
        <w:t>meest vergaande</w:t>
      </w:r>
      <w:r>
        <w:t xml:space="preserve"> variant. </w:t>
      </w:r>
      <w:r w:rsidR="00254DD0">
        <w:t>Door het afschaffen van HRA voor BEWS per 2031 heeft d</w:t>
      </w:r>
      <w:r>
        <w:t xml:space="preserve">eze variant </w:t>
      </w:r>
      <w:r w:rsidR="000238DA">
        <w:t xml:space="preserve">een hoge </w:t>
      </w:r>
      <w:r>
        <w:t>budgettaire opbrengst</w:t>
      </w:r>
      <w:r w:rsidR="00254DD0">
        <w:t xml:space="preserve"> en</w:t>
      </w:r>
      <w:r>
        <w:t xml:space="preserve"> relatief </w:t>
      </w:r>
      <w:r w:rsidR="000238DA">
        <w:t xml:space="preserve">meer </w:t>
      </w:r>
      <w:r>
        <w:t>impact op belastingplic</w:t>
      </w:r>
      <w:r w:rsidRPr="00B45159">
        <w:t>htigen</w:t>
      </w:r>
      <w:r w:rsidRPr="00B45159" w:rsidR="00A4637D">
        <w:t>.</w:t>
      </w:r>
      <w:r w:rsidR="000238DA">
        <w:t xml:space="preserve"> Een deel van de belastingplichtigen met een BEWS heeft minder dan 30-jaar </w:t>
      </w:r>
      <w:r w:rsidR="00CF001C">
        <w:t>HRA</w:t>
      </w:r>
      <w:r w:rsidR="000238DA">
        <w:t xml:space="preserve"> door deze maatregel.</w:t>
      </w:r>
      <w:r w:rsidRPr="00B45159" w:rsidR="00C26EC9">
        <w:t xml:space="preserve"> De jaarlijkse budgettaire gevolgen </w:t>
      </w:r>
      <w:r w:rsidRPr="00B45159" w:rsidR="00B45159">
        <w:t xml:space="preserve">per fiche </w:t>
      </w:r>
      <w:r w:rsidRPr="00B45159" w:rsidR="00C26EC9">
        <w:t>in de periode 2031-2042 worden in figuur</w:t>
      </w:r>
      <w:r w:rsidRPr="00B45159" w:rsidR="00B45159">
        <w:t xml:space="preserve"> 1</w:t>
      </w:r>
      <w:r w:rsidRPr="00B45159" w:rsidR="00C26EC9">
        <w:t xml:space="preserve"> op de volgende pagina gegeven.</w:t>
      </w:r>
    </w:p>
    <w:p w:rsidR="00C26EC9" w:rsidP="001C4D8B" w:rsidRDefault="00C26EC9" w14:paraId="17346E49" w14:textId="77777777"/>
    <w:p w:rsidR="00254DD0" w:rsidP="001C4D8B" w:rsidRDefault="001C4D8B" w14:paraId="5177B365" w14:textId="77777777">
      <w:r w:rsidRPr="00254DD0">
        <w:rPr>
          <w:b/>
          <w:bCs/>
        </w:rPr>
        <w:t>Fiche 2A</w:t>
      </w:r>
      <w:r>
        <w:t xml:space="preserve"> </w:t>
      </w:r>
      <w:r w:rsidRPr="003E6EEA">
        <w:rPr>
          <w:b/>
          <w:bCs/>
        </w:rPr>
        <w:t xml:space="preserve">is </w:t>
      </w:r>
      <w:r w:rsidRPr="003E6EEA" w:rsidR="00254DD0">
        <w:rPr>
          <w:b/>
          <w:bCs/>
        </w:rPr>
        <w:t>de andere basisvariant</w:t>
      </w:r>
      <w:r w:rsidR="00254DD0">
        <w:t xml:space="preserve"> en </w:t>
      </w:r>
      <w:r>
        <w:t xml:space="preserve">het tegenovergestelde van </w:t>
      </w:r>
      <w:r w:rsidRPr="003E6EEA">
        <w:t>fiche 1A</w:t>
      </w:r>
      <w:r w:rsidR="00254DD0">
        <w:t>. Door het afschaffen van HRA voor BEWS per 2043 ondervinden</w:t>
      </w:r>
      <w:r>
        <w:t xml:space="preserve"> belastingplichtigen</w:t>
      </w:r>
      <w:r w:rsidR="00781FEA">
        <w:t xml:space="preserve"> met een BEWS</w:t>
      </w:r>
      <w:r>
        <w:t xml:space="preserve"> geen nadeel en </w:t>
      </w:r>
      <w:r w:rsidR="00254DD0">
        <w:t xml:space="preserve">ontvangen zij </w:t>
      </w:r>
      <w:r>
        <w:t>altijd minstens 30</w:t>
      </w:r>
      <w:r w:rsidR="00781FEA">
        <w:t> </w:t>
      </w:r>
      <w:r>
        <w:t xml:space="preserve">jaar HRA </w:t>
      </w:r>
      <w:r w:rsidR="002E34DF">
        <w:t>en vaak (veel) langer</w:t>
      </w:r>
      <w:r>
        <w:t>. Tegelijkertijd</w:t>
      </w:r>
      <w:r w:rsidR="00A4637D">
        <w:t xml:space="preserve"> </w:t>
      </w:r>
      <w:r>
        <w:t>wordt een groep die al maximaal genoten heeft van de HRA ruim tegemoetgekomen, terwijl dit niet geldt voor belastingplichtigen die vanaf 2013 een lening hebben afgesloten</w:t>
      </w:r>
      <w:r w:rsidR="002E34DF">
        <w:t xml:space="preserve"> of mensen die huren en dus </w:t>
      </w:r>
      <w:r w:rsidR="00A4637D">
        <w:t>überhaupt</w:t>
      </w:r>
      <w:r w:rsidR="002E34DF">
        <w:t xml:space="preserve"> geen recht op HRA hebben</w:t>
      </w:r>
      <w:r>
        <w:t xml:space="preserve">. Ook heeft deze variant </w:t>
      </w:r>
      <w:r w:rsidR="00254DD0">
        <w:t>een aanzienlijke budgettaire derving</w:t>
      </w:r>
      <w:r>
        <w:t xml:space="preserve">. Er kan ook gekozen worden voor </w:t>
      </w:r>
      <w:r w:rsidR="00254DD0">
        <w:t>afschaf</w:t>
      </w:r>
      <w:r w:rsidR="00A90779">
        <w:t>fing</w:t>
      </w:r>
      <w:r w:rsidR="00254DD0">
        <w:t xml:space="preserve"> </w:t>
      </w:r>
      <w:r w:rsidR="00B50E66">
        <w:t>per</w:t>
      </w:r>
      <w:r w:rsidR="00254DD0">
        <w:t xml:space="preserve"> een</w:t>
      </w:r>
      <w:r w:rsidR="00B50E66">
        <w:t xml:space="preserve"> ander</w:t>
      </w:r>
      <w:r w:rsidR="00254DD0">
        <w:t xml:space="preserve"> jaa</w:t>
      </w:r>
      <w:r>
        <w:t>r tussen 2031 en 204</w:t>
      </w:r>
      <w:r w:rsidR="00254DD0">
        <w:t>3</w:t>
      </w:r>
      <w:r>
        <w:t xml:space="preserve"> (</w:t>
      </w:r>
      <w:r w:rsidRPr="00F76ED2">
        <w:t>zie</w:t>
      </w:r>
      <w:r w:rsidR="00A90779">
        <w:t xml:space="preserve"> hierna en</w:t>
      </w:r>
      <w:r w:rsidRPr="00F76ED2">
        <w:t xml:space="preserve"> bijlage 3).</w:t>
      </w:r>
      <w:r w:rsidR="00091D0F">
        <w:t xml:space="preserve"> </w:t>
      </w:r>
    </w:p>
    <w:p w:rsidR="00254DD0" w:rsidP="001C4D8B" w:rsidRDefault="00254DD0" w14:paraId="782A1177" w14:textId="77777777"/>
    <w:p w:rsidR="00B50E66" w:rsidP="001C4D8B" w:rsidRDefault="00A4637D" w14:paraId="00ECF207" w14:textId="77777777">
      <w:r w:rsidRPr="003E6EEA">
        <w:rPr>
          <w:b/>
          <w:bCs/>
        </w:rPr>
        <w:t xml:space="preserve">In </w:t>
      </w:r>
      <w:r w:rsidRPr="003E6EEA" w:rsidR="001C4D8B">
        <w:rPr>
          <w:b/>
          <w:bCs/>
        </w:rPr>
        <w:t>fiche</w:t>
      </w:r>
      <w:r w:rsidRPr="003E6EEA" w:rsidR="00B45159">
        <w:rPr>
          <w:b/>
          <w:bCs/>
        </w:rPr>
        <w:t>s</w:t>
      </w:r>
      <w:r w:rsidRPr="003E6EEA" w:rsidR="001C4D8B">
        <w:rPr>
          <w:b/>
          <w:bCs/>
        </w:rPr>
        <w:t xml:space="preserve"> 1B en 1C zijn overgangsregelingen uitgewerkt</w:t>
      </w:r>
      <w:r w:rsidRPr="003E6EEA" w:rsidR="00B50E66">
        <w:rPr>
          <w:b/>
          <w:bCs/>
        </w:rPr>
        <w:t xml:space="preserve"> op </w:t>
      </w:r>
      <w:r w:rsidRPr="003E6EEA" w:rsidR="00B45159">
        <w:rPr>
          <w:b/>
          <w:bCs/>
        </w:rPr>
        <w:t xml:space="preserve">de </w:t>
      </w:r>
      <w:r w:rsidRPr="003E6EEA" w:rsidR="00B50E66">
        <w:rPr>
          <w:b/>
          <w:bCs/>
        </w:rPr>
        <w:t xml:space="preserve">basisvariant </w:t>
      </w:r>
      <w:r w:rsidRPr="003E6EEA" w:rsidR="00B45159">
        <w:rPr>
          <w:b/>
          <w:bCs/>
        </w:rPr>
        <w:t xml:space="preserve">fiche </w:t>
      </w:r>
      <w:r w:rsidRPr="003E6EEA" w:rsidR="00B50E66">
        <w:rPr>
          <w:b/>
          <w:bCs/>
        </w:rPr>
        <w:t>1A</w:t>
      </w:r>
      <w:r w:rsidRPr="003E6EEA" w:rsidR="001C4D8B">
        <w:t>.</w:t>
      </w:r>
      <w:r w:rsidR="001C4D8B">
        <w:t xml:space="preserve"> Deze regelingen houden in dat belastingplichtigen de keuze hebben om</w:t>
      </w:r>
      <w:r w:rsidR="00541BCD">
        <w:t xml:space="preserve"> hun recht op</w:t>
      </w:r>
      <w:r w:rsidR="001C4D8B">
        <w:t xml:space="preserve"> HRA in box 1 te </w:t>
      </w:r>
      <w:r w:rsidR="00541BCD">
        <w:t xml:space="preserve">behouden, als ze hun </w:t>
      </w:r>
      <w:r w:rsidR="002E34DF">
        <w:t>aflossingsvrije lening omzetten in een aflossende</w:t>
      </w:r>
      <w:r w:rsidR="00781FEA">
        <w:t xml:space="preserve"> lening</w:t>
      </w:r>
      <w:r w:rsidR="001C4D8B">
        <w:t>.</w:t>
      </w:r>
      <w:r w:rsidR="00CD3577">
        <w:t xml:space="preserve"> Dit biedt handelingsperspectief aan belastingplichtigen maar betekent ook dat zij zelf actie moeten ondernemen om HRA te behouden</w:t>
      </w:r>
      <w:r w:rsidR="00C01495">
        <w:t xml:space="preserve"> en hun hypotheek moeten omzetten</w:t>
      </w:r>
      <w:r w:rsidR="00CD3577">
        <w:t>.</w:t>
      </w:r>
    </w:p>
    <w:p w:rsidR="00B50E66" w:rsidP="001C4D8B" w:rsidRDefault="00B50E66" w14:paraId="1D0DAA52" w14:textId="77777777"/>
    <w:p w:rsidR="00B50E66" w:rsidP="001C4D8B" w:rsidRDefault="001C4D8B" w14:paraId="304BD2F9" w14:textId="77777777">
      <w:r w:rsidRPr="00254DD0">
        <w:rPr>
          <w:b/>
          <w:bCs/>
        </w:rPr>
        <w:lastRenderedPageBreak/>
        <w:t xml:space="preserve">Fiche </w:t>
      </w:r>
      <w:r w:rsidRPr="003E6EEA">
        <w:rPr>
          <w:b/>
          <w:bCs/>
        </w:rPr>
        <w:t>3</w:t>
      </w:r>
      <w:r w:rsidRPr="003E6EEA" w:rsidR="00091D0F">
        <w:rPr>
          <w:b/>
          <w:bCs/>
        </w:rPr>
        <w:t xml:space="preserve"> </w:t>
      </w:r>
      <w:r w:rsidRPr="003E6EEA">
        <w:rPr>
          <w:b/>
          <w:bCs/>
        </w:rPr>
        <w:t>is de tussenvariant tussen</w:t>
      </w:r>
      <w:r w:rsidRPr="003E6EEA" w:rsidR="00B50E66">
        <w:rPr>
          <w:b/>
          <w:bCs/>
        </w:rPr>
        <w:t xml:space="preserve"> de</w:t>
      </w:r>
      <w:r w:rsidR="00B50E66">
        <w:t xml:space="preserve"> </w:t>
      </w:r>
      <w:r w:rsidRPr="00A567A1" w:rsidR="00B50E66">
        <w:rPr>
          <w:b/>
          <w:bCs/>
        </w:rPr>
        <w:t>basisvarianten in</w:t>
      </w:r>
      <w:r w:rsidRPr="00A567A1">
        <w:rPr>
          <w:b/>
          <w:bCs/>
        </w:rPr>
        <w:t xml:space="preserve"> </w:t>
      </w:r>
      <w:r w:rsidRPr="00C01495" w:rsidR="00254DD0">
        <w:rPr>
          <w:b/>
          <w:bCs/>
        </w:rPr>
        <w:t>fiche</w:t>
      </w:r>
      <w:r w:rsidRPr="00A567A1" w:rsidR="00254DD0">
        <w:rPr>
          <w:b/>
          <w:bCs/>
        </w:rPr>
        <w:t xml:space="preserve"> </w:t>
      </w:r>
      <w:r w:rsidRPr="00C01495">
        <w:rPr>
          <w:b/>
          <w:bCs/>
        </w:rPr>
        <w:t xml:space="preserve">1A en </w:t>
      </w:r>
      <w:r w:rsidRPr="00C01495" w:rsidR="007F629B">
        <w:rPr>
          <w:b/>
          <w:bCs/>
        </w:rPr>
        <w:t>2A</w:t>
      </w:r>
      <w:r>
        <w:t>. D</w:t>
      </w:r>
      <w:r w:rsidR="000238DA">
        <w:t>e impact op belastingplichtigen wisselt: d</w:t>
      </w:r>
      <w:r>
        <w:t xml:space="preserve">oor de afbouw van HRA voor BEWS vanaf 2031 </w:t>
      </w:r>
      <w:r w:rsidR="000238DA">
        <w:t>is er v</w:t>
      </w:r>
      <w:r w:rsidR="00A567A1">
        <w:t>o</w:t>
      </w:r>
      <w:r w:rsidR="000238DA">
        <w:t>or een deel van de groep geen volledige aftrek mogelijk gedurende 30 jaar, voor een ander deel van de groep is dit</w:t>
      </w:r>
      <w:r>
        <w:t xml:space="preserve"> </w:t>
      </w:r>
      <w:r w:rsidR="000238DA">
        <w:t>door de langere aftrekperiode alsnog een verruiming.</w:t>
      </w:r>
      <w:r>
        <w:t xml:space="preserve"> </w:t>
      </w:r>
      <w:r w:rsidR="000238DA">
        <w:t>B</w:t>
      </w:r>
      <w:r>
        <w:t>elastingplichtigen</w:t>
      </w:r>
      <w:r w:rsidR="00A567A1">
        <w:t xml:space="preserve"> hoeven</w:t>
      </w:r>
      <w:r>
        <w:t xml:space="preserve"> hun hypotheek niet om te zetten om HRA te behouden</w:t>
      </w:r>
      <w:r w:rsidR="007F629B">
        <w:t xml:space="preserve">, zoals in </w:t>
      </w:r>
      <w:r w:rsidRPr="00912F9E" w:rsidR="007F629B">
        <w:t>fiche 1B en 1C</w:t>
      </w:r>
      <w:r>
        <w:t xml:space="preserve">. </w:t>
      </w:r>
    </w:p>
    <w:p w:rsidR="00B50E66" w:rsidP="001C4D8B" w:rsidRDefault="00B50E66" w14:paraId="67E96EDD" w14:textId="77777777"/>
    <w:p w:rsidRPr="00A90779" w:rsidR="00A90779" w:rsidP="00A90779" w:rsidRDefault="00A90779" w14:paraId="014EF2A9" w14:textId="77777777">
      <w:r w:rsidRPr="003E6EEA">
        <w:rPr>
          <w:b/>
          <w:bCs/>
        </w:rPr>
        <w:t xml:space="preserve">Een andere insteek voor een tussenvariant is zoals hiervoor genoemd afschaffing van </w:t>
      </w:r>
      <w:r w:rsidRPr="003E6EEA" w:rsidR="000D75B9">
        <w:rPr>
          <w:b/>
          <w:bCs/>
        </w:rPr>
        <w:t xml:space="preserve">HRA </w:t>
      </w:r>
      <w:r w:rsidRPr="003E6EEA">
        <w:rPr>
          <w:b/>
          <w:bCs/>
        </w:rPr>
        <w:t>voor BEWS in een jaar dat tussen 2031 en 2042 ligt, bijvoorbeeld per 2036</w:t>
      </w:r>
      <w:r w:rsidRPr="00A90779">
        <w:t xml:space="preserve">. Hoe verder in de toekomst, hoe kleiner de groep die minder dan dertig jaar de mogelijkheid tot </w:t>
      </w:r>
      <w:r w:rsidR="000D75B9">
        <w:t>HRA</w:t>
      </w:r>
      <w:r w:rsidRPr="00A90779">
        <w:t xml:space="preserve"> heeft gehad, tegelijkertijd is de groep die meer dan 30 jaar </w:t>
      </w:r>
      <w:r w:rsidR="000D75B9">
        <w:t>HRA</w:t>
      </w:r>
      <w:r w:rsidRPr="00A90779">
        <w:t xml:space="preserve"> krijgt groter. Afschaffing per 2036 is cumulatief (bijna) budgettair neutraal.</w:t>
      </w:r>
    </w:p>
    <w:p w:rsidR="00A90779" w:rsidP="001C4D8B" w:rsidRDefault="00A90779" w14:paraId="4CBFFB6F" w14:textId="77777777"/>
    <w:p w:rsidR="00A10A1F" w:rsidP="001C4D8B" w:rsidRDefault="00A10A1F" w14:paraId="7C1DBA72" w14:textId="77777777">
      <w:r w:rsidRPr="00A10A1F">
        <w:rPr>
          <w:b/>
          <w:bCs/>
        </w:rPr>
        <w:t xml:space="preserve">In alle oplossingsrichtingen komt de doorwerking van de </w:t>
      </w:r>
      <w:proofErr w:type="gramStart"/>
      <w:r w:rsidRPr="00A10A1F">
        <w:rPr>
          <w:b/>
          <w:bCs/>
        </w:rPr>
        <w:t>reeds</w:t>
      </w:r>
      <w:proofErr w:type="gramEnd"/>
      <w:r w:rsidRPr="00A10A1F">
        <w:rPr>
          <w:b/>
          <w:bCs/>
        </w:rPr>
        <w:t xml:space="preserve"> verstreken looptijd van een BEWS te vervallen.</w:t>
      </w:r>
      <w:r>
        <w:t xml:space="preserve"> Dit betekent dat een belastingplichtige bij aankoop van een nieuwe woning – na rekening te hebben gehouden met de gerealiseerde overwaarde (de eigenwoningreserve) – een nieuwe eigenwoninglening kan aangaan die, mits voldaan wordt aan de aflossingseis, voor HRA in aanmerking komt.</w:t>
      </w:r>
    </w:p>
    <w:p w:rsidR="00A10A1F" w:rsidP="001C4D8B" w:rsidRDefault="00A10A1F" w14:paraId="1B86AD04" w14:textId="77777777"/>
    <w:p w:rsidR="00140137" w:rsidP="001C4D8B" w:rsidRDefault="00B50E66" w14:paraId="18A820D6" w14:textId="77777777">
      <w:r w:rsidRPr="003E6EEA">
        <w:rPr>
          <w:b/>
          <w:bCs/>
        </w:rPr>
        <w:t>De</w:t>
      </w:r>
      <w:r w:rsidRPr="003E6EEA" w:rsidR="001C4D8B">
        <w:rPr>
          <w:b/>
          <w:bCs/>
        </w:rPr>
        <w:t xml:space="preserve"> oplossingsrichtingen in fiche 1D en 2B </w:t>
      </w:r>
      <w:r w:rsidRPr="003E6EEA">
        <w:rPr>
          <w:b/>
          <w:bCs/>
        </w:rPr>
        <w:t xml:space="preserve">zijn een aanvulling op fiches 1C en 2A en vormen </w:t>
      </w:r>
      <w:r w:rsidRPr="003E6EEA" w:rsidR="001C4D8B">
        <w:rPr>
          <w:b/>
          <w:bCs/>
        </w:rPr>
        <w:t>een algehele complexiteitsreductie voor de eigenwoningregeling</w:t>
      </w:r>
      <w:r w:rsidR="001C4D8B">
        <w:t>.</w:t>
      </w:r>
      <w:r w:rsidR="0072585A">
        <w:t xml:space="preserve"> </w:t>
      </w:r>
      <w:r w:rsidR="001C4D8B">
        <w:t xml:space="preserve">Met de </w:t>
      </w:r>
      <w:r w:rsidR="00A4637D">
        <w:t xml:space="preserve">fiches </w:t>
      </w:r>
      <w:r w:rsidR="001C4D8B">
        <w:t xml:space="preserve">wordt </w:t>
      </w:r>
      <w:r w:rsidR="0072585A">
        <w:t>ook vergelijkbare</w:t>
      </w:r>
      <w:r w:rsidR="001C4D8B">
        <w:t xml:space="preserve"> problematiek rondom de termijn </w:t>
      </w:r>
      <w:r w:rsidR="0072585A">
        <w:t>van 360 maanden</w:t>
      </w:r>
      <w:r w:rsidR="00A4637D">
        <w:t xml:space="preserve"> </w:t>
      </w:r>
      <w:r w:rsidR="00796DE9">
        <w:t>voor hypotheken afgesloten na 2013</w:t>
      </w:r>
      <w:r w:rsidR="0072585A">
        <w:t xml:space="preserve"> </w:t>
      </w:r>
      <w:r w:rsidR="001C4D8B">
        <w:t>opgelost</w:t>
      </w:r>
      <w:r w:rsidR="00A10A1F">
        <w:rPr>
          <w:rStyle w:val="Voetnootmarkering"/>
        </w:rPr>
        <w:footnoteReference w:id="5"/>
      </w:r>
      <w:r w:rsidR="001C4D8B">
        <w:t xml:space="preserve"> en gelden</w:t>
      </w:r>
      <w:r w:rsidR="00A4637D">
        <w:t xml:space="preserve"> de mogelijkheden voor HRA</w:t>
      </w:r>
      <w:r w:rsidR="001C4D8B">
        <w:t xml:space="preserve"> voor alle belastingplichtigen</w:t>
      </w:r>
      <w:r w:rsidR="00A4637D">
        <w:t xml:space="preserve"> in plaats van alleen</w:t>
      </w:r>
      <w:r w:rsidR="00781FEA">
        <w:t xml:space="preserve"> voor</w:t>
      </w:r>
      <w:r w:rsidR="00A4637D">
        <w:t xml:space="preserve"> degenen met een BEWS. </w:t>
      </w:r>
      <w:r w:rsidR="00140137">
        <w:t xml:space="preserve">Deze oplossingsrichtingen zijn een uitbreiding van de fiscale subsidiëring van de eigen woning en hebben </w:t>
      </w:r>
      <w:r>
        <w:t xml:space="preserve">aanzienlijk </w:t>
      </w:r>
      <w:r w:rsidR="00140137">
        <w:t>grotere budgettaire gevolgen dan de andere oplossingsrichtingen</w:t>
      </w:r>
      <w:r w:rsidR="003E6EEA">
        <w:t xml:space="preserve"> doordat het recht op HRA voor alle belastingplichtigen uitgebreid wordt. De aanvullende budgettaire derving van deze uitbreiding vergt nader onderzoek.</w:t>
      </w:r>
      <w:r w:rsidR="00140137">
        <w:t xml:space="preserve"> </w:t>
      </w:r>
    </w:p>
    <w:p w:rsidR="00BA118C" w:rsidP="001C4D8B" w:rsidRDefault="00BA118C" w14:paraId="050075EE" w14:textId="77777777"/>
    <w:p w:rsidRPr="00912F9E" w:rsidR="00140137" w:rsidP="001C4D8B" w:rsidRDefault="00140137" w14:paraId="7DB8EA2C" w14:textId="77777777">
      <w:r w:rsidRPr="00912F9E">
        <w:t>Fiche 1A, 1B en 3 zijn uitvoeringstechnisch het meest complex van alle oplossingsrichtingen omdat</w:t>
      </w:r>
      <w:r w:rsidR="00A4636E">
        <w:t xml:space="preserve"> de Belastingdienst vanaf 2031 </w:t>
      </w:r>
      <w:r w:rsidR="0048497C">
        <w:t xml:space="preserve">voor alle hypotheken </w:t>
      </w:r>
      <w:r w:rsidR="00A4636E">
        <w:t>vast moet stellen</w:t>
      </w:r>
      <w:r w:rsidRPr="00912F9E" w:rsidR="00796DE9">
        <w:t xml:space="preserve"> of sprake is van </w:t>
      </w:r>
      <w:r w:rsidRPr="00912F9E">
        <w:t xml:space="preserve">een </w:t>
      </w:r>
      <w:r w:rsidRPr="00912F9E" w:rsidR="00796DE9">
        <w:t xml:space="preserve">eigenwoninglening in </w:t>
      </w:r>
      <w:r w:rsidRPr="00912F9E">
        <w:t xml:space="preserve">box 3. Dit geldt ook voor fiche 2A, maar pas per 2043. Fiche 1C is </w:t>
      </w:r>
      <w:r w:rsidRPr="00912F9E" w:rsidR="00796DE9">
        <w:t xml:space="preserve">gemakkelijker </w:t>
      </w:r>
      <w:r w:rsidRPr="00912F9E">
        <w:t xml:space="preserve">uitvoerbaar dan deze fiches omdat </w:t>
      </w:r>
      <w:r w:rsidRPr="00912F9E" w:rsidR="002B1FD0">
        <w:t>de vaststelling van een</w:t>
      </w:r>
      <w:r w:rsidRPr="00912F9E">
        <w:t xml:space="preserve"> box 3-EWL </w:t>
      </w:r>
      <w:r w:rsidRPr="00912F9E" w:rsidR="002B1FD0">
        <w:t>veel eenvoudiger is: dit is alleen nodig voor</w:t>
      </w:r>
      <w:r w:rsidRPr="00912F9E">
        <w:t xml:space="preserve"> BEWS die op 1-1-2031 aflossingsvrij zijn</w:t>
      </w:r>
      <w:r w:rsidRPr="00912F9E" w:rsidR="002B1FD0">
        <w:t xml:space="preserve"> (voor BEWS die inmiddels voldoen aan de aflossingseis hoeft geen box 3-EWL vastgesteld te worden</w:t>
      </w:r>
      <w:r w:rsidRPr="00912F9E" w:rsidR="0060736A">
        <w:t>)</w:t>
      </w:r>
      <w:r w:rsidRPr="00912F9E">
        <w:t xml:space="preserve">. Fiches 1D en 2B </w:t>
      </w:r>
      <w:r w:rsidRPr="00912F9E" w:rsidR="001C4D8B">
        <w:t>mak</w:t>
      </w:r>
      <w:r w:rsidRPr="00912F9E" w:rsidR="00781FEA">
        <w:t>en</w:t>
      </w:r>
      <w:r w:rsidRPr="00912F9E" w:rsidR="001C4D8B">
        <w:t xml:space="preserve"> de </w:t>
      </w:r>
      <w:r w:rsidRPr="00912F9E" w:rsidR="002B1FD0">
        <w:t xml:space="preserve">gehele </w:t>
      </w:r>
      <w:r w:rsidRPr="00912F9E" w:rsidR="001C4D8B">
        <w:t>eigenwoningregeling veel beter uitvoerbaar en minder complex</w:t>
      </w:r>
      <w:r w:rsidRPr="00912F9E">
        <w:t>.</w:t>
      </w:r>
    </w:p>
    <w:p w:rsidR="00B45159" w:rsidP="001C4D8B" w:rsidRDefault="00B45159" w14:paraId="39FC9B76" w14:textId="77777777"/>
    <w:p w:rsidR="00EC795F" w:rsidP="00EC795F" w:rsidRDefault="00EC795F" w14:paraId="2AE4D2EA" w14:textId="77777777">
      <w:r>
        <w:t>In de huidige situatie blijft b</w:t>
      </w:r>
      <w:r w:rsidRPr="00EC795F">
        <w:t xml:space="preserve">ij beperkingen van HRA in box 1 aftrek in box 3 mogelijk. Als de wens is </w:t>
      </w:r>
      <w:r>
        <w:t xml:space="preserve">om – in lijn met de oorspronkelijke doelstelling van de 30-jaarstermijn - </w:t>
      </w:r>
      <w:r w:rsidRPr="00EC795F">
        <w:t xml:space="preserve">de </w:t>
      </w:r>
      <w:r>
        <w:t>aftrekbaarheid van rente te beperken</w:t>
      </w:r>
      <w:r w:rsidRPr="00EC795F">
        <w:t xml:space="preserve"> tot 30 jaar</w:t>
      </w:r>
      <w:r>
        <w:t xml:space="preserve"> en de budgettaire derving te beperken</w:t>
      </w:r>
      <w:r w:rsidRPr="00EC795F">
        <w:t xml:space="preserve"> zijn aanvullende maatregelen nodig. In de praktijk betekent de mogelijkheid </w:t>
      </w:r>
      <w:r>
        <w:t>om rente af te trekken</w:t>
      </w:r>
      <w:r w:rsidRPr="00EC795F">
        <w:t xml:space="preserve"> in box 3 dat enkel huishoudens met voldoende vermogen (in box 3) na 30 jaar nog voor onbepaalde </w:t>
      </w:r>
      <w:r>
        <w:t>tijd rente</w:t>
      </w:r>
      <w:r w:rsidRPr="00EC795F">
        <w:t xml:space="preserve">aftrek kunnen blijven </w:t>
      </w:r>
      <w:r w:rsidRPr="00EC795F">
        <w:lastRenderedPageBreak/>
        <w:t xml:space="preserve">genieten. </w:t>
      </w:r>
      <w:r>
        <w:t>Nader onderzoek zal uit moeten wijzen of een eventuele beperking van renteaftrek in box 3 juridisch houdbaar is.</w:t>
      </w:r>
    </w:p>
    <w:p w:rsidR="00EC795F" w:rsidP="001C4D8B" w:rsidRDefault="00EC795F" w14:paraId="277C14B4" w14:textId="77777777"/>
    <w:p w:rsidR="002C4000" w:rsidP="001C4D8B" w:rsidRDefault="002C4000" w14:paraId="5E3311FC" w14:textId="77777777">
      <w:r>
        <w:t>Figuur 1 toont de budgettaire consequenties van de verschillende varianten. Vanwege de sterk op- en aflopende effecten zijn deze met een figuur in kaart gebracht.</w:t>
      </w:r>
      <w:r w:rsidR="00EC795F">
        <w:t xml:space="preserve"> In de ramingen wordt uitgegaan van de huidige situatie waarin – indien mogelijk – renteaftrek in box 3 verzilverd kan worden.</w:t>
      </w:r>
      <w:r>
        <w:t xml:space="preserve"> Voor het (volledig) in kaart brengen van de budgettaire effecten van de fiche</w:t>
      </w:r>
      <w:r w:rsidR="005C435C">
        <w:t>s</w:t>
      </w:r>
      <w:r>
        <w:t xml:space="preserve"> 1D en </w:t>
      </w:r>
      <w:r w:rsidR="005C435C">
        <w:t>2</w:t>
      </w:r>
      <w:r>
        <w:t>B is nader onderzoek nodig. Deze varianten zorgen voor een derving ten opzichte van de effecten van respectievelijk variant 1C en 2A.</w:t>
      </w:r>
    </w:p>
    <w:p w:rsidR="00EC795F" w:rsidP="001C4D8B" w:rsidRDefault="00EC795F" w14:paraId="6845CD28" w14:textId="77777777"/>
    <w:p w:rsidRPr="00B45159" w:rsidR="00EC76EB" w:rsidP="00EC76EB" w:rsidRDefault="00EC76EB" w14:paraId="58DC64DA" w14:textId="77777777">
      <w:pPr>
        <w:rPr>
          <w:b/>
          <w:bCs/>
          <w:sz w:val="16"/>
          <w:szCs w:val="16"/>
        </w:rPr>
      </w:pPr>
      <w:r w:rsidRPr="00FF366C">
        <w:rPr>
          <w:noProof/>
        </w:rPr>
        <w:drawing>
          <wp:anchor distT="0" distB="0" distL="114300" distR="114300" simplePos="0" relativeHeight="251699200" behindDoc="0" locked="0" layoutInCell="1" allowOverlap="1" wp14:editId="7A59DE0A" wp14:anchorId="4CF5520F">
            <wp:simplePos x="0" y="0"/>
            <wp:positionH relativeFrom="column">
              <wp:posOffset>-710565</wp:posOffset>
            </wp:positionH>
            <wp:positionV relativeFrom="paragraph">
              <wp:posOffset>303530</wp:posOffset>
            </wp:positionV>
            <wp:extent cx="5376545" cy="3808095"/>
            <wp:effectExtent l="19050" t="19050" r="14605" b="20955"/>
            <wp:wrapSquare wrapText="bothSides"/>
            <wp:docPr id="12414593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59359" name=""/>
                    <pic:cNvPicPr/>
                  </pic:nvPicPr>
                  <pic:blipFill>
                    <a:blip r:embed="rId16">
                      <a:extLst>
                        <a:ext uri="{28A0092B-C50C-407E-A947-70E740481C1C}">
                          <a14:useLocalDpi xmlns:a14="http://schemas.microsoft.com/office/drawing/2010/main" val="0"/>
                        </a:ext>
                      </a:extLst>
                    </a:blip>
                    <a:stretch>
                      <a:fillRect/>
                    </a:stretch>
                  </pic:blipFill>
                  <pic:spPr>
                    <a:xfrm>
                      <a:off x="0" y="0"/>
                      <a:ext cx="5376545" cy="38080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45159">
        <w:rPr>
          <w:b/>
          <w:bCs/>
          <w:sz w:val="16"/>
          <w:szCs w:val="16"/>
        </w:rPr>
        <w:t xml:space="preserve">Figuur 1 – </w:t>
      </w:r>
      <w:r>
        <w:rPr>
          <w:b/>
          <w:bCs/>
          <w:sz w:val="16"/>
          <w:szCs w:val="16"/>
        </w:rPr>
        <w:t>J</w:t>
      </w:r>
      <w:r w:rsidRPr="00B45159">
        <w:rPr>
          <w:b/>
          <w:bCs/>
          <w:sz w:val="16"/>
          <w:szCs w:val="16"/>
        </w:rPr>
        <w:t xml:space="preserve">aarlijkse budgettaire gevolgen per </w:t>
      </w:r>
      <w:r>
        <w:rPr>
          <w:b/>
          <w:bCs/>
          <w:sz w:val="16"/>
          <w:szCs w:val="16"/>
        </w:rPr>
        <w:t>jaar in miljoenen euro’s</w:t>
      </w:r>
    </w:p>
    <w:p w:rsidR="00927251" w:rsidP="001C4D8B" w:rsidRDefault="00927251" w14:paraId="1A15D990" w14:textId="77777777"/>
    <w:p w:rsidR="00EC76EB" w:rsidP="001C4D8B" w:rsidRDefault="00EC76EB" w14:paraId="53481F09" w14:textId="77777777">
      <w:pPr>
        <w:rPr>
          <w:i/>
          <w:iCs/>
        </w:rPr>
      </w:pPr>
    </w:p>
    <w:p w:rsidRPr="002F7ADC" w:rsidR="00927251" w:rsidP="001C4D8B" w:rsidRDefault="00927251" w14:paraId="10DB7F2E" w14:textId="77777777">
      <w:pPr>
        <w:rPr>
          <w:i/>
          <w:iCs/>
        </w:rPr>
      </w:pPr>
      <w:r>
        <w:rPr>
          <w:i/>
          <w:iCs/>
        </w:rPr>
        <w:t>Conclusie</w:t>
      </w:r>
    </w:p>
    <w:p w:rsidR="00927251" w:rsidP="00927251" w:rsidRDefault="00927251" w14:paraId="4FAAB232" w14:textId="77777777">
      <w:pPr>
        <w:rPr>
          <w:b/>
          <w:bCs/>
        </w:rPr>
      </w:pPr>
    </w:p>
    <w:p w:rsidRPr="002F7ADC" w:rsidR="00927251" w:rsidP="00927251" w:rsidRDefault="00927251" w14:paraId="628301A0" w14:textId="77777777">
      <w:r w:rsidRPr="002F7ADC">
        <w:t xml:space="preserve">Het is voor belastingplichtigen in veel gevallen onmogelijk om de 30-jaarstermijn te doorgronden en alle benodigde informatie hiervoor paraat te hebben. Dit maakt de regeling complex en ondoenlijk voor burgers. De Belastingdienst kan belastingplichtigen door het gebrek aan contra-informatie ook geen uitsluitsel geven over de resterende periode van de 30-jaarstermijn. Dat zorgt nu al voor problemen, waar financieel dienstverleners, en daarmee ook burgers, als eerste tegenaan lopen. Besluitvorming over hoe om te gaan met de 30-jaarsproblematiek is daarom noodzakelijk. </w:t>
      </w:r>
    </w:p>
    <w:p w:rsidR="00927251" w:rsidP="001C4D8B" w:rsidRDefault="00927251" w14:paraId="56E252AE" w14:textId="77777777"/>
    <w:p w:rsidR="00781FEA" w:rsidP="001C4D8B" w:rsidRDefault="00781FEA" w14:paraId="438ACB35" w14:textId="77777777"/>
    <w:p w:rsidR="0060736A" w:rsidP="001C4D8B" w:rsidRDefault="00904EB7" w14:paraId="3EA27C9B" w14:textId="77777777">
      <w:pPr>
        <w:sectPr w:rsidR="0060736A">
          <w:headerReference w:type="default" r:id="rId17"/>
          <w:footerReference w:type="default" r:id="rId18"/>
          <w:pgSz w:w="11905" w:h="16837"/>
          <w:pgMar w:top="2641" w:right="963" w:bottom="1077" w:left="3231" w:header="0" w:footer="0" w:gutter="0"/>
          <w:pgNumType w:start="1"/>
          <w:cols w:space="708"/>
        </w:sectPr>
      </w:pPr>
      <w:r w:rsidRPr="00E63741">
        <w:lastRenderedPageBreak/>
        <w:t>De figuur</w:t>
      </w:r>
      <w:r w:rsidRPr="00E63741" w:rsidR="001C4D8B">
        <w:t xml:space="preserve"> op de volgende pagina geeft een overzicht van de keuzes die gemaakt </w:t>
      </w:r>
      <w:r w:rsidRPr="00E63741" w:rsidR="002E34DF">
        <w:t xml:space="preserve">kunnen </w:t>
      </w:r>
      <w:r w:rsidRPr="00E63741" w:rsidR="001C4D8B">
        <w:t>worden om tot een oplossingsrichting te komen. Daarnaast worden de belangrijkste gevolgen per oplossingsrichting gepresenteerd.</w:t>
      </w:r>
    </w:p>
    <w:p w:rsidR="001C4D8B" w:rsidP="001C4D8B" w:rsidRDefault="001C4D8B" w14:paraId="7A9323AA" w14:textId="77777777"/>
    <w:p w:rsidR="00E63741" w:rsidP="001C4D8B" w:rsidRDefault="00E63741" w14:paraId="79CC3D65" w14:textId="77777777"/>
    <w:p w:rsidR="0060736A" w:rsidP="001C4D8B" w:rsidRDefault="0060736A" w14:paraId="2B5C49A6" w14:textId="77777777"/>
    <w:p w:rsidR="00A319CE" w:rsidP="001C4D8B" w:rsidRDefault="00A319CE" w14:paraId="0E8225D2" w14:textId="77777777"/>
    <w:p w:rsidR="00A319CE" w:rsidP="001C4D8B" w:rsidRDefault="00A319CE" w14:paraId="31F1ABD4" w14:textId="77777777"/>
    <w:p w:rsidR="0060736A" w:rsidP="001C4D8B" w:rsidRDefault="0060736A" w14:paraId="1F59A2E2" w14:textId="77777777"/>
    <w:p w:rsidR="0060736A" w:rsidP="001C4D8B" w:rsidRDefault="0060736A" w14:paraId="4CCA7ACA" w14:textId="77777777"/>
    <w:tbl>
      <w:tblPr>
        <w:tblStyle w:val="Tabelraster"/>
        <w:tblW w:w="15629" w:type="dxa"/>
        <w:tblInd w:w="-15" w:type="dxa"/>
        <w:tblLayout w:type="fixed"/>
        <w:tblCellMar>
          <w:right w:w="57" w:type="dxa"/>
        </w:tblCellMar>
        <w:tblLook w:val="04A0" w:firstRow="1" w:lastRow="0" w:firstColumn="1" w:lastColumn="0" w:noHBand="0" w:noVBand="1"/>
      </w:tblPr>
      <w:tblGrid>
        <w:gridCol w:w="1272"/>
        <w:gridCol w:w="3043"/>
        <w:gridCol w:w="1420"/>
        <w:gridCol w:w="1578"/>
        <w:gridCol w:w="1863"/>
        <w:gridCol w:w="1721"/>
        <w:gridCol w:w="1578"/>
        <w:gridCol w:w="1721"/>
        <w:gridCol w:w="1433"/>
      </w:tblGrid>
      <w:tr w:rsidRPr="00D61DA2" w:rsidR="00A319CE" w:rsidTr="00A812DD" w14:paraId="1058290F" w14:textId="77777777">
        <w:trPr>
          <w:trHeight w:val="745"/>
        </w:trPr>
        <w:tc>
          <w:tcPr>
            <w:tcW w:w="1272" w:type="dxa"/>
            <w:vMerge w:val="restart"/>
            <w:tcBorders>
              <w:top w:val="single" w:color="FFFFFF" w:themeColor="background1" w:sz="12" w:space="0"/>
              <w:left w:val="single" w:color="FFFFFF" w:themeColor="background1" w:sz="12" w:space="0"/>
            </w:tcBorders>
            <w:shd w:val="clear" w:color="auto" w:fill="FFFFFF" w:themeFill="background1"/>
            <w:vAlign w:val="center"/>
          </w:tcPr>
          <w:p w:rsidRPr="00D61DA2" w:rsidR="00A319CE" w:rsidP="00A812DD" w:rsidRDefault="00A319CE" w14:paraId="0ED56430" w14:textId="77777777">
            <w:pPr>
              <w:jc w:val="center"/>
              <w:rPr>
                <w:b/>
                <w:bCs/>
                <w:sz w:val="20"/>
                <w:szCs w:val="20"/>
              </w:rPr>
            </w:pPr>
          </w:p>
        </w:tc>
        <w:tc>
          <w:tcPr>
            <w:tcW w:w="3043" w:type="dxa"/>
            <w:vMerge w:val="restart"/>
            <w:tcBorders>
              <w:right w:val="single" w:color="auto" w:sz="18" w:space="0"/>
            </w:tcBorders>
            <w:shd w:val="clear" w:color="auto" w:fill="F2F2F2" w:themeFill="background1" w:themeFillShade="F2"/>
            <w:vAlign w:val="center"/>
          </w:tcPr>
          <w:p w:rsidRPr="00D61DA2" w:rsidR="00A319CE" w:rsidP="00A812DD" w:rsidRDefault="00A319CE" w14:paraId="2B713FE2" w14:textId="77777777">
            <w:pPr>
              <w:spacing w:line="240" w:lineRule="auto"/>
              <w:jc w:val="center"/>
              <w:rPr>
                <w:b/>
                <w:bCs/>
                <w:sz w:val="20"/>
                <w:szCs w:val="20"/>
              </w:rPr>
            </w:pPr>
            <w:r w:rsidRPr="00D61DA2">
              <w:rPr>
                <w:b/>
                <w:bCs/>
                <w:sz w:val="20"/>
                <w:szCs w:val="20"/>
              </w:rPr>
              <w:t>Oplossingsrichtingen</w:t>
            </w:r>
          </w:p>
        </w:tc>
        <w:tc>
          <w:tcPr>
            <w:tcW w:w="9881" w:type="dxa"/>
            <w:gridSpan w:val="6"/>
            <w:tcBorders>
              <w:left w:val="single" w:color="auto" w:sz="18" w:space="0"/>
              <w:right w:val="single" w:color="auto" w:sz="18" w:space="0"/>
            </w:tcBorders>
            <w:shd w:val="clear" w:color="auto" w:fill="F2F2F2" w:themeFill="background1" w:themeFillShade="F2"/>
            <w:vAlign w:val="center"/>
          </w:tcPr>
          <w:p w:rsidR="00A319CE" w:rsidP="00A812DD" w:rsidRDefault="00A319CE" w14:paraId="32AC8EA7" w14:textId="77777777">
            <w:pPr>
              <w:spacing w:line="240" w:lineRule="auto"/>
              <w:jc w:val="center"/>
              <w:rPr>
                <w:b/>
                <w:bCs/>
                <w:sz w:val="20"/>
                <w:szCs w:val="20"/>
              </w:rPr>
            </w:pPr>
            <w:r w:rsidRPr="00D61DA2">
              <w:rPr>
                <w:b/>
                <w:bCs/>
                <w:sz w:val="20"/>
                <w:szCs w:val="20"/>
              </w:rPr>
              <w:t xml:space="preserve">Afschaffen </w:t>
            </w:r>
            <w:r>
              <w:rPr>
                <w:b/>
                <w:bCs/>
                <w:sz w:val="20"/>
                <w:szCs w:val="20"/>
              </w:rPr>
              <w:t>hypotheekrenteaftrek (HRA)</w:t>
            </w:r>
            <w:r w:rsidRPr="00D61DA2">
              <w:rPr>
                <w:b/>
                <w:bCs/>
                <w:sz w:val="20"/>
                <w:szCs w:val="20"/>
              </w:rPr>
              <w:t xml:space="preserve"> </w:t>
            </w:r>
          </w:p>
          <w:p w:rsidRPr="00D61DA2" w:rsidR="00A319CE" w:rsidP="00A812DD" w:rsidRDefault="00A319CE" w14:paraId="20E9766F" w14:textId="77777777">
            <w:pPr>
              <w:spacing w:line="240" w:lineRule="auto"/>
              <w:jc w:val="center"/>
              <w:rPr>
                <w:b/>
                <w:bCs/>
                <w:sz w:val="20"/>
                <w:szCs w:val="20"/>
              </w:rPr>
            </w:pPr>
            <w:proofErr w:type="gramStart"/>
            <w:r>
              <w:rPr>
                <w:b/>
                <w:bCs/>
                <w:sz w:val="20"/>
                <w:szCs w:val="20"/>
              </w:rPr>
              <w:t>voor</w:t>
            </w:r>
            <w:proofErr w:type="gramEnd"/>
            <w:r w:rsidRPr="00D61DA2">
              <w:rPr>
                <w:b/>
                <w:bCs/>
                <w:sz w:val="20"/>
                <w:szCs w:val="20"/>
              </w:rPr>
              <w:t xml:space="preserve"> </w:t>
            </w:r>
            <w:r>
              <w:rPr>
                <w:b/>
                <w:bCs/>
                <w:sz w:val="20"/>
                <w:szCs w:val="20"/>
              </w:rPr>
              <w:t>bestaande eigenwoningschulden (</w:t>
            </w:r>
            <w:r w:rsidRPr="00D61DA2">
              <w:rPr>
                <w:b/>
                <w:bCs/>
                <w:sz w:val="20"/>
                <w:szCs w:val="20"/>
              </w:rPr>
              <w:t>BEWS</w:t>
            </w:r>
            <w:r>
              <w:rPr>
                <w:b/>
                <w:bCs/>
                <w:sz w:val="20"/>
                <w:szCs w:val="20"/>
              </w:rPr>
              <w:t>)</w:t>
            </w:r>
          </w:p>
        </w:tc>
        <w:tc>
          <w:tcPr>
            <w:tcW w:w="1433" w:type="dxa"/>
            <w:tcBorders>
              <w:left w:val="single" w:color="auto" w:sz="18" w:space="0"/>
              <w:right w:val="single" w:color="auto" w:sz="18" w:space="0"/>
            </w:tcBorders>
            <w:shd w:val="clear" w:color="auto" w:fill="F2F2F2" w:themeFill="background1" w:themeFillShade="F2"/>
            <w:vAlign w:val="center"/>
          </w:tcPr>
          <w:p w:rsidRPr="00D61DA2" w:rsidR="00A319CE" w:rsidP="00A812DD" w:rsidRDefault="00A319CE" w14:paraId="37714B07" w14:textId="77777777">
            <w:pPr>
              <w:spacing w:line="240" w:lineRule="auto"/>
              <w:jc w:val="center"/>
              <w:rPr>
                <w:b/>
                <w:bCs/>
                <w:sz w:val="20"/>
                <w:szCs w:val="20"/>
              </w:rPr>
            </w:pPr>
            <w:r w:rsidRPr="00D61DA2">
              <w:rPr>
                <w:b/>
                <w:bCs/>
                <w:sz w:val="20"/>
                <w:szCs w:val="20"/>
              </w:rPr>
              <w:t xml:space="preserve">Afbouwen HRA </w:t>
            </w:r>
            <w:r>
              <w:rPr>
                <w:b/>
                <w:bCs/>
                <w:sz w:val="20"/>
                <w:szCs w:val="20"/>
              </w:rPr>
              <w:t>voor</w:t>
            </w:r>
            <w:r w:rsidRPr="00D61DA2">
              <w:rPr>
                <w:b/>
                <w:bCs/>
                <w:sz w:val="20"/>
                <w:szCs w:val="20"/>
              </w:rPr>
              <w:t xml:space="preserve"> BEWS</w:t>
            </w:r>
          </w:p>
        </w:tc>
      </w:tr>
      <w:tr w:rsidRPr="00D61DA2" w:rsidR="00A319CE" w:rsidTr="00CF001C" w14:paraId="75B11662" w14:textId="77777777">
        <w:trPr>
          <w:trHeight w:val="145"/>
        </w:trPr>
        <w:tc>
          <w:tcPr>
            <w:tcW w:w="1272" w:type="dxa"/>
            <w:vMerge/>
            <w:tcBorders>
              <w:left w:val="single" w:color="FFFFFF" w:themeColor="background1" w:sz="12" w:space="0"/>
            </w:tcBorders>
            <w:shd w:val="clear" w:color="auto" w:fill="FFFFFF" w:themeFill="background1"/>
          </w:tcPr>
          <w:p w:rsidRPr="00D61DA2" w:rsidR="00A319CE" w:rsidP="00A812DD" w:rsidRDefault="00A319CE" w14:paraId="212BCBF0" w14:textId="77777777">
            <w:pPr>
              <w:rPr>
                <w:sz w:val="20"/>
                <w:szCs w:val="20"/>
              </w:rPr>
            </w:pPr>
          </w:p>
        </w:tc>
        <w:tc>
          <w:tcPr>
            <w:tcW w:w="3043" w:type="dxa"/>
            <w:vMerge/>
            <w:tcBorders>
              <w:right w:val="single" w:color="auto" w:sz="18" w:space="0"/>
            </w:tcBorders>
            <w:shd w:val="clear" w:color="auto" w:fill="F2F2F2" w:themeFill="background1" w:themeFillShade="F2"/>
            <w:vAlign w:val="center"/>
          </w:tcPr>
          <w:p w:rsidRPr="00D61DA2" w:rsidR="00A319CE" w:rsidP="00A812DD" w:rsidRDefault="00A319CE" w14:paraId="283B8577" w14:textId="77777777">
            <w:pPr>
              <w:spacing w:line="240" w:lineRule="auto"/>
              <w:jc w:val="right"/>
              <w:rPr>
                <w:sz w:val="20"/>
                <w:szCs w:val="20"/>
              </w:rPr>
            </w:pPr>
          </w:p>
        </w:tc>
        <w:tc>
          <w:tcPr>
            <w:tcW w:w="6582" w:type="dxa"/>
            <w:gridSpan w:val="4"/>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0E7BE074" w14:textId="77777777">
            <w:pPr>
              <w:spacing w:line="240" w:lineRule="auto"/>
              <w:jc w:val="center"/>
            </w:pPr>
            <w:r w:rsidRPr="00193BBE">
              <w:t>Per 2031</w:t>
            </w:r>
          </w:p>
        </w:tc>
        <w:tc>
          <w:tcPr>
            <w:tcW w:w="3299" w:type="dxa"/>
            <w:gridSpan w:val="2"/>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415E7AC9" w14:textId="77777777">
            <w:pPr>
              <w:spacing w:line="240" w:lineRule="auto"/>
              <w:jc w:val="center"/>
            </w:pPr>
            <w:r w:rsidRPr="00193BBE">
              <w:t>Per 2043</w:t>
            </w:r>
          </w:p>
        </w:tc>
        <w:tc>
          <w:tcPr>
            <w:tcW w:w="1433" w:type="dxa"/>
            <w:vMerge w:val="restart"/>
            <w:tcBorders>
              <w:left w:val="single" w:color="auto" w:sz="18" w:space="0"/>
              <w:right w:val="single" w:color="auto" w:sz="18" w:space="0"/>
            </w:tcBorders>
            <w:shd w:val="clear" w:color="auto" w:fill="F2F2F2" w:themeFill="background1" w:themeFillShade="F2"/>
            <w:vAlign w:val="center"/>
          </w:tcPr>
          <w:p w:rsidRPr="00D61DA2" w:rsidR="00A319CE" w:rsidP="00A812DD" w:rsidRDefault="00A319CE" w14:paraId="60995725" w14:textId="77777777">
            <w:pPr>
              <w:spacing w:line="240" w:lineRule="auto"/>
              <w:jc w:val="center"/>
            </w:pPr>
          </w:p>
        </w:tc>
      </w:tr>
      <w:tr w:rsidRPr="00D61DA2" w:rsidR="00A319CE" w:rsidTr="00CF001C" w14:paraId="1407B247" w14:textId="77777777">
        <w:trPr>
          <w:trHeight w:val="145"/>
        </w:trPr>
        <w:tc>
          <w:tcPr>
            <w:tcW w:w="1272" w:type="dxa"/>
            <w:vMerge/>
            <w:tcBorders>
              <w:left w:val="single" w:color="FFFFFF" w:themeColor="background1" w:sz="12" w:space="0"/>
            </w:tcBorders>
            <w:shd w:val="clear" w:color="auto" w:fill="FFFFFF" w:themeFill="background1"/>
          </w:tcPr>
          <w:p w:rsidRPr="00D61DA2" w:rsidR="00A319CE" w:rsidP="00A812DD" w:rsidRDefault="00A319CE" w14:paraId="25B495AE" w14:textId="77777777">
            <w:pPr>
              <w:rPr>
                <w:sz w:val="20"/>
                <w:szCs w:val="20"/>
              </w:rPr>
            </w:pPr>
          </w:p>
        </w:tc>
        <w:tc>
          <w:tcPr>
            <w:tcW w:w="3043" w:type="dxa"/>
            <w:vMerge/>
            <w:tcBorders>
              <w:right w:val="single" w:color="auto" w:sz="18" w:space="0"/>
            </w:tcBorders>
            <w:shd w:val="clear" w:color="auto" w:fill="F2F2F2" w:themeFill="background1" w:themeFillShade="F2"/>
            <w:vAlign w:val="center"/>
          </w:tcPr>
          <w:p w:rsidRPr="00D61DA2" w:rsidR="00A319CE" w:rsidP="00A812DD" w:rsidRDefault="00A319CE" w14:paraId="1BDEF33A" w14:textId="77777777">
            <w:pPr>
              <w:spacing w:line="240" w:lineRule="auto"/>
              <w:jc w:val="right"/>
              <w:rPr>
                <w:sz w:val="20"/>
                <w:szCs w:val="20"/>
              </w:rPr>
            </w:pPr>
          </w:p>
        </w:tc>
        <w:tc>
          <w:tcPr>
            <w:tcW w:w="1420" w:type="dxa"/>
            <w:tcBorders>
              <w:left w:val="single" w:color="auto" w:sz="18" w:space="0"/>
              <w:right w:val="single" w:color="auto" w:sz="18" w:space="0"/>
            </w:tcBorders>
            <w:shd w:val="clear" w:color="auto" w:fill="F2F2F2" w:themeFill="background1" w:themeFillShade="F2"/>
            <w:vAlign w:val="center"/>
          </w:tcPr>
          <w:p w:rsidRPr="00D61DA2" w:rsidR="00A319CE" w:rsidP="00A812DD" w:rsidRDefault="00A319CE" w14:paraId="5325C8B1" w14:textId="77777777">
            <w:pPr>
              <w:spacing w:line="240" w:lineRule="auto"/>
              <w:jc w:val="center"/>
            </w:pPr>
            <w:r w:rsidRPr="00D61DA2">
              <w:t xml:space="preserve">Zonder </w:t>
            </w:r>
            <w:proofErr w:type="spellStart"/>
            <w:r w:rsidRPr="00D61DA2">
              <w:t>overgangs</w:t>
            </w:r>
            <w:r>
              <w:t>-</w:t>
            </w:r>
            <w:r w:rsidRPr="00D61DA2">
              <w:t>regeling</w:t>
            </w:r>
            <w:proofErr w:type="spellEnd"/>
          </w:p>
        </w:tc>
        <w:tc>
          <w:tcPr>
            <w:tcW w:w="5162" w:type="dxa"/>
            <w:gridSpan w:val="3"/>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6B911939" w14:textId="77777777">
            <w:pPr>
              <w:spacing w:line="240" w:lineRule="auto"/>
              <w:jc w:val="center"/>
            </w:pPr>
            <w:r w:rsidRPr="00193BBE">
              <w:t>Met overgangsregeling</w:t>
            </w:r>
          </w:p>
        </w:tc>
        <w:tc>
          <w:tcPr>
            <w:tcW w:w="3299" w:type="dxa"/>
            <w:gridSpan w:val="2"/>
            <w:vMerge w:val="restart"/>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38818144" w14:textId="77777777">
            <w:pPr>
              <w:spacing w:line="240" w:lineRule="auto"/>
              <w:jc w:val="center"/>
            </w:pPr>
          </w:p>
        </w:tc>
        <w:tc>
          <w:tcPr>
            <w:tcW w:w="1433" w:type="dxa"/>
            <w:vMerge/>
            <w:tcBorders>
              <w:left w:val="single" w:color="auto" w:sz="18" w:space="0"/>
              <w:right w:val="single" w:color="auto" w:sz="18" w:space="0"/>
            </w:tcBorders>
            <w:shd w:val="clear" w:color="auto" w:fill="F2F2F2" w:themeFill="background1" w:themeFillShade="F2"/>
            <w:vAlign w:val="center"/>
          </w:tcPr>
          <w:p w:rsidRPr="00D61DA2" w:rsidR="00A319CE" w:rsidP="00A812DD" w:rsidRDefault="00A319CE" w14:paraId="5B48D45C" w14:textId="77777777">
            <w:pPr>
              <w:spacing w:line="240" w:lineRule="auto"/>
              <w:jc w:val="center"/>
            </w:pPr>
          </w:p>
        </w:tc>
      </w:tr>
      <w:tr w:rsidRPr="00D61DA2" w:rsidR="00A319CE" w:rsidTr="00CF001C" w14:paraId="3C9E71D8" w14:textId="77777777">
        <w:trPr>
          <w:trHeight w:val="145"/>
        </w:trPr>
        <w:tc>
          <w:tcPr>
            <w:tcW w:w="1272" w:type="dxa"/>
            <w:vMerge/>
            <w:tcBorders>
              <w:left w:val="single" w:color="FFFFFF" w:themeColor="background1" w:sz="12" w:space="0"/>
            </w:tcBorders>
            <w:shd w:val="clear" w:color="auto" w:fill="FFFFFF" w:themeFill="background1"/>
          </w:tcPr>
          <w:p w:rsidRPr="00D61DA2" w:rsidR="00A319CE" w:rsidP="00A812DD" w:rsidRDefault="00A319CE" w14:paraId="064F1401" w14:textId="77777777">
            <w:pPr>
              <w:rPr>
                <w:sz w:val="20"/>
                <w:szCs w:val="20"/>
              </w:rPr>
            </w:pPr>
          </w:p>
        </w:tc>
        <w:tc>
          <w:tcPr>
            <w:tcW w:w="3043" w:type="dxa"/>
            <w:vMerge/>
            <w:tcBorders>
              <w:right w:val="single" w:color="auto" w:sz="18" w:space="0"/>
            </w:tcBorders>
            <w:shd w:val="clear" w:color="auto" w:fill="F2F2F2" w:themeFill="background1" w:themeFillShade="F2"/>
            <w:vAlign w:val="center"/>
          </w:tcPr>
          <w:p w:rsidRPr="00D61DA2" w:rsidR="00A319CE" w:rsidP="00A812DD" w:rsidRDefault="00A319CE" w14:paraId="22BF2569" w14:textId="77777777">
            <w:pPr>
              <w:spacing w:line="240" w:lineRule="auto"/>
              <w:jc w:val="right"/>
              <w:rPr>
                <w:sz w:val="20"/>
                <w:szCs w:val="20"/>
              </w:rPr>
            </w:pPr>
          </w:p>
        </w:tc>
        <w:tc>
          <w:tcPr>
            <w:tcW w:w="1420" w:type="dxa"/>
            <w:vMerge w:val="restart"/>
            <w:tcBorders>
              <w:left w:val="single" w:color="auto" w:sz="18" w:space="0"/>
              <w:right w:val="single" w:color="auto" w:sz="18" w:space="0"/>
            </w:tcBorders>
            <w:shd w:val="clear" w:color="auto" w:fill="F2F2F2" w:themeFill="background1" w:themeFillShade="F2"/>
            <w:vAlign w:val="center"/>
          </w:tcPr>
          <w:p w:rsidRPr="00D61DA2" w:rsidR="00A319CE" w:rsidP="00A812DD" w:rsidRDefault="00A319CE" w14:paraId="1A0AE5B8" w14:textId="77777777">
            <w:pPr>
              <w:spacing w:line="240" w:lineRule="auto"/>
              <w:jc w:val="center"/>
            </w:pPr>
          </w:p>
        </w:tc>
        <w:tc>
          <w:tcPr>
            <w:tcW w:w="1578" w:type="dxa"/>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2F1B7CA4" w14:textId="77777777">
            <w:pPr>
              <w:spacing w:line="240" w:lineRule="auto"/>
              <w:jc w:val="center"/>
            </w:pPr>
            <w:r w:rsidRPr="00193BBE">
              <w:t>HRA tot 2043</w:t>
            </w:r>
          </w:p>
        </w:tc>
        <w:tc>
          <w:tcPr>
            <w:tcW w:w="3584" w:type="dxa"/>
            <w:gridSpan w:val="2"/>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4C896D47" w14:textId="77777777">
            <w:pPr>
              <w:spacing w:line="240" w:lineRule="auto"/>
              <w:jc w:val="center"/>
            </w:pPr>
            <w:r w:rsidRPr="00193BBE">
              <w:t>HRA tot einde looptijd (30 jaar)</w:t>
            </w:r>
          </w:p>
        </w:tc>
        <w:tc>
          <w:tcPr>
            <w:tcW w:w="3299" w:type="dxa"/>
            <w:gridSpan w:val="2"/>
            <w:vMerge/>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4F32247E" w14:textId="77777777">
            <w:pPr>
              <w:spacing w:line="240" w:lineRule="auto"/>
              <w:jc w:val="center"/>
            </w:pPr>
          </w:p>
        </w:tc>
        <w:tc>
          <w:tcPr>
            <w:tcW w:w="1433" w:type="dxa"/>
            <w:vMerge/>
            <w:tcBorders>
              <w:left w:val="single" w:color="auto" w:sz="18" w:space="0"/>
              <w:right w:val="single" w:color="auto" w:sz="18" w:space="0"/>
            </w:tcBorders>
            <w:shd w:val="clear" w:color="auto" w:fill="F2F2F2" w:themeFill="background1" w:themeFillShade="F2"/>
            <w:vAlign w:val="center"/>
          </w:tcPr>
          <w:p w:rsidRPr="00D61DA2" w:rsidR="00A319CE" w:rsidP="00A812DD" w:rsidRDefault="00A319CE" w14:paraId="51AEDE99" w14:textId="77777777">
            <w:pPr>
              <w:spacing w:line="240" w:lineRule="auto"/>
              <w:jc w:val="center"/>
            </w:pPr>
          </w:p>
        </w:tc>
      </w:tr>
      <w:tr w:rsidRPr="00D61DA2" w:rsidR="00FB7C7F" w:rsidTr="00CF001C" w14:paraId="50713392" w14:textId="77777777">
        <w:trPr>
          <w:trHeight w:val="145"/>
        </w:trPr>
        <w:tc>
          <w:tcPr>
            <w:tcW w:w="1272" w:type="dxa"/>
            <w:vMerge/>
            <w:tcBorders>
              <w:left w:val="single" w:color="FFFFFF" w:themeColor="background1" w:sz="12" w:space="0"/>
            </w:tcBorders>
            <w:shd w:val="clear" w:color="auto" w:fill="FFFFFF" w:themeFill="background1"/>
          </w:tcPr>
          <w:p w:rsidRPr="00D61DA2" w:rsidR="00A319CE" w:rsidP="00A812DD" w:rsidRDefault="00A319CE" w14:paraId="25823247" w14:textId="77777777">
            <w:pPr>
              <w:rPr>
                <w:sz w:val="20"/>
                <w:szCs w:val="20"/>
              </w:rPr>
            </w:pPr>
          </w:p>
        </w:tc>
        <w:tc>
          <w:tcPr>
            <w:tcW w:w="3043" w:type="dxa"/>
            <w:vMerge/>
            <w:tcBorders>
              <w:right w:val="single" w:color="auto" w:sz="18" w:space="0"/>
            </w:tcBorders>
            <w:shd w:val="clear" w:color="auto" w:fill="F2F2F2" w:themeFill="background1" w:themeFillShade="F2"/>
            <w:vAlign w:val="center"/>
          </w:tcPr>
          <w:p w:rsidRPr="00D61DA2" w:rsidR="00A319CE" w:rsidP="00A812DD" w:rsidRDefault="00A319CE" w14:paraId="0ECF9A39" w14:textId="77777777">
            <w:pPr>
              <w:spacing w:line="240" w:lineRule="auto"/>
              <w:jc w:val="right"/>
              <w:rPr>
                <w:sz w:val="20"/>
                <w:szCs w:val="20"/>
              </w:rPr>
            </w:pPr>
          </w:p>
        </w:tc>
        <w:tc>
          <w:tcPr>
            <w:tcW w:w="1420" w:type="dxa"/>
            <w:vMerge/>
            <w:tcBorders>
              <w:left w:val="single" w:color="auto" w:sz="18" w:space="0"/>
              <w:right w:val="single" w:color="auto" w:sz="18" w:space="0"/>
            </w:tcBorders>
            <w:shd w:val="clear" w:color="auto" w:fill="F2F2F2" w:themeFill="background1" w:themeFillShade="F2"/>
            <w:vAlign w:val="center"/>
          </w:tcPr>
          <w:p w:rsidRPr="00D61DA2" w:rsidR="00A319CE" w:rsidP="00A812DD" w:rsidRDefault="00A319CE" w14:paraId="4D5C3AAC" w14:textId="77777777">
            <w:pPr>
              <w:spacing w:line="240" w:lineRule="auto"/>
              <w:jc w:val="center"/>
            </w:pPr>
          </w:p>
        </w:tc>
        <w:tc>
          <w:tcPr>
            <w:tcW w:w="1578" w:type="dxa"/>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6643BAA3" w14:textId="77777777">
            <w:pPr>
              <w:spacing w:line="240" w:lineRule="auto"/>
              <w:jc w:val="center"/>
            </w:pPr>
          </w:p>
        </w:tc>
        <w:tc>
          <w:tcPr>
            <w:tcW w:w="1863" w:type="dxa"/>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4F5BFD78" w14:textId="77777777">
            <w:pPr>
              <w:spacing w:line="240" w:lineRule="auto"/>
              <w:jc w:val="center"/>
            </w:pPr>
            <w:r w:rsidRPr="00193BBE">
              <w:t>Geen uitbreiding leningen van na 2013</w:t>
            </w:r>
          </w:p>
        </w:tc>
        <w:tc>
          <w:tcPr>
            <w:tcW w:w="1721" w:type="dxa"/>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1717C0E9" w14:textId="77777777">
            <w:pPr>
              <w:spacing w:line="240" w:lineRule="auto"/>
              <w:jc w:val="center"/>
            </w:pPr>
            <w:r w:rsidRPr="00193BBE">
              <w:t>Uitbreiding leningen van na 2013</w:t>
            </w:r>
          </w:p>
        </w:tc>
        <w:tc>
          <w:tcPr>
            <w:tcW w:w="1578" w:type="dxa"/>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055055BB" w14:textId="77777777">
            <w:pPr>
              <w:spacing w:line="240" w:lineRule="auto"/>
              <w:jc w:val="center"/>
            </w:pPr>
            <w:r w:rsidRPr="00193BBE">
              <w:t>Geen uitbreiding leningen van na 2013</w:t>
            </w:r>
          </w:p>
        </w:tc>
        <w:tc>
          <w:tcPr>
            <w:tcW w:w="1721" w:type="dxa"/>
            <w:tcBorders>
              <w:left w:val="single" w:color="auto" w:sz="18" w:space="0"/>
              <w:right w:val="single" w:color="auto" w:sz="18" w:space="0"/>
            </w:tcBorders>
            <w:shd w:val="clear" w:color="auto" w:fill="F2F2F2" w:themeFill="background1" w:themeFillShade="F2"/>
            <w:vAlign w:val="center"/>
          </w:tcPr>
          <w:p w:rsidRPr="00193BBE" w:rsidR="00A319CE" w:rsidP="00A812DD" w:rsidRDefault="00A319CE" w14:paraId="75F5AB6A" w14:textId="77777777">
            <w:pPr>
              <w:spacing w:line="240" w:lineRule="auto"/>
              <w:jc w:val="center"/>
            </w:pPr>
            <w:r w:rsidRPr="00193BBE">
              <w:t>Uitbreiding leningen van na 2013</w:t>
            </w:r>
          </w:p>
        </w:tc>
        <w:tc>
          <w:tcPr>
            <w:tcW w:w="1433" w:type="dxa"/>
            <w:tcBorders>
              <w:left w:val="single" w:color="auto" w:sz="18" w:space="0"/>
              <w:right w:val="single" w:color="auto" w:sz="18" w:space="0"/>
            </w:tcBorders>
            <w:shd w:val="clear" w:color="auto" w:fill="F2F2F2" w:themeFill="background1" w:themeFillShade="F2"/>
            <w:vAlign w:val="center"/>
          </w:tcPr>
          <w:p w:rsidRPr="00D61DA2" w:rsidR="00A319CE" w:rsidP="00A812DD" w:rsidRDefault="00A319CE" w14:paraId="6CBE0275" w14:textId="77777777">
            <w:pPr>
              <w:spacing w:line="240" w:lineRule="auto"/>
              <w:jc w:val="center"/>
            </w:pPr>
          </w:p>
        </w:tc>
      </w:tr>
      <w:tr w:rsidRPr="00D61DA2" w:rsidR="00FB7C7F" w:rsidTr="00CF001C" w14:paraId="113EC70E" w14:textId="77777777">
        <w:trPr>
          <w:trHeight w:val="145"/>
        </w:trPr>
        <w:tc>
          <w:tcPr>
            <w:tcW w:w="1272" w:type="dxa"/>
            <w:vMerge/>
            <w:tcBorders>
              <w:left w:val="single" w:color="FFFFFF" w:themeColor="background1" w:sz="12" w:space="0"/>
              <w:bottom w:val="single" w:color="auto" w:sz="4" w:space="0"/>
            </w:tcBorders>
            <w:shd w:val="clear" w:color="auto" w:fill="FFFFFF" w:themeFill="background1"/>
          </w:tcPr>
          <w:p w:rsidRPr="00D61DA2" w:rsidR="00A319CE" w:rsidP="00A812DD" w:rsidRDefault="00A319CE" w14:paraId="21D445A0" w14:textId="77777777">
            <w:pPr>
              <w:rPr>
                <w:sz w:val="20"/>
                <w:szCs w:val="20"/>
              </w:rPr>
            </w:pPr>
          </w:p>
        </w:tc>
        <w:tc>
          <w:tcPr>
            <w:tcW w:w="3043" w:type="dxa"/>
            <w:vMerge/>
            <w:tcBorders>
              <w:right w:val="single" w:color="auto" w:sz="18" w:space="0"/>
            </w:tcBorders>
            <w:shd w:val="clear" w:color="auto" w:fill="F2F2F2" w:themeFill="background1" w:themeFillShade="F2"/>
            <w:vAlign w:val="center"/>
          </w:tcPr>
          <w:p w:rsidRPr="00D61DA2" w:rsidR="00A319CE" w:rsidP="00A812DD" w:rsidRDefault="00A319CE" w14:paraId="677FDFF1" w14:textId="77777777">
            <w:pPr>
              <w:spacing w:line="240" w:lineRule="auto"/>
              <w:jc w:val="right"/>
              <w:rPr>
                <w:sz w:val="20"/>
                <w:szCs w:val="20"/>
              </w:rPr>
            </w:pPr>
          </w:p>
        </w:tc>
        <w:tc>
          <w:tcPr>
            <w:tcW w:w="1420" w:type="dxa"/>
            <w:tcBorders>
              <w:left w:val="single" w:color="auto" w:sz="18" w:space="0"/>
              <w:right w:val="single" w:color="auto" w:sz="18" w:space="0"/>
            </w:tcBorders>
            <w:shd w:val="clear" w:color="auto" w:fill="D9D9D9" w:themeFill="background1" w:themeFillShade="D9"/>
            <w:vAlign w:val="center"/>
          </w:tcPr>
          <w:p w:rsidRPr="00E7799B" w:rsidR="00A319CE" w:rsidP="00A812DD" w:rsidRDefault="00A319CE" w14:paraId="2FBF1212" w14:textId="77777777">
            <w:pPr>
              <w:spacing w:line="240" w:lineRule="auto"/>
              <w:jc w:val="center"/>
              <w:rPr>
                <w:b/>
                <w:bCs/>
                <w:sz w:val="20"/>
                <w:szCs w:val="20"/>
              </w:rPr>
            </w:pPr>
            <w:r w:rsidRPr="00E7799B">
              <w:rPr>
                <w:b/>
                <w:bCs/>
                <w:sz w:val="20"/>
                <w:szCs w:val="20"/>
              </w:rPr>
              <w:t>1A</w:t>
            </w:r>
          </w:p>
        </w:tc>
        <w:tc>
          <w:tcPr>
            <w:tcW w:w="1578" w:type="dxa"/>
            <w:tcBorders>
              <w:left w:val="single" w:color="auto" w:sz="18" w:space="0"/>
              <w:right w:val="single" w:color="auto" w:sz="18" w:space="0"/>
            </w:tcBorders>
            <w:shd w:val="clear" w:color="auto" w:fill="D9D9D9" w:themeFill="background1" w:themeFillShade="D9"/>
            <w:vAlign w:val="center"/>
          </w:tcPr>
          <w:p w:rsidRPr="00E7799B" w:rsidR="00A319CE" w:rsidP="00A812DD" w:rsidRDefault="00A319CE" w14:paraId="5024F722" w14:textId="77777777">
            <w:pPr>
              <w:spacing w:line="240" w:lineRule="auto"/>
              <w:jc w:val="center"/>
              <w:rPr>
                <w:b/>
                <w:bCs/>
                <w:sz w:val="20"/>
                <w:szCs w:val="20"/>
              </w:rPr>
            </w:pPr>
            <w:r w:rsidRPr="00E7799B">
              <w:rPr>
                <w:b/>
                <w:bCs/>
                <w:sz w:val="20"/>
                <w:szCs w:val="20"/>
              </w:rPr>
              <w:t>1B</w:t>
            </w:r>
          </w:p>
        </w:tc>
        <w:tc>
          <w:tcPr>
            <w:tcW w:w="1863" w:type="dxa"/>
            <w:tcBorders>
              <w:left w:val="single" w:color="auto" w:sz="18" w:space="0"/>
              <w:right w:val="single" w:color="auto" w:sz="18" w:space="0"/>
            </w:tcBorders>
            <w:shd w:val="clear" w:color="auto" w:fill="D9D9D9" w:themeFill="background1" w:themeFillShade="D9"/>
            <w:vAlign w:val="center"/>
          </w:tcPr>
          <w:p w:rsidRPr="00E7799B" w:rsidR="00A319CE" w:rsidP="00A812DD" w:rsidRDefault="00A319CE" w14:paraId="3529AED7" w14:textId="77777777">
            <w:pPr>
              <w:spacing w:line="240" w:lineRule="auto"/>
              <w:jc w:val="center"/>
              <w:rPr>
                <w:b/>
                <w:bCs/>
                <w:sz w:val="20"/>
                <w:szCs w:val="20"/>
              </w:rPr>
            </w:pPr>
            <w:r w:rsidRPr="00E7799B">
              <w:rPr>
                <w:b/>
                <w:bCs/>
                <w:sz w:val="20"/>
                <w:szCs w:val="20"/>
              </w:rPr>
              <w:t>1C</w:t>
            </w:r>
          </w:p>
        </w:tc>
        <w:tc>
          <w:tcPr>
            <w:tcW w:w="1721" w:type="dxa"/>
            <w:tcBorders>
              <w:left w:val="single" w:color="auto" w:sz="18" w:space="0"/>
              <w:right w:val="single" w:color="auto" w:sz="18" w:space="0"/>
            </w:tcBorders>
            <w:shd w:val="clear" w:color="auto" w:fill="D9D9D9" w:themeFill="background1" w:themeFillShade="D9"/>
            <w:vAlign w:val="center"/>
          </w:tcPr>
          <w:p w:rsidRPr="00E7799B" w:rsidR="00A319CE" w:rsidP="00A812DD" w:rsidRDefault="00A319CE" w14:paraId="1B253FA1" w14:textId="77777777">
            <w:pPr>
              <w:spacing w:line="240" w:lineRule="auto"/>
              <w:jc w:val="center"/>
              <w:rPr>
                <w:b/>
                <w:bCs/>
                <w:sz w:val="20"/>
                <w:szCs w:val="20"/>
              </w:rPr>
            </w:pPr>
            <w:r w:rsidRPr="00E7799B">
              <w:rPr>
                <w:b/>
                <w:bCs/>
                <w:sz w:val="20"/>
                <w:szCs w:val="20"/>
              </w:rPr>
              <w:t>1D</w:t>
            </w:r>
          </w:p>
        </w:tc>
        <w:tc>
          <w:tcPr>
            <w:tcW w:w="1578" w:type="dxa"/>
            <w:tcBorders>
              <w:left w:val="single" w:color="auto" w:sz="18" w:space="0"/>
              <w:right w:val="single" w:color="auto" w:sz="18" w:space="0"/>
            </w:tcBorders>
            <w:shd w:val="clear" w:color="auto" w:fill="D9D9D9" w:themeFill="background1" w:themeFillShade="D9"/>
            <w:vAlign w:val="center"/>
          </w:tcPr>
          <w:p w:rsidRPr="00E7799B" w:rsidR="00A319CE" w:rsidP="00A812DD" w:rsidRDefault="00A319CE" w14:paraId="7F06CEF0" w14:textId="77777777">
            <w:pPr>
              <w:spacing w:line="240" w:lineRule="auto"/>
              <w:jc w:val="center"/>
              <w:rPr>
                <w:b/>
                <w:bCs/>
                <w:sz w:val="20"/>
                <w:szCs w:val="20"/>
              </w:rPr>
            </w:pPr>
            <w:r w:rsidRPr="00E7799B">
              <w:rPr>
                <w:b/>
                <w:bCs/>
                <w:sz w:val="20"/>
                <w:szCs w:val="20"/>
              </w:rPr>
              <w:t>2A</w:t>
            </w:r>
          </w:p>
        </w:tc>
        <w:tc>
          <w:tcPr>
            <w:tcW w:w="1721" w:type="dxa"/>
            <w:tcBorders>
              <w:left w:val="single" w:color="auto" w:sz="18" w:space="0"/>
              <w:right w:val="single" w:color="auto" w:sz="18" w:space="0"/>
            </w:tcBorders>
            <w:shd w:val="clear" w:color="auto" w:fill="D9D9D9" w:themeFill="background1" w:themeFillShade="D9"/>
            <w:vAlign w:val="center"/>
          </w:tcPr>
          <w:p w:rsidRPr="00E7799B" w:rsidR="00A319CE" w:rsidP="00A812DD" w:rsidRDefault="00A319CE" w14:paraId="433DCA05" w14:textId="77777777">
            <w:pPr>
              <w:spacing w:line="240" w:lineRule="auto"/>
              <w:jc w:val="center"/>
              <w:rPr>
                <w:b/>
                <w:bCs/>
                <w:sz w:val="20"/>
                <w:szCs w:val="20"/>
              </w:rPr>
            </w:pPr>
            <w:r w:rsidRPr="00E7799B">
              <w:rPr>
                <w:b/>
                <w:bCs/>
                <w:sz w:val="20"/>
                <w:szCs w:val="20"/>
              </w:rPr>
              <w:t>2B</w:t>
            </w:r>
          </w:p>
        </w:tc>
        <w:tc>
          <w:tcPr>
            <w:tcW w:w="1433" w:type="dxa"/>
            <w:tcBorders>
              <w:left w:val="single" w:color="auto" w:sz="18" w:space="0"/>
              <w:right w:val="single" w:color="auto" w:sz="18" w:space="0"/>
            </w:tcBorders>
            <w:shd w:val="clear" w:color="auto" w:fill="D9D9D9" w:themeFill="background1" w:themeFillShade="D9"/>
            <w:vAlign w:val="center"/>
          </w:tcPr>
          <w:p w:rsidRPr="00E7799B" w:rsidR="00A319CE" w:rsidP="00A812DD" w:rsidRDefault="00A319CE" w14:paraId="347BECF8" w14:textId="77777777">
            <w:pPr>
              <w:spacing w:line="240" w:lineRule="auto"/>
              <w:jc w:val="center"/>
              <w:rPr>
                <w:b/>
                <w:bCs/>
                <w:sz w:val="20"/>
                <w:szCs w:val="20"/>
              </w:rPr>
            </w:pPr>
            <w:r w:rsidRPr="00E7799B">
              <w:rPr>
                <w:b/>
                <w:bCs/>
                <w:sz w:val="20"/>
                <w:szCs w:val="20"/>
              </w:rPr>
              <w:t>3</w:t>
            </w:r>
          </w:p>
        </w:tc>
      </w:tr>
      <w:tr w:rsidRPr="00D61DA2" w:rsidR="00CF001C" w:rsidTr="00CF001C" w14:paraId="3FDBFABD" w14:textId="77777777">
        <w:trPr>
          <w:trHeight w:val="516"/>
        </w:trPr>
        <w:tc>
          <w:tcPr>
            <w:tcW w:w="1272" w:type="dxa"/>
            <w:vMerge w:val="restart"/>
            <w:tcBorders>
              <w:top w:val="single" w:color="auto" w:sz="4" w:space="0"/>
            </w:tcBorders>
            <w:shd w:val="clear" w:color="auto" w:fill="DAE9F7" w:themeFill="text2" w:themeFillTint="1A"/>
            <w:vAlign w:val="center"/>
          </w:tcPr>
          <w:p w:rsidR="00CF001C" w:rsidP="00A812DD" w:rsidRDefault="00CF001C" w14:paraId="30671936" w14:textId="77777777">
            <w:pPr>
              <w:jc w:val="center"/>
              <w:rPr>
                <w:b/>
                <w:bCs/>
                <w:sz w:val="20"/>
                <w:szCs w:val="20"/>
              </w:rPr>
            </w:pPr>
            <w:r w:rsidRPr="00A040B8">
              <w:rPr>
                <w:b/>
                <w:bCs/>
                <w:sz w:val="20"/>
                <w:szCs w:val="20"/>
              </w:rPr>
              <w:t>Gevolgen</w:t>
            </w:r>
          </w:p>
          <w:p w:rsidR="00CF001C" w:rsidP="00A812DD" w:rsidRDefault="00CF001C" w14:paraId="7E3EFE23" w14:textId="77777777">
            <w:pPr>
              <w:jc w:val="center"/>
              <w:rPr>
                <w:b/>
                <w:bCs/>
                <w:sz w:val="20"/>
                <w:szCs w:val="20"/>
              </w:rPr>
            </w:pPr>
          </w:p>
          <w:p w:rsidRPr="00D61DA2" w:rsidR="00CF001C" w:rsidP="00A812DD" w:rsidRDefault="00CF001C" w14:paraId="51A87688" w14:textId="77777777">
            <w:pPr>
              <w:jc w:val="center"/>
              <w:rPr>
                <w:b/>
                <w:bCs/>
                <w:sz w:val="20"/>
                <w:szCs w:val="20"/>
              </w:rPr>
            </w:pPr>
          </w:p>
        </w:tc>
        <w:tc>
          <w:tcPr>
            <w:tcW w:w="3043" w:type="dxa"/>
            <w:tcBorders>
              <w:top w:val="single" w:color="auto" w:sz="12" w:space="0"/>
              <w:right w:val="single" w:color="auto" w:sz="18" w:space="0"/>
            </w:tcBorders>
            <w:shd w:val="clear" w:color="auto" w:fill="DAE9F7" w:themeFill="text2" w:themeFillTint="1A"/>
            <w:vAlign w:val="center"/>
          </w:tcPr>
          <w:p w:rsidRPr="00D61DA2" w:rsidR="00CF001C" w:rsidP="00A812DD" w:rsidRDefault="00CF001C" w14:paraId="46D815F3" w14:textId="77777777">
            <w:pPr>
              <w:spacing w:line="240" w:lineRule="auto"/>
              <w:jc w:val="right"/>
              <w:rPr>
                <w:b/>
                <w:bCs/>
                <w:sz w:val="20"/>
                <w:szCs w:val="20"/>
              </w:rPr>
            </w:pPr>
            <w:r w:rsidRPr="00D61DA2">
              <w:rPr>
                <w:rFonts w:eastAsia="Times New Roman" w:cs="Times New Roman"/>
                <w:b/>
                <w:bCs/>
                <w:sz w:val="14"/>
                <w:szCs w:val="14"/>
              </w:rPr>
              <w:t xml:space="preserve">Oplossing urgente problematiek </w:t>
            </w:r>
            <w:r>
              <w:rPr>
                <w:rFonts w:eastAsia="Times New Roman" w:cs="Times New Roman"/>
                <w:b/>
                <w:bCs/>
                <w:sz w:val="14"/>
                <w:szCs w:val="14"/>
              </w:rPr>
              <w:t>bij hypotheken die vanaf 2031 recht op HRA verliezen</w:t>
            </w:r>
          </w:p>
        </w:tc>
        <w:tc>
          <w:tcPr>
            <w:tcW w:w="1420" w:type="dxa"/>
            <w:tcBorders>
              <w:top w:val="single" w:color="auto" w:sz="12" w:space="0"/>
              <w:left w:val="single" w:color="auto" w:sz="18" w:space="0"/>
              <w:right w:val="single" w:color="auto" w:sz="18" w:space="0"/>
            </w:tcBorders>
            <w:shd w:val="clear" w:color="auto" w:fill="DAE9F7" w:themeFill="text2" w:themeFillTint="1A"/>
            <w:vAlign w:val="center"/>
          </w:tcPr>
          <w:p w:rsidRPr="00675658" w:rsidR="00CF001C" w:rsidP="00A812DD" w:rsidRDefault="00CF001C" w14:paraId="6ACEDD3F" w14:textId="77777777">
            <w:pPr>
              <w:spacing w:line="240" w:lineRule="auto"/>
              <w:jc w:val="center"/>
            </w:pPr>
            <w:r>
              <w:t>J</w:t>
            </w:r>
            <w:r w:rsidRPr="00675658">
              <w:t>a</w:t>
            </w:r>
          </w:p>
        </w:tc>
        <w:tc>
          <w:tcPr>
            <w:tcW w:w="1578" w:type="dxa"/>
            <w:tcBorders>
              <w:top w:val="single" w:color="auto" w:sz="12" w:space="0"/>
              <w:left w:val="single" w:color="auto" w:sz="18" w:space="0"/>
              <w:right w:val="single" w:color="auto" w:sz="18" w:space="0"/>
            </w:tcBorders>
            <w:shd w:val="clear" w:color="auto" w:fill="DAE9F7" w:themeFill="text2" w:themeFillTint="1A"/>
            <w:vAlign w:val="center"/>
          </w:tcPr>
          <w:p w:rsidRPr="00675658" w:rsidR="00CF001C" w:rsidP="00A812DD" w:rsidRDefault="00CF001C" w14:paraId="1D0AAF27" w14:textId="77777777">
            <w:pPr>
              <w:spacing w:line="240" w:lineRule="auto"/>
              <w:jc w:val="center"/>
            </w:pPr>
            <w:r>
              <w:t>J</w:t>
            </w:r>
            <w:r w:rsidRPr="00675658">
              <w:t>a</w:t>
            </w:r>
          </w:p>
        </w:tc>
        <w:tc>
          <w:tcPr>
            <w:tcW w:w="1863" w:type="dxa"/>
            <w:tcBorders>
              <w:top w:val="single" w:color="auto" w:sz="12" w:space="0"/>
              <w:left w:val="single" w:color="auto" w:sz="18" w:space="0"/>
              <w:right w:val="single" w:color="auto" w:sz="18" w:space="0"/>
            </w:tcBorders>
            <w:shd w:val="clear" w:color="auto" w:fill="DAE9F7" w:themeFill="text2" w:themeFillTint="1A"/>
            <w:vAlign w:val="center"/>
          </w:tcPr>
          <w:p w:rsidRPr="00675658" w:rsidR="00CF001C" w:rsidP="00A812DD" w:rsidRDefault="00CF001C" w14:paraId="3DEE28FC" w14:textId="77777777">
            <w:pPr>
              <w:spacing w:line="240" w:lineRule="auto"/>
              <w:jc w:val="center"/>
            </w:pPr>
            <w:r>
              <w:t>Ja</w:t>
            </w:r>
          </w:p>
        </w:tc>
        <w:tc>
          <w:tcPr>
            <w:tcW w:w="1721" w:type="dxa"/>
            <w:tcBorders>
              <w:top w:val="single" w:color="auto" w:sz="12" w:space="0"/>
              <w:left w:val="single" w:color="auto" w:sz="18" w:space="0"/>
              <w:right w:val="single" w:color="auto" w:sz="18" w:space="0"/>
            </w:tcBorders>
            <w:shd w:val="clear" w:color="auto" w:fill="DAE9F7" w:themeFill="text2" w:themeFillTint="1A"/>
            <w:vAlign w:val="center"/>
          </w:tcPr>
          <w:p w:rsidRPr="00675658" w:rsidR="00CF001C" w:rsidP="00A812DD" w:rsidRDefault="00CF001C" w14:paraId="74A71FC3" w14:textId="77777777">
            <w:pPr>
              <w:spacing w:line="240" w:lineRule="auto"/>
              <w:jc w:val="center"/>
            </w:pPr>
            <w:r>
              <w:t>Ja</w:t>
            </w:r>
          </w:p>
        </w:tc>
        <w:tc>
          <w:tcPr>
            <w:tcW w:w="1578" w:type="dxa"/>
            <w:tcBorders>
              <w:top w:val="single" w:color="auto" w:sz="12" w:space="0"/>
              <w:left w:val="single" w:color="auto" w:sz="18" w:space="0"/>
              <w:right w:val="single" w:color="auto" w:sz="18" w:space="0"/>
            </w:tcBorders>
            <w:shd w:val="clear" w:color="auto" w:fill="DAE9F7" w:themeFill="text2" w:themeFillTint="1A"/>
            <w:vAlign w:val="center"/>
          </w:tcPr>
          <w:p w:rsidRPr="00675658" w:rsidR="00CF001C" w:rsidP="00A812DD" w:rsidRDefault="00CF001C" w14:paraId="4A7A8256" w14:textId="77777777">
            <w:pPr>
              <w:spacing w:line="240" w:lineRule="auto"/>
              <w:jc w:val="center"/>
            </w:pPr>
            <w:r>
              <w:t>Ja</w:t>
            </w:r>
          </w:p>
        </w:tc>
        <w:tc>
          <w:tcPr>
            <w:tcW w:w="1721" w:type="dxa"/>
            <w:tcBorders>
              <w:top w:val="single" w:color="auto" w:sz="12" w:space="0"/>
              <w:left w:val="single" w:color="auto" w:sz="18" w:space="0"/>
              <w:right w:val="single" w:color="auto" w:sz="18" w:space="0"/>
            </w:tcBorders>
            <w:shd w:val="clear" w:color="auto" w:fill="DAE9F7" w:themeFill="text2" w:themeFillTint="1A"/>
            <w:vAlign w:val="center"/>
          </w:tcPr>
          <w:p w:rsidRPr="00675658" w:rsidR="00CF001C" w:rsidP="00A812DD" w:rsidRDefault="00CF001C" w14:paraId="58E6F8E1" w14:textId="77777777">
            <w:pPr>
              <w:spacing w:line="240" w:lineRule="auto"/>
              <w:jc w:val="center"/>
            </w:pPr>
            <w:r>
              <w:t>Ja</w:t>
            </w:r>
          </w:p>
        </w:tc>
        <w:tc>
          <w:tcPr>
            <w:tcW w:w="1433" w:type="dxa"/>
            <w:tcBorders>
              <w:top w:val="single" w:color="auto" w:sz="12" w:space="0"/>
              <w:left w:val="single" w:color="auto" w:sz="18" w:space="0"/>
              <w:right w:val="single" w:color="auto" w:sz="18" w:space="0"/>
            </w:tcBorders>
            <w:shd w:val="clear" w:color="auto" w:fill="DAE9F7" w:themeFill="text2" w:themeFillTint="1A"/>
            <w:vAlign w:val="center"/>
          </w:tcPr>
          <w:p w:rsidRPr="00675658" w:rsidR="00CF001C" w:rsidP="00A812DD" w:rsidRDefault="00CF001C" w14:paraId="2FE6AF33" w14:textId="77777777">
            <w:pPr>
              <w:spacing w:line="240" w:lineRule="auto"/>
              <w:jc w:val="center"/>
            </w:pPr>
            <w:r>
              <w:t>Ja</w:t>
            </w:r>
          </w:p>
        </w:tc>
      </w:tr>
      <w:tr w:rsidRPr="00D61DA2" w:rsidR="00CF001C" w:rsidTr="00CF001C" w14:paraId="6EF5BB59" w14:textId="77777777">
        <w:trPr>
          <w:trHeight w:val="145"/>
        </w:trPr>
        <w:tc>
          <w:tcPr>
            <w:tcW w:w="1272" w:type="dxa"/>
            <w:vMerge/>
            <w:shd w:val="clear" w:color="auto" w:fill="DAE9F7" w:themeFill="text2" w:themeFillTint="1A"/>
          </w:tcPr>
          <w:p w:rsidRPr="00D61DA2" w:rsidR="00CF001C" w:rsidP="00A812DD" w:rsidRDefault="00CF001C" w14:paraId="752EFBE0" w14:textId="77777777">
            <w:pPr>
              <w:jc w:val="center"/>
              <w:rPr>
                <w:b/>
                <w:bCs/>
                <w:sz w:val="20"/>
                <w:szCs w:val="20"/>
              </w:rPr>
            </w:pPr>
          </w:p>
        </w:tc>
        <w:tc>
          <w:tcPr>
            <w:tcW w:w="3043" w:type="dxa"/>
            <w:tcBorders>
              <w:right w:val="single" w:color="auto" w:sz="18" w:space="0"/>
            </w:tcBorders>
            <w:shd w:val="clear" w:color="auto" w:fill="DAE9F7" w:themeFill="text2" w:themeFillTint="1A"/>
            <w:vAlign w:val="center"/>
          </w:tcPr>
          <w:p w:rsidRPr="00D61DA2" w:rsidR="00CF001C" w:rsidP="00A812DD" w:rsidRDefault="00CF001C" w14:paraId="2681AAB3" w14:textId="77777777">
            <w:pPr>
              <w:spacing w:line="240" w:lineRule="auto"/>
              <w:jc w:val="right"/>
              <w:rPr>
                <w:b/>
                <w:bCs/>
                <w:sz w:val="20"/>
                <w:szCs w:val="20"/>
              </w:rPr>
            </w:pPr>
            <w:r w:rsidRPr="00D61DA2">
              <w:rPr>
                <w:rFonts w:eastAsia="Times New Roman" w:cs="Times New Roman"/>
                <w:b/>
                <w:bCs/>
                <w:sz w:val="14"/>
                <w:szCs w:val="14"/>
              </w:rPr>
              <w:t xml:space="preserve">Oplossing toekomstige problematiek </w:t>
            </w:r>
            <w:r>
              <w:rPr>
                <w:rFonts w:eastAsia="Times New Roman" w:cs="Times New Roman"/>
                <w:b/>
                <w:bCs/>
                <w:sz w:val="14"/>
                <w:szCs w:val="14"/>
              </w:rPr>
              <w:t xml:space="preserve">bij </w:t>
            </w:r>
            <w:r w:rsidRPr="00D61DA2">
              <w:rPr>
                <w:rFonts w:eastAsia="Times New Roman" w:cs="Times New Roman"/>
                <w:b/>
                <w:bCs/>
                <w:sz w:val="14"/>
                <w:szCs w:val="14"/>
              </w:rPr>
              <w:t>annuïtair</w:t>
            </w:r>
            <w:r>
              <w:rPr>
                <w:rFonts w:eastAsia="Times New Roman" w:cs="Times New Roman"/>
                <w:b/>
                <w:bCs/>
                <w:sz w:val="14"/>
                <w:szCs w:val="14"/>
              </w:rPr>
              <w:t>e leningen (vanaf 2043)</w:t>
            </w:r>
          </w:p>
        </w:tc>
        <w:tc>
          <w:tcPr>
            <w:tcW w:w="1420"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577E6546" w14:textId="77777777">
            <w:pPr>
              <w:spacing w:line="240" w:lineRule="auto"/>
              <w:jc w:val="center"/>
            </w:pPr>
            <w:r>
              <w:t>Nee</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27001CE0" w14:textId="77777777">
            <w:pPr>
              <w:spacing w:line="240" w:lineRule="auto"/>
              <w:ind w:left="-290" w:firstLine="290"/>
              <w:jc w:val="center"/>
            </w:pPr>
            <w:r>
              <w:t>Nee</w:t>
            </w:r>
          </w:p>
        </w:tc>
        <w:tc>
          <w:tcPr>
            <w:tcW w:w="186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4A608D2C" w14:textId="77777777">
            <w:pPr>
              <w:spacing w:line="240" w:lineRule="auto"/>
              <w:jc w:val="center"/>
            </w:pPr>
            <w:r>
              <w:t>Nee</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7514BBFB" w14:textId="77777777">
            <w:pPr>
              <w:spacing w:line="240" w:lineRule="auto"/>
              <w:jc w:val="center"/>
            </w:pPr>
            <w:r>
              <w:t>Ja</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377C74B6" w14:textId="77777777">
            <w:pPr>
              <w:spacing w:line="240" w:lineRule="auto"/>
              <w:jc w:val="center"/>
            </w:pPr>
            <w:r>
              <w:t>Nee</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3C962C94" w14:textId="77777777">
            <w:pPr>
              <w:spacing w:line="240" w:lineRule="auto"/>
              <w:jc w:val="center"/>
            </w:pPr>
            <w:r>
              <w:t>Ja</w:t>
            </w:r>
          </w:p>
        </w:tc>
        <w:tc>
          <w:tcPr>
            <w:tcW w:w="143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68390806" w14:textId="77777777">
            <w:pPr>
              <w:spacing w:line="240" w:lineRule="auto"/>
              <w:jc w:val="center"/>
            </w:pPr>
            <w:r>
              <w:t>N</w:t>
            </w:r>
            <w:r w:rsidRPr="00675658">
              <w:t>ee</w:t>
            </w:r>
          </w:p>
        </w:tc>
      </w:tr>
      <w:tr w:rsidRPr="00D61DA2" w:rsidR="00CF001C" w:rsidTr="00CF001C" w14:paraId="511BAF49" w14:textId="77777777">
        <w:trPr>
          <w:trHeight w:val="145"/>
        </w:trPr>
        <w:tc>
          <w:tcPr>
            <w:tcW w:w="1272" w:type="dxa"/>
            <w:vMerge/>
            <w:shd w:val="clear" w:color="auto" w:fill="DAE9F7" w:themeFill="text2" w:themeFillTint="1A"/>
          </w:tcPr>
          <w:p w:rsidRPr="00D61DA2" w:rsidR="00CF001C" w:rsidP="00A812DD" w:rsidRDefault="00CF001C" w14:paraId="6421381F" w14:textId="77777777">
            <w:pPr>
              <w:jc w:val="center"/>
              <w:rPr>
                <w:b/>
                <w:bCs/>
                <w:sz w:val="20"/>
                <w:szCs w:val="20"/>
              </w:rPr>
            </w:pPr>
          </w:p>
        </w:tc>
        <w:tc>
          <w:tcPr>
            <w:tcW w:w="3043" w:type="dxa"/>
            <w:tcBorders>
              <w:right w:val="single" w:color="auto" w:sz="18" w:space="0"/>
            </w:tcBorders>
            <w:shd w:val="clear" w:color="auto" w:fill="DAE9F7" w:themeFill="text2" w:themeFillTint="1A"/>
            <w:vAlign w:val="center"/>
          </w:tcPr>
          <w:p w:rsidR="00CF001C" w:rsidP="00A812DD" w:rsidRDefault="00CF001C" w14:paraId="6972E197" w14:textId="77777777">
            <w:pPr>
              <w:spacing w:line="240" w:lineRule="auto"/>
              <w:jc w:val="right"/>
              <w:rPr>
                <w:rFonts w:eastAsia="Times New Roman" w:cs="Times New Roman"/>
                <w:b/>
                <w:bCs/>
                <w:sz w:val="14"/>
                <w:szCs w:val="14"/>
              </w:rPr>
            </w:pPr>
            <w:r w:rsidRPr="00D61DA2">
              <w:rPr>
                <w:rFonts w:eastAsia="Times New Roman" w:cs="Times New Roman"/>
                <w:b/>
                <w:bCs/>
                <w:sz w:val="14"/>
                <w:szCs w:val="14"/>
              </w:rPr>
              <w:t xml:space="preserve">Budgettaire </w:t>
            </w:r>
            <w:r>
              <w:rPr>
                <w:rFonts w:eastAsia="Times New Roman" w:cs="Times New Roman"/>
                <w:b/>
                <w:bCs/>
                <w:sz w:val="14"/>
                <w:szCs w:val="14"/>
              </w:rPr>
              <w:t>gevolgen</w:t>
            </w:r>
            <w:r w:rsidRPr="00D61DA2">
              <w:rPr>
                <w:rFonts w:eastAsia="Times New Roman" w:cs="Times New Roman"/>
                <w:b/>
                <w:bCs/>
                <w:sz w:val="14"/>
                <w:szCs w:val="14"/>
              </w:rPr>
              <w:t xml:space="preserve"> – </w:t>
            </w:r>
            <w:r>
              <w:rPr>
                <w:rFonts w:eastAsia="Times New Roman" w:cs="Times New Roman"/>
                <w:b/>
                <w:bCs/>
                <w:sz w:val="14"/>
                <w:szCs w:val="14"/>
              </w:rPr>
              <w:t>gemiddeld</w:t>
            </w:r>
            <w:r w:rsidR="003E6EEA">
              <w:rPr>
                <w:rFonts w:eastAsia="Times New Roman" w:cs="Times New Roman"/>
                <w:b/>
                <w:bCs/>
                <w:sz w:val="14"/>
                <w:szCs w:val="14"/>
              </w:rPr>
              <w:t xml:space="preserve"> per jaar</w:t>
            </w:r>
            <w:r w:rsidRPr="00D61DA2">
              <w:rPr>
                <w:rFonts w:eastAsia="Times New Roman" w:cs="Times New Roman"/>
                <w:b/>
                <w:bCs/>
                <w:sz w:val="14"/>
                <w:szCs w:val="14"/>
              </w:rPr>
              <w:t xml:space="preserve"> 2031-2042</w:t>
            </w:r>
          </w:p>
          <w:p w:rsidRPr="00853DF1" w:rsidR="00CF001C" w:rsidP="00A812DD" w:rsidRDefault="00CF001C" w14:paraId="77454002" w14:textId="77777777">
            <w:pPr>
              <w:spacing w:line="240" w:lineRule="auto"/>
              <w:jc w:val="right"/>
              <w:rPr>
                <w:i/>
                <w:iCs/>
                <w:sz w:val="20"/>
                <w:szCs w:val="20"/>
              </w:rPr>
            </w:pPr>
            <w:r w:rsidRPr="00853DF1">
              <w:rPr>
                <w:rFonts w:eastAsia="Times New Roman" w:cs="Times New Roman"/>
                <w:i/>
                <w:iCs/>
                <w:sz w:val="14"/>
                <w:szCs w:val="14"/>
              </w:rPr>
              <w:t>(</w:t>
            </w:r>
            <w:r>
              <w:rPr>
                <w:rFonts w:eastAsia="Times New Roman" w:cs="Times New Roman"/>
                <w:i/>
                <w:iCs/>
                <w:sz w:val="14"/>
                <w:szCs w:val="14"/>
              </w:rPr>
              <w:t>In miljard euro. P</w:t>
            </w:r>
            <w:r w:rsidRPr="00853DF1">
              <w:rPr>
                <w:rFonts w:eastAsia="Times New Roman" w:cs="Times New Roman"/>
                <w:i/>
                <w:iCs/>
                <w:sz w:val="14"/>
                <w:szCs w:val="14"/>
              </w:rPr>
              <w:t>ositief is beperking fiscale subsidie eigen woning. Negatief is uitbreiding fiscale subsidie eigen woning)</w:t>
            </w:r>
          </w:p>
        </w:tc>
        <w:tc>
          <w:tcPr>
            <w:tcW w:w="1420"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36B58AFB" w14:textId="77777777">
            <w:pPr>
              <w:spacing w:line="240" w:lineRule="auto"/>
              <w:jc w:val="center"/>
              <w:rPr>
                <w:color w:val="196B24" w:themeColor="accent3"/>
              </w:rPr>
            </w:pPr>
            <w:r>
              <w:rPr>
                <w:color w:val="196B24" w:themeColor="accent3"/>
              </w:rPr>
              <w:t xml:space="preserve">1,4 </w:t>
            </w:r>
            <w:proofErr w:type="spellStart"/>
            <w:r>
              <w:rPr>
                <w:color w:val="196B24" w:themeColor="accent3"/>
              </w:rPr>
              <w:t>mld</w:t>
            </w:r>
            <w:proofErr w:type="spellEnd"/>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319CE" w:rsidRDefault="00CF001C" w14:paraId="6DA19B91" w14:textId="77777777">
            <w:pPr>
              <w:spacing w:line="240" w:lineRule="auto"/>
              <w:rPr>
                <w:color w:val="196B24" w:themeColor="accent3"/>
              </w:rPr>
            </w:pPr>
            <w:r>
              <w:rPr>
                <w:color w:val="196B24" w:themeColor="accent3"/>
              </w:rPr>
              <w:t xml:space="preserve">       1,3 </w:t>
            </w:r>
            <w:proofErr w:type="spellStart"/>
            <w:r>
              <w:rPr>
                <w:color w:val="196B24" w:themeColor="accent3"/>
              </w:rPr>
              <w:t>mld</w:t>
            </w:r>
            <w:proofErr w:type="spellEnd"/>
          </w:p>
        </w:tc>
        <w:tc>
          <w:tcPr>
            <w:tcW w:w="186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6BDA0874" w14:textId="77777777">
            <w:pPr>
              <w:spacing w:line="240" w:lineRule="auto"/>
              <w:jc w:val="center"/>
              <w:rPr>
                <w:color w:val="196B24" w:themeColor="accent3"/>
              </w:rPr>
            </w:pPr>
            <w:r w:rsidRPr="00675658">
              <w:rPr>
                <w:color w:val="196B24" w:themeColor="accent3"/>
              </w:rPr>
              <w:t>1</w:t>
            </w:r>
            <w:r>
              <w:rPr>
                <w:color w:val="196B24" w:themeColor="accent3"/>
              </w:rPr>
              <w:t xml:space="preserve">,2 </w:t>
            </w:r>
            <w:proofErr w:type="spellStart"/>
            <w:r>
              <w:rPr>
                <w:color w:val="196B24" w:themeColor="accent3"/>
              </w:rPr>
              <w:t>mld</w:t>
            </w:r>
            <w:proofErr w:type="spellEnd"/>
          </w:p>
        </w:tc>
        <w:tc>
          <w:tcPr>
            <w:tcW w:w="1721" w:type="dxa"/>
            <w:tcBorders>
              <w:left w:val="single" w:color="auto" w:sz="18" w:space="0"/>
              <w:right w:val="single" w:color="auto" w:sz="18" w:space="0"/>
            </w:tcBorders>
            <w:shd w:val="clear" w:color="auto" w:fill="DAE9F7" w:themeFill="text2" w:themeFillTint="1A"/>
            <w:vAlign w:val="center"/>
          </w:tcPr>
          <w:p w:rsidRPr="00193BBE" w:rsidR="00CF001C" w:rsidP="00A319CE" w:rsidRDefault="00CF001C" w14:paraId="268330DF" w14:textId="77777777">
            <w:pPr>
              <w:spacing w:line="240" w:lineRule="auto"/>
              <w:jc w:val="center"/>
              <w:rPr>
                <w:color w:val="196B24" w:themeColor="accent3"/>
                <w:sz w:val="16"/>
                <w:szCs w:val="16"/>
              </w:rPr>
            </w:pPr>
            <w:r w:rsidRPr="00A319CE">
              <w:rPr>
                <w:color w:val="196B24" w:themeColor="accent3"/>
                <w:sz w:val="16"/>
                <w:szCs w:val="16"/>
              </w:rPr>
              <w:t>≤1,</w:t>
            </w:r>
            <w:r>
              <w:rPr>
                <w:color w:val="196B24" w:themeColor="accent3"/>
                <w:sz w:val="16"/>
                <w:szCs w:val="16"/>
              </w:rPr>
              <w:t>2</w:t>
            </w:r>
            <w:r w:rsidRPr="00A319CE">
              <w:rPr>
                <w:color w:val="196B24" w:themeColor="accent3"/>
                <w:sz w:val="16"/>
                <w:szCs w:val="16"/>
              </w:rPr>
              <w:t xml:space="preserve"> mld. – nader onderzoek vereist</w:t>
            </w:r>
            <w:r w:rsidRPr="00675658">
              <w:rPr>
                <w:color w:val="196B24" w:themeColor="accent3"/>
                <w:sz w:val="16"/>
                <w:szCs w:val="16"/>
              </w:rPr>
              <w:t>*</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11F68FB0" w14:textId="77777777">
            <w:pPr>
              <w:spacing w:line="240" w:lineRule="auto"/>
              <w:jc w:val="center"/>
            </w:pPr>
            <w:r w:rsidRPr="00675658">
              <w:rPr>
                <w:color w:val="C00000"/>
              </w:rPr>
              <w:t>-1</w:t>
            </w:r>
            <w:r>
              <w:rPr>
                <w:color w:val="C00000"/>
              </w:rPr>
              <w:t xml:space="preserve">,4 </w:t>
            </w:r>
            <w:proofErr w:type="spellStart"/>
            <w:r>
              <w:rPr>
                <w:color w:val="C00000"/>
              </w:rPr>
              <w:t>mld</w:t>
            </w:r>
            <w:proofErr w:type="spellEnd"/>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319CE" w:rsidRDefault="00CF001C" w14:paraId="3AF32103" w14:textId="77777777">
            <w:pPr>
              <w:spacing w:line="240" w:lineRule="auto"/>
              <w:jc w:val="center"/>
              <w:rPr>
                <w:color w:val="C00000"/>
                <w:sz w:val="16"/>
                <w:szCs w:val="16"/>
              </w:rPr>
            </w:pPr>
            <w:r w:rsidRPr="00A319CE">
              <w:rPr>
                <w:color w:val="C00000"/>
                <w:sz w:val="16"/>
                <w:szCs w:val="16"/>
              </w:rPr>
              <w:t>≥1,</w:t>
            </w:r>
            <w:proofErr w:type="gramStart"/>
            <w:r>
              <w:rPr>
                <w:color w:val="C00000"/>
                <w:sz w:val="16"/>
                <w:szCs w:val="16"/>
              </w:rPr>
              <w:t>4</w:t>
            </w:r>
            <w:r w:rsidRPr="00A319CE">
              <w:rPr>
                <w:color w:val="C00000"/>
                <w:sz w:val="16"/>
                <w:szCs w:val="16"/>
              </w:rPr>
              <w:t xml:space="preserve">  mld.</w:t>
            </w:r>
            <w:proofErr w:type="gramEnd"/>
            <w:r w:rsidRPr="00A319CE">
              <w:rPr>
                <w:color w:val="C00000"/>
                <w:sz w:val="16"/>
                <w:szCs w:val="16"/>
              </w:rPr>
              <w:t xml:space="preserve"> – nader onderzoek vereist</w:t>
            </w:r>
            <w:r w:rsidRPr="00675658">
              <w:rPr>
                <w:color w:val="C00000"/>
                <w:sz w:val="16"/>
                <w:szCs w:val="16"/>
              </w:rPr>
              <w:t>*</w:t>
            </w:r>
          </w:p>
        </w:tc>
        <w:tc>
          <w:tcPr>
            <w:tcW w:w="143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1C465445" w14:textId="77777777">
            <w:pPr>
              <w:spacing w:line="240" w:lineRule="auto"/>
              <w:jc w:val="center"/>
            </w:pPr>
            <w:r>
              <w:rPr>
                <w:color w:val="C00000"/>
              </w:rPr>
              <w:t xml:space="preserve">-0,7 </w:t>
            </w:r>
            <w:proofErr w:type="spellStart"/>
            <w:r>
              <w:rPr>
                <w:color w:val="C00000"/>
              </w:rPr>
              <w:t>mld</w:t>
            </w:r>
            <w:proofErr w:type="spellEnd"/>
          </w:p>
        </w:tc>
      </w:tr>
      <w:tr w:rsidRPr="00D61DA2" w:rsidR="00CF001C" w:rsidTr="00CF001C" w14:paraId="1D42CCD4" w14:textId="77777777">
        <w:trPr>
          <w:trHeight w:val="145"/>
        </w:trPr>
        <w:tc>
          <w:tcPr>
            <w:tcW w:w="1272" w:type="dxa"/>
            <w:vMerge/>
            <w:shd w:val="clear" w:color="auto" w:fill="DAE9F7" w:themeFill="text2" w:themeFillTint="1A"/>
          </w:tcPr>
          <w:p w:rsidRPr="00D61DA2" w:rsidR="00CF001C" w:rsidP="00A812DD" w:rsidRDefault="00CF001C" w14:paraId="2E2063A7" w14:textId="77777777">
            <w:pPr>
              <w:jc w:val="center"/>
              <w:rPr>
                <w:b/>
                <w:bCs/>
                <w:sz w:val="20"/>
                <w:szCs w:val="20"/>
              </w:rPr>
            </w:pPr>
          </w:p>
        </w:tc>
        <w:tc>
          <w:tcPr>
            <w:tcW w:w="3043" w:type="dxa"/>
            <w:tcBorders>
              <w:right w:val="single" w:color="auto" w:sz="18" w:space="0"/>
            </w:tcBorders>
            <w:shd w:val="clear" w:color="auto" w:fill="DAE9F7" w:themeFill="text2" w:themeFillTint="1A"/>
            <w:vAlign w:val="center"/>
          </w:tcPr>
          <w:p w:rsidR="00CF001C" w:rsidP="00A812DD" w:rsidRDefault="00CF001C" w14:paraId="2B9BD93B" w14:textId="77777777">
            <w:pPr>
              <w:spacing w:line="240" w:lineRule="auto"/>
              <w:jc w:val="right"/>
              <w:rPr>
                <w:rFonts w:eastAsia="Times New Roman" w:cs="Times New Roman"/>
                <w:b/>
                <w:bCs/>
                <w:sz w:val="14"/>
                <w:szCs w:val="14"/>
              </w:rPr>
            </w:pPr>
            <w:r w:rsidRPr="00D61DA2">
              <w:rPr>
                <w:rFonts w:eastAsia="Times New Roman" w:cs="Times New Roman"/>
                <w:b/>
                <w:bCs/>
                <w:sz w:val="14"/>
                <w:szCs w:val="14"/>
              </w:rPr>
              <w:t xml:space="preserve">Budgettaire </w:t>
            </w:r>
            <w:r>
              <w:rPr>
                <w:rFonts w:eastAsia="Times New Roman" w:cs="Times New Roman"/>
                <w:b/>
                <w:bCs/>
                <w:sz w:val="14"/>
                <w:szCs w:val="14"/>
              </w:rPr>
              <w:t>gevolgen</w:t>
            </w:r>
            <w:r w:rsidRPr="00D61DA2">
              <w:rPr>
                <w:rFonts w:eastAsia="Times New Roman" w:cs="Times New Roman"/>
                <w:b/>
                <w:bCs/>
                <w:sz w:val="14"/>
                <w:szCs w:val="14"/>
              </w:rPr>
              <w:t xml:space="preserve"> – </w:t>
            </w:r>
            <w:r>
              <w:rPr>
                <w:rFonts w:eastAsia="Times New Roman" w:cs="Times New Roman"/>
                <w:b/>
                <w:bCs/>
                <w:sz w:val="14"/>
                <w:szCs w:val="14"/>
              </w:rPr>
              <w:t>gemiddeld</w:t>
            </w:r>
            <w:r w:rsidR="003E6EEA">
              <w:rPr>
                <w:rFonts w:eastAsia="Times New Roman" w:cs="Times New Roman"/>
                <w:b/>
                <w:bCs/>
                <w:sz w:val="14"/>
                <w:szCs w:val="14"/>
              </w:rPr>
              <w:t xml:space="preserve"> per jaar</w:t>
            </w:r>
            <w:r>
              <w:rPr>
                <w:rFonts w:eastAsia="Times New Roman" w:cs="Times New Roman"/>
                <w:b/>
                <w:bCs/>
                <w:sz w:val="14"/>
                <w:szCs w:val="14"/>
              </w:rPr>
              <w:t xml:space="preserve"> </w:t>
            </w:r>
            <w:r w:rsidRPr="00D61DA2">
              <w:rPr>
                <w:rFonts w:eastAsia="Times New Roman" w:cs="Times New Roman"/>
                <w:b/>
                <w:bCs/>
                <w:sz w:val="14"/>
                <w:szCs w:val="14"/>
              </w:rPr>
              <w:t>2043-2060</w:t>
            </w:r>
          </w:p>
          <w:p w:rsidRPr="00D61DA2" w:rsidR="00CF001C" w:rsidP="00A812DD" w:rsidRDefault="00CF001C" w14:paraId="14E984ED" w14:textId="77777777">
            <w:pPr>
              <w:spacing w:line="240" w:lineRule="auto"/>
              <w:jc w:val="right"/>
              <w:rPr>
                <w:b/>
                <w:bCs/>
                <w:sz w:val="20"/>
                <w:szCs w:val="20"/>
              </w:rPr>
            </w:pPr>
            <w:r w:rsidRPr="00853DF1">
              <w:rPr>
                <w:rFonts w:eastAsia="Times New Roman" w:cs="Times New Roman"/>
                <w:i/>
                <w:iCs/>
                <w:sz w:val="14"/>
                <w:szCs w:val="14"/>
              </w:rPr>
              <w:t>(</w:t>
            </w:r>
            <w:r>
              <w:rPr>
                <w:rFonts w:eastAsia="Times New Roman" w:cs="Times New Roman"/>
                <w:i/>
                <w:iCs/>
                <w:sz w:val="14"/>
                <w:szCs w:val="14"/>
              </w:rPr>
              <w:t>In miljoen euro. P</w:t>
            </w:r>
            <w:r w:rsidRPr="00853DF1">
              <w:rPr>
                <w:rFonts w:eastAsia="Times New Roman" w:cs="Times New Roman"/>
                <w:i/>
                <w:iCs/>
                <w:sz w:val="14"/>
                <w:szCs w:val="14"/>
              </w:rPr>
              <w:t>ositief is beperking fiscale subsidie eigen woning. Negatief is uitbreiding fiscale subsidie eigen woning)</w:t>
            </w:r>
          </w:p>
        </w:tc>
        <w:tc>
          <w:tcPr>
            <w:tcW w:w="1420"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5D9D3F6E" w14:textId="77777777">
            <w:pPr>
              <w:spacing w:line="240" w:lineRule="auto"/>
              <w:jc w:val="center"/>
            </w:pPr>
            <w:r w:rsidRPr="00675658">
              <w:t>n.v.t.</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749735CD" w14:textId="77777777">
            <w:pPr>
              <w:spacing w:line="240" w:lineRule="auto"/>
              <w:jc w:val="center"/>
            </w:pPr>
            <w:r w:rsidRPr="00675658">
              <w:t>n.v.t.</w:t>
            </w:r>
          </w:p>
        </w:tc>
        <w:tc>
          <w:tcPr>
            <w:tcW w:w="186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67F7E751" w14:textId="77777777">
            <w:pPr>
              <w:spacing w:line="240" w:lineRule="auto"/>
              <w:jc w:val="center"/>
            </w:pPr>
            <w:r w:rsidRPr="00675658">
              <w:rPr>
                <w:color w:val="C00000"/>
              </w:rPr>
              <w:t>-20</w:t>
            </w:r>
            <w:r>
              <w:rPr>
                <w:color w:val="C00000"/>
              </w:rPr>
              <w:t xml:space="preserve"> </w:t>
            </w:r>
            <w:proofErr w:type="spellStart"/>
            <w:r>
              <w:rPr>
                <w:color w:val="C00000"/>
              </w:rPr>
              <w:t>mln</w:t>
            </w:r>
            <w:proofErr w:type="spellEnd"/>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3E6EEA" w14:paraId="2C71F35B" w14:textId="77777777">
            <w:pPr>
              <w:spacing w:line="240" w:lineRule="auto"/>
              <w:jc w:val="center"/>
              <w:rPr>
                <w:sz w:val="16"/>
                <w:szCs w:val="16"/>
              </w:rPr>
            </w:pPr>
            <w:r>
              <w:rPr>
                <w:color w:val="C00000"/>
                <w:sz w:val="16"/>
                <w:szCs w:val="16"/>
              </w:rPr>
              <w:t>Derving. N</w:t>
            </w:r>
            <w:r w:rsidRPr="00675658" w:rsidR="00CF001C">
              <w:rPr>
                <w:color w:val="C00000"/>
                <w:sz w:val="16"/>
                <w:szCs w:val="16"/>
              </w:rPr>
              <w:t>ader onderzoek vereist*</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2A91B73D" w14:textId="77777777">
            <w:pPr>
              <w:spacing w:line="240" w:lineRule="auto"/>
              <w:jc w:val="center"/>
            </w:pPr>
            <w:r w:rsidRPr="00193BBE">
              <w:t>n.v.t.</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3E6EEA" w14:paraId="332F5615" w14:textId="77777777">
            <w:pPr>
              <w:spacing w:line="240" w:lineRule="auto"/>
              <w:jc w:val="center"/>
              <w:rPr>
                <w:sz w:val="16"/>
                <w:szCs w:val="16"/>
              </w:rPr>
            </w:pPr>
            <w:r>
              <w:rPr>
                <w:color w:val="C00000"/>
                <w:sz w:val="16"/>
                <w:szCs w:val="16"/>
              </w:rPr>
              <w:t>Derving. N</w:t>
            </w:r>
            <w:r w:rsidRPr="00675658" w:rsidR="00CF001C">
              <w:rPr>
                <w:color w:val="C00000"/>
                <w:sz w:val="16"/>
                <w:szCs w:val="16"/>
              </w:rPr>
              <w:t>ader onderzoek vereist*</w:t>
            </w:r>
          </w:p>
        </w:tc>
        <w:tc>
          <w:tcPr>
            <w:tcW w:w="143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3A0642F0" w14:textId="77777777">
            <w:pPr>
              <w:spacing w:line="240" w:lineRule="auto"/>
              <w:jc w:val="center"/>
            </w:pPr>
            <w:r w:rsidRPr="00675658">
              <w:rPr>
                <w:sz w:val="20"/>
                <w:szCs w:val="20"/>
              </w:rPr>
              <w:t>n.v.t.</w:t>
            </w:r>
          </w:p>
        </w:tc>
      </w:tr>
      <w:tr w:rsidRPr="008500DB" w:rsidR="00CF001C" w:rsidTr="00CF001C" w14:paraId="7DB88DDA" w14:textId="77777777">
        <w:trPr>
          <w:trHeight w:val="145"/>
        </w:trPr>
        <w:tc>
          <w:tcPr>
            <w:tcW w:w="1272" w:type="dxa"/>
            <w:vMerge/>
            <w:shd w:val="clear" w:color="auto" w:fill="DAE9F7" w:themeFill="text2" w:themeFillTint="1A"/>
          </w:tcPr>
          <w:p w:rsidRPr="00D61DA2" w:rsidR="00CF001C" w:rsidP="00A812DD" w:rsidRDefault="00CF001C" w14:paraId="26B89A1D" w14:textId="77777777">
            <w:pPr>
              <w:jc w:val="center"/>
              <w:rPr>
                <w:b/>
                <w:bCs/>
                <w:sz w:val="20"/>
                <w:szCs w:val="20"/>
              </w:rPr>
            </w:pPr>
          </w:p>
        </w:tc>
        <w:tc>
          <w:tcPr>
            <w:tcW w:w="3043" w:type="dxa"/>
            <w:tcBorders>
              <w:right w:val="single" w:color="auto" w:sz="18" w:space="0"/>
            </w:tcBorders>
            <w:shd w:val="clear" w:color="auto" w:fill="DAE9F7" w:themeFill="text2" w:themeFillTint="1A"/>
            <w:vAlign w:val="center"/>
          </w:tcPr>
          <w:p w:rsidRPr="00D61DA2" w:rsidR="00CF001C" w:rsidP="00A812DD" w:rsidRDefault="00CF001C" w14:paraId="12FD0DC0" w14:textId="77777777">
            <w:pPr>
              <w:spacing w:line="240" w:lineRule="auto"/>
              <w:jc w:val="right"/>
              <w:rPr>
                <w:b/>
                <w:bCs/>
                <w:sz w:val="20"/>
                <w:szCs w:val="20"/>
              </w:rPr>
            </w:pPr>
            <w:r w:rsidRPr="00D61DA2">
              <w:rPr>
                <w:rFonts w:eastAsia="Times New Roman" w:cs="Times New Roman"/>
                <w:b/>
                <w:bCs/>
                <w:sz w:val="14"/>
                <w:szCs w:val="14"/>
              </w:rPr>
              <w:t>Inkomenseffecten</w:t>
            </w:r>
          </w:p>
        </w:tc>
        <w:tc>
          <w:tcPr>
            <w:tcW w:w="1420"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11052F9B" w14:textId="77777777">
            <w:pPr>
              <w:spacing w:line="240" w:lineRule="auto"/>
              <w:jc w:val="center"/>
              <w:rPr>
                <w:sz w:val="16"/>
                <w:szCs w:val="16"/>
              </w:rPr>
            </w:pPr>
            <w:proofErr w:type="spellStart"/>
            <w:r>
              <w:rPr>
                <w:sz w:val="16"/>
                <w:szCs w:val="16"/>
              </w:rPr>
              <w:t>L</w:t>
            </w:r>
            <w:r w:rsidRPr="00675658">
              <w:rPr>
                <w:sz w:val="16"/>
                <w:szCs w:val="16"/>
              </w:rPr>
              <w:t>asten-verzwaring</w:t>
            </w:r>
            <w:proofErr w:type="spellEnd"/>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0F001146" w14:textId="77777777">
            <w:pPr>
              <w:spacing w:line="240" w:lineRule="auto"/>
              <w:jc w:val="center"/>
              <w:rPr>
                <w:sz w:val="16"/>
                <w:szCs w:val="16"/>
              </w:rPr>
            </w:pPr>
            <w:r>
              <w:rPr>
                <w:sz w:val="16"/>
                <w:szCs w:val="16"/>
              </w:rPr>
              <w:t>A</w:t>
            </w:r>
            <w:r w:rsidRPr="00675658">
              <w:rPr>
                <w:sz w:val="16"/>
                <w:szCs w:val="16"/>
              </w:rPr>
              <w:t>fhankelijk van keuze belastingplichtige</w:t>
            </w:r>
          </w:p>
        </w:tc>
        <w:tc>
          <w:tcPr>
            <w:tcW w:w="186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10A3543E" w14:textId="77777777">
            <w:pPr>
              <w:spacing w:line="240" w:lineRule="auto"/>
              <w:jc w:val="center"/>
              <w:rPr>
                <w:sz w:val="16"/>
                <w:szCs w:val="16"/>
              </w:rPr>
            </w:pPr>
            <w:r>
              <w:rPr>
                <w:sz w:val="16"/>
                <w:szCs w:val="16"/>
              </w:rPr>
              <w:t>A</w:t>
            </w:r>
            <w:r w:rsidRPr="00675658">
              <w:rPr>
                <w:sz w:val="16"/>
                <w:szCs w:val="16"/>
              </w:rPr>
              <w:t>fhankelijk van keuze belastingplichtige</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64E38FA2" w14:textId="77777777">
            <w:pPr>
              <w:spacing w:line="240" w:lineRule="auto"/>
              <w:jc w:val="center"/>
              <w:rPr>
                <w:sz w:val="16"/>
                <w:szCs w:val="16"/>
              </w:rPr>
            </w:pPr>
            <w:r>
              <w:rPr>
                <w:sz w:val="16"/>
                <w:szCs w:val="16"/>
              </w:rPr>
              <w:t>A</w:t>
            </w:r>
            <w:r w:rsidRPr="00675658">
              <w:rPr>
                <w:sz w:val="16"/>
                <w:szCs w:val="16"/>
              </w:rPr>
              <w:t>fhankelijk van keuze belastingplichtige</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090A3423" w14:textId="77777777">
            <w:pPr>
              <w:spacing w:line="240" w:lineRule="auto"/>
              <w:jc w:val="center"/>
              <w:rPr>
                <w:sz w:val="16"/>
                <w:szCs w:val="16"/>
              </w:rPr>
            </w:pPr>
            <w:r>
              <w:rPr>
                <w:sz w:val="16"/>
                <w:szCs w:val="16"/>
              </w:rPr>
              <w:t>L</w:t>
            </w:r>
            <w:r w:rsidRPr="00675658">
              <w:rPr>
                <w:sz w:val="16"/>
                <w:szCs w:val="16"/>
              </w:rPr>
              <w:t>astenverlichting</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677EE6F9" w14:textId="77777777">
            <w:pPr>
              <w:spacing w:line="240" w:lineRule="auto"/>
              <w:jc w:val="center"/>
              <w:rPr>
                <w:sz w:val="16"/>
                <w:szCs w:val="16"/>
              </w:rPr>
            </w:pPr>
            <w:r>
              <w:rPr>
                <w:sz w:val="16"/>
                <w:szCs w:val="16"/>
              </w:rPr>
              <w:t>L</w:t>
            </w:r>
            <w:r w:rsidRPr="00675658">
              <w:rPr>
                <w:sz w:val="16"/>
                <w:szCs w:val="16"/>
              </w:rPr>
              <w:t>astenverlichting</w:t>
            </w:r>
          </w:p>
        </w:tc>
        <w:tc>
          <w:tcPr>
            <w:tcW w:w="143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0A6FCA82" w14:textId="77777777">
            <w:pPr>
              <w:spacing w:line="240" w:lineRule="auto"/>
              <w:jc w:val="center"/>
              <w:rPr>
                <w:sz w:val="16"/>
                <w:szCs w:val="16"/>
              </w:rPr>
            </w:pPr>
            <w:r>
              <w:rPr>
                <w:sz w:val="16"/>
                <w:szCs w:val="16"/>
              </w:rPr>
              <w:t>A</w:t>
            </w:r>
            <w:r w:rsidRPr="00675658">
              <w:rPr>
                <w:sz w:val="16"/>
                <w:szCs w:val="16"/>
              </w:rPr>
              <w:t>fhankelijk van afloopdatum 30-jaarstermijn</w:t>
            </w:r>
          </w:p>
        </w:tc>
      </w:tr>
      <w:tr w:rsidRPr="00D61DA2" w:rsidR="00CF001C" w:rsidTr="00CF001C" w14:paraId="63F24A6E" w14:textId="77777777">
        <w:trPr>
          <w:trHeight w:val="212"/>
        </w:trPr>
        <w:tc>
          <w:tcPr>
            <w:tcW w:w="1272" w:type="dxa"/>
            <w:vMerge/>
            <w:shd w:val="clear" w:color="auto" w:fill="DAE9F7" w:themeFill="text2" w:themeFillTint="1A"/>
          </w:tcPr>
          <w:p w:rsidRPr="00675658" w:rsidR="00CF001C" w:rsidP="00CF001C" w:rsidRDefault="00CF001C" w14:paraId="2C26DFFA" w14:textId="77777777">
            <w:pPr>
              <w:spacing w:after="120"/>
              <w:jc w:val="center"/>
              <w:rPr>
                <w:i/>
                <w:iCs/>
                <w:sz w:val="14"/>
                <w:szCs w:val="14"/>
              </w:rPr>
            </w:pPr>
          </w:p>
        </w:tc>
        <w:tc>
          <w:tcPr>
            <w:tcW w:w="3043" w:type="dxa"/>
            <w:tcBorders>
              <w:right w:val="single" w:color="auto" w:sz="18" w:space="0"/>
            </w:tcBorders>
            <w:shd w:val="clear" w:color="auto" w:fill="DAE9F7" w:themeFill="text2" w:themeFillTint="1A"/>
            <w:vAlign w:val="center"/>
          </w:tcPr>
          <w:p w:rsidRPr="00CF001C" w:rsidR="00CF001C" w:rsidP="00A812DD" w:rsidRDefault="00CF001C" w14:paraId="6A6B565B" w14:textId="77777777">
            <w:pPr>
              <w:spacing w:line="240" w:lineRule="auto"/>
              <w:jc w:val="right"/>
              <w:rPr>
                <w:sz w:val="20"/>
                <w:szCs w:val="20"/>
              </w:rPr>
            </w:pPr>
            <w:r w:rsidRPr="00CF001C">
              <w:rPr>
                <w:rFonts w:eastAsia="Times New Roman" w:cs="Times New Roman"/>
                <w:b/>
                <w:bCs/>
                <w:sz w:val="14"/>
                <w:szCs w:val="14"/>
              </w:rPr>
              <w:t xml:space="preserve">Belastingdienst: </w:t>
            </w:r>
            <w:r w:rsidRPr="00CF001C">
              <w:rPr>
                <w:rFonts w:eastAsia="Times New Roman" w:cs="Times New Roman"/>
                <w:sz w:val="14"/>
                <w:szCs w:val="14"/>
              </w:rPr>
              <w:t>Bijhouden box 3-EWL</w:t>
            </w:r>
          </w:p>
        </w:tc>
        <w:tc>
          <w:tcPr>
            <w:tcW w:w="1420"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32DCC769" w14:textId="77777777">
            <w:pPr>
              <w:spacing w:line="240" w:lineRule="auto"/>
              <w:jc w:val="center"/>
            </w:pPr>
            <w:r>
              <w:t>J</w:t>
            </w:r>
            <w:r w:rsidRPr="00675658">
              <w:t>a</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5ADAE5A1" w14:textId="77777777">
            <w:pPr>
              <w:spacing w:line="240" w:lineRule="auto"/>
              <w:jc w:val="center"/>
            </w:pPr>
            <w:r>
              <w:t>J</w:t>
            </w:r>
            <w:r w:rsidRPr="00675658">
              <w:t>a</w:t>
            </w:r>
          </w:p>
        </w:tc>
        <w:tc>
          <w:tcPr>
            <w:tcW w:w="186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1AA82D34" w14:textId="77777777">
            <w:pPr>
              <w:spacing w:line="240" w:lineRule="auto"/>
              <w:jc w:val="center"/>
            </w:pPr>
            <w:r>
              <w:t>Ja</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40DAE3F4" w14:textId="77777777">
            <w:pPr>
              <w:spacing w:line="240" w:lineRule="auto"/>
              <w:jc w:val="center"/>
            </w:pPr>
            <w:r>
              <w:t>N</w:t>
            </w:r>
            <w:r w:rsidRPr="00675658">
              <w:t>ee</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2867ED18" w14:textId="77777777">
            <w:pPr>
              <w:spacing w:line="240" w:lineRule="auto"/>
              <w:jc w:val="center"/>
            </w:pPr>
            <w:r>
              <w:t>J</w:t>
            </w:r>
            <w:r w:rsidRPr="00675658">
              <w:t>a</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35FF8950" w14:textId="77777777">
            <w:pPr>
              <w:spacing w:line="240" w:lineRule="auto"/>
              <w:jc w:val="center"/>
            </w:pPr>
            <w:r>
              <w:t>N</w:t>
            </w:r>
            <w:r w:rsidRPr="00675658">
              <w:t>ee</w:t>
            </w:r>
          </w:p>
        </w:tc>
        <w:tc>
          <w:tcPr>
            <w:tcW w:w="143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27438281" w14:textId="77777777">
            <w:pPr>
              <w:spacing w:line="240" w:lineRule="auto"/>
              <w:jc w:val="center"/>
            </w:pPr>
            <w:r>
              <w:t>J</w:t>
            </w:r>
            <w:r w:rsidRPr="00675658">
              <w:t>a</w:t>
            </w:r>
          </w:p>
        </w:tc>
      </w:tr>
      <w:tr w:rsidRPr="00D61DA2" w:rsidR="00CF001C" w:rsidTr="00CF001C" w14:paraId="6E4AA22E" w14:textId="77777777">
        <w:trPr>
          <w:trHeight w:val="145"/>
        </w:trPr>
        <w:tc>
          <w:tcPr>
            <w:tcW w:w="1272" w:type="dxa"/>
            <w:vMerge/>
            <w:shd w:val="clear" w:color="auto" w:fill="DAE9F7" w:themeFill="text2" w:themeFillTint="1A"/>
          </w:tcPr>
          <w:p w:rsidRPr="00D61DA2" w:rsidR="00CF001C" w:rsidP="00A812DD" w:rsidRDefault="00CF001C" w14:paraId="611E474F" w14:textId="77777777">
            <w:pPr>
              <w:rPr>
                <w:i/>
                <w:iCs/>
                <w:sz w:val="20"/>
                <w:szCs w:val="20"/>
              </w:rPr>
            </w:pPr>
          </w:p>
        </w:tc>
        <w:tc>
          <w:tcPr>
            <w:tcW w:w="3043" w:type="dxa"/>
            <w:tcBorders>
              <w:right w:val="single" w:color="auto" w:sz="18" w:space="0"/>
            </w:tcBorders>
            <w:shd w:val="clear" w:color="auto" w:fill="DAE9F7" w:themeFill="text2" w:themeFillTint="1A"/>
            <w:vAlign w:val="center"/>
          </w:tcPr>
          <w:p w:rsidRPr="00CF001C" w:rsidR="00CF001C" w:rsidP="00A812DD" w:rsidRDefault="00CF001C" w14:paraId="61A28A5F" w14:textId="77777777">
            <w:pPr>
              <w:spacing w:line="240" w:lineRule="auto"/>
              <w:jc w:val="right"/>
              <w:rPr>
                <w:sz w:val="20"/>
                <w:szCs w:val="20"/>
              </w:rPr>
            </w:pPr>
            <w:r w:rsidRPr="00CF001C">
              <w:rPr>
                <w:rFonts w:eastAsia="Times New Roman" w:cs="Times New Roman"/>
                <w:b/>
                <w:bCs/>
                <w:sz w:val="14"/>
                <w:szCs w:val="14"/>
              </w:rPr>
              <w:t>Belastingdienst:</w:t>
            </w:r>
            <w:r w:rsidRPr="00CF001C">
              <w:rPr>
                <w:rFonts w:eastAsia="Times New Roman" w:cs="Times New Roman"/>
                <w:sz w:val="14"/>
                <w:szCs w:val="14"/>
              </w:rPr>
              <w:t xml:space="preserve"> Vaststellen BEWS op peilmoment</w:t>
            </w:r>
          </w:p>
        </w:tc>
        <w:tc>
          <w:tcPr>
            <w:tcW w:w="1420"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33A35533" w14:textId="77777777">
            <w:pPr>
              <w:spacing w:line="240" w:lineRule="auto"/>
              <w:jc w:val="center"/>
            </w:pPr>
            <w:r>
              <w:t xml:space="preserve"> J</w:t>
            </w:r>
            <w:r w:rsidRPr="00675658">
              <w:t>a</w:t>
            </w:r>
            <w:r w:rsidRPr="00675658">
              <w:rPr>
                <w:rStyle w:val="Voetnootmarkering"/>
              </w:rPr>
              <w:footnoteReference w:id="6"/>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1C085494" w14:textId="77777777">
            <w:pPr>
              <w:spacing w:line="240" w:lineRule="auto"/>
              <w:jc w:val="center"/>
              <w:rPr>
                <w:vertAlign w:val="superscript"/>
              </w:rPr>
            </w:pPr>
            <w:r>
              <w:t xml:space="preserve"> J</w:t>
            </w:r>
            <w:r w:rsidRPr="00675658">
              <w:t>a</w:t>
            </w:r>
            <w:r w:rsidR="0048497C">
              <w:rPr>
                <w:vertAlign w:val="superscript"/>
              </w:rPr>
              <w:t>6</w:t>
            </w:r>
          </w:p>
        </w:tc>
        <w:tc>
          <w:tcPr>
            <w:tcW w:w="186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06A17D72" w14:textId="77777777">
            <w:pPr>
              <w:spacing w:line="240" w:lineRule="auto"/>
              <w:jc w:val="center"/>
              <w:rPr>
                <w:vertAlign w:val="superscript"/>
              </w:rPr>
            </w:pPr>
            <w:r w:rsidRPr="00675658">
              <w:t xml:space="preserve"> </w:t>
            </w:r>
            <w:r>
              <w:t>J</w:t>
            </w:r>
            <w:r w:rsidRPr="00675658">
              <w:t>a</w:t>
            </w:r>
            <w:r w:rsidR="0048497C">
              <w:rPr>
                <w:vertAlign w:val="superscript"/>
              </w:rPr>
              <w:t>6</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7C56436B" w14:textId="77777777">
            <w:pPr>
              <w:spacing w:line="240" w:lineRule="auto"/>
              <w:jc w:val="center"/>
            </w:pPr>
            <w:r>
              <w:t>N</w:t>
            </w:r>
            <w:r w:rsidRPr="00675658">
              <w:t>ee</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14656B3E" w14:textId="77777777">
            <w:pPr>
              <w:spacing w:line="240" w:lineRule="auto"/>
              <w:jc w:val="center"/>
            </w:pPr>
            <w:r>
              <w:t>J</w:t>
            </w:r>
            <w:r w:rsidRPr="00675658">
              <w:t>a</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11CFD74F" w14:textId="77777777">
            <w:pPr>
              <w:spacing w:line="240" w:lineRule="auto"/>
              <w:jc w:val="center"/>
            </w:pPr>
            <w:r>
              <w:t>N</w:t>
            </w:r>
            <w:r w:rsidRPr="00675658">
              <w:t>ee</w:t>
            </w:r>
          </w:p>
        </w:tc>
        <w:tc>
          <w:tcPr>
            <w:tcW w:w="143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6D83A480" w14:textId="77777777">
            <w:pPr>
              <w:spacing w:line="240" w:lineRule="auto"/>
              <w:jc w:val="center"/>
            </w:pPr>
            <w:r>
              <w:t>J</w:t>
            </w:r>
            <w:r w:rsidRPr="00675658">
              <w:t>a</w:t>
            </w:r>
          </w:p>
        </w:tc>
      </w:tr>
      <w:tr w:rsidRPr="00D61DA2" w:rsidR="00CF001C" w:rsidTr="00CF001C" w14:paraId="1E29D046" w14:textId="77777777">
        <w:trPr>
          <w:trHeight w:val="145"/>
        </w:trPr>
        <w:tc>
          <w:tcPr>
            <w:tcW w:w="1272" w:type="dxa"/>
            <w:vMerge/>
            <w:shd w:val="clear" w:color="auto" w:fill="DAE9F7" w:themeFill="text2" w:themeFillTint="1A"/>
          </w:tcPr>
          <w:p w:rsidRPr="00D61DA2" w:rsidR="00CF001C" w:rsidP="00A812DD" w:rsidRDefault="00CF001C" w14:paraId="403CBD44" w14:textId="77777777">
            <w:pPr>
              <w:rPr>
                <w:b/>
                <w:bCs/>
                <w:sz w:val="20"/>
                <w:szCs w:val="20"/>
              </w:rPr>
            </w:pPr>
          </w:p>
        </w:tc>
        <w:tc>
          <w:tcPr>
            <w:tcW w:w="3043" w:type="dxa"/>
            <w:tcBorders>
              <w:right w:val="single" w:color="auto" w:sz="18" w:space="0"/>
            </w:tcBorders>
            <w:shd w:val="clear" w:color="auto" w:fill="DAE9F7" w:themeFill="text2" w:themeFillTint="1A"/>
            <w:vAlign w:val="center"/>
          </w:tcPr>
          <w:p w:rsidRPr="00D61DA2" w:rsidR="00CF001C" w:rsidP="00A812DD" w:rsidRDefault="00CF001C" w14:paraId="7535AB99" w14:textId="77777777">
            <w:pPr>
              <w:spacing w:line="240" w:lineRule="auto"/>
              <w:jc w:val="right"/>
              <w:rPr>
                <w:b/>
                <w:bCs/>
                <w:sz w:val="20"/>
                <w:szCs w:val="20"/>
              </w:rPr>
            </w:pPr>
            <w:r w:rsidRPr="00D61DA2">
              <w:rPr>
                <w:rFonts w:eastAsia="Times New Roman" w:cs="Times New Roman"/>
                <w:b/>
                <w:bCs/>
                <w:sz w:val="14"/>
                <w:szCs w:val="14"/>
              </w:rPr>
              <w:t>Rol voor financieel dienstverleners</w:t>
            </w:r>
            <w:r>
              <w:rPr>
                <w:rFonts w:eastAsia="Times New Roman" w:cs="Times New Roman"/>
                <w:b/>
                <w:bCs/>
                <w:sz w:val="14"/>
                <w:szCs w:val="14"/>
              </w:rPr>
              <w:t xml:space="preserve"> </w:t>
            </w:r>
            <w:r w:rsidRPr="00853DF1">
              <w:rPr>
                <w:rFonts w:eastAsia="Times New Roman" w:cs="Times New Roman"/>
                <w:i/>
                <w:iCs/>
                <w:sz w:val="14"/>
                <w:szCs w:val="14"/>
              </w:rPr>
              <w:t>(</w:t>
            </w:r>
            <w:r>
              <w:rPr>
                <w:rFonts w:eastAsia="Times New Roman" w:cs="Times New Roman"/>
                <w:i/>
                <w:iCs/>
                <w:sz w:val="14"/>
                <w:szCs w:val="14"/>
              </w:rPr>
              <w:t>b.v. oversluiten hypotheken</w:t>
            </w:r>
            <w:r w:rsidRPr="00853DF1">
              <w:rPr>
                <w:rFonts w:eastAsia="Times New Roman" w:cs="Times New Roman"/>
                <w:i/>
                <w:iCs/>
                <w:sz w:val="14"/>
                <w:szCs w:val="14"/>
              </w:rPr>
              <w:t>)</w:t>
            </w:r>
          </w:p>
        </w:tc>
        <w:tc>
          <w:tcPr>
            <w:tcW w:w="1420"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2704FAE1" w14:textId="77777777">
            <w:pPr>
              <w:spacing w:line="240" w:lineRule="auto"/>
              <w:jc w:val="center"/>
            </w:pPr>
            <w:r>
              <w:t>n</w:t>
            </w:r>
            <w:r w:rsidRPr="00675658">
              <w:t>.v.t.</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05194B9B" w14:textId="77777777">
            <w:pPr>
              <w:spacing w:line="240" w:lineRule="auto"/>
              <w:jc w:val="center"/>
            </w:pPr>
            <w:r w:rsidRPr="00675658">
              <w:rPr>
                <w:rStyle w:val="Voetnootmarkering"/>
                <w:color w:val="DAE9F7" w:themeColor="text2" w:themeTint="1A"/>
              </w:rPr>
              <w:footnoteReference w:id="7"/>
            </w:r>
            <w:r>
              <w:t>J</w:t>
            </w:r>
            <w:r w:rsidRPr="00675658">
              <w:t>a</w:t>
            </w:r>
          </w:p>
        </w:tc>
        <w:tc>
          <w:tcPr>
            <w:tcW w:w="186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36761FD3" w14:textId="77777777">
            <w:pPr>
              <w:spacing w:line="240" w:lineRule="auto"/>
              <w:jc w:val="center"/>
            </w:pPr>
            <w:r>
              <w:t>J</w:t>
            </w:r>
            <w:r w:rsidRPr="00675658">
              <w:t>a</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6CAFA310" w14:textId="77777777">
            <w:pPr>
              <w:spacing w:line="240" w:lineRule="auto"/>
              <w:jc w:val="center"/>
            </w:pPr>
            <w:r>
              <w:t>J</w:t>
            </w:r>
            <w:r w:rsidRPr="00675658">
              <w:t>a</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290F8C9B" w14:textId="77777777">
            <w:pPr>
              <w:spacing w:line="240" w:lineRule="auto"/>
              <w:jc w:val="center"/>
            </w:pPr>
            <w:r>
              <w:t>n</w:t>
            </w:r>
            <w:r w:rsidRPr="00675658">
              <w:t>.v.t.</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5491F072" w14:textId="77777777">
            <w:pPr>
              <w:spacing w:line="240" w:lineRule="auto"/>
              <w:jc w:val="center"/>
            </w:pPr>
            <w:r>
              <w:t>J</w:t>
            </w:r>
            <w:r w:rsidRPr="00675658">
              <w:t>a</w:t>
            </w:r>
          </w:p>
        </w:tc>
        <w:tc>
          <w:tcPr>
            <w:tcW w:w="143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7DC232F5" w14:textId="77777777">
            <w:pPr>
              <w:spacing w:line="240" w:lineRule="auto"/>
              <w:jc w:val="center"/>
            </w:pPr>
            <w:r>
              <w:t>n</w:t>
            </w:r>
            <w:r w:rsidRPr="00675658">
              <w:t>.v.t.</w:t>
            </w:r>
          </w:p>
        </w:tc>
      </w:tr>
      <w:tr w:rsidRPr="00D61DA2" w:rsidR="00CF001C" w:rsidTr="00CF001C" w14:paraId="213DCF71" w14:textId="77777777">
        <w:trPr>
          <w:trHeight w:val="145"/>
        </w:trPr>
        <w:tc>
          <w:tcPr>
            <w:tcW w:w="1272" w:type="dxa"/>
            <w:vMerge/>
            <w:shd w:val="clear" w:color="auto" w:fill="DAE9F7" w:themeFill="text2" w:themeFillTint="1A"/>
          </w:tcPr>
          <w:p w:rsidRPr="00D61DA2" w:rsidR="00CF001C" w:rsidP="00A812DD" w:rsidRDefault="00CF001C" w14:paraId="4527DD3A" w14:textId="77777777">
            <w:pPr>
              <w:rPr>
                <w:b/>
                <w:bCs/>
                <w:sz w:val="20"/>
                <w:szCs w:val="20"/>
              </w:rPr>
            </w:pPr>
          </w:p>
        </w:tc>
        <w:tc>
          <w:tcPr>
            <w:tcW w:w="3043" w:type="dxa"/>
            <w:tcBorders>
              <w:right w:val="single" w:color="auto" w:sz="18" w:space="0"/>
            </w:tcBorders>
            <w:shd w:val="clear" w:color="auto" w:fill="DAE9F7" w:themeFill="text2" w:themeFillTint="1A"/>
            <w:vAlign w:val="center"/>
          </w:tcPr>
          <w:p w:rsidR="00CF001C" w:rsidP="00A812DD" w:rsidRDefault="00CF001C" w14:paraId="255EE512" w14:textId="77777777">
            <w:pPr>
              <w:spacing w:line="240" w:lineRule="auto"/>
              <w:jc w:val="right"/>
              <w:rPr>
                <w:rFonts w:eastAsia="Times New Roman" w:cs="Times New Roman"/>
                <w:sz w:val="14"/>
                <w:szCs w:val="14"/>
              </w:rPr>
            </w:pPr>
            <w:r>
              <w:rPr>
                <w:rFonts w:eastAsia="Times New Roman" w:cs="Times New Roman"/>
                <w:b/>
                <w:bCs/>
                <w:sz w:val="14"/>
                <w:szCs w:val="14"/>
              </w:rPr>
              <w:t>Burgerperspectief – benodigde kennis</w:t>
            </w:r>
          </w:p>
          <w:p w:rsidRPr="009D693E" w:rsidR="00CF001C" w:rsidP="00A812DD" w:rsidRDefault="00CF001C" w14:paraId="4486A5B3" w14:textId="77777777">
            <w:pPr>
              <w:spacing w:line="240" w:lineRule="auto"/>
              <w:jc w:val="right"/>
              <w:rPr>
                <w:sz w:val="20"/>
                <w:szCs w:val="20"/>
              </w:rPr>
            </w:pPr>
            <w:r>
              <w:rPr>
                <w:rFonts w:eastAsia="Times New Roman" w:cs="Times New Roman"/>
                <w:sz w:val="14"/>
                <w:szCs w:val="14"/>
              </w:rPr>
              <w:t>(‘+’ is verbetering ten opzichte van huidige situatie)</w:t>
            </w:r>
          </w:p>
        </w:tc>
        <w:tc>
          <w:tcPr>
            <w:tcW w:w="1420"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7C8FACC6" w14:textId="77777777">
            <w:pPr>
              <w:spacing w:line="240" w:lineRule="auto"/>
              <w:jc w:val="center"/>
            </w:pPr>
            <w:r w:rsidRPr="00675658">
              <w:t>++</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2EE42596" w14:textId="77777777">
            <w:pPr>
              <w:spacing w:line="240" w:lineRule="auto"/>
              <w:jc w:val="center"/>
            </w:pPr>
            <w:r w:rsidRPr="00675658">
              <w:t>+</w:t>
            </w:r>
          </w:p>
        </w:tc>
        <w:tc>
          <w:tcPr>
            <w:tcW w:w="186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0182B680" w14:textId="77777777">
            <w:pPr>
              <w:spacing w:line="240" w:lineRule="auto"/>
              <w:jc w:val="center"/>
            </w:pPr>
            <w:r w:rsidRPr="00675658">
              <w:t>++</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0E9FF929" w14:textId="77777777">
            <w:pPr>
              <w:spacing w:line="240" w:lineRule="auto"/>
              <w:jc w:val="center"/>
            </w:pPr>
            <w:r w:rsidRPr="00675658">
              <w:t>+++</w:t>
            </w:r>
          </w:p>
        </w:tc>
        <w:tc>
          <w:tcPr>
            <w:tcW w:w="1578"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2A265743" w14:textId="77777777">
            <w:pPr>
              <w:spacing w:line="240" w:lineRule="auto"/>
              <w:jc w:val="center"/>
            </w:pPr>
            <w:r w:rsidRPr="00675658">
              <w:t>++</w:t>
            </w:r>
          </w:p>
        </w:tc>
        <w:tc>
          <w:tcPr>
            <w:tcW w:w="1721"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1BEE819E" w14:textId="77777777">
            <w:pPr>
              <w:spacing w:line="240" w:lineRule="auto"/>
              <w:jc w:val="center"/>
            </w:pPr>
            <w:r w:rsidRPr="00675658">
              <w:t>+++</w:t>
            </w:r>
          </w:p>
        </w:tc>
        <w:tc>
          <w:tcPr>
            <w:tcW w:w="1433" w:type="dxa"/>
            <w:tcBorders>
              <w:left w:val="single" w:color="auto" w:sz="18" w:space="0"/>
              <w:right w:val="single" w:color="auto" w:sz="18" w:space="0"/>
            </w:tcBorders>
            <w:shd w:val="clear" w:color="auto" w:fill="DAE9F7" w:themeFill="text2" w:themeFillTint="1A"/>
            <w:vAlign w:val="center"/>
          </w:tcPr>
          <w:p w:rsidRPr="00675658" w:rsidR="00CF001C" w:rsidP="00A812DD" w:rsidRDefault="00CF001C" w14:paraId="27EF452E" w14:textId="77777777">
            <w:pPr>
              <w:spacing w:line="240" w:lineRule="auto"/>
              <w:jc w:val="center"/>
            </w:pPr>
            <w:r w:rsidRPr="00675658">
              <w:t>++</w:t>
            </w:r>
          </w:p>
        </w:tc>
      </w:tr>
    </w:tbl>
    <w:p w:rsidR="0060736A" w:rsidP="001C4D8B" w:rsidRDefault="0060736A" w14:paraId="5B4BD616" w14:textId="77777777">
      <w:pPr>
        <w:sectPr w:rsidR="0060736A" w:rsidSect="005A7603">
          <w:pgSz w:w="16837" w:h="11905" w:orient="landscape"/>
          <w:pgMar w:top="567" w:right="2642" w:bottom="964" w:left="794" w:header="0" w:footer="0" w:gutter="0"/>
          <w:cols w:space="708"/>
          <w:docGrid w:linePitch="245"/>
        </w:sectPr>
      </w:pPr>
    </w:p>
    <w:p w:rsidR="001E7E10" w:rsidP="00AA1093" w:rsidRDefault="001E7E10" w14:paraId="0760FCC0" w14:textId="77777777">
      <w:pPr>
        <w:pStyle w:val="Kop1-nietgenummerd"/>
      </w:pPr>
      <w:bookmarkStart w:name="_Toc223516956" w:id="6"/>
      <w:bookmarkStart w:name="_Toc223517843" w:id="7"/>
      <w:bookmarkStart w:name="_Toc226640251" w:id="8"/>
      <w:r w:rsidRPr="00D37868">
        <w:lastRenderedPageBreak/>
        <w:t>Begrippenlijst</w:t>
      </w:r>
      <w:bookmarkEnd w:id="4"/>
      <w:bookmarkEnd w:id="6"/>
      <w:bookmarkEnd w:id="7"/>
      <w:bookmarkEnd w:id="8"/>
    </w:p>
    <w:p w:rsidR="001E7E10" w:rsidP="001E7E10" w:rsidRDefault="001E7E10" w14:paraId="2ECCF904" w14:textId="77777777">
      <w:pPr>
        <w:spacing w:line="276" w:lineRule="auto"/>
        <w:ind w:left="3540" w:hanging="3540"/>
      </w:pPr>
    </w:p>
    <w:tbl>
      <w:tblPr>
        <w:tblStyle w:val="Tabelraste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14"/>
        <w:gridCol w:w="4657"/>
      </w:tblGrid>
      <w:tr w:rsidR="001E7E10" w:rsidTr="001E7E10" w14:paraId="597A94AE" w14:textId="77777777">
        <w:tc>
          <w:tcPr>
            <w:tcW w:w="2714" w:type="dxa"/>
          </w:tcPr>
          <w:p w:rsidRPr="001E7E10" w:rsidR="001E7E10" w:rsidP="001E7E10" w:rsidRDefault="001E7E10" w14:paraId="0879C8D3" w14:textId="77777777">
            <w:pPr>
              <w:spacing w:line="276" w:lineRule="auto"/>
              <w:rPr>
                <w:b/>
                <w:bCs/>
              </w:rPr>
            </w:pPr>
            <w:r w:rsidRPr="001E7E10">
              <w:rPr>
                <w:b/>
                <w:bCs/>
              </w:rPr>
              <w:t>Begrip</w:t>
            </w:r>
          </w:p>
        </w:tc>
        <w:tc>
          <w:tcPr>
            <w:tcW w:w="4657" w:type="dxa"/>
          </w:tcPr>
          <w:p w:rsidRPr="001E7E10" w:rsidR="001E7E10" w:rsidP="001E7E10" w:rsidRDefault="001E7E10" w14:paraId="431A0D3C" w14:textId="77777777">
            <w:pPr>
              <w:spacing w:line="276" w:lineRule="auto"/>
              <w:rPr>
                <w:b/>
                <w:bCs/>
              </w:rPr>
            </w:pPr>
            <w:r w:rsidRPr="001E7E10">
              <w:rPr>
                <w:b/>
                <w:bCs/>
              </w:rPr>
              <w:t>Definitie</w:t>
            </w:r>
          </w:p>
        </w:tc>
      </w:tr>
      <w:tr w:rsidR="001E7E10" w:rsidTr="001E7E10" w14:paraId="116366DA" w14:textId="77777777">
        <w:tc>
          <w:tcPr>
            <w:tcW w:w="2714" w:type="dxa"/>
          </w:tcPr>
          <w:p w:rsidRPr="00E1619F" w:rsidR="001E7E10" w:rsidP="001E7E10" w:rsidRDefault="001E7E10" w14:paraId="4EA6C7E7" w14:textId="77777777">
            <w:pPr>
              <w:spacing w:line="276" w:lineRule="auto"/>
              <w:rPr>
                <w:i/>
                <w:iCs/>
              </w:rPr>
            </w:pPr>
            <w:r w:rsidRPr="00E1619F">
              <w:rPr>
                <w:i/>
                <w:iCs/>
              </w:rPr>
              <w:t>30-jaarstermijn</w:t>
            </w:r>
          </w:p>
        </w:tc>
        <w:tc>
          <w:tcPr>
            <w:tcW w:w="4657" w:type="dxa"/>
          </w:tcPr>
          <w:p w:rsidR="001E7E10" w:rsidP="001E7E10" w:rsidRDefault="001E7E10" w14:paraId="6F4FC9F3" w14:textId="77777777">
            <w:pPr>
              <w:spacing w:line="276" w:lineRule="auto"/>
            </w:pPr>
            <w:r w:rsidRPr="00582CFE">
              <w:t xml:space="preserve">De periode van maximaal 30 jaar waarin de rente van een (hypothecaire) eigenwoninglening aftrekbaar is voor de inkomstenbelasting (ingevoerd per 1 januari 2001). </w:t>
            </w:r>
          </w:p>
          <w:p w:rsidR="001E7E10" w:rsidP="001E7E10" w:rsidRDefault="001E7E10" w14:paraId="630351BB" w14:textId="77777777">
            <w:pPr>
              <w:spacing w:line="276" w:lineRule="auto"/>
            </w:pPr>
          </w:p>
        </w:tc>
      </w:tr>
      <w:tr w:rsidR="001E7E10" w:rsidTr="001E7E10" w14:paraId="54AE6AC1" w14:textId="77777777">
        <w:tc>
          <w:tcPr>
            <w:tcW w:w="2714" w:type="dxa"/>
          </w:tcPr>
          <w:p w:rsidRPr="00E1619F" w:rsidR="001E7E10" w:rsidP="001E7E10" w:rsidRDefault="001E7E10" w14:paraId="2D6D6C99" w14:textId="77777777">
            <w:pPr>
              <w:spacing w:line="276" w:lineRule="auto"/>
              <w:rPr>
                <w:i/>
                <w:iCs/>
              </w:rPr>
            </w:pPr>
            <w:r w:rsidRPr="00E1619F">
              <w:rPr>
                <w:i/>
                <w:iCs/>
              </w:rPr>
              <w:t>Annuïtaire aflossing</w:t>
            </w:r>
          </w:p>
        </w:tc>
        <w:tc>
          <w:tcPr>
            <w:tcW w:w="4657" w:type="dxa"/>
          </w:tcPr>
          <w:p w:rsidR="001E7E10" w:rsidP="001E7E10" w:rsidRDefault="001E7E10" w14:paraId="59EBF449" w14:textId="77777777">
            <w:pPr>
              <w:spacing w:line="276" w:lineRule="auto"/>
            </w:pPr>
            <w:r w:rsidRPr="00582CFE">
              <w:t>De aflossing op een (hypothecaire) eigenwoninglening waarbij elke maand gedurende de gehele looptijd van de lening een vast bedrag wordt betaald dat bestaat uit rente en aflossing. Het rentedeel neemt gedurende de looptijd van de lening af</w:t>
            </w:r>
            <w:r w:rsidR="002E34DF">
              <w:t xml:space="preserve"> en het aflossende deel neemt toe</w:t>
            </w:r>
            <w:r w:rsidRPr="00582CFE">
              <w:t>.</w:t>
            </w:r>
          </w:p>
          <w:p w:rsidR="001E7E10" w:rsidP="001E7E10" w:rsidRDefault="001E7E10" w14:paraId="4C077208" w14:textId="77777777">
            <w:pPr>
              <w:spacing w:line="276" w:lineRule="auto"/>
            </w:pPr>
          </w:p>
        </w:tc>
      </w:tr>
      <w:tr w:rsidR="001E7E10" w:rsidTr="001E7E10" w14:paraId="6F637E97" w14:textId="77777777">
        <w:tc>
          <w:tcPr>
            <w:tcW w:w="2714" w:type="dxa"/>
          </w:tcPr>
          <w:p w:rsidRPr="00E1619F" w:rsidR="001E7E10" w:rsidP="001E7E10" w:rsidRDefault="001E7E10" w14:paraId="424263C0" w14:textId="77777777">
            <w:pPr>
              <w:spacing w:line="276" w:lineRule="auto"/>
              <w:rPr>
                <w:i/>
                <w:iCs/>
              </w:rPr>
            </w:pPr>
            <w:r w:rsidRPr="00E1619F">
              <w:rPr>
                <w:i/>
                <w:iCs/>
              </w:rPr>
              <w:t>Beleggingshypotheek</w:t>
            </w:r>
          </w:p>
        </w:tc>
        <w:tc>
          <w:tcPr>
            <w:tcW w:w="4657" w:type="dxa"/>
          </w:tcPr>
          <w:p w:rsidR="001E7E10" w:rsidP="001E7E10" w:rsidRDefault="001E7E10" w14:paraId="07F99D56" w14:textId="77777777">
            <w:pPr>
              <w:spacing w:line="276" w:lineRule="auto"/>
            </w:pPr>
            <w:r w:rsidRPr="00582CFE">
              <w:t>Een geblokkeerde spaarrekening eigen woning</w:t>
            </w:r>
            <w:r w:rsidR="0090068E">
              <w:t>, beleggingsrecht eigen woning</w:t>
            </w:r>
            <w:r w:rsidRPr="00582CFE">
              <w:t xml:space="preserve"> of een kapitaalverzekering eigen woning waarbij gedurende de looptijd van de (hypothecaire) eigenwoninglening niet wordt afgelost, maar via een beleggingsproduct vermogen wordt opgebouwd om de schuld aan het eind van de looptijd af te lossen</w:t>
            </w:r>
            <w:r w:rsidR="00A86EF7">
              <w:t xml:space="preserve"> (BEW)</w:t>
            </w:r>
            <w:r w:rsidRPr="00582CFE">
              <w:t>. Het opgebouwde vermogen is tot een bepaald bedrag vrijgesteld van box 3.</w:t>
            </w:r>
          </w:p>
          <w:p w:rsidR="001E7E10" w:rsidP="001E7E10" w:rsidRDefault="001E7E10" w14:paraId="0E15A4E4" w14:textId="77777777">
            <w:pPr>
              <w:spacing w:line="276" w:lineRule="auto"/>
            </w:pPr>
          </w:p>
        </w:tc>
      </w:tr>
      <w:tr w:rsidR="001E7E10" w:rsidTr="001E7E10" w14:paraId="6FD8CEAC" w14:textId="77777777">
        <w:tc>
          <w:tcPr>
            <w:tcW w:w="2714" w:type="dxa"/>
          </w:tcPr>
          <w:p w:rsidRPr="00E1619F" w:rsidR="001E7E10" w:rsidP="001E7E10" w:rsidRDefault="001E7E10" w14:paraId="56FC56CC" w14:textId="77777777">
            <w:pPr>
              <w:spacing w:line="276" w:lineRule="auto"/>
              <w:rPr>
                <w:i/>
                <w:iCs/>
              </w:rPr>
            </w:pPr>
            <w:r w:rsidRPr="00E1619F">
              <w:rPr>
                <w:i/>
                <w:iCs/>
              </w:rPr>
              <w:t>Bestaande eigenwoningschuld (BEWS)</w:t>
            </w:r>
          </w:p>
        </w:tc>
        <w:tc>
          <w:tcPr>
            <w:tcW w:w="4657" w:type="dxa"/>
          </w:tcPr>
          <w:p w:rsidR="001E7E10" w:rsidP="001E7E10" w:rsidRDefault="001E7E10" w14:paraId="299AB856" w14:textId="77777777">
            <w:pPr>
              <w:spacing w:line="276" w:lineRule="auto"/>
            </w:pPr>
            <w:r w:rsidRPr="00582CFE">
              <w:t>Een (deel van de) (hypothecaire) eigenwoninglening die vóór 2013</w:t>
            </w:r>
            <w:r w:rsidR="002E18D3">
              <w:rPr>
                <w:rStyle w:val="Voetnootmarkering"/>
              </w:rPr>
              <w:footnoteReference w:id="8"/>
            </w:r>
            <w:r w:rsidRPr="00582CFE">
              <w:t xml:space="preserve"> is afgesloten. Dit kan een aflossingsvrije lening zijn, maar dat hoeft niet.</w:t>
            </w:r>
          </w:p>
          <w:p w:rsidR="001E7E10" w:rsidP="001E7E10" w:rsidRDefault="001E7E10" w14:paraId="2F9E881F" w14:textId="77777777">
            <w:pPr>
              <w:spacing w:line="276" w:lineRule="auto"/>
            </w:pPr>
          </w:p>
        </w:tc>
      </w:tr>
      <w:tr w:rsidR="001E7E10" w:rsidTr="001E7E10" w14:paraId="24D50E81" w14:textId="77777777">
        <w:tc>
          <w:tcPr>
            <w:tcW w:w="2714" w:type="dxa"/>
          </w:tcPr>
          <w:p w:rsidRPr="00E1619F" w:rsidR="001E7E10" w:rsidP="001E7E10" w:rsidRDefault="001E7E10" w14:paraId="6B7D8C46" w14:textId="77777777">
            <w:pPr>
              <w:spacing w:line="276" w:lineRule="auto"/>
              <w:rPr>
                <w:i/>
                <w:iCs/>
              </w:rPr>
            </w:pPr>
            <w:r w:rsidRPr="00E1619F">
              <w:rPr>
                <w:i/>
                <w:iCs/>
              </w:rPr>
              <w:t>Box 3- eigenwoninglening (Box 3-EWL)</w:t>
            </w:r>
          </w:p>
        </w:tc>
        <w:tc>
          <w:tcPr>
            <w:tcW w:w="4657" w:type="dxa"/>
          </w:tcPr>
          <w:p w:rsidR="001E7E10" w:rsidP="001E7E10" w:rsidRDefault="001E7E10" w14:paraId="4A7B59EE" w14:textId="77777777">
            <w:pPr>
              <w:spacing w:line="276" w:lineRule="auto"/>
            </w:pPr>
            <w:r w:rsidRPr="00582CFE">
              <w:t xml:space="preserve">Een </w:t>
            </w:r>
            <w:r w:rsidR="0072585A">
              <w:t>(bestaande)</w:t>
            </w:r>
            <w:r w:rsidR="00882544">
              <w:t xml:space="preserve"> lopende</w:t>
            </w:r>
            <w:r w:rsidR="0072585A">
              <w:t xml:space="preserve"> eigenwoningschuld</w:t>
            </w:r>
            <w:r w:rsidRPr="00582CFE">
              <w:t xml:space="preserve"> die op basis van een van de genoemde oplossingsrichtingen niet meer in box 1 in aanmerking mag worden genomen, maar verplicht in box</w:t>
            </w:r>
            <w:r w:rsidR="00781FEA">
              <w:t> </w:t>
            </w:r>
            <w:r w:rsidRPr="00582CFE">
              <w:t>3.</w:t>
            </w:r>
            <w:r w:rsidR="00882544">
              <w:t xml:space="preserve"> Zie voor een uitgebreide beschrijving ook hoofdstuk 3.</w:t>
            </w:r>
            <w:r w:rsidR="0090068E">
              <w:t xml:space="preserve"> </w:t>
            </w:r>
            <w:r w:rsidR="004A666F">
              <w:t xml:space="preserve"> </w:t>
            </w:r>
          </w:p>
          <w:p w:rsidR="001E7E10" w:rsidP="001E7E10" w:rsidRDefault="001E7E10" w14:paraId="7935ED14" w14:textId="77777777">
            <w:pPr>
              <w:spacing w:line="276" w:lineRule="auto"/>
            </w:pPr>
          </w:p>
        </w:tc>
      </w:tr>
      <w:tr w:rsidR="001E7E10" w:rsidTr="001E7E10" w14:paraId="0F2E4D00" w14:textId="77777777">
        <w:tc>
          <w:tcPr>
            <w:tcW w:w="2714" w:type="dxa"/>
          </w:tcPr>
          <w:p w:rsidRPr="00E1619F" w:rsidR="001E7E10" w:rsidP="001E7E10" w:rsidRDefault="001E7E10" w14:paraId="1C9A369E" w14:textId="77777777">
            <w:pPr>
              <w:spacing w:line="276" w:lineRule="auto"/>
              <w:rPr>
                <w:i/>
                <w:iCs/>
              </w:rPr>
            </w:pPr>
            <w:r w:rsidRPr="00E1619F">
              <w:rPr>
                <w:i/>
                <w:iCs/>
              </w:rPr>
              <w:t>Fiscale aflossingseis</w:t>
            </w:r>
          </w:p>
        </w:tc>
        <w:tc>
          <w:tcPr>
            <w:tcW w:w="4657" w:type="dxa"/>
          </w:tcPr>
          <w:p w:rsidR="001E7E10" w:rsidP="001E7E10" w:rsidRDefault="001E7E10" w14:paraId="632E1760" w14:textId="77777777">
            <w:pPr>
              <w:spacing w:line="276" w:lineRule="auto"/>
            </w:pPr>
            <w:r w:rsidRPr="00582CFE">
              <w:t xml:space="preserve">Het vereiste dat de eigenwoningschuld in </w:t>
            </w:r>
            <w:r w:rsidR="002E34DF">
              <w:t>ten hoogste</w:t>
            </w:r>
            <w:r w:rsidRPr="00582CFE">
              <w:t xml:space="preserve"> 3</w:t>
            </w:r>
            <w:r w:rsidR="00C311B9">
              <w:t>60 maanden</w:t>
            </w:r>
            <w:r w:rsidRPr="00582CFE">
              <w:t xml:space="preserve"> ten minste annuïtair moet worden afgelost om recht te hebben op hypotheekrenteaftrek (ingevoerd per 1 januari 2013).</w:t>
            </w:r>
          </w:p>
          <w:p w:rsidR="001E7E10" w:rsidP="001E7E10" w:rsidRDefault="001E7E10" w14:paraId="7A439EC1" w14:textId="77777777">
            <w:pPr>
              <w:spacing w:line="276" w:lineRule="auto"/>
            </w:pPr>
          </w:p>
        </w:tc>
      </w:tr>
      <w:tr w:rsidR="001E7E10" w:rsidTr="001E7E10" w14:paraId="5C4E1E5E" w14:textId="77777777">
        <w:tc>
          <w:tcPr>
            <w:tcW w:w="2714" w:type="dxa"/>
          </w:tcPr>
          <w:p w:rsidRPr="00E1619F" w:rsidR="001E7E10" w:rsidP="001E7E10" w:rsidRDefault="001E7E10" w14:paraId="7E4CA847" w14:textId="77777777">
            <w:pPr>
              <w:spacing w:line="276" w:lineRule="auto"/>
              <w:rPr>
                <w:i/>
                <w:iCs/>
              </w:rPr>
            </w:pPr>
            <w:r w:rsidRPr="00E1619F">
              <w:rPr>
                <w:i/>
                <w:iCs/>
              </w:rPr>
              <w:t>Financieel dienstverleners</w:t>
            </w:r>
          </w:p>
        </w:tc>
        <w:tc>
          <w:tcPr>
            <w:tcW w:w="4657" w:type="dxa"/>
          </w:tcPr>
          <w:p w:rsidR="001E7E10" w:rsidP="001E7E10" w:rsidRDefault="001E7E10" w14:paraId="5DE09D3C" w14:textId="77777777">
            <w:pPr>
              <w:spacing w:line="276" w:lineRule="auto"/>
            </w:pPr>
            <w:r w:rsidRPr="00582CFE">
              <w:t>Personen of bedrijven die financiële producten, zoals hypotheken en verzekeringen, aanbieden of hierover adviseren.</w:t>
            </w:r>
          </w:p>
          <w:p w:rsidR="001E7E10" w:rsidP="001E7E10" w:rsidRDefault="001E7E10" w14:paraId="0CFCE0F0" w14:textId="77777777">
            <w:pPr>
              <w:spacing w:line="276" w:lineRule="auto"/>
            </w:pPr>
          </w:p>
        </w:tc>
      </w:tr>
      <w:tr w:rsidR="001E7E10" w:rsidTr="001E7E10" w14:paraId="4BD2AB9B" w14:textId="77777777">
        <w:tc>
          <w:tcPr>
            <w:tcW w:w="2714" w:type="dxa"/>
          </w:tcPr>
          <w:p w:rsidRPr="00E1619F" w:rsidR="001E7E10" w:rsidP="001E7E10" w:rsidRDefault="001E7E10" w14:paraId="3BEFEB6B" w14:textId="77777777">
            <w:pPr>
              <w:spacing w:line="276" w:lineRule="auto"/>
              <w:rPr>
                <w:i/>
                <w:iCs/>
              </w:rPr>
            </w:pPr>
            <w:r w:rsidRPr="00E1619F">
              <w:rPr>
                <w:i/>
                <w:iCs/>
              </w:rPr>
              <w:lastRenderedPageBreak/>
              <w:t>Hypotheekrenteaftrek (HRA)</w:t>
            </w:r>
          </w:p>
        </w:tc>
        <w:tc>
          <w:tcPr>
            <w:tcW w:w="4657" w:type="dxa"/>
          </w:tcPr>
          <w:p w:rsidR="001E7E10" w:rsidP="001E7E10" w:rsidRDefault="001E7E10" w14:paraId="7E273797" w14:textId="77777777">
            <w:pPr>
              <w:spacing w:line="276" w:lineRule="auto"/>
            </w:pPr>
            <w:r w:rsidRPr="00582CFE">
              <w:t xml:space="preserve">De betaalde (hypotheek)rente voor een eigenwoninglening </w:t>
            </w:r>
            <w:r w:rsidR="00C1523D">
              <w:t xml:space="preserve">die </w:t>
            </w:r>
            <w:r w:rsidRPr="00582CFE">
              <w:t xml:space="preserve">in mindering </w:t>
            </w:r>
            <w:r w:rsidR="00C1523D">
              <w:t>komt</w:t>
            </w:r>
            <w:r w:rsidRPr="00582CFE">
              <w:t xml:space="preserve"> op het belastbaar inkomen in box 1.</w:t>
            </w:r>
          </w:p>
          <w:p w:rsidR="001E7E10" w:rsidP="001E7E10" w:rsidRDefault="001E7E10" w14:paraId="418CA640" w14:textId="77777777">
            <w:pPr>
              <w:spacing w:line="276" w:lineRule="auto"/>
            </w:pPr>
          </w:p>
        </w:tc>
      </w:tr>
      <w:tr w:rsidR="001E7E10" w:rsidTr="001E7E10" w14:paraId="2D4CB57C" w14:textId="77777777">
        <w:tc>
          <w:tcPr>
            <w:tcW w:w="2714" w:type="dxa"/>
          </w:tcPr>
          <w:p w:rsidRPr="00E1619F" w:rsidR="001E7E10" w:rsidP="001E7E10" w:rsidRDefault="001E7E10" w14:paraId="6C0E48A6" w14:textId="77777777">
            <w:pPr>
              <w:spacing w:line="276" w:lineRule="auto"/>
              <w:rPr>
                <w:i/>
                <w:iCs/>
              </w:rPr>
            </w:pPr>
            <w:r w:rsidRPr="00E1619F">
              <w:rPr>
                <w:i/>
                <w:iCs/>
              </w:rPr>
              <w:t>Leven</w:t>
            </w:r>
            <w:r w:rsidR="00EE606A">
              <w:rPr>
                <w:i/>
                <w:iCs/>
              </w:rPr>
              <w:t>s</w:t>
            </w:r>
            <w:r w:rsidRPr="00E1619F">
              <w:rPr>
                <w:i/>
                <w:iCs/>
              </w:rPr>
              <w:t>hypotheek</w:t>
            </w:r>
          </w:p>
        </w:tc>
        <w:tc>
          <w:tcPr>
            <w:tcW w:w="4657" w:type="dxa"/>
          </w:tcPr>
          <w:p w:rsidR="001E7E10" w:rsidP="001E7E10" w:rsidRDefault="001E7E10" w14:paraId="7B06055B" w14:textId="77777777">
            <w:pPr>
              <w:spacing w:line="276" w:lineRule="auto"/>
            </w:pPr>
            <w:r w:rsidRPr="00582CFE">
              <w:t>Een geblokkeerde spaarrekening eigen woning</w:t>
            </w:r>
            <w:r w:rsidR="0090068E">
              <w:t>, beleggingsrecht eigen woning</w:t>
            </w:r>
            <w:r w:rsidRPr="00582CFE">
              <w:t xml:space="preserve"> of een kapitaalverzekering eigen woning waarbij maandelijks wordt ingelegd (premie) om kapitaal op te bouwen waarmee aan het eind van de looptijd de (hypothecaire) eigenwoninglening (deels) mee wordt afgelost. Het opgebouwde vermogen is tot een bepaald bedrag vrijgesteld van box 3.</w:t>
            </w:r>
          </w:p>
          <w:p w:rsidR="001E7E10" w:rsidP="001E7E10" w:rsidRDefault="001E7E10" w14:paraId="31087A68" w14:textId="77777777">
            <w:pPr>
              <w:spacing w:line="276" w:lineRule="auto"/>
            </w:pPr>
          </w:p>
        </w:tc>
      </w:tr>
      <w:tr w:rsidR="001E7E10" w:rsidTr="001E7E10" w14:paraId="377FF09A" w14:textId="77777777">
        <w:tc>
          <w:tcPr>
            <w:tcW w:w="2714" w:type="dxa"/>
          </w:tcPr>
          <w:p w:rsidRPr="00E1619F" w:rsidR="001E7E10" w:rsidP="001E7E10" w:rsidRDefault="001E7E10" w14:paraId="72DB1762" w14:textId="77777777">
            <w:pPr>
              <w:spacing w:line="276" w:lineRule="auto"/>
              <w:rPr>
                <w:i/>
                <w:iCs/>
              </w:rPr>
            </w:pPr>
            <w:r w:rsidRPr="00E1619F">
              <w:rPr>
                <w:i/>
                <w:iCs/>
              </w:rPr>
              <w:t>Life event</w:t>
            </w:r>
          </w:p>
        </w:tc>
        <w:tc>
          <w:tcPr>
            <w:tcW w:w="4657" w:type="dxa"/>
          </w:tcPr>
          <w:p w:rsidR="001E7E10" w:rsidP="001E7E10" w:rsidRDefault="001E7E10" w14:paraId="5A1CF36D" w14:textId="77777777">
            <w:pPr>
              <w:spacing w:line="276" w:lineRule="auto"/>
            </w:pPr>
            <w:r w:rsidRPr="00582CFE">
              <w:t>Grote gebeurtenissen in het leven van mensen, zoals samenwonen, trouwen, verhuizen, verbouwen en een echtscheiding.</w:t>
            </w:r>
          </w:p>
          <w:p w:rsidR="001E7E10" w:rsidP="001E7E10" w:rsidRDefault="001E7E10" w14:paraId="23B37AEF" w14:textId="77777777">
            <w:pPr>
              <w:spacing w:line="276" w:lineRule="auto"/>
            </w:pPr>
          </w:p>
        </w:tc>
      </w:tr>
      <w:tr w:rsidR="001E7E10" w:rsidTr="001E7E10" w14:paraId="1D928915" w14:textId="77777777">
        <w:tc>
          <w:tcPr>
            <w:tcW w:w="2714" w:type="dxa"/>
          </w:tcPr>
          <w:p w:rsidRPr="00E1619F" w:rsidR="001E7E10" w:rsidP="001E7E10" w:rsidRDefault="001E7E10" w14:paraId="423E0C40" w14:textId="77777777">
            <w:pPr>
              <w:spacing w:line="276" w:lineRule="auto"/>
              <w:rPr>
                <w:i/>
                <w:iCs/>
              </w:rPr>
            </w:pPr>
            <w:r w:rsidRPr="00E1619F">
              <w:rPr>
                <w:i/>
                <w:iCs/>
              </w:rPr>
              <w:t>Lineaire aflossing</w:t>
            </w:r>
          </w:p>
        </w:tc>
        <w:tc>
          <w:tcPr>
            <w:tcW w:w="4657" w:type="dxa"/>
          </w:tcPr>
          <w:p w:rsidR="001E7E10" w:rsidP="001E7E10" w:rsidRDefault="001E7E10" w14:paraId="6168D7F4" w14:textId="77777777">
            <w:pPr>
              <w:spacing w:line="276" w:lineRule="auto"/>
            </w:pPr>
            <w:r w:rsidRPr="00582CFE">
              <w:t>De aflossing op een (hypothecaire) lening waarbij elke maand een vast deel van de schuld wordt afgelost, waarbij de rente gedurende de looptijd afneemt omdat de schuld afneemt.</w:t>
            </w:r>
          </w:p>
          <w:p w:rsidR="001E7E10" w:rsidP="001E7E10" w:rsidRDefault="001E7E10" w14:paraId="0E318A47" w14:textId="77777777">
            <w:pPr>
              <w:spacing w:line="276" w:lineRule="auto"/>
            </w:pPr>
          </w:p>
        </w:tc>
      </w:tr>
      <w:tr w:rsidR="001E7E10" w:rsidTr="001E7E10" w14:paraId="408C9CBB" w14:textId="77777777">
        <w:tc>
          <w:tcPr>
            <w:tcW w:w="2714" w:type="dxa"/>
          </w:tcPr>
          <w:p w:rsidRPr="00E1619F" w:rsidR="001E7E10" w:rsidP="001E7E10" w:rsidRDefault="001E7E10" w14:paraId="19A1A274" w14:textId="77777777">
            <w:pPr>
              <w:spacing w:line="276" w:lineRule="auto"/>
              <w:rPr>
                <w:i/>
                <w:iCs/>
              </w:rPr>
            </w:pPr>
            <w:r w:rsidRPr="00E1619F">
              <w:rPr>
                <w:i/>
                <w:iCs/>
              </w:rPr>
              <w:t>S</w:t>
            </w:r>
            <w:r w:rsidR="009E3A48">
              <w:rPr>
                <w:i/>
                <w:iCs/>
              </w:rPr>
              <w:t>p</w:t>
            </w:r>
            <w:r w:rsidRPr="00E1619F">
              <w:rPr>
                <w:i/>
                <w:iCs/>
              </w:rPr>
              <w:t>aarhypotheek</w:t>
            </w:r>
          </w:p>
        </w:tc>
        <w:tc>
          <w:tcPr>
            <w:tcW w:w="4657" w:type="dxa"/>
          </w:tcPr>
          <w:p w:rsidR="001E7E10" w:rsidP="001E7E10" w:rsidRDefault="001E7E10" w14:paraId="68E1FBFA" w14:textId="77777777">
            <w:pPr>
              <w:spacing w:line="276" w:lineRule="auto"/>
            </w:pPr>
            <w:r w:rsidRPr="00582CFE">
              <w:t>Een geblokkeerde spaarrekening eigen woning</w:t>
            </w:r>
            <w:r w:rsidR="00C311B9">
              <w:t>, be</w:t>
            </w:r>
            <w:r w:rsidR="0090068E">
              <w:t>leggingsrecht eigen woning</w:t>
            </w:r>
            <w:r w:rsidRPr="00582CFE">
              <w:t xml:space="preserve"> </w:t>
            </w:r>
            <w:r w:rsidR="00A86EF7">
              <w:t>(SEW)</w:t>
            </w:r>
            <w:r w:rsidRPr="00582CFE">
              <w:t xml:space="preserve"> of een kapitaalverzekering eigen woning </w:t>
            </w:r>
            <w:r w:rsidR="00A86EF7">
              <w:t>(KEW)</w:t>
            </w:r>
            <w:r w:rsidRPr="00582CFE">
              <w:t xml:space="preserve"> waarbij de eigenwoninglening gedurende de looptijd niet wordt afgelost, maar waarbij wordt gespaard om de schuld aan het eind van de looptijd (deels) af te lossen. Het opgebouwde vermogen is tot een bepaald bedrag vrijgesteld van box 3.</w:t>
            </w:r>
          </w:p>
        </w:tc>
      </w:tr>
    </w:tbl>
    <w:p w:rsidR="001E7E10" w:rsidP="001E7E10" w:rsidRDefault="001E7E10" w14:paraId="6D6595E3" w14:textId="77777777">
      <w:pPr>
        <w:spacing w:line="276" w:lineRule="auto"/>
        <w:ind w:left="3540" w:hanging="3540"/>
      </w:pPr>
    </w:p>
    <w:p w:rsidRPr="001E7E10" w:rsidR="001E7E10" w:rsidP="001E7E10" w:rsidRDefault="001E7E10" w14:paraId="6D340B24" w14:textId="77777777"/>
    <w:p w:rsidR="00F2505F" w:rsidP="00AA1093" w:rsidRDefault="00F2505F" w14:paraId="009C50A7" w14:textId="77777777">
      <w:pPr>
        <w:pStyle w:val="Kop1-nietgenummerd"/>
      </w:pPr>
      <w:bookmarkStart w:name="_Toc222756870" w:id="9"/>
      <w:bookmarkStart w:name="_Toc223516957" w:id="10"/>
      <w:bookmarkStart w:name="_Toc223517844" w:id="11"/>
      <w:bookmarkStart w:name="_Toc226640252" w:id="12"/>
      <w:r>
        <w:lastRenderedPageBreak/>
        <w:t>Inleiding</w:t>
      </w:r>
      <w:bookmarkEnd w:id="9"/>
      <w:bookmarkEnd w:id="10"/>
      <w:bookmarkEnd w:id="11"/>
      <w:bookmarkEnd w:id="12"/>
    </w:p>
    <w:p w:rsidR="00117BF6" w:rsidP="00117BF6" w:rsidRDefault="00117BF6" w14:paraId="07CED1CA" w14:textId="77777777">
      <w:r w:rsidRPr="00117BF6">
        <w:t xml:space="preserve">In </w:t>
      </w:r>
      <w:r w:rsidRPr="00117BF6">
        <w:rPr>
          <w:i/>
          <w:iCs/>
        </w:rPr>
        <w:t>Bouwstenen voor een beter en eenvoudiger belastingstelsel</w:t>
      </w:r>
      <w:r w:rsidRPr="00117BF6">
        <w:rPr>
          <w:i/>
          <w:iCs/>
          <w:vertAlign w:val="superscript"/>
        </w:rPr>
        <w:footnoteReference w:id="9"/>
      </w:r>
      <w:r w:rsidRPr="00117BF6">
        <w:t xml:space="preserve"> wordt de 30-jaarstermijn voor de hypotheekrenteaftrek (hierna: HRA)</w:t>
      </w:r>
      <w:r w:rsidRPr="00117BF6">
        <w:rPr>
          <w:vertAlign w:val="superscript"/>
        </w:rPr>
        <w:footnoteReference w:id="10"/>
      </w:r>
      <w:r w:rsidRPr="00117BF6">
        <w:t xml:space="preserve"> bestempeld als ingewikkeld voor eigenwoningbezitters en moeilijk uitvoerbaar voor de Belastingdienst. Daarnaast geven de Belastingdienst</w:t>
      </w:r>
      <w:r w:rsidRPr="00117BF6">
        <w:rPr>
          <w:vertAlign w:val="superscript"/>
        </w:rPr>
        <w:footnoteReference w:id="11"/>
      </w:r>
      <w:r w:rsidRPr="00117BF6">
        <w:t xml:space="preserve"> en financieel dienstverleners al geruime tijd aan dat het handhaven van de 30-jaarstermijn onuitvoerbaar dreigt te worden en op dit moment al tot problemen leidt bij de hypotheekverstrekking.</w:t>
      </w:r>
      <w:r w:rsidR="00C95F12">
        <w:t xml:space="preserve"> Dit onderzoek is </w:t>
      </w:r>
      <w:r w:rsidR="00D405AA">
        <w:t xml:space="preserve">gestart </w:t>
      </w:r>
      <w:r w:rsidR="00C95F12">
        <w:t xml:space="preserve">mede naar aanleiding van een toezegging aan de Eerste Kamer bij de behandeling van het pakket Belastingplan 2025 om de problemen </w:t>
      </w:r>
      <w:proofErr w:type="gramStart"/>
      <w:r w:rsidR="00C95F12">
        <w:t>omtrent</w:t>
      </w:r>
      <w:proofErr w:type="gramEnd"/>
      <w:r w:rsidR="00C95F12">
        <w:t xml:space="preserve"> de 30-jaarstermijn op te kunnen lossen</w:t>
      </w:r>
      <w:r w:rsidR="005319F3">
        <w:t>.</w:t>
      </w:r>
      <w:r w:rsidR="00C95F12">
        <w:rPr>
          <w:rStyle w:val="Voetnootmarkering"/>
        </w:rPr>
        <w:footnoteReference w:id="12"/>
      </w:r>
    </w:p>
    <w:p w:rsidRPr="00117BF6" w:rsidR="00117BF6" w:rsidP="00117BF6" w:rsidRDefault="00117BF6" w14:paraId="2452F1ED" w14:textId="77777777"/>
    <w:p w:rsidR="00117BF6" w:rsidP="00117BF6" w:rsidRDefault="00117BF6" w14:paraId="1D17D147" w14:textId="77777777">
      <w:r w:rsidRPr="00117BF6">
        <w:t xml:space="preserve">Sinds 2001 is sprake van een renteaftrekbeperking die bepaalt dat betaalde hypotheekrente maximaal 30 jaar aftrekbaar is (de 30-jaarstermijn). Na </w:t>
      </w:r>
      <w:r w:rsidR="005319F3">
        <w:t>het</w:t>
      </w:r>
      <w:r w:rsidRPr="00117BF6">
        <w:t xml:space="preserve"> verstrijken van deze 30 jaar is de betaalde hypotheekrente niet meer in box 1 aftrekbaar, terwijl de lening en de rentebetalingen nog wel door kunnen lopen.</w:t>
      </w:r>
      <w:r w:rsidR="001812BA">
        <w:t xml:space="preserve"> De lening gaat dan over naar box 3.</w:t>
      </w:r>
      <w:r w:rsidRPr="00117BF6">
        <w:t xml:space="preserve"> </w:t>
      </w:r>
      <w:r w:rsidR="00C311B9">
        <w:t xml:space="preserve">Daarnaast heeft de 30-jaarstermijn tot gevolg dat iemand na die 30 jaar over dat bedrag </w:t>
      </w:r>
      <w:r w:rsidR="004A666F">
        <w:t>geen</w:t>
      </w:r>
      <w:r w:rsidR="00C311B9">
        <w:t xml:space="preserve"> eigenwoningrente</w:t>
      </w:r>
      <w:r w:rsidR="004A666F">
        <w:t xml:space="preserve"> meer</w:t>
      </w:r>
      <w:r w:rsidR="00C311B9">
        <w:t xml:space="preserve"> in aanmerking kan nemen. </w:t>
      </w:r>
      <w:r w:rsidR="00543DF2">
        <w:t>Verder</w:t>
      </w:r>
      <w:r w:rsidRPr="00117BF6">
        <w:t xml:space="preserve"> geldt vanaf 2013 ook de eis dat een eigenwoninglening contractueel maximaal in </w:t>
      </w:r>
      <w:r w:rsidR="00061BF5">
        <w:t>360 maanden</w:t>
      </w:r>
      <w:r w:rsidRPr="00117BF6">
        <w:t xml:space="preserve"> en ten minste annuïtair moet worden afgelost (</w:t>
      </w:r>
      <w:r w:rsidR="00C1523D">
        <w:t xml:space="preserve">fiscale </w:t>
      </w:r>
      <w:r w:rsidRPr="00117BF6">
        <w:t>aflossingseis) om recht te hebben op HRA.</w:t>
      </w:r>
      <w:r w:rsidR="00C2202E">
        <w:t xml:space="preserve"> Aflossingsvrije leningen aangegaan voor invoering van de aflossingseis komen echter nog steeds in aanmerking voor HRA.</w:t>
      </w:r>
      <w:r w:rsidRPr="00117BF6">
        <w:t xml:space="preserve"> </w:t>
      </w:r>
    </w:p>
    <w:p w:rsidRPr="00117BF6" w:rsidR="00117BF6" w:rsidP="00117BF6" w:rsidRDefault="00117BF6" w14:paraId="35C44728" w14:textId="77777777"/>
    <w:p w:rsidR="00543DF2" w:rsidP="00117BF6" w:rsidRDefault="00061BF5" w14:paraId="45EA87C2" w14:textId="77777777">
      <w:r w:rsidRPr="00061BF5">
        <w:t xml:space="preserve">De problematiek </w:t>
      </w:r>
      <w:proofErr w:type="gramStart"/>
      <w:r w:rsidRPr="00061BF5">
        <w:t>omtrent</w:t>
      </w:r>
      <w:proofErr w:type="gramEnd"/>
      <w:r w:rsidRPr="00061BF5">
        <w:t xml:space="preserve"> de 30-jaarstermijn kent </w:t>
      </w:r>
      <w:r w:rsidR="00C1523D">
        <w:t>diverse</w:t>
      </w:r>
      <w:r w:rsidRPr="00061BF5">
        <w:t xml:space="preserve"> aspecten. Voor</w:t>
      </w:r>
      <w:r w:rsidR="002E34DF">
        <w:t xml:space="preserve"> </w:t>
      </w:r>
      <w:r w:rsidRPr="00061BF5">
        <w:t>nog lopende leningen die voor 2013 zijn afgesloten (</w:t>
      </w:r>
      <w:r w:rsidRPr="00061BF5">
        <w:rPr>
          <w:i/>
          <w:iCs/>
        </w:rPr>
        <w:t>bestaande eigenwoningschulden</w:t>
      </w:r>
      <w:r w:rsidRPr="00061BF5">
        <w:t>, hierna: BEWS) verstrijkt in de periode 2031-2043 de 30-jaarstermijn. Na het verstrijken van de 30-jaarstermijn komen deze leningen, vaak aflossingsvrije leningen, niet meer in aanmerking voor renteaftrek in box 1. Het is vaak niet goed te achterhalen hoe</w:t>
      </w:r>
      <w:r w:rsidR="00666DCA">
        <w:t xml:space="preserve"> </w:t>
      </w:r>
      <w:r w:rsidRPr="00061BF5">
        <w:t xml:space="preserve">lang er </w:t>
      </w:r>
      <w:r w:rsidR="00EB4148">
        <w:t xml:space="preserve">HRA </w:t>
      </w:r>
      <w:r w:rsidRPr="00061BF5">
        <w:t>is genoten ten aanzien van een lening(deel). Door life</w:t>
      </w:r>
      <w:r w:rsidR="002E34DF">
        <w:t xml:space="preserve"> </w:t>
      </w:r>
      <w:r w:rsidRPr="00061BF5">
        <w:t xml:space="preserve">events zoals verhuizingen en echtscheidingen, is het vaak niet duidelijk wat de startdatum van het </w:t>
      </w:r>
      <w:proofErr w:type="spellStart"/>
      <w:r w:rsidRPr="00061BF5">
        <w:t>leningdeel</w:t>
      </w:r>
      <w:proofErr w:type="spellEnd"/>
      <w:r w:rsidRPr="00061BF5">
        <w:t xml:space="preserve"> </w:t>
      </w:r>
      <w:r w:rsidR="00F93D99">
        <w:t>wa</w:t>
      </w:r>
      <w:r w:rsidRPr="00061BF5">
        <w:t>s en wanneer de 30-jaarstermijn eindigt.</w:t>
      </w:r>
    </w:p>
    <w:p w:rsidR="00543DF2" w:rsidP="00117BF6" w:rsidRDefault="00543DF2" w14:paraId="516704E0" w14:textId="77777777"/>
    <w:p w:rsidR="00C311B9" w:rsidP="007049D3" w:rsidRDefault="00117BF6" w14:paraId="7832F8B0" w14:textId="77777777">
      <w:r w:rsidRPr="00117BF6">
        <w:t xml:space="preserve">Ten tweede is de 30-jaarstermijn niet alleen van belang voor het beoordelen van de </w:t>
      </w:r>
      <w:r w:rsidR="00EB4148">
        <w:t>HRA</w:t>
      </w:r>
      <w:r w:rsidRPr="00117BF6">
        <w:t xml:space="preserve"> over lopende aflossingsvrije leningen, maar</w:t>
      </w:r>
      <w:r w:rsidR="00061BF5">
        <w:t xml:space="preserve"> </w:t>
      </w:r>
      <w:r w:rsidRPr="00117BF6">
        <w:t>voor</w:t>
      </w:r>
      <w:r w:rsidR="00061BF5">
        <w:t xml:space="preserve"> alle</w:t>
      </w:r>
      <w:r w:rsidRPr="00117BF6">
        <w:t xml:space="preserve"> leningen die v</w:t>
      </w:r>
      <w:r w:rsidR="00D405AA">
        <w:t>óó</w:t>
      </w:r>
      <w:r w:rsidRPr="00117BF6">
        <w:t>r 2013 zijn afgesloten</w:t>
      </w:r>
      <w:r w:rsidR="00061BF5">
        <w:t xml:space="preserve">. Waaronder leningen </w:t>
      </w:r>
      <w:r w:rsidRPr="00117BF6">
        <w:t>die inmiddels voldoen aan de aflossingseis. Het gaat dan bijvoorbeeld om aflossingsvrije leningen van voor 2013 die tijdens de looptijd zijn overgesloten naar een lening die voldoet aan de aflossingseis</w:t>
      </w:r>
      <w:r w:rsidR="00543DF2">
        <w:t>.</w:t>
      </w:r>
      <w:r w:rsidRPr="00117BF6">
        <w:t xml:space="preserve"> Voor deze overgesloten leningen geldt dat zij gedurende maximaal 30 jaar recht hebben op HRA vanaf het moment van het afsluiten van de </w:t>
      </w:r>
      <w:r w:rsidR="00061BF5">
        <w:t>oorspronkelijke</w:t>
      </w:r>
      <w:r w:rsidRPr="00117BF6">
        <w:t xml:space="preserve"> aflossingsvrije lening</w:t>
      </w:r>
      <w:r w:rsidR="00061BF5">
        <w:t xml:space="preserve"> (en dus niet tot het einde van de looptijd)</w:t>
      </w:r>
      <w:r w:rsidRPr="00117BF6">
        <w:t xml:space="preserve">. De nog resterende renteaftrektermijn </w:t>
      </w:r>
      <w:r w:rsidR="00543DF2">
        <w:t>wordt dan berekend door 3</w:t>
      </w:r>
      <w:r w:rsidRPr="00117BF6">
        <w:t xml:space="preserve">0 jaar </w:t>
      </w:r>
      <w:r w:rsidR="00543DF2">
        <w:t>te verminderen</w:t>
      </w:r>
      <w:r w:rsidRPr="00117BF6">
        <w:t xml:space="preserve"> met de verstreken renteaftrektermijn van de overgesloten aflossingsvrije lening. </w:t>
      </w:r>
      <w:r w:rsidR="00C311B9">
        <w:t xml:space="preserve">Dit geldt ook als er geen lopende bestaande eigenwoningschuld is. De </w:t>
      </w:r>
      <w:proofErr w:type="gramStart"/>
      <w:r w:rsidR="00C311B9">
        <w:t>reeds</w:t>
      </w:r>
      <w:proofErr w:type="gramEnd"/>
      <w:r w:rsidR="00C311B9">
        <w:t xml:space="preserve"> verstreken </w:t>
      </w:r>
      <w:r w:rsidR="00C311B9">
        <w:lastRenderedPageBreak/>
        <w:t xml:space="preserve">looptijd van een </w:t>
      </w:r>
      <w:r w:rsidR="004A666F">
        <w:t xml:space="preserve">eerdere </w:t>
      </w:r>
      <w:r w:rsidR="00C311B9">
        <w:t xml:space="preserve">eigenwoningschuld in de periode 2001 tot en met 2012 of </w:t>
      </w:r>
      <w:r w:rsidR="004A666F">
        <w:t>van BEWS</w:t>
      </w:r>
      <w:r w:rsidR="00C311B9">
        <w:t xml:space="preserve"> moet altijd in mindering worden gebracht op de nog resterende periode van renteaftrek. Hiermee wordt bereikt dat iemand na het verstrijken van de 30-jaarstermijn </w:t>
      </w:r>
      <w:r w:rsidR="004A666F">
        <w:t>geen</w:t>
      </w:r>
      <w:r w:rsidR="00C311B9">
        <w:t xml:space="preserve"> aftrek van eigenwoningrente</w:t>
      </w:r>
      <w:r w:rsidR="004A666F">
        <w:t xml:space="preserve"> meer</w:t>
      </w:r>
      <w:r w:rsidR="00C311B9">
        <w:t xml:space="preserve"> in aanmerking kan nemen. </w:t>
      </w:r>
    </w:p>
    <w:p w:rsidR="00C311B9" w:rsidP="007049D3" w:rsidRDefault="00C311B9" w14:paraId="567B66AE" w14:textId="77777777"/>
    <w:p w:rsidR="007049D3" w:rsidP="007049D3" w:rsidRDefault="00117BF6" w14:paraId="571F0D08" w14:textId="77777777">
      <w:r w:rsidRPr="00117BF6">
        <w:t>In deze verkenning wordt de achtergrond en problematiek rondom de 30-jaarstermijn in kaart gebracht en worden beleidsopties met oplossingsrichtingen geschetst.</w:t>
      </w:r>
    </w:p>
    <w:p w:rsidR="00FC1B25" w:rsidP="007049D3" w:rsidRDefault="00FC1B25" w14:paraId="5D43D45B" w14:textId="77777777"/>
    <w:p w:rsidRPr="00370B13" w:rsidR="00FC1B25" w:rsidP="00FC1B25" w:rsidRDefault="00FC1B25" w14:paraId="0E3688D8" w14:textId="77777777">
      <w:pPr>
        <w:rPr>
          <w:b/>
          <w:bCs/>
          <w:i/>
          <w:iCs/>
        </w:rPr>
      </w:pPr>
      <w:r w:rsidRPr="001A5DEE">
        <w:t xml:space="preserve">Naast deze 30-jaarsproblematiek is per 2043 sprake van een vergelijkbare problematiek voor </w:t>
      </w:r>
      <w:r>
        <w:t>belastingplichtigen met een eigenwoning</w:t>
      </w:r>
      <w:r w:rsidRPr="001A5DEE">
        <w:t xml:space="preserve">lening afgesloten </w:t>
      </w:r>
      <w:r w:rsidR="00666DCA">
        <w:t>vanaf 2013</w:t>
      </w:r>
      <w:r>
        <w:t>, waarbij bijvoorbeeld tijdelijk geen sprake is geweest van een eigen woning. Dit kan het geval zijn als na een echtscheiding de woning wordt verkocht en de belastingplichtige tijdelijk gaat huren voordat deze een nieuwe woning koopt</w:t>
      </w:r>
      <w:r w:rsidRPr="001A5DEE">
        <w:t xml:space="preserve">. In dit rapport </w:t>
      </w:r>
      <w:r w:rsidR="00D405AA">
        <w:t>ligt de nadruk op de problematiek bij leningen die zijn aangegaan vóór 2013</w:t>
      </w:r>
      <w:r w:rsidR="00DD7440">
        <w:t xml:space="preserve"> omdat het probleem hier het grootst is</w:t>
      </w:r>
      <w:r>
        <w:t xml:space="preserve">. </w:t>
      </w:r>
      <w:r w:rsidRPr="001A5DEE">
        <w:t xml:space="preserve">Bij twee van de hierna geschetste oplossingsrichtingen wordt </w:t>
      </w:r>
      <w:r w:rsidR="00D405AA">
        <w:t>ook een oplossing aangedragen voor de</w:t>
      </w:r>
      <w:r w:rsidRPr="001A5DEE">
        <w:t xml:space="preserve"> problematiek </w:t>
      </w:r>
      <w:r w:rsidR="00D405AA">
        <w:t>die vanaf 2043 kan ontstaan.</w:t>
      </w:r>
    </w:p>
    <w:p w:rsidR="00FC1B25" w:rsidP="007049D3" w:rsidRDefault="00FC1B25" w14:paraId="5D2C7B84" w14:textId="77777777">
      <w:pPr>
        <w:rPr>
          <w:b/>
          <w:bCs/>
          <w:i/>
          <w:iCs/>
        </w:rPr>
      </w:pPr>
    </w:p>
    <w:p w:rsidR="00AD3A32" w:rsidP="008A17C4" w:rsidRDefault="00AD3A32" w14:paraId="0E8B67E0" w14:textId="77777777">
      <w:pPr>
        <w:jc w:val="center"/>
      </w:pPr>
    </w:p>
    <w:p w:rsidR="00AD3A32" w:rsidRDefault="00543DF2" w14:paraId="151CA597" w14:textId="77777777">
      <w:pPr>
        <w:pStyle w:val="Kop1"/>
      </w:pPr>
      <w:bookmarkStart w:name="_Toc222756871" w:id="13"/>
      <w:bookmarkStart w:name="_Toc226640253" w:id="14"/>
      <w:r>
        <w:lastRenderedPageBreak/>
        <w:t>Histori</w:t>
      </w:r>
      <w:r w:rsidR="001B2948">
        <w:t xml:space="preserve">sche context </w:t>
      </w:r>
      <w:r>
        <w:t>30-jaarstermijn</w:t>
      </w:r>
      <w:bookmarkEnd w:id="13"/>
      <w:bookmarkEnd w:id="14"/>
    </w:p>
    <w:p w:rsidR="00AD3A32" w:rsidRDefault="00543DF2" w14:paraId="07094197" w14:textId="77777777">
      <w:r w:rsidRPr="00E63741">
        <w:rPr>
          <w:b/>
          <w:bCs/>
        </w:rPr>
        <w:t>De eigenwoningregeling is onderdeel van de Wet IB 2001 en bepaalt onder welke voorwaarden sprake is van een eigen woning en wanneer rente en kosten van eigenwoningschulden fiscaal aftrekbaar zijn</w:t>
      </w:r>
      <w:r w:rsidRPr="00543DF2">
        <w:t>. Sinds 2001 mag de rente op een hypotheek(deel) die voor de eigen</w:t>
      </w:r>
      <w:r w:rsidR="007B409F">
        <w:t xml:space="preserve"> </w:t>
      </w:r>
      <w:r w:rsidRPr="00543DF2">
        <w:t xml:space="preserve">woning is aangegaan maximaal 30 jaar in mindering worden gebracht in box 1 van de Wet IB 2001 (de 30-jaarstermijn). Na </w:t>
      </w:r>
      <w:r w:rsidR="006613D5">
        <w:t>het</w:t>
      </w:r>
      <w:r w:rsidRPr="00543DF2">
        <w:t xml:space="preserve"> verstrijken van de 30-jaarstermijn valt de niet afgeloste schuld in de huidige situatie in box 3 en bestaat in box 1 geen </w:t>
      </w:r>
      <w:r w:rsidR="006613D5">
        <w:t xml:space="preserve">recht meer op </w:t>
      </w:r>
      <w:r w:rsidRPr="00543DF2">
        <w:t xml:space="preserve">renteaftrek. </w:t>
      </w:r>
      <w:r w:rsidR="001A1B74">
        <w:t xml:space="preserve">Daarnaast kan over dat bedrag </w:t>
      </w:r>
      <w:r w:rsidR="004A666F">
        <w:t>in de toekomst geen</w:t>
      </w:r>
      <w:r w:rsidR="001A1B74">
        <w:t xml:space="preserve"> rente</w:t>
      </w:r>
      <w:r w:rsidR="004A666F">
        <w:t xml:space="preserve"> meer</w:t>
      </w:r>
      <w:r w:rsidR="001A1B74">
        <w:t xml:space="preserve"> in aanmerking worden genomen als eigenwoningrente. </w:t>
      </w:r>
      <w:r w:rsidRPr="00543DF2">
        <w:t>Voor leningen die vóór 2001 zijn afgesloten betekent dit dat renteaftrek in box 1 eindigt op 31 december 2030.</w:t>
      </w:r>
    </w:p>
    <w:p w:rsidR="001067D9" w:rsidRDefault="001067D9" w14:paraId="0925E605" w14:textId="77777777"/>
    <w:p w:rsidR="001067D9" w:rsidRDefault="001067D9" w14:paraId="0DF60F15" w14:textId="77777777">
      <w:r>
        <w:rPr>
          <w:noProof/>
        </w:rPr>
        <mc:AlternateContent>
          <mc:Choice Requires="wps">
            <w:drawing>
              <wp:anchor distT="45720" distB="45720" distL="114300" distR="114300" simplePos="0" relativeHeight="251659264" behindDoc="0" locked="0" layoutInCell="1" allowOverlap="1" wp14:editId="222AAFA2" wp14:anchorId="64A8289B">
                <wp:simplePos x="0" y="0"/>
                <wp:positionH relativeFrom="margin">
                  <wp:align>right</wp:align>
                </wp:positionH>
                <wp:positionV relativeFrom="paragraph">
                  <wp:posOffset>334645</wp:posOffset>
                </wp:positionV>
                <wp:extent cx="4869180" cy="2293620"/>
                <wp:effectExtent l="0" t="0" r="2667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2293620"/>
                        </a:xfrm>
                        <a:prstGeom prst="rect">
                          <a:avLst/>
                        </a:prstGeom>
                        <a:solidFill>
                          <a:schemeClr val="tx2">
                            <a:lumMod val="10000"/>
                            <a:lumOff val="90000"/>
                          </a:schemeClr>
                        </a:solidFill>
                        <a:ln w="12700">
                          <a:solidFill>
                            <a:srgbClr val="000000"/>
                          </a:solidFill>
                          <a:miter lim="800000"/>
                          <a:headEnd/>
                          <a:tailEnd/>
                        </a:ln>
                      </wps:spPr>
                      <wps:txbx>
                        <w:txbxContent>
                          <w:p w:rsidR="001067D9" w:rsidP="001067D9" w:rsidRDefault="001067D9" w14:paraId="326D72BB" w14:textId="77777777">
                            <w:pPr>
                              <w:jc w:val="center"/>
                              <w:rPr>
                                <w:b/>
                                <w:bCs/>
                              </w:rPr>
                            </w:pPr>
                            <w:r w:rsidRPr="001067D9">
                              <w:rPr>
                                <w:b/>
                                <w:bCs/>
                              </w:rPr>
                              <w:t>Kader 1 – Werking 30-jaarstermijn in de praktijk</w:t>
                            </w:r>
                          </w:p>
                          <w:p w:rsidRPr="001067D9" w:rsidR="001067D9" w:rsidP="001067D9" w:rsidRDefault="001067D9" w14:paraId="2BD74E92" w14:textId="77777777">
                            <w:pPr>
                              <w:jc w:val="both"/>
                            </w:pPr>
                            <w:r w:rsidRPr="001067D9">
                              <w:t xml:space="preserve">Sinds 2001 mag de rente op een hypotheek die voor de eigen woning is aangegaan, maximaal 30 jaar lang in mindering worden gebracht in box 1 van de Wet IB 2001. De 30 jaren hoeven niet aaneengesloten te zijn. De 30-jaarstermijn geldt voor elke schuld die voor de woning is aangegaan en waarover een eigenwoningbezitter </w:t>
                            </w:r>
                            <w:r w:rsidR="00061BF5">
                              <w:t>HRA</w:t>
                            </w:r>
                            <w:r w:rsidRPr="001067D9">
                              <w:t xml:space="preserve"> krijgt. </w:t>
                            </w:r>
                            <w:proofErr w:type="gramStart"/>
                            <w:r w:rsidRPr="001067D9">
                              <w:t>Indien</w:t>
                            </w:r>
                            <w:proofErr w:type="gramEnd"/>
                            <w:r w:rsidRPr="001067D9">
                              <w:t xml:space="preserve"> wordt verhuisd naar een andere eigen woning loopt de termijn door voor het hypotheekbedrag dat de eigenwoningbezitter al had. Bij een verhoging van de hypotheekschuld in geval van de aankoop van een duurdere woning, gaat voor het </w:t>
                            </w:r>
                            <w:r w:rsidR="007B409F">
                              <w:t>deel dat ziet op die verhoging</w:t>
                            </w:r>
                            <w:r w:rsidRPr="001067D9">
                              <w:t xml:space="preserve"> de 30 jaar in op het moment van afsluiten. Als de eigen woning wordt verkocht en daarna tijdelijk geen nieuw huis wordt gekocht met een nieuwe hypotheek, dan blijft voor het bedrag van de oude hypotheek de oorspronkelijke 30-jaarstermijn </w:t>
                            </w:r>
                            <w:r w:rsidR="007B409F">
                              <w:t>in stand</w:t>
                            </w:r>
                            <w:r w:rsidRPr="001067D9">
                              <w:t xml:space="preserve">. </w:t>
                            </w:r>
                            <w:r w:rsidR="00C2202E">
                              <w:t>Tot slot loopt de 30-jaarstermijn bij gedeeltelijke aflossing voor het volledige bedrag door.</w:t>
                            </w:r>
                          </w:p>
                          <w:p w:rsidR="001067D9" w:rsidP="001067D9" w:rsidRDefault="001067D9" w14:paraId="7DEDFA52" w14:textId="77777777">
                            <w:pPr>
                              <w:jc w:val="center"/>
                              <w:rPr>
                                <w:b/>
                                <w:bCs/>
                              </w:rPr>
                            </w:pPr>
                          </w:p>
                          <w:p w:rsidRPr="001067D9" w:rsidR="001067D9" w:rsidP="001067D9" w:rsidRDefault="001067D9" w14:paraId="2DA92057" w14:textId="77777777">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A8289B">
                <v:stroke joinstyle="miter"/>
                <v:path gradientshapeok="t" o:connecttype="rect"/>
              </v:shapetype>
              <v:shape id="Tekstvak 2" style="position:absolute;margin-left:332.2pt;margin-top:26.35pt;width:383.4pt;height:18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dceaf7 [35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">
                <v:textbox>
                  <w:txbxContent>
                    <w:p w:rsidR="001067D9" w:rsidP="001067D9" w:rsidRDefault="001067D9" w14:paraId="326D72BB" w14:textId="77777777">
                      <w:pPr>
                        <w:jc w:val="center"/>
                        <w:rPr>
                          <w:b/>
                          <w:bCs/>
                        </w:rPr>
                      </w:pPr>
                      <w:r w:rsidRPr="001067D9">
                        <w:rPr>
                          <w:b/>
                          <w:bCs/>
                        </w:rPr>
                        <w:t>Kader 1 – Werking 30-jaarstermijn in de praktijk</w:t>
                      </w:r>
                    </w:p>
                    <w:p w:rsidRPr="001067D9" w:rsidR="001067D9" w:rsidP="001067D9" w:rsidRDefault="001067D9" w14:paraId="2BD74E92" w14:textId="77777777">
                      <w:pPr>
                        <w:jc w:val="both"/>
                      </w:pPr>
                      <w:r w:rsidRPr="001067D9">
                        <w:t xml:space="preserve">Sinds 2001 mag de rente op een hypotheek die voor de eigen woning is aangegaan, maximaal 30 jaar lang in mindering worden gebracht in box 1 van de Wet IB 2001. De 30 jaren hoeven niet aaneengesloten te zijn. De 30-jaarstermijn geldt voor elke schuld die voor de woning is aangegaan en waarover een eigenwoningbezitter </w:t>
                      </w:r>
                      <w:r w:rsidR="00061BF5">
                        <w:t>HRA</w:t>
                      </w:r>
                      <w:r w:rsidRPr="001067D9">
                        <w:t xml:space="preserve"> krijgt. </w:t>
                      </w:r>
                      <w:proofErr w:type="gramStart"/>
                      <w:r w:rsidRPr="001067D9">
                        <w:t>Indien</w:t>
                      </w:r>
                      <w:proofErr w:type="gramEnd"/>
                      <w:r w:rsidRPr="001067D9">
                        <w:t xml:space="preserve"> wordt verhuisd naar een andere eigen woning loopt de termijn door voor het hypotheekbedrag dat de eigenwoningbezitter al had. Bij een verhoging van de hypotheekschuld in geval van de aankoop van een duurdere woning, gaat voor het </w:t>
                      </w:r>
                      <w:r w:rsidR="007B409F">
                        <w:t>deel dat ziet op die verhoging</w:t>
                      </w:r>
                      <w:r w:rsidRPr="001067D9">
                        <w:t xml:space="preserve"> de 30 jaar in op het moment van afsluiten. Als de eigen woning wordt verkocht en daarna tijdelijk geen nieuw huis wordt gekocht met een nieuwe hypotheek, dan blijft voor het bedrag van de oude hypotheek de oorspronkelijke 30-jaarstermijn </w:t>
                      </w:r>
                      <w:r w:rsidR="007B409F">
                        <w:t>in stand</w:t>
                      </w:r>
                      <w:r w:rsidRPr="001067D9">
                        <w:t xml:space="preserve">. </w:t>
                      </w:r>
                      <w:r w:rsidR="00C2202E">
                        <w:t>Tot slot loopt de 30-jaarstermijn bij gedeeltelijke aflossing voor het volledige bedrag door.</w:t>
                      </w:r>
                    </w:p>
                    <w:p w:rsidR="001067D9" w:rsidP="001067D9" w:rsidRDefault="001067D9" w14:paraId="7DEDFA52" w14:textId="77777777">
                      <w:pPr>
                        <w:jc w:val="center"/>
                        <w:rPr>
                          <w:b/>
                          <w:bCs/>
                        </w:rPr>
                      </w:pPr>
                    </w:p>
                    <w:p w:rsidRPr="001067D9" w:rsidR="001067D9" w:rsidP="001067D9" w:rsidRDefault="001067D9" w14:paraId="2DA92057" w14:textId="77777777">
                      <w:pPr>
                        <w:jc w:val="center"/>
                        <w:rPr>
                          <w:b/>
                          <w:bCs/>
                        </w:rPr>
                      </w:pPr>
                    </w:p>
                  </w:txbxContent>
                </v:textbox>
                <w10:wrap type="square" anchorx="margin"/>
              </v:shape>
            </w:pict>
          </mc:Fallback>
        </mc:AlternateContent>
      </w:r>
      <w:r>
        <w:t>Kader 1 laat zien hoe de 30-jaarstermijn in de praktijk uitwerkt.</w:t>
      </w:r>
    </w:p>
    <w:p w:rsidR="001067D9" w:rsidRDefault="001067D9" w14:paraId="33AD5420" w14:textId="77777777"/>
    <w:p w:rsidR="00C2202E" w:rsidP="001067D9" w:rsidRDefault="00C2202E" w14:paraId="1B810BA5" w14:textId="77777777">
      <w:pPr>
        <w:rPr>
          <w:b/>
          <w:bCs/>
        </w:rPr>
      </w:pPr>
    </w:p>
    <w:p w:rsidR="001067D9" w:rsidP="001067D9" w:rsidRDefault="001067D9" w14:paraId="40A87F60" w14:textId="77777777">
      <w:r>
        <w:rPr>
          <w:b/>
          <w:bCs/>
        </w:rPr>
        <w:t>Bij</w:t>
      </w:r>
      <w:r w:rsidRPr="001067D9">
        <w:rPr>
          <w:b/>
          <w:bCs/>
        </w:rPr>
        <w:t xml:space="preserve"> de invoering van de Wet IB 2001 </w:t>
      </w:r>
      <w:r>
        <w:rPr>
          <w:b/>
          <w:bCs/>
        </w:rPr>
        <w:t xml:space="preserve">vond de wetgever het </w:t>
      </w:r>
      <w:r w:rsidRPr="001067D9">
        <w:rPr>
          <w:b/>
          <w:bCs/>
        </w:rPr>
        <w:t xml:space="preserve">niet wenselijk om </w:t>
      </w:r>
      <w:r w:rsidR="006613D5">
        <w:rPr>
          <w:b/>
          <w:bCs/>
        </w:rPr>
        <w:t>HRA</w:t>
      </w:r>
      <w:r w:rsidRPr="001067D9" w:rsidR="006613D5">
        <w:rPr>
          <w:b/>
          <w:bCs/>
        </w:rPr>
        <w:t xml:space="preserve"> </w:t>
      </w:r>
      <w:r w:rsidRPr="001067D9">
        <w:rPr>
          <w:b/>
          <w:bCs/>
        </w:rPr>
        <w:t>onbeperkt toe te staan, met name bij aflossingsvrije hypotheken</w:t>
      </w:r>
      <w:r w:rsidRPr="001067D9">
        <w:t xml:space="preserve">. De beperking in de tijd moest belastingplichtigen stimuleren om uiterlijk binnen 30 jaar hun schuld af te lossen om zo een </w:t>
      </w:r>
      <w:r>
        <w:t>m</w:t>
      </w:r>
      <w:r w:rsidRPr="001067D9">
        <w:t>aatschappelijk aanvaardbaar evenwicht te bewaren. Kader 2 beschrijft de rationale en doelstelling bij invoering van de 30-jaarstermijn.</w:t>
      </w:r>
    </w:p>
    <w:p w:rsidR="001067D9" w:rsidP="001067D9" w:rsidRDefault="001067D9" w14:paraId="1B2B55D3" w14:textId="77777777"/>
    <w:p w:rsidRPr="001067D9" w:rsidR="001067D9" w:rsidP="001067D9" w:rsidRDefault="001067D9" w14:paraId="68885239" w14:textId="77777777"/>
    <w:p w:rsidR="001067D9" w:rsidRDefault="001067D9" w14:paraId="50C734FD" w14:textId="77777777"/>
    <w:p w:rsidR="001B2948" w:rsidRDefault="001B2948" w14:paraId="0548B76A" w14:textId="77777777"/>
    <w:p w:rsidR="001B2948" w:rsidRDefault="001B2948" w14:paraId="51B10764" w14:textId="77777777"/>
    <w:p w:rsidR="001B2948" w:rsidRDefault="001B2948" w14:paraId="0F7575C7" w14:textId="77777777"/>
    <w:p w:rsidR="001B2948" w:rsidRDefault="001B2948" w14:paraId="2833FCBB" w14:textId="77777777"/>
    <w:p w:rsidR="001B2948" w:rsidRDefault="001B2948" w14:paraId="6D735691" w14:textId="77777777"/>
    <w:p w:rsidR="001B2948" w:rsidRDefault="001B2948" w14:paraId="7CCCE133" w14:textId="77777777"/>
    <w:p w:rsidR="001B2948" w:rsidRDefault="001B2948" w14:paraId="5AE84A5A" w14:textId="77777777"/>
    <w:p w:rsidR="001B2948" w:rsidRDefault="001B2948" w14:paraId="1C793D08" w14:textId="77777777"/>
    <w:p w:rsidR="001B2948" w:rsidRDefault="001B2948" w14:paraId="722729AE" w14:textId="77777777"/>
    <w:p w:rsidR="001B2948" w:rsidRDefault="001B2948" w14:paraId="6376E6E1" w14:textId="77777777"/>
    <w:p w:rsidR="001B2948" w:rsidP="001B2948" w:rsidRDefault="001B2948" w14:paraId="63842A84" w14:textId="77777777">
      <w:pPr>
        <w:rPr>
          <w:b/>
          <w:bCs/>
        </w:rPr>
      </w:pPr>
    </w:p>
    <w:p w:rsidR="001B2948" w:rsidP="001B2948" w:rsidRDefault="001B2948" w14:paraId="605FEF8E" w14:textId="77777777">
      <w:pPr>
        <w:rPr>
          <w:b/>
          <w:bCs/>
        </w:rPr>
      </w:pPr>
      <w:r>
        <w:rPr>
          <w:noProof/>
        </w:rPr>
        <mc:AlternateContent>
          <mc:Choice Requires="wps">
            <w:drawing>
              <wp:anchor distT="45720" distB="45720" distL="114300" distR="114300" simplePos="0" relativeHeight="251661312" behindDoc="0" locked="0" layoutInCell="1" allowOverlap="1" wp14:editId="5C6EC048" wp14:anchorId="5AA08DDA">
                <wp:simplePos x="0" y="0"/>
                <wp:positionH relativeFrom="margin">
                  <wp:align>right</wp:align>
                </wp:positionH>
                <wp:positionV relativeFrom="paragraph">
                  <wp:posOffset>0</wp:posOffset>
                </wp:positionV>
                <wp:extent cx="4869180" cy="3048000"/>
                <wp:effectExtent l="0" t="0" r="26670" b="19050"/>
                <wp:wrapSquare wrapText="bothSides"/>
                <wp:docPr id="2988101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3048000"/>
                        </a:xfrm>
                        <a:prstGeom prst="rect">
                          <a:avLst/>
                        </a:prstGeom>
                        <a:solidFill>
                          <a:schemeClr val="tx2">
                            <a:lumMod val="10000"/>
                            <a:lumOff val="90000"/>
                          </a:schemeClr>
                        </a:solidFill>
                        <a:ln w="12700">
                          <a:solidFill>
                            <a:srgbClr val="000000"/>
                          </a:solidFill>
                          <a:miter lim="800000"/>
                          <a:headEnd/>
                          <a:tailEnd/>
                        </a:ln>
                      </wps:spPr>
                      <wps:txbx>
                        <w:txbxContent>
                          <w:p w:rsidR="001067D9" w:rsidP="001067D9" w:rsidRDefault="001067D9" w14:paraId="5DBEEAD5" w14:textId="77777777">
                            <w:pPr>
                              <w:jc w:val="center"/>
                              <w:rPr>
                                <w:b/>
                                <w:bCs/>
                              </w:rPr>
                            </w:pPr>
                            <w:r w:rsidRPr="001067D9">
                              <w:rPr>
                                <w:b/>
                                <w:bCs/>
                              </w:rPr>
                              <w:t xml:space="preserve">Kader </w:t>
                            </w:r>
                            <w:r>
                              <w:rPr>
                                <w:b/>
                                <w:bCs/>
                              </w:rPr>
                              <w:t>2</w:t>
                            </w:r>
                            <w:r w:rsidRPr="001067D9">
                              <w:rPr>
                                <w:b/>
                                <w:bCs/>
                              </w:rPr>
                              <w:t xml:space="preserve"> – </w:t>
                            </w:r>
                            <w:r>
                              <w:rPr>
                                <w:b/>
                                <w:bCs/>
                              </w:rPr>
                              <w:t>Rationale en doelstelling bij invoering 30-jaarstermijn</w:t>
                            </w:r>
                          </w:p>
                          <w:p w:rsidR="001067D9" w:rsidP="001067D9" w:rsidRDefault="001067D9" w14:paraId="0043CD37" w14:textId="77777777">
                            <w:pPr>
                              <w:jc w:val="both"/>
                            </w:pPr>
                            <w:r w:rsidRPr="001067D9">
                              <w:t xml:space="preserve">De 30-jaarstermijn is in 2001 geïntroduceerd vanwege zorgen over de opkomst van aflossingsvrije hypotheken en de onbeperkte </w:t>
                            </w:r>
                            <w:r w:rsidR="00061BF5">
                              <w:t>HRA</w:t>
                            </w:r>
                            <w:r w:rsidRPr="001067D9">
                              <w:t xml:space="preserve"> die daarmee gepaard ging. Eind jaren ’90 steeg het aandeel aflossingsvrije hypotheken sterk: van 3,4% van alle hypotheken in 1994 naar 17,5% in 1998, een ontwikkeling die de toenmalige regering vanuit budgettair oogpunt ongewenst achtte </w:t>
                            </w:r>
                            <w:r w:rsidRPr="001067D9">
                              <w:rPr>
                                <w:i/>
                                <w:iCs/>
                              </w:rPr>
                              <w:t>(Kamerstukken II 1999/2000, 26 727, nr. 19 (Tweede Nota van Wijziging bij de Belastingherziening 2001), p.27).</w:t>
                            </w:r>
                            <w:r w:rsidRPr="001067D9">
                              <w:t xml:space="preserve"> </w:t>
                            </w:r>
                          </w:p>
                          <w:p w:rsidRPr="001067D9" w:rsidR="001067D9" w:rsidP="001067D9" w:rsidRDefault="001067D9" w14:paraId="442476AB" w14:textId="77777777">
                            <w:pPr>
                              <w:jc w:val="both"/>
                            </w:pPr>
                          </w:p>
                          <w:p w:rsidRPr="001067D9" w:rsidR="001067D9" w:rsidP="001067D9" w:rsidRDefault="001067D9" w14:paraId="45E96719" w14:textId="77777777">
                            <w:pPr>
                              <w:jc w:val="both"/>
                            </w:pPr>
                            <w:r w:rsidRPr="001067D9">
                              <w:t xml:space="preserve">Door de veranderingen van de boxenstructuur in de Wet IB 2001 was de verwachting dat het gebruik van </w:t>
                            </w:r>
                            <w:r w:rsidR="007B409F">
                              <w:t xml:space="preserve">de </w:t>
                            </w:r>
                            <w:r w:rsidRPr="001067D9">
                              <w:t xml:space="preserve">aflossingsvrije hypotheek alleen nog maar verder zou toenemen. De verwachting was dat zonder ingreep steeds meer huizenbezitters zoveel mogelijk </w:t>
                            </w:r>
                            <w:r w:rsidR="00EB4148">
                              <w:t>HRA</w:t>
                            </w:r>
                            <w:r w:rsidRPr="001067D9">
                              <w:t xml:space="preserve"> zouden willen genieten zonder hun schuld af te lossen. Dit zou tot een grotere derving voor de schatkist leiden en de privéschulden van belastingplichtigen verhogen. In de wetsgeschiedenis wordt voor de keuze van maximaal 30 jaar </w:t>
                            </w:r>
                            <w:r w:rsidR="00061BF5">
                              <w:t>HRA</w:t>
                            </w:r>
                            <w:r w:rsidRPr="001067D9">
                              <w:t xml:space="preserve"> verwezen naar de “maatschappelijk aanvaarde norm” dat een hypotheek in ongeveer 30 jaar wordt afgelost. Door de aftrek te beperken kon de wetgever zowel aflossing stimuleren als de budgettaire lasten voor de schatkist beheersen.  </w:t>
                            </w:r>
                          </w:p>
                          <w:p w:rsidR="001067D9" w:rsidP="001067D9" w:rsidRDefault="001067D9" w14:paraId="2624FE4E" w14:textId="77777777">
                            <w:pPr>
                              <w:jc w:val="center"/>
                              <w:rPr>
                                <w:b/>
                                <w:bCs/>
                              </w:rPr>
                            </w:pPr>
                          </w:p>
                          <w:p w:rsidRPr="001067D9" w:rsidR="001067D9" w:rsidP="001067D9" w:rsidRDefault="001067D9" w14:paraId="743CB01A" w14:textId="77777777">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32.2pt;margin-top:0;width:383.4pt;height:24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dceaf7 [35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" w14:anchorId="5AA08DDA">
                <v:textbox>
                  <w:txbxContent>
                    <w:p w:rsidR="001067D9" w:rsidP="001067D9" w:rsidRDefault="001067D9" w14:paraId="5DBEEAD5" w14:textId="77777777">
                      <w:pPr>
                        <w:jc w:val="center"/>
                        <w:rPr>
                          <w:b/>
                          <w:bCs/>
                        </w:rPr>
                      </w:pPr>
                      <w:r w:rsidRPr="001067D9">
                        <w:rPr>
                          <w:b/>
                          <w:bCs/>
                        </w:rPr>
                        <w:t xml:space="preserve">Kader </w:t>
                      </w:r>
                      <w:r>
                        <w:rPr>
                          <w:b/>
                          <w:bCs/>
                        </w:rPr>
                        <w:t>2</w:t>
                      </w:r>
                      <w:r w:rsidRPr="001067D9">
                        <w:rPr>
                          <w:b/>
                          <w:bCs/>
                        </w:rPr>
                        <w:t xml:space="preserve"> – </w:t>
                      </w:r>
                      <w:r>
                        <w:rPr>
                          <w:b/>
                          <w:bCs/>
                        </w:rPr>
                        <w:t>Rationale en doelstelling bij invoering 30-jaarstermijn</w:t>
                      </w:r>
                    </w:p>
                    <w:p w:rsidR="001067D9" w:rsidP="001067D9" w:rsidRDefault="001067D9" w14:paraId="0043CD37" w14:textId="77777777">
                      <w:pPr>
                        <w:jc w:val="both"/>
                      </w:pPr>
                      <w:r w:rsidRPr="001067D9">
                        <w:t xml:space="preserve">De 30-jaarstermijn is in 2001 geïntroduceerd vanwege zorgen over de opkomst van aflossingsvrije hypotheken en de onbeperkte </w:t>
                      </w:r>
                      <w:r w:rsidR="00061BF5">
                        <w:t>HRA</w:t>
                      </w:r>
                      <w:r w:rsidRPr="001067D9">
                        <w:t xml:space="preserve"> die daarmee gepaard ging. Eind jaren ’90 steeg het aandeel aflossingsvrije hypotheken sterk: van 3,4% van alle hypotheken in 1994 naar 17,5% in 1998, een ontwikkeling die de toenmalige regering vanuit budgettair oogpunt ongewenst achtte </w:t>
                      </w:r>
                      <w:r w:rsidRPr="001067D9">
                        <w:rPr>
                          <w:i/>
                          <w:iCs/>
                        </w:rPr>
                        <w:t>(Kamerstukken II 1999/2000, 26 727, nr. 19 (Tweede Nota van Wijziging bij de Belastingherziening 2001), p.27).</w:t>
                      </w:r>
                      <w:r w:rsidRPr="001067D9">
                        <w:t xml:space="preserve"> </w:t>
                      </w:r>
                    </w:p>
                    <w:p w:rsidRPr="001067D9" w:rsidR="001067D9" w:rsidP="001067D9" w:rsidRDefault="001067D9" w14:paraId="442476AB" w14:textId="77777777">
                      <w:pPr>
                        <w:jc w:val="both"/>
                      </w:pPr>
                    </w:p>
                    <w:p w:rsidRPr="001067D9" w:rsidR="001067D9" w:rsidP="001067D9" w:rsidRDefault="001067D9" w14:paraId="45E96719" w14:textId="77777777">
                      <w:pPr>
                        <w:jc w:val="both"/>
                      </w:pPr>
                      <w:r w:rsidRPr="001067D9">
                        <w:t xml:space="preserve">Door de veranderingen van de boxenstructuur in de Wet IB 2001 was de verwachting dat het gebruik van </w:t>
                      </w:r>
                      <w:r w:rsidR="007B409F">
                        <w:t xml:space="preserve">de </w:t>
                      </w:r>
                      <w:r w:rsidRPr="001067D9">
                        <w:t xml:space="preserve">aflossingsvrije hypotheek alleen nog maar verder zou toenemen. De verwachting was dat zonder ingreep steeds meer huizenbezitters zoveel mogelijk </w:t>
                      </w:r>
                      <w:r w:rsidR="00EB4148">
                        <w:t>HRA</w:t>
                      </w:r>
                      <w:r w:rsidRPr="001067D9">
                        <w:t xml:space="preserve"> zouden willen genieten zonder hun schuld af te lossen. Dit zou tot een grotere derving voor de schatkist leiden en de privéschulden van belastingplichtigen verhogen. In de wetsgeschiedenis wordt voor de keuze van maximaal 30 jaar </w:t>
                      </w:r>
                      <w:r w:rsidR="00061BF5">
                        <w:t>HRA</w:t>
                      </w:r>
                      <w:r w:rsidRPr="001067D9">
                        <w:t xml:space="preserve"> verwezen naar de “maatschappelijk aanvaarde norm” dat een hypotheek in ongeveer 30 jaar wordt afgelost. Door de aftrek te beperken kon de wetgever zowel aflossing stimuleren als de budgettaire lasten voor de schatkist beheersen.  </w:t>
                      </w:r>
                    </w:p>
                    <w:p w:rsidR="001067D9" w:rsidP="001067D9" w:rsidRDefault="001067D9" w14:paraId="2624FE4E" w14:textId="77777777">
                      <w:pPr>
                        <w:jc w:val="center"/>
                        <w:rPr>
                          <w:b/>
                          <w:bCs/>
                        </w:rPr>
                      </w:pPr>
                    </w:p>
                    <w:p w:rsidRPr="001067D9" w:rsidR="001067D9" w:rsidP="001067D9" w:rsidRDefault="001067D9" w14:paraId="743CB01A" w14:textId="77777777">
                      <w:pPr>
                        <w:jc w:val="center"/>
                        <w:rPr>
                          <w:b/>
                          <w:bCs/>
                        </w:rPr>
                      </w:pPr>
                    </w:p>
                  </w:txbxContent>
                </v:textbox>
                <w10:wrap type="square" anchorx="margin"/>
              </v:shape>
            </w:pict>
          </mc:Fallback>
        </mc:AlternateContent>
      </w:r>
      <w:r w:rsidRPr="001B2948">
        <w:rPr>
          <w:b/>
          <w:bCs/>
        </w:rPr>
        <w:t xml:space="preserve">De beleidsdoelstelling bij invoering van de 30-jaarstermijn was tweeledig: </w:t>
      </w:r>
    </w:p>
    <w:p w:rsidRPr="001B2948" w:rsidR="001B2948" w:rsidP="001B2948" w:rsidRDefault="001B2948" w14:paraId="5B76001D" w14:textId="77777777">
      <w:pPr>
        <w:rPr>
          <w:b/>
          <w:bCs/>
        </w:rPr>
      </w:pPr>
    </w:p>
    <w:p w:rsidRPr="001B2948" w:rsidR="001B2948" w:rsidP="001B2948" w:rsidRDefault="001B2948" w14:paraId="58EF3718" w14:textId="77777777">
      <w:pPr>
        <w:pStyle w:val="Lijstalinea"/>
        <w:numPr>
          <w:ilvl w:val="0"/>
          <w:numId w:val="7"/>
        </w:numPr>
      </w:pPr>
      <w:r w:rsidRPr="001B2948">
        <w:t>Huishoudens ertoe bewegen hun eigenwoningschuld binnen een gangbare periode (30 jaar) af te bouwen; en</w:t>
      </w:r>
    </w:p>
    <w:p w:rsidR="001B2948" w:rsidP="001B2948" w:rsidRDefault="001B2948" w14:paraId="6C217666" w14:textId="77777777">
      <w:pPr>
        <w:pStyle w:val="Lijstalinea"/>
        <w:numPr>
          <w:ilvl w:val="0"/>
          <w:numId w:val="7"/>
        </w:numPr>
      </w:pPr>
      <w:r w:rsidRPr="001B2948">
        <w:t xml:space="preserve">De duur en daarmee de financiële kosten van de fiscale regeling beperken. </w:t>
      </w:r>
    </w:p>
    <w:p w:rsidRPr="001B2948" w:rsidR="001B2948" w:rsidP="001B2948" w:rsidRDefault="001B2948" w14:paraId="5AC8095C" w14:textId="77777777">
      <w:pPr>
        <w:pStyle w:val="Lijstalinea"/>
      </w:pPr>
    </w:p>
    <w:p w:rsidR="001B2948" w:rsidP="001B2948" w:rsidRDefault="001B2948" w14:paraId="471BF440" w14:textId="77777777">
      <w:r w:rsidRPr="001B2948">
        <w:t xml:space="preserve">De 30-jaarstermijn fungeert dus als instrument om oneindige </w:t>
      </w:r>
      <w:r w:rsidR="00EB4148">
        <w:t>HRA</w:t>
      </w:r>
      <w:r w:rsidRPr="001B2948">
        <w:t xml:space="preserve"> te voorkomen zonder de beoogde stimulerende werking op het eigenwoningbezit van de regeling geheel te verliezen.</w:t>
      </w:r>
    </w:p>
    <w:p w:rsidRPr="001B2948" w:rsidR="001B2948" w:rsidP="001B2948" w:rsidRDefault="001B2948" w14:paraId="16760F53" w14:textId="77777777"/>
    <w:p w:rsidR="001B2948" w:rsidP="001B2948" w:rsidRDefault="001B2948" w14:paraId="4A368EFC" w14:textId="77777777">
      <w:r w:rsidRPr="001B2948">
        <w:rPr>
          <w:b/>
          <w:bCs/>
        </w:rPr>
        <w:t>Sinds 2013 geldt ook de fiscale aflossingseis</w:t>
      </w:r>
      <w:r w:rsidR="006613D5">
        <w:rPr>
          <w:b/>
          <w:bCs/>
        </w:rPr>
        <w:t>.</w:t>
      </w:r>
      <w:r w:rsidRPr="001B2948">
        <w:rPr>
          <w:b/>
          <w:bCs/>
          <w:vertAlign w:val="superscript"/>
        </w:rPr>
        <w:footnoteReference w:id="13"/>
      </w:r>
      <w:r w:rsidRPr="001B2948">
        <w:t xml:space="preserve"> Nieuwe hypotheken komen alleen in aanmerking voor </w:t>
      </w:r>
      <w:r w:rsidR="00EB4148">
        <w:t>HRA</w:t>
      </w:r>
      <w:r w:rsidRPr="001B2948">
        <w:t xml:space="preserve"> wanneer zij binnen maximaal 3</w:t>
      </w:r>
      <w:r w:rsidR="00061BF5">
        <w:t>6</w:t>
      </w:r>
      <w:r w:rsidRPr="001B2948">
        <w:t xml:space="preserve">0 </w:t>
      </w:r>
      <w:r w:rsidR="00061BF5">
        <w:t>maanden</w:t>
      </w:r>
      <w:r w:rsidRPr="001B2948">
        <w:t xml:space="preserve"> ten minste annuïtair volledig worden afgelost</w:t>
      </w:r>
      <w:r w:rsidR="006613D5">
        <w:t>.</w:t>
      </w:r>
      <w:r w:rsidR="00FC1B25">
        <w:rPr>
          <w:rStyle w:val="Voetnootmarkering"/>
        </w:rPr>
        <w:footnoteReference w:id="14"/>
      </w:r>
      <w:r w:rsidRPr="001B2948">
        <w:t xml:space="preserve"> Voor </w:t>
      </w:r>
      <w:r w:rsidR="00061BF5">
        <w:t>leninge</w:t>
      </w:r>
      <w:r w:rsidRPr="001B2948">
        <w:t>n afgesloten vóór 2013 geldt overgangsrecht</w:t>
      </w:r>
      <w:r w:rsidR="006613D5">
        <w:t>.</w:t>
      </w:r>
      <w:r w:rsidRPr="001B2948">
        <w:rPr>
          <w:vertAlign w:val="superscript"/>
        </w:rPr>
        <w:footnoteReference w:id="15"/>
      </w:r>
      <w:r w:rsidRPr="001B2948">
        <w:t xml:space="preserve"> Dat zijn de zogen</w:t>
      </w:r>
      <w:r w:rsidR="000B0955">
        <w:t>oe</w:t>
      </w:r>
      <w:r w:rsidRPr="001B2948">
        <w:t>mde bestaande eigenwoningschulden (BEWS).</w:t>
      </w:r>
    </w:p>
    <w:p w:rsidR="001B2948" w:rsidP="001B2948" w:rsidRDefault="001B2948" w14:paraId="2A183D5A" w14:textId="77777777"/>
    <w:p w:rsidRPr="001B2948" w:rsidR="001B2948" w:rsidP="001B2948" w:rsidRDefault="001B2948" w14:paraId="7EF67D6F" w14:textId="77777777">
      <w:r w:rsidRPr="001B2948">
        <w:t xml:space="preserve">Met de fiscale aflossingseis werd de oorspronkelijke beleidsdoelstelling achter de 30-jaarstermijn – stimuleren van aflossing en beperken van de budgettaire derving – nog sterker verankerd. Uit figuur </w:t>
      </w:r>
      <w:r w:rsidR="00E63741">
        <w:t>2</w:t>
      </w:r>
      <w:r w:rsidRPr="001B2948">
        <w:t xml:space="preserve"> volgt dat annuïtaire/lineaire hypotheken in opmars zijn sinds invoering van de fiscale aflossingseis. Dit illustreert de effectiviteit van de fiscale aflossingseis.</w:t>
      </w:r>
    </w:p>
    <w:p w:rsidR="001B2948" w:rsidP="001B2948" w:rsidRDefault="001B2948" w14:paraId="51370010" w14:textId="77777777"/>
    <w:p w:rsidRPr="001B2948" w:rsidR="00FF3304" w:rsidP="001B2948" w:rsidRDefault="00FF3304" w14:paraId="460A3FA7" w14:textId="77777777"/>
    <w:p w:rsidR="001067D9" w:rsidRDefault="001067D9" w14:paraId="1238BB58" w14:textId="77777777"/>
    <w:p w:rsidR="00E63741" w:rsidRDefault="00E63741" w14:paraId="2577D1FF" w14:textId="77777777">
      <w:pPr>
        <w:rPr>
          <w:b/>
          <w:bCs/>
          <w:noProof/>
          <w:sz w:val="16"/>
          <w:szCs w:val="16"/>
        </w:rPr>
      </w:pPr>
    </w:p>
    <w:p w:rsidR="00E63741" w:rsidRDefault="00E63741" w14:paraId="00BFF1DE" w14:textId="77777777">
      <w:pPr>
        <w:rPr>
          <w:b/>
          <w:bCs/>
          <w:noProof/>
          <w:sz w:val="16"/>
          <w:szCs w:val="16"/>
        </w:rPr>
      </w:pPr>
    </w:p>
    <w:p w:rsidR="00E63741" w:rsidRDefault="00E63741" w14:paraId="5EAE7709" w14:textId="77777777">
      <w:pPr>
        <w:rPr>
          <w:b/>
          <w:bCs/>
          <w:noProof/>
          <w:sz w:val="16"/>
          <w:szCs w:val="16"/>
        </w:rPr>
      </w:pPr>
    </w:p>
    <w:p w:rsidRPr="00E61467" w:rsidR="001B2948" w:rsidRDefault="00FF3304" w14:paraId="6619869C" w14:textId="77777777">
      <w:pPr>
        <w:rPr>
          <w:b/>
          <w:bCs/>
          <w:noProof/>
          <w:sz w:val="16"/>
          <w:szCs w:val="16"/>
        </w:rPr>
      </w:pPr>
      <w:r w:rsidRPr="00E61467">
        <w:rPr>
          <w:b/>
          <w:bCs/>
          <w:noProof/>
          <w:sz w:val="16"/>
          <w:szCs w:val="16"/>
        </w:rPr>
        <w:lastRenderedPageBreak/>
        <w:t xml:space="preserve">Figuur </w:t>
      </w:r>
      <w:r w:rsidR="00E63741">
        <w:rPr>
          <w:b/>
          <w:bCs/>
          <w:noProof/>
          <w:sz w:val="16"/>
          <w:szCs w:val="16"/>
        </w:rPr>
        <w:t>2</w:t>
      </w:r>
      <w:r w:rsidRPr="00E61467">
        <w:rPr>
          <w:b/>
          <w:bCs/>
          <w:noProof/>
          <w:sz w:val="16"/>
          <w:szCs w:val="16"/>
        </w:rPr>
        <w:t xml:space="preserve"> – </w:t>
      </w:r>
      <w:r w:rsidR="005F6324">
        <w:rPr>
          <w:b/>
          <w:bCs/>
          <w:noProof/>
          <w:sz w:val="16"/>
          <w:szCs w:val="16"/>
        </w:rPr>
        <w:t>U</w:t>
      </w:r>
      <w:r w:rsidRPr="00E61467">
        <w:rPr>
          <w:b/>
          <w:bCs/>
          <w:noProof/>
          <w:sz w:val="16"/>
          <w:szCs w:val="16"/>
        </w:rPr>
        <w:t>i</w:t>
      </w:r>
      <w:r w:rsidR="00C357AB">
        <w:rPr>
          <w:b/>
          <w:bCs/>
          <w:noProof/>
          <w:sz w:val="16"/>
          <w:szCs w:val="16"/>
        </w:rPr>
        <w:t>t</w:t>
      </w:r>
      <w:r w:rsidRPr="00E61467">
        <w:rPr>
          <w:b/>
          <w:bCs/>
          <w:noProof/>
          <w:sz w:val="16"/>
          <w:szCs w:val="16"/>
        </w:rPr>
        <w:t>staande hypotheekschuld</w:t>
      </w:r>
      <w:r w:rsidR="005F6324">
        <w:rPr>
          <w:b/>
          <w:bCs/>
          <w:noProof/>
          <w:sz w:val="16"/>
          <w:szCs w:val="16"/>
        </w:rPr>
        <w:t xml:space="preserve"> huishoudens</w:t>
      </w:r>
      <w:r w:rsidRPr="00E61467">
        <w:rPr>
          <w:b/>
          <w:bCs/>
          <w:noProof/>
          <w:sz w:val="16"/>
          <w:szCs w:val="16"/>
        </w:rPr>
        <w:t xml:space="preserve"> naar type hypotheek</w:t>
      </w:r>
      <w:r w:rsidR="005F6324">
        <w:rPr>
          <w:b/>
          <w:bCs/>
          <w:noProof/>
          <w:sz w:val="16"/>
          <w:szCs w:val="16"/>
        </w:rPr>
        <w:t xml:space="preserve"> – verstrekt door financiële instellingen</w:t>
      </w:r>
    </w:p>
    <w:p w:rsidR="001B2948" w:rsidRDefault="00B7202E" w14:paraId="7C4DFB04" w14:textId="77777777">
      <w:pPr>
        <w:rPr>
          <w:noProof/>
        </w:rPr>
      </w:pPr>
      <w:r>
        <w:rPr>
          <w:noProof/>
        </w:rPr>
        <w:drawing>
          <wp:anchor distT="0" distB="0" distL="114300" distR="114300" simplePos="0" relativeHeight="251677696" behindDoc="0" locked="0" layoutInCell="1" allowOverlap="1" wp14:editId="0D0BCFAA" wp14:anchorId="1FD36D10">
            <wp:simplePos x="0" y="0"/>
            <wp:positionH relativeFrom="column">
              <wp:posOffset>0</wp:posOffset>
            </wp:positionH>
            <wp:positionV relativeFrom="paragraph">
              <wp:posOffset>152400</wp:posOffset>
            </wp:positionV>
            <wp:extent cx="4896485" cy="2763448"/>
            <wp:effectExtent l="0" t="0" r="18415" b="18415"/>
            <wp:wrapSquare wrapText="bothSides"/>
            <wp:docPr id="750340786" name="Grafiek 1">
              <a:extLst xmlns:a="http://schemas.openxmlformats.org/drawingml/2006/main">
                <a:ext uri="{FF2B5EF4-FFF2-40B4-BE49-F238E27FC236}">
                  <a16:creationId xmlns:a16="http://schemas.microsoft.com/office/drawing/2014/main" id="{0D932D62-6699-4A4C-A4E8-7638665B92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9E2E09" w:rsidP="00FF3304" w:rsidRDefault="009E2E09" w14:paraId="56A3BB51" w14:textId="77777777">
      <w:pPr>
        <w:rPr>
          <w:noProof/>
        </w:rPr>
      </w:pPr>
    </w:p>
    <w:p w:rsidR="009E2E09" w:rsidP="00FF3304" w:rsidRDefault="009E2E09" w14:paraId="6255FDCC" w14:textId="77777777">
      <w:pPr>
        <w:rPr>
          <w:noProof/>
        </w:rPr>
      </w:pPr>
    </w:p>
    <w:p w:rsidR="00E328EB" w:rsidP="00FF3304" w:rsidRDefault="00E328EB" w14:paraId="17F6601E" w14:textId="77777777">
      <w:pPr>
        <w:rPr>
          <w:noProof/>
        </w:rPr>
      </w:pPr>
      <w:r w:rsidRPr="00C357AB">
        <w:rPr>
          <w:noProof/>
        </w:rPr>
        <w:t xml:space="preserve">Figuur </w:t>
      </w:r>
      <w:r w:rsidR="00E63741">
        <w:rPr>
          <w:noProof/>
        </w:rPr>
        <w:t>3</w:t>
      </w:r>
      <w:r w:rsidRPr="00C357AB">
        <w:rPr>
          <w:noProof/>
        </w:rPr>
        <w:t xml:space="preserve"> op de volgende pagina geeft een </w:t>
      </w:r>
      <w:r w:rsidR="00E63741">
        <w:rPr>
          <w:noProof/>
        </w:rPr>
        <w:t xml:space="preserve">versimpeld, </w:t>
      </w:r>
      <w:r w:rsidRPr="00C357AB">
        <w:rPr>
          <w:noProof/>
        </w:rPr>
        <w:t>schematisch overzicht van de historische context rond de invoering van de 30-jaarstermijn.</w:t>
      </w:r>
    </w:p>
    <w:p w:rsidR="00FC1B25" w:rsidP="00FF3304" w:rsidRDefault="00FC1B25" w14:paraId="61D20CAE" w14:textId="77777777">
      <w:pPr>
        <w:rPr>
          <w:noProof/>
        </w:rPr>
      </w:pPr>
    </w:p>
    <w:p w:rsidR="00FC1B25" w:rsidP="00FF3304" w:rsidRDefault="00FC1B25" w14:paraId="523D4860" w14:textId="77777777">
      <w:pPr>
        <w:rPr>
          <w:noProof/>
        </w:rPr>
        <w:sectPr w:rsidR="00FC1B25" w:rsidSect="005A7603">
          <w:pgSz w:w="11905" w:h="16837"/>
          <w:pgMar w:top="2641" w:right="963" w:bottom="1077" w:left="3231" w:header="0" w:footer="0" w:gutter="0"/>
          <w:cols w:space="708"/>
        </w:sectPr>
      </w:pPr>
    </w:p>
    <w:p w:rsidR="005F063A" w:rsidP="00FF3304" w:rsidRDefault="005F063A" w14:paraId="140E6A90" w14:textId="77777777">
      <w:pPr>
        <w:rPr>
          <w:noProof/>
        </w:rPr>
      </w:pPr>
    </w:p>
    <w:p w:rsidR="005F063A" w:rsidP="00FF3304" w:rsidRDefault="005F063A" w14:paraId="081AC812" w14:textId="77777777">
      <w:pPr>
        <w:rPr>
          <w:noProof/>
        </w:rPr>
      </w:pPr>
    </w:p>
    <w:p w:rsidR="003D683F" w:rsidRDefault="003D683F" w14:paraId="0679FF08" w14:textId="77777777">
      <w:pPr>
        <w:rPr>
          <w:noProof/>
        </w:rPr>
      </w:pPr>
    </w:p>
    <w:p w:rsidR="001B2948" w:rsidRDefault="001B2948" w14:paraId="11399AFE" w14:textId="77777777">
      <w:pPr>
        <w:rPr>
          <w:noProof/>
        </w:rPr>
      </w:pPr>
    </w:p>
    <w:p w:rsidRPr="00994828" w:rsidR="001B2948" w:rsidRDefault="00994828" w14:paraId="69FBC7E1" w14:textId="77777777">
      <w:pPr>
        <w:rPr>
          <w:b/>
          <w:bCs/>
          <w:noProof/>
        </w:rPr>
      </w:pPr>
      <w:r w:rsidRPr="00C357AB">
        <w:rPr>
          <w:b/>
          <w:bCs/>
          <w:noProof/>
        </w:rPr>
        <w:t xml:space="preserve">Figuur </w:t>
      </w:r>
      <w:r w:rsidR="00E63741">
        <w:rPr>
          <w:b/>
          <w:bCs/>
          <w:noProof/>
        </w:rPr>
        <w:t>3</w:t>
      </w:r>
      <w:r w:rsidRPr="00C357AB">
        <w:rPr>
          <w:b/>
          <w:bCs/>
          <w:noProof/>
        </w:rPr>
        <w:t xml:space="preserve"> – Schematische</w:t>
      </w:r>
      <w:r w:rsidR="00882544">
        <w:rPr>
          <w:b/>
          <w:bCs/>
          <w:noProof/>
        </w:rPr>
        <w:t xml:space="preserve"> simplistische</w:t>
      </w:r>
      <w:r w:rsidRPr="00C357AB">
        <w:rPr>
          <w:b/>
          <w:bCs/>
          <w:noProof/>
        </w:rPr>
        <w:t xml:space="preserve"> weergave historie 30-jaarstermijn</w:t>
      </w:r>
    </w:p>
    <w:p w:rsidR="001B2948" w:rsidRDefault="001B2948" w14:paraId="7B2FF91F" w14:textId="77777777">
      <w:pPr>
        <w:rPr>
          <w:noProof/>
        </w:rPr>
      </w:pPr>
    </w:p>
    <w:p w:rsidR="00E328EB" w:rsidRDefault="00A84A8B" w14:paraId="7A751A29" w14:textId="77777777">
      <w:pPr>
        <w:rPr>
          <w:noProof/>
        </w:rPr>
      </w:pPr>
      <w:r w:rsidRPr="00C26EC9">
        <w:rPr>
          <w:noProof/>
        </w:rPr>
        <w:drawing>
          <wp:anchor distT="0" distB="0" distL="114300" distR="114300" simplePos="0" relativeHeight="251688960" behindDoc="0" locked="0" layoutInCell="1" allowOverlap="1" wp14:editId="09AC501E" wp14:anchorId="192A5FDD">
            <wp:simplePos x="0" y="0"/>
            <wp:positionH relativeFrom="margin">
              <wp:posOffset>-635</wp:posOffset>
            </wp:positionH>
            <wp:positionV relativeFrom="paragraph">
              <wp:posOffset>150495</wp:posOffset>
            </wp:positionV>
            <wp:extent cx="7726680" cy="3535680"/>
            <wp:effectExtent l="0" t="0" r="7620" b="7620"/>
            <wp:wrapSquare wrapText="bothSides"/>
            <wp:docPr id="19758942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94385" name=""/>
                    <pic:cNvPicPr/>
                  </pic:nvPicPr>
                  <pic:blipFill>
                    <a:blip r:embed="rId15">
                      <a:extLst>
                        <a:ext uri="{28A0092B-C50C-407E-A947-70E740481C1C}">
                          <a14:useLocalDpi xmlns:a14="http://schemas.microsoft.com/office/drawing/2010/main" val="0"/>
                        </a:ext>
                      </a:extLst>
                    </a:blip>
                    <a:stretch>
                      <a:fillRect/>
                    </a:stretch>
                  </pic:blipFill>
                  <pic:spPr>
                    <a:xfrm>
                      <a:off x="0" y="0"/>
                      <a:ext cx="7726680" cy="3535680"/>
                    </a:xfrm>
                    <a:prstGeom prst="rect">
                      <a:avLst/>
                    </a:prstGeom>
                  </pic:spPr>
                </pic:pic>
              </a:graphicData>
            </a:graphic>
            <wp14:sizeRelH relativeFrom="page">
              <wp14:pctWidth>0</wp14:pctWidth>
            </wp14:sizeRelH>
            <wp14:sizeRelV relativeFrom="page">
              <wp14:pctHeight>0</wp14:pctHeight>
            </wp14:sizeRelV>
          </wp:anchor>
        </w:drawing>
      </w:r>
    </w:p>
    <w:p w:rsidR="00D405AA" w:rsidRDefault="00D405AA" w14:paraId="7979997E" w14:textId="77777777">
      <w:pPr>
        <w:rPr>
          <w:noProof/>
        </w:rPr>
        <w:sectPr w:rsidR="00D405AA" w:rsidSect="00CD62EC">
          <w:pgSz w:w="16837" w:h="11905" w:orient="landscape"/>
          <w:pgMar w:top="963" w:right="1077" w:bottom="3231" w:left="2641" w:header="0" w:footer="0" w:gutter="0"/>
          <w:cols w:space="708"/>
          <w:docGrid w:linePitch="245"/>
        </w:sectPr>
      </w:pPr>
    </w:p>
    <w:p w:rsidR="008A377D" w:rsidP="008A377D" w:rsidRDefault="008A377D" w14:paraId="490267B1" w14:textId="77777777">
      <w:pPr>
        <w:pStyle w:val="Kop1"/>
      </w:pPr>
      <w:bookmarkStart w:name="_Toc222756872" w:id="15"/>
      <w:bookmarkStart w:name="_Toc226640254" w:id="16"/>
      <w:r>
        <w:lastRenderedPageBreak/>
        <w:t>Complexiteit van de 30-jaarstermijn in de praktijk</w:t>
      </w:r>
      <w:bookmarkEnd w:id="15"/>
      <w:bookmarkEnd w:id="16"/>
    </w:p>
    <w:p w:rsidR="00FC1B25" w:rsidP="00FC1B25" w:rsidRDefault="00FC1B25" w14:paraId="7C50C0F2" w14:textId="77777777">
      <w:r w:rsidRPr="001A5DEE">
        <w:t>De 30-jaarstermijn veroorzaakt structurele knelpunten voor belastingplichtigen, de Belastingdienst en financieel dienstverleners. De huidige regeling is complex, slecht handhaafbaar en vraagt veel van betrokkenen</w:t>
      </w:r>
      <w:r w:rsidR="00054DEF">
        <w:t>.</w:t>
      </w:r>
      <w:r>
        <w:t xml:space="preserve"> Er is dus </w:t>
      </w:r>
      <w:r w:rsidRPr="001A5DEE">
        <w:t>noodzaak tot vereenvoudiging en</w:t>
      </w:r>
      <w:r>
        <w:t xml:space="preserve"> een</w:t>
      </w:r>
      <w:r w:rsidRPr="001A5DEE">
        <w:t xml:space="preserve"> duidelijke oplossing</w:t>
      </w:r>
      <w:r>
        <w:t>.</w:t>
      </w:r>
    </w:p>
    <w:p w:rsidR="00FC1B25" w:rsidP="00FC1B25" w:rsidRDefault="00FC1B25" w14:paraId="41070757" w14:textId="77777777"/>
    <w:p w:rsidR="00FC1B25" w:rsidP="00FC1B25" w:rsidRDefault="00FC1B25" w14:paraId="45B15F29" w14:textId="77777777">
      <w:pPr>
        <w:pStyle w:val="Kop2"/>
      </w:pPr>
      <w:bookmarkStart w:name="_Toc226640255" w:id="17"/>
      <w:r>
        <w:t>Omvang probleem</w:t>
      </w:r>
      <w:bookmarkEnd w:id="17"/>
    </w:p>
    <w:p w:rsidR="00FC1B25" w:rsidP="00FC1B25" w:rsidRDefault="00FC1B25" w14:paraId="409C7778" w14:textId="77777777">
      <w:pPr>
        <w:rPr>
          <w:b/>
          <w:bCs/>
        </w:rPr>
      </w:pPr>
    </w:p>
    <w:p w:rsidR="00FC1B25" w:rsidP="00FC1B25" w:rsidRDefault="00FC1B25" w14:paraId="4DA00CB0" w14:textId="77777777">
      <w:r w:rsidRPr="008A377D">
        <w:rPr>
          <w:b/>
          <w:bCs/>
        </w:rPr>
        <w:t>Voor BEWS</w:t>
      </w:r>
      <w:r w:rsidRPr="008A377D">
        <w:rPr>
          <w:b/>
          <w:bCs/>
          <w:i/>
          <w:iCs/>
        </w:rPr>
        <w:t xml:space="preserve"> </w:t>
      </w:r>
      <w:r w:rsidRPr="008A377D">
        <w:rPr>
          <w:b/>
          <w:bCs/>
        </w:rPr>
        <w:t>geldt dat deze in de periode tussen 2031 en</w:t>
      </w:r>
      <w:r>
        <w:rPr>
          <w:b/>
          <w:bCs/>
        </w:rPr>
        <w:t xml:space="preserve"> </w:t>
      </w:r>
      <w:r w:rsidRPr="008A377D">
        <w:rPr>
          <w:b/>
          <w:bCs/>
        </w:rPr>
        <w:t xml:space="preserve">2042 het </w:t>
      </w:r>
      <w:r w:rsidR="00054DEF">
        <w:rPr>
          <w:b/>
          <w:bCs/>
        </w:rPr>
        <w:t xml:space="preserve">recht op HRA </w:t>
      </w:r>
      <w:r w:rsidRPr="008A377D">
        <w:rPr>
          <w:b/>
          <w:bCs/>
        </w:rPr>
        <w:t>verliezen omdat de 30-jaarstermijn dan is verstreken</w:t>
      </w:r>
      <w:r w:rsidRPr="008A377D">
        <w:t>. Dit zijn voor een groot deel aflossingsvrije hypotheken en voor deze hypotheken geldt dat er onduidelijkheid zal zijn</w:t>
      </w:r>
      <w:r>
        <w:t>,</w:t>
      </w:r>
      <w:r w:rsidRPr="008A377D">
        <w:t xml:space="preserve"> omdat de Belastingdienst</w:t>
      </w:r>
      <w:r>
        <w:t xml:space="preserve"> en belastingplichtigen</w:t>
      </w:r>
      <w:r w:rsidRPr="008A377D">
        <w:t xml:space="preserve"> niet beschik</w:t>
      </w:r>
      <w:r>
        <w:t>ken</w:t>
      </w:r>
      <w:r w:rsidRPr="008A377D">
        <w:t xml:space="preserve"> over de historische informatie van deze leningen (afgesloten v</w:t>
      </w:r>
      <w:r w:rsidR="00E673DB">
        <w:t>óó</w:t>
      </w:r>
      <w:r w:rsidRPr="008A377D">
        <w:t xml:space="preserve">r 2013). Figuur </w:t>
      </w:r>
      <w:r w:rsidR="00E63741">
        <w:t>4</w:t>
      </w:r>
      <w:r w:rsidRPr="008A377D">
        <w:t xml:space="preserve"> laat zien dat het grootste deel van de uitstaande hypothe</w:t>
      </w:r>
      <w:r>
        <w:t xml:space="preserve">ken </w:t>
      </w:r>
      <w:r w:rsidRPr="008A377D">
        <w:t>is afgesloten v</w:t>
      </w:r>
      <w:r w:rsidR="00E673DB">
        <w:t>óó</w:t>
      </w:r>
      <w:r w:rsidRPr="008A377D">
        <w:t xml:space="preserve">r 2013. Iets meer dan de helft van deze hypotheekschulden is aflossingsvrij (Figuur </w:t>
      </w:r>
      <w:r w:rsidR="00E63741">
        <w:t>5</w:t>
      </w:r>
      <w:r w:rsidRPr="008A377D">
        <w:t>). Een deel van de hypotheken bestaat ook uit spaar</w:t>
      </w:r>
      <w:r w:rsidR="009811FC">
        <w:t xml:space="preserve">-, beleggings- of </w:t>
      </w:r>
      <w:r w:rsidRPr="008A377D">
        <w:t xml:space="preserve">levenshypotheken. Deze hypotheken hebben </w:t>
      </w:r>
      <w:r>
        <w:t xml:space="preserve">in de regel </w:t>
      </w:r>
      <w:r w:rsidRPr="008A377D">
        <w:t xml:space="preserve">een looptijd van 30 jaar. Voor deze hypotheken staat de uitvoerbaarheid van de 30-jaarstermijn dus </w:t>
      </w:r>
      <w:r w:rsidR="00054DEF">
        <w:t>minder</w:t>
      </w:r>
      <w:r w:rsidRPr="008A377D">
        <w:t xml:space="preserve"> onder druk omdat voor deze hypotheken geborgd is dat deze </w:t>
      </w:r>
      <w:r w:rsidR="00AB339B">
        <w:t>over het algemeen</w:t>
      </w:r>
      <w:r w:rsidRPr="008A377D">
        <w:t xml:space="preserve"> niet langer dan 30 jaar lopen</w:t>
      </w:r>
      <w:r w:rsidR="002B1FD0">
        <w:rPr>
          <w:rStyle w:val="Voetnootmarkering"/>
        </w:rPr>
        <w:footnoteReference w:id="16"/>
      </w:r>
      <w:r w:rsidRPr="008A377D">
        <w:t>.</w:t>
      </w:r>
    </w:p>
    <w:p w:rsidR="00FC1B25" w:rsidP="00FC1B25" w:rsidRDefault="00FC1B25" w14:paraId="10138A77" w14:textId="77777777"/>
    <w:p w:rsidRPr="008A377D" w:rsidR="00FC1B25" w:rsidP="00FC1B25" w:rsidRDefault="00FC1B25" w14:paraId="58B3B87E" w14:textId="77777777">
      <w:pPr>
        <w:rPr>
          <w:b/>
          <w:bCs/>
          <w:sz w:val="16"/>
          <w:szCs w:val="16"/>
        </w:rPr>
      </w:pPr>
      <w:r w:rsidRPr="00E61467">
        <w:rPr>
          <w:b/>
          <w:bCs/>
          <w:sz w:val="16"/>
          <w:szCs w:val="16"/>
        </w:rPr>
        <w:t xml:space="preserve">Figuur </w:t>
      </w:r>
      <w:r w:rsidR="00E63741">
        <w:rPr>
          <w:b/>
          <w:bCs/>
          <w:sz w:val="16"/>
          <w:szCs w:val="16"/>
        </w:rPr>
        <w:t>4</w:t>
      </w:r>
      <w:r w:rsidRPr="00E61467">
        <w:rPr>
          <w:b/>
          <w:bCs/>
          <w:sz w:val="16"/>
          <w:szCs w:val="16"/>
        </w:rPr>
        <w:t xml:space="preserve"> – </w:t>
      </w:r>
      <w:r>
        <w:rPr>
          <w:b/>
          <w:bCs/>
          <w:sz w:val="16"/>
          <w:szCs w:val="16"/>
        </w:rPr>
        <w:t>V</w:t>
      </w:r>
      <w:r w:rsidRPr="00E61467">
        <w:rPr>
          <w:b/>
          <w:bCs/>
          <w:sz w:val="16"/>
          <w:szCs w:val="16"/>
        </w:rPr>
        <w:t>ermoedelijke startdatum oudste hypotheek(deel), stand per 2022</w:t>
      </w:r>
      <w:r>
        <w:rPr>
          <w:rStyle w:val="Voetnootmarkering"/>
          <w:b/>
          <w:bCs/>
          <w:sz w:val="16"/>
          <w:szCs w:val="16"/>
        </w:rPr>
        <w:footnoteReference w:id="17"/>
      </w:r>
    </w:p>
    <w:p w:rsidRPr="00E61467" w:rsidR="00FC1B25" w:rsidP="00FC1B25" w:rsidRDefault="00FC1B25" w14:paraId="01B99BA2" w14:textId="77777777">
      <w:r>
        <w:rPr>
          <w:noProof/>
        </w:rPr>
        <w:drawing>
          <wp:anchor distT="0" distB="0" distL="114300" distR="114300" simplePos="0" relativeHeight="251671552" behindDoc="0" locked="0" layoutInCell="1" allowOverlap="1" wp14:editId="00266BC3" wp14:anchorId="328A5688">
            <wp:simplePos x="0" y="0"/>
            <wp:positionH relativeFrom="margin">
              <wp:posOffset>-635</wp:posOffset>
            </wp:positionH>
            <wp:positionV relativeFrom="paragraph">
              <wp:posOffset>0</wp:posOffset>
            </wp:positionV>
            <wp:extent cx="4896485" cy="3067859"/>
            <wp:effectExtent l="0" t="0" r="18415" b="18415"/>
            <wp:wrapSquare wrapText="bothSides"/>
            <wp:docPr id="243378" name="Grafiek 1">
              <a:extLst xmlns:a="http://schemas.openxmlformats.org/drawingml/2006/main">
                <a:ext uri="{FF2B5EF4-FFF2-40B4-BE49-F238E27FC236}">
                  <a16:creationId xmlns:a16="http://schemas.microsoft.com/office/drawing/2014/main" id="{6BD5152A-31FD-4079-8758-1AE98DAFFB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E63741" w:rsidP="00FC1B25" w:rsidRDefault="00E63741" w14:paraId="489451DE" w14:textId="77777777">
      <w:pPr>
        <w:rPr>
          <w:b/>
          <w:bCs/>
          <w:sz w:val="16"/>
          <w:szCs w:val="16"/>
        </w:rPr>
      </w:pPr>
    </w:p>
    <w:p w:rsidR="00FC1B25" w:rsidP="00FC1B25" w:rsidRDefault="00FC1B25" w14:paraId="7D159E71" w14:textId="77777777">
      <w:pPr>
        <w:rPr>
          <w:b/>
          <w:bCs/>
          <w:sz w:val="16"/>
          <w:szCs w:val="16"/>
        </w:rPr>
      </w:pPr>
      <w:r w:rsidRPr="00E61467">
        <w:rPr>
          <w:b/>
          <w:bCs/>
          <w:sz w:val="16"/>
          <w:szCs w:val="16"/>
        </w:rPr>
        <w:lastRenderedPageBreak/>
        <w:t xml:space="preserve">Figuur </w:t>
      </w:r>
      <w:r w:rsidR="00E63741">
        <w:rPr>
          <w:b/>
          <w:bCs/>
          <w:sz w:val="16"/>
          <w:szCs w:val="16"/>
        </w:rPr>
        <w:t>5</w:t>
      </w:r>
      <w:r w:rsidRPr="00E61467">
        <w:rPr>
          <w:b/>
          <w:bCs/>
          <w:sz w:val="16"/>
          <w:szCs w:val="16"/>
        </w:rPr>
        <w:t xml:space="preserve"> – Uitstaande hypotheekschuld per type hypotheek naar vermoedelijke startdatum oudste hypotheek(deel), stand per 2022</w:t>
      </w:r>
      <w:r>
        <w:rPr>
          <w:rStyle w:val="Voetnootmarkering"/>
          <w:b/>
          <w:bCs/>
          <w:sz w:val="16"/>
          <w:szCs w:val="16"/>
        </w:rPr>
        <w:footnoteReference w:id="18"/>
      </w:r>
    </w:p>
    <w:p w:rsidRPr="00E61467" w:rsidR="00054DEF" w:rsidP="00FC1B25" w:rsidRDefault="00054DEF" w14:paraId="416C625E" w14:textId="77777777">
      <w:pPr>
        <w:rPr>
          <w:b/>
          <w:bCs/>
        </w:rPr>
      </w:pPr>
      <w:r>
        <w:rPr>
          <w:noProof/>
        </w:rPr>
        <w:drawing>
          <wp:anchor distT="0" distB="0" distL="114300" distR="114300" simplePos="0" relativeHeight="251675648" behindDoc="0" locked="0" layoutInCell="1" allowOverlap="1" wp14:editId="030BCE06" wp14:anchorId="5D00CED6">
            <wp:simplePos x="0" y="0"/>
            <wp:positionH relativeFrom="margin">
              <wp:posOffset>0</wp:posOffset>
            </wp:positionH>
            <wp:positionV relativeFrom="paragraph">
              <wp:posOffset>152400</wp:posOffset>
            </wp:positionV>
            <wp:extent cx="4896485" cy="3067859"/>
            <wp:effectExtent l="0" t="0" r="18415" b="18415"/>
            <wp:wrapSquare wrapText="bothSides"/>
            <wp:docPr id="1444913434" name="Grafiek 1">
              <a:extLst xmlns:a="http://schemas.openxmlformats.org/drawingml/2006/main">
                <a:ext uri="{FF2B5EF4-FFF2-40B4-BE49-F238E27FC236}">
                  <a16:creationId xmlns:a16="http://schemas.microsoft.com/office/drawing/2014/main" id="{5CB2424B-A039-4206-ACEE-04BC91A266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FC1B25" w:rsidP="00FC1B25" w:rsidRDefault="00FC1B25" w14:paraId="760679CD" w14:textId="77777777">
      <w:pPr>
        <w:rPr>
          <w:b/>
          <w:bCs/>
        </w:rPr>
      </w:pPr>
    </w:p>
    <w:p w:rsidR="00FC1B25" w:rsidP="00FC1B25" w:rsidRDefault="00FC1B25" w14:paraId="717B9C84" w14:textId="77777777">
      <w:r w:rsidRPr="008A377D">
        <w:rPr>
          <w:b/>
          <w:bCs/>
        </w:rPr>
        <w:t xml:space="preserve">Voor </w:t>
      </w:r>
      <w:r w:rsidRPr="008A377D">
        <w:rPr>
          <w:b/>
          <w:bCs/>
          <w:i/>
          <w:iCs/>
        </w:rPr>
        <w:t>nieuwe hypotheken</w:t>
      </w:r>
      <w:r w:rsidRPr="008A377D">
        <w:rPr>
          <w:b/>
          <w:bCs/>
        </w:rPr>
        <w:t xml:space="preserve"> (schulden </w:t>
      </w:r>
      <w:r w:rsidR="00AB339B">
        <w:rPr>
          <w:b/>
          <w:bCs/>
        </w:rPr>
        <w:t>aangegaan</w:t>
      </w:r>
      <w:r w:rsidRPr="008A377D" w:rsidR="00AB339B">
        <w:rPr>
          <w:b/>
          <w:bCs/>
        </w:rPr>
        <w:t xml:space="preserve"> </w:t>
      </w:r>
      <w:r w:rsidRPr="008A377D">
        <w:rPr>
          <w:b/>
          <w:bCs/>
        </w:rPr>
        <w:t xml:space="preserve">vanaf 2013 </w:t>
      </w:r>
      <w:r w:rsidR="00AB339B">
        <w:rPr>
          <w:b/>
          <w:bCs/>
        </w:rPr>
        <w:t>die</w:t>
      </w:r>
      <w:r w:rsidRPr="008A377D">
        <w:rPr>
          <w:b/>
          <w:bCs/>
        </w:rPr>
        <w:t xml:space="preserve"> tot de eigenwoningschuld behoren) geldt dat deze aan de fiscale aflossingseis moeten voldoen en in maximaal </w:t>
      </w:r>
      <w:r>
        <w:rPr>
          <w:b/>
          <w:bCs/>
        </w:rPr>
        <w:t>360 maanden</w:t>
      </w:r>
      <w:r w:rsidRPr="008A377D">
        <w:rPr>
          <w:b/>
          <w:bCs/>
        </w:rPr>
        <w:t xml:space="preserve"> en ten minste annuïtair afgelost moeten worden</w:t>
      </w:r>
      <w:r w:rsidRPr="008A377D">
        <w:t xml:space="preserve">. Voor deze hypotheken staat de uitvoerbaarheid van de 30-jaarstermijn minder onder druk omdat voor deze hypotheken geborgd is dat deze niet langer dan 30 jaar lopen. </w:t>
      </w:r>
      <w:r w:rsidR="00422A15">
        <w:t>V</w:t>
      </w:r>
      <w:r w:rsidRPr="008A377D">
        <w:t xml:space="preserve">oor deze groep kunnen zich echter </w:t>
      </w:r>
      <w:r w:rsidR="00422A15">
        <w:t xml:space="preserve">ook </w:t>
      </w:r>
      <w:r w:rsidRPr="008A377D">
        <w:t xml:space="preserve">complexe situaties voordoen, bijvoorbeeld wanneer twee </w:t>
      </w:r>
      <w:r w:rsidR="00C2202E">
        <w:t xml:space="preserve">belastingplichtigen </w:t>
      </w:r>
      <w:r w:rsidRPr="008A377D">
        <w:t>met een eigen hypotheekverleden samen een huis kopen, of als een belastingplichtige na een periode huren (zonder hypotheek) weer een nieuwe woning koopt</w:t>
      </w:r>
      <w:r>
        <w:t xml:space="preserve"> (zie hierna)</w:t>
      </w:r>
      <w:r w:rsidRPr="008A377D">
        <w:t>.</w:t>
      </w:r>
      <w:r w:rsidR="00476446">
        <w:t xml:space="preserve"> </w:t>
      </w:r>
    </w:p>
    <w:p w:rsidR="00FC1B25" w:rsidP="00FC1B25" w:rsidRDefault="00FC1B25" w14:paraId="2E305549" w14:textId="77777777"/>
    <w:p w:rsidR="00FC1B25" w:rsidP="00FC1B25" w:rsidRDefault="00FC1B25" w14:paraId="0F44A990" w14:textId="77777777">
      <w:r w:rsidRPr="008A377D">
        <w:rPr>
          <w:b/>
          <w:bCs/>
        </w:rPr>
        <w:t>De</w:t>
      </w:r>
      <w:r w:rsidRPr="008A377D">
        <w:rPr>
          <w:b/>
        </w:rPr>
        <w:t xml:space="preserve"> regeling </w:t>
      </w:r>
      <w:r>
        <w:rPr>
          <w:b/>
          <w:bCs/>
        </w:rPr>
        <w:t>is complex</w:t>
      </w:r>
      <w:r w:rsidRPr="008A377D">
        <w:rPr>
          <w:b/>
          <w:bCs/>
        </w:rPr>
        <w:t xml:space="preserve"> wanneer</w:t>
      </w:r>
      <w:r w:rsidRPr="008A377D">
        <w:rPr>
          <w:b/>
        </w:rPr>
        <w:t xml:space="preserve"> </w:t>
      </w:r>
      <w:r w:rsidRPr="008A377D">
        <w:rPr>
          <w:b/>
          <w:bCs/>
        </w:rPr>
        <w:t xml:space="preserve">aflossingsvrije </w:t>
      </w:r>
      <w:r w:rsidRPr="008A377D">
        <w:rPr>
          <w:b/>
        </w:rPr>
        <w:t>BEWS</w:t>
      </w:r>
      <w:r w:rsidRPr="008A377D">
        <w:rPr>
          <w:b/>
          <w:bCs/>
        </w:rPr>
        <w:t xml:space="preserve"> </w:t>
      </w:r>
      <w:r w:rsidRPr="008A377D">
        <w:rPr>
          <w:b/>
        </w:rPr>
        <w:t xml:space="preserve">na 2013 </w:t>
      </w:r>
      <w:r w:rsidRPr="008A377D">
        <w:rPr>
          <w:b/>
          <w:bCs/>
        </w:rPr>
        <w:t xml:space="preserve">(deels) zijn omgezet </w:t>
      </w:r>
      <w:r w:rsidRPr="008A377D">
        <w:rPr>
          <w:b/>
        </w:rPr>
        <w:t xml:space="preserve">in annuïtaire hypotheken </w:t>
      </w:r>
      <w:r w:rsidRPr="008A377D">
        <w:rPr>
          <w:b/>
          <w:bCs/>
        </w:rPr>
        <w:t>met een looptijd van 30 jaar</w:t>
      </w:r>
      <w:r w:rsidR="009017B1">
        <w:rPr>
          <w:b/>
          <w:bCs/>
        </w:rPr>
        <w:t xml:space="preserve"> of er bij een </w:t>
      </w:r>
      <w:r w:rsidR="00A10A1F">
        <w:rPr>
          <w:b/>
          <w:bCs/>
        </w:rPr>
        <w:t xml:space="preserve">nieuwe </w:t>
      </w:r>
      <w:r w:rsidR="009017B1">
        <w:rPr>
          <w:b/>
          <w:bCs/>
        </w:rPr>
        <w:t>annuïtaire hypotheek rekening gehouden moet worden met de verstreken looptijd van een BEWS die inmiddels is afgewikkeld</w:t>
      </w:r>
      <w:r w:rsidRPr="008A377D">
        <w:rPr>
          <w:b/>
          <w:bCs/>
        </w:rPr>
        <w:t>.</w:t>
      </w:r>
      <w:r w:rsidRPr="008A377D">
        <w:t xml:space="preserve"> In die situaties </w:t>
      </w:r>
      <w:r>
        <w:t xml:space="preserve">bestaat </w:t>
      </w:r>
      <w:r w:rsidRPr="008A377D">
        <w:t xml:space="preserve">geen recht op </w:t>
      </w:r>
      <w:r>
        <w:t>HRA</w:t>
      </w:r>
      <w:r w:rsidRPr="008A377D">
        <w:t xml:space="preserve"> over de volledige 30 jaar van de annuïtaire hypotheek omdat de jaren van voor 2013 waarin </w:t>
      </w:r>
      <w:r>
        <w:t>HRA</w:t>
      </w:r>
      <w:r w:rsidRPr="008A377D">
        <w:t xml:space="preserve"> is genoten op de aflossingsvrije hypotheek meetellen voor de 30-jaarstermijn.</w:t>
      </w:r>
      <w:r>
        <w:t xml:space="preserve"> </w:t>
      </w:r>
      <w:r w:rsidRPr="008A377D">
        <w:t xml:space="preserve">Het aandeel annuïtaire hypotheken in de categorie </w:t>
      </w:r>
      <w:r>
        <w:t xml:space="preserve">van origine </w:t>
      </w:r>
      <w:r w:rsidRPr="008A377D">
        <w:t>voor 2012</w:t>
      </w:r>
      <w:r>
        <w:t xml:space="preserve"> afgesloten leningen</w:t>
      </w:r>
      <w:r w:rsidRPr="008A377D">
        <w:t xml:space="preserve"> </w:t>
      </w:r>
      <w:r w:rsidR="00B7202E">
        <w:t>illustree</w:t>
      </w:r>
      <w:r>
        <w:t>r</w:t>
      </w:r>
      <w:r w:rsidRPr="008A377D">
        <w:t xml:space="preserve">t deze complexiteit (figuur </w:t>
      </w:r>
      <w:r w:rsidR="00422A15">
        <w:t>5</w:t>
      </w:r>
      <w:r w:rsidRPr="008A377D">
        <w:t>). In de periode tot en met 2012 werden annuïtaire leningen namelijk nauwelijks afgesloten</w:t>
      </w:r>
      <w:r w:rsidR="00B7202E">
        <w:t>, maar toch heeft deze categorie op dit moment een substantiële omvang.</w:t>
      </w:r>
      <w:r w:rsidRPr="008A377D">
        <w:t xml:space="preserve"> Waarschijnlijk zijn dit van origine voor een groot deel aflossingsvrije hypotheken die in een later stadium zijn </w:t>
      </w:r>
      <w:r>
        <w:t xml:space="preserve">omgezet in, of </w:t>
      </w:r>
      <w:r w:rsidRPr="008A377D">
        <w:t>aangevuld met een annuïteit</w:t>
      </w:r>
      <w:r>
        <w:rPr>
          <w:rStyle w:val="Voetnootmarkering"/>
        </w:rPr>
        <w:footnoteReference w:id="19"/>
      </w:r>
      <w:r w:rsidRPr="008A377D">
        <w:t>, met een</w:t>
      </w:r>
      <w:r>
        <w:t xml:space="preserve"> onbekende startdatum en (mogelijk)</w:t>
      </w:r>
      <w:r w:rsidRPr="008A377D">
        <w:t xml:space="preserve"> </w:t>
      </w:r>
      <w:r w:rsidR="00AB339B">
        <w:t xml:space="preserve">een </w:t>
      </w:r>
      <w:r w:rsidRPr="008A377D">
        <w:t>combinatie van looptijden tot gevolg.</w:t>
      </w:r>
      <w:r>
        <w:t xml:space="preserve"> </w:t>
      </w:r>
    </w:p>
    <w:p w:rsidR="00FC1B25" w:rsidP="00FC1B25" w:rsidRDefault="00FC1B25" w14:paraId="5829BD32" w14:textId="77777777"/>
    <w:p w:rsidRPr="008A377D" w:rsidR="00FC1B25" w:rsidP="00FC1B25" w:rsidRDefault="00FC1B25" w14:paraId="544C16BB" w14:textId="77777777">
      <w:r w:rsidRPr="008A377D">
        <w:t xml:space="preserve">De combinatie van verschillende hypotheekdelen, met verschillende aflosvormen en looptijden, leidt bij deze groep tot meer onzekerheid over het hypotheekverleden en </w:t>
      </w:r>
      <w:r w:rsidRPr="008A377D">
        <w:lastRenderedPageBreak/>
        <w:t xml:space="preserve">doet een groot beroep op het </w:t>
      </w:r>
      <w:proofErr w:type="spellStart"/>
      <w:r w:rsidRPr="008A377D">
        <w:t>doenvermogen</w:t>
      </w:r>
      <w:proofErr w:type="spellEnd"/>
      <w:r w:rsidRPr="008A377D">
        <w:t xml:space="preserve"> </w:t>
      </w:r>
      <w:r w:rsidR="002317F3">
        <w:t xml:space="preserve">van belastingplichtigen </w:t>
      </w:r>
      <w:r w:rsidRPr="008A377D">
        <w:t>in relatie tot de 30-jaarstermijn</w:t>
      </w:r>
      <w:r>
        <w:t>.</w:t>
      </w:r>
    </w:p>
    <w:p w:rsidRPr="008A377D" w:rsidR="00FC1B25" w:rsidP="00FC1B25" w:rsidRDefault="00FC1B25" w14:paraId="0610EF89" w14:textId="77777777"/>
    <w:p w:rsidR="00FC1B25" w:rsidP="00FC1B25" w:rsidRDefault="00FC1B25" w14:paraId="52C207F3" w14:textId="77777777">
      <w:r w:rsidRPr="008A377D">
        <w:rPr>
          <w:b/>
          <w:bCs/>
        </w:rPr>
        <w:t xml:space="preserve">Aanvullend is het relatief grote aandeel aflossingsvrije hypotheken in de categorie sinds 2013 </w:t>
      </w:r>
      <w:r>
        <w:rPr>
          <w:b/>
          <w:bCs/>
        </w:rPr>
        <w:t xml:space="preserve">afgesloten leningen </w:t>
      </w:r>
      <w:r w:rsidRPr="008A377D">
        <w:rPr>
          <w:b/>
          <w:bCs/>
        </w:rPr>
        <w:t>een indicatie</w:t>
      </w:r>
      <w:r>
        <w:rPr>
          <w:rStyle w:val="Voetnootmarkering"/>
          <w:b/>
          <w:bCs/>
        </w:rPr>
        <w:footnoteReference w:id="20"/>
      </w:r>
      <w:r w:rsidRPr="008A377D">
        <w:rPr>
          <w:b/>
          <w:bCs/>
        </w:rPr>
        <w:t xml:space="preserve"> dat veel aflossingsvrije hypotheken zijn overgesloten in een nieuwe aflossingsvrije hypotheek (onder het overgangsrecht)</w:t>
      </w:r>
      <w:r w:rsidRPr="008A377D">
        <w:t>. Voor deze groep geldt dat de startdatum van de oorspronkelijke hypotheek uit beeld is bij banken en de Belastingdienst. Er is dus geen contra-informatie beschikbaar om het hypotheekverleden vast te stellen voor deze grote groep.</w:t>
      </w:r>
    </w:p>
    <w:p w:rsidR="00FC1B25" w:rsidP="00FC1B25" w:rsidRDefault="00FC1B25" w14:paraId="78B7E36B" w14:textId="77777777">
      <w:pPr>
        <w:rPr>
          <w:b/>
          <w:bCs/>
        </w:rPr>
      </w:pPr>
    </w:p>
    <w:p w:rsidRPr="006F6757" w:rsidR="00FC1B25" w:rsidP="00FC1B25" w:rsidRDefault="00FC1B25" w14:paraId="419C8086" w14:textId="77777777">
      <w:pPr>
        <w:rPr>
          <w:b/>
          <w:bCs/>
        </w:rPr>
      </w:pPr>
      <w:r w:rsidRPr="006F6757">
        <w:rPr>
          <w:b/>
          <w:bCs/>
        </w:rPr>
        <w:t>Naast deze 30-jaarsproblematiek is</w:t>
      </w:r>
      <w:r>
        <w:rPr>
          <w:b/>
          <w:bCs/>
        </w:rPr>
        <w:t xml:space="preserve"> zoals eerder genoemd</w:t>
      </w:r>
      <w:r w:rsidRPr="006F6757">
        <w:rPr>
          <w:b/>
          <w:bCs/>
        </w:rPr>
        <w:t xml:space="preserve"> per 2043 sprake van een vergelijkbare problematiek voor bepaalde leningen met een annuïtair aflossingsschema, afgesloten vanaf 2013.</w:t>
      </w:r>
      <w:r w:rsidRPr="006F6757">
        <w:t xml:space="preserve"> Voor </w:t>
      </w:r>
      <w:r>
        <w:t>hypotheken</w:t>
      </w:r>
      <w:r w:rsidRPr="006F6757">
        <w:t xml:space="preserve"> afgesloten vanaf 2013 geldt de </w:t>
      </w:r>
      <w:r w:rsidR="000D36A2">
        <w:t>fiscale</w:t>
      </w:r>
      <w:r w:rsidRPr="006F6757">
        <w:t xml:space="preserve"> aflossingseis, waardoor de leningen in principe na 360 maanden zijn afgelost. Bij een verhuizing van een koopwoning naar een huurwoning blijft wel sprake van een zogenoemde aflossingsstand. Als na verloop van tijd weer een eigen woning wordt aangekocht dient een nieuwe lening verder te gaan met die aflossingsstand. Als er bijvoorbeeld 100 maanden renteaftrek is genoten in box 1, dient de nieuwe lening </w:t>
      </w:r>
      <w:r w:rsidR="00476446">
        <w:t>voor het resterende bedrag</w:t>
      </w:r>
      <w:r w:rsidR="004A666F">
        <w:t xml:space="preserve"> van die lening</w:t>
      </w:r>
      <w:r w:rsidR="00476446">
        <w:t xml:space="preserve"> </w:t>
      </w:r>
      <w:r w:rsidRPr="006F6757">
        <w:t xml:space="preserve">in maximaal 260 maanden ten minste annuïtair te worden afgelost. </w:t>
      </w:r>
      <w:r w:rsidR="00476446">
        <w:t xml:space="preserve">Alleen voor het meerdere kan een lening worden afgesloten die tenminste annuïtair in ten hoogste 360 maanden wordt afgelost. </w:t>
      </w:r>
      <w:r w:rsidRPr="006F6757">
        <w:t xml:space="preserve">In de praktijk zijn belastingplichtigen hier vaak onvoldoende van op de hoogte en is deze informatie </w:t>
      </w:r>
      <w:r w:rsidR="002565C6">
        <w:t xml:space="preserve">ook </w:t>
      </w:r>
      <w:r w:rsidRPr="006F6757">
        <w:t xml:space="preserve">bij de Belastingdienst onvoldoende bekend. In dit rapport </w:t>
      </w:r>
      <w:r w:rsidR="00C2202E">
        <w:t>ligt hier geen nadruk op</w:t>
      </w:r>
      <w:r w:rsidRPr="006F6757">
        <w:t>.</w:t>
      </w:r>
      <w:r w:rsidR="00C2202E">
        <w:t xml:space="preserve"> Wel wordt bi</w:t>
      </w:r>
      <w:r w:rsidRPr="006F6757">
        <w:t>j twee van de hierna geschetste oplossingsrichtingen deze problematiek ook opgelost</w:t>
      </w:r>
      <w:r w:rsidR="00C2202E">
        <w:t xml:space="preserve"> (fiche 1D en fiche 2B)</w:t>
      </w:r>
      <w:r w:rsidRPr="006F6757">
        <w:t xml:space="preserve">. </w:t>
      </w:r>
    </w:p>
    <w:p w:rsidR="00FC1B25" w:rsidP="00FC1B25" w:rsidRDefault="00FC1B25" w14:paraId="2BFB69E0" w14:textId="77777777"/>
    <w:p w:rsidR="00FC1B25" w:rsidP="00FC1B25" w:rsidRDefault="00FC1B25" w14:paraId="67197E01" w14:textId="77777777">
      <w:r>
        <w:t>In de volgende paragrafen worden de hiervoor geschetste knelpunten verder uitgewerkt</w:t>
      </w:r>
      <w:r w:rsidR="00D37868">
        <w:t xml:space="preserve"> vanuit het perspectief van belastingplichtigen, financieel dienstverleners en de Belastingdien</w:t>
      </w:r>
      <w:r w:rsidR="000D36A2">
        <w:t>s</w:t>
      </w:r>
      <w:r w:rsidR="00D37868">
        <w:t>t</w:t>
      </w:r>
      <w:r w:rsidR="00C2202E">
        <w:t>.</w:t>
      </w:r>
    </w:p>
    <w:p w:rsidRPr="001A5DEE" w:rsidR="00FC1B25" w:rsidP="00FC1B25" w:rsidRDefault="00FC1B25" w14:paraId="5803DF14" w14:textId="77777777"/>
    <w:p w:rsidR="00AD3A32" w:rsidRDefault="00775DB6" w14:paraId="2791DFA1" w14:textId="77777777">
      <w:pPr>
        <w:pStyle w:val="Kop2"/>
      </w:pPr>
      <w:bookmarkStart w:name="_Toc222756873" w:id="18"/>
      <w:bookmarkStart w:name="_Toc226640256" w:id="19"/>
      <w:r>
        <w:t>Knelpunten voor belastingplichtigen</w:t>
      </w:r>
      <w:bookmarkEnd w:id="18"/>
      <w:bookmarkEnd w:id="19"/>
    </w:p>
    <w:p w:rsidRPr="00775DB6" w:rsidR="00775DB6" w:rsidP="00775DB6" w:rsidRDefault="00775DB6" w14:paraId="223CE367" w14:textId="77777777"/>
    <w:p w:rsidR="00775DB6" w:rsidP="00775DB6" w:rsidRDefault="00775DB6" w14:paraId="14ECBDF0" w14:textId="77777777">
      <w:pPr>
        <w:spacing w:line="276" w:lineRule="auto"/>
      </w:pPr>
      <w:r>
        <w:rPr>
          <w:b/>
          <w:bCs/>
        </w:rPr>
        <w:t>U</w:t>
      </w:r>
      <w:r w:rsidRPr="000B5D11">
        <w:rPr>
          <w:b/>
          <w:bCs/>
        </w:rPr>
        <w:t xml:space="preserve">it het onderzoek van </w:t>
      </w:r>
      <w:proofErr w:type="spellStart"/>
      <w:r w:rsidRPr="000B5D11">
        <w:rPr>
          <w:b/>
          <w:bCs/>
        </w:rPr>
        <w:t>Panteia</w:t>
      </w:r>
      <w:proofErr w:type="spellEnd"/>
      <w:r w:rsidR="00927251">
        <w:rPr>
          <w:b/>
          <w:bCs/>
        </w:rPr>
        <w:t xml:space="preserve"> naar de eigenwoningregeling</w:t>
      </w:r>
      <w:r w:rsidR="00927251">
        <w:rPr>
          <w:rStyle w:val="Voetnootmarkering"/>
          <w:b/>
          <w:bCs/>
        </w:rPr>
        <w:footnoteReference w:id="21"/>
      </w:r>
      <w:r w:rsidRPr="000B5D11">
        <w:rPr>
          <w:b/>
          <w:bCs/>
        </w:rPr>
        <w:t xml:space="preserve"> </w:t>
      </w:r>
      <w:r>
        <w:rPr>
          <w:b/>
          <w:bCs/>
        </w:rPr>
        <w:t xml:space="preserve">volgt </w:t>
      </w:r>
      <w:r w:rsidRPr="000B5D11">
        <w:rPr>
          <w:b/>
          <w:bCs/>
        </w:rPr>
        <w:t>dat belastingplichtigen met een eigen woning de eigenwoningregeling vaak niet (volledig) begrijpen en mede daardoor complex vinden</w:t>
      </w:r>
      <w:r>
        <w:t>. Zo ontstaan er veel fouten bij het invullen van de belastingaangifte bij aan- en verkoop en in scheidingssituaties – zoals volgt uit onderzoek van de Belastingdienst</w:t>
      </w:r>
      <w:r w:rsidR="00AB339B">
        <w:t>.</w:t>
      </w:r>
      <w:r>
        <w:rPr>
          <w:rStyle w:val="Voetnootmarkering"/>
        </w:rPr>
        <w:footnoteReference w:id="22"/>
      </w:r>
    </w:p>
    <w:p w:rsidR="00775DB6" w:rsidP="00775DB6" w:rsidRDefault="00775DB6" w14:paraId="593F59A8" w14:textId="77777777">
      <w:pPr>
        <w:spacing w:line="276" w:lineRule="auto"/>
      </w:pPr>
    </w:p>
    <w:p w:rsidR="00775DB6" w:rsidP="00775DB6" w:rsidRDefault="00775DB6" w14:paraId="6E5F6815" w14:textId="77777777">
      <w:r w:rsidRPr="000B5D11">
        <w:rPr>
          <w:b/>
          <w:bCs/>
        </w:rPr>
        <w:t xml:space="preserve">Daarnaast blijkt uit </w:t>
      </w:r>
      <w:r>
        <w:rPr>
          <w:b/>
          <w:bCs/>
        </w:rPr>
        <w:t xml:space="preserve">het </w:t>
      </w:r>
      <w:r w:rsidR="00857B4B">
        <w:rPr>
          <w:b/>
          <w:bCs/>
        </w:rPr>
        <w:t>eerdergenoemde</w:t>
      </w:r>
      <w:r>
        <w:rPr>
          <w:b/>
          <w:bCs/>
        </w:rPr>
        <w:t xml:space="preserve"> onderzoek</w:t>
      </w:r>
      <w:r w:rsidRPr="000B5D11">
        <w:rPr>
          <w:b/>
          <w:bCs/>
        </w:rPr>
        <w:t xml:space="preserve"> </w:t>
      </w:r>
      <w:r>
        <w:rPr>
          <w:b/>
          <w:bCs/>
        </w:rPr>
        <w:t xml:space="preserve">van </w:t>
      </w:r>
      <w:proofErr w:type="spellStart"/>
      <w:r>
        <w:rPr>
          <w:b/>
          <w:bCs/>
        </w:rPr>
        <w:t>Panteia</w:t>
      </w:r>
      <w:proofErr w:type="spellEnd"/>
      <w:r w:rsidRPr="000B5D11">
        <w:rPr>
          <w:b/>
          <w:bCs/>
        </w:rPr>
        <w:t xml:space="preserve"> dat huiseigenaren vaak geen besef hebben hoeveel jaren van hun 30-jaarsperiode al ‘verbruikt’ zijn, zeker na bijvoorbeeld verhuizing of herfinanciering</w:t>
      </w:r>
      <w:r>
        <w:t xml:space="preserve">. Dit beeld </w:t>
      </w:r>
      <w:r w:rsidR="00AB339B">
        <w:t>werd</w:t>
      </w:r>
      <w:r>
        <w:t xml:space="preserve"> bevestigd in een door het ministerie van Financiën in het kader van dit onderzoek georganiseerd rondetafelgesprek. </w:t>
      </w:r>
      <w:r w:rsidR="00FC1B25">
        <w:t>H</w:t>
      </w:r>
      <w:r>
        <w:t>et</w:t>
      </w:r>
      <w:r w:rsidR="00FC1B25">
        <w:t xml:space="preserve"> is</w:t>
      </w:r>
      <w:r>
        <w:t xml:space="preserve"> aan de </w:t>
      </w:r>
      <w:r>
        <w:lastRenderedPageBreak/>
        <w:t>belastingplichtige om aannemelijk te maken dat recht op aftrek bestaat</w:t>
      </w:r>
      <w:r>
        <w:rPr>
          <w:rStyle w:val="Voetnootmarkering"/>
        </w:rPr>
        <w:footnoteReference w:id="23"/>
      </w:r>
      <w:r w:rsidR="002317F3">
        <w:t>.</w:t>
      </w:r>
      <w:r w:rsidR="00FC1B25">
        <w:t xml:space="preserve"> D</w:t>
      </w:r>
      <w:r>
        <w:t xml:space="preserve">e verwachting bij de deelnemers van dit rondetafelgesprek </w:t>
      </w:r>
      <w:r w:rsidR="00FC1B25">
        <w:t xml:space="preserve">is echter </w:t>
      </w:r>
      <w:r w:rsidR="00054DEF">
        <w:t xml:space="preserve">dat </w:t>
      </w:r>
      <w:r w:rsidR="00FC1B25">
        <w:t>veel belastingplichtigen hier</w:t>
      </w:r>
      <w:r>
        <w:t xml:space="preserve"> in de praktijk </w:t>
      </w:r>
      <w:r w:rsidR="00FC1B25">
        <w:t>niet toe in staat zijn</w:t>
      </w:r>
      <w:r>
        <w:t>. Ervan uitgaande dat burgers hun belastingaangifte op correcte wijze willen indienen, verwacht de Belastingdienst</w:t>
      </w:r>
      <w:r w:rsidR="00FC1B25">
        <w:t xml:space="preserve"> bovendien</w:t>
      </w:r>
      <w:r>
        <w:t xml:space="preserve"> veel vragen over de eigenwoningregeling en specifiek het aflopen van de 30-jaarstermijn vanaf 2031, en in de aanloop </w:t>
      </w:r>
      <w:r w:rsidR="00F840AD">
        <w:t>daar</w:t>
      </w:r>
      <w:r>
        <w:t>naartoe.</w:t>
      </w:r>
      <w:r w:rsidR="00FC1B25">
        <w:t xml:space="preserve"> </w:t>
      </w:r>
      <w:r w:rsidR="002317F3">
        <w:t xml:space="preserve">In veel </w:t>
      </w:r>
      <w:r w:rsidR="00FC1B25">
        <w:t xml:space="preserve">gevallen </w:t>
      </w:r>
      <w:r w:rsidR="002317F3">
        <w:t xml:space="preserve">zal </w:t>
      </w:r>
      <w:r w:rsidR="00FC1B25">
        <w:t xml:space="preserve">geen </w:t>
      </w:r>
      <w:r w:rsidR="00024AA1">
        <w:t>uitsluitsel</w:t>
      </w:r>
      <w:r w:rsidR="00FC1B25">
        <w:t xml:space="preserve"> gegeven </w:t>
      </w:r>
      <w:r w:rsidR="00054DEF">
        <w:t>k</w:t>
      </w:r>
      <w:r w:rsidR="002317F3">
        <w:t>u</w:t>
      </w:r>
      <w:r w:rsidR="00054DEF">
        <w:t>n</w:t>
      </w:r>
      <w:r w:rsidR="002317F3">
        <w:t>nen</w:t>
      </w:r>
      <w:r w:rsidR="00FC1B25">
        <w:t xml:space="preserve"> worden, </w:t>
      </w:r>
      <w:r w:rsidR="00024AA1">
        <w:t xml:space="preserve">omdat informatie ontbreekt </w:t>
      </w:r>
      <w:r w:rsidR="00FC1B25">
        <w:t>bij zowel belastingplichtigen als de Belastingdienst.</w:t>
      </w:r>
      <w:r>
        <w:t xml:space="preserve"> </w:t>
      </w:r>
      <w:bookmarkStart w:name="_Hlk218681623" w:id="20"/>
      <w:r>
        <w:t>Tabel 1</w:t>
      </w:r>
      <w:r>
        <w:rPr>
          <w:rStyle w:val="Voetnootmarkering"/>
        </w:rPr>
        <w:footnoteReference w:id="24"/>
      </w:r>
      <w:r>
        <w:t xml:space="preserve"> illustreert dat voor een aanzienlijk deel van de belastingplichtigen met zekerheid kan worden vastgesteld dat zij </w:t>
      </w:r>
      <w:proofErr w:type="spellStart"/>
      <w:r>
        <w:t>leningdelen</w:t>
      </w:r>
      <w:proofErr w:type="spellEnd"/>
      <w:r>
        <w:t xml:space="preserve"> hebben met een ongelijke einddatum.</w:t>
      </w:r>
      <w:r w:rsidR="002317F3">
        <w:t xml:space="preserve"> Dit betreft een ondergrens van het aantal belastingplichtigen dat te maken heeft met een complexe situatie. Zo zijn er ook belastingplichtigen die weliswaar geen </w:t>
      </w:r>
      <w:proofErr w:type="spellStart"/>
      <w:r w:rsidR="002317F3">
        <w:t>leningdelen</w:t>
      </w:r>
      <w:proofErr w:type="spellEnd"/>
      <w:r w:rsidR="002317F3">
        <w:t xml:space="preserve"> hebben met ongelijke einddatum, maar die door </w:t>
      </w:r>
      <w:r w:rsidR="002317F3">
        <w:rPr>
          <w:i/>
          <w:iCs/>
        </w:rPr>
        <w:t>life events</w:t>
      </w:r>
      <w:r w:rsidR="002317F3">
        <w:t xml:space="preserve"> alsnog een ingewikkeld hypotheekverleden hebben.</w:t>
      </w:r>
      <w:r>
        <w:t xml:space="preserve"> </w:t>
      </w:r>
      <w:bookmarkEnd w:id="20"/>
    </w:p>
    <w:p w:rsidR="00775DB6" w:rsidP="00775DB6" w:rsidRDefault="00775DB6" w14:paraId="5D28D69A" w14:textId="77777777"/>
    <w:p w:rsidR="00775DB6" w:rsidP="00775DB6" w:rsidRDefault="00775DB6" w14:paraId="02BDBE39" w14:textId="77777777">
      <w:pPr>
        <w:pStyle w:val="Standaardvet"/>
      </w:pPr>
      <w:r>
        <w:t>Tabel 1 - Percentage leners met ongelijke looptijd</w:t>
      </w:r>
    </w:p>
    <w:tbl>
      <w:tblPr>
        <w:tblStyle w:val="Onopgemaaktetabel4"/>
        <w:tblW w:w="7953" w:type="dxa"/>
        <w:tblLayout w:type="fixed"/>
        <w:tblLook w:val="07E0" w:firstRow="1" w:lastRow="1" w:firstColumn="1" w:lastColumn="1" w:noHBand="1" w:noVBand="1"/>
      </w:tblPr>
      <w:tblGrid>
        <w:gridCol w:w="1989"/>
        <w:gridCol w:w="1988"/>
        <w:gridCol w:w="1988"/>
        <w:gridCol w:w="1988"/>
      </w:tblGrid>
      <w:tr w:rsidR="00775DB6" w:rsidTr="00E60F38" w14:paraId="4D6EE181" w14:textId="77777777">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989" w:type="dxa"/>
            <w:shd w:val="clear" w:color="auto" w:fill="DAE9F7" w:themeFill="text2" w:themeFillTint="1A"/>
            <w:vAlign w:val="center"/>
          </w:tcPr>
          <w:p w:rsidR="00775DB6" w:rsidP="00775DB6" w:rsidRDefault="00775DB6" w14:paraId="44372FE1" w14:textId="77777777">
            <w:pPr>
              <w:pStyle w:val="Referentiegegevensbold"/>
              <w:jc w:val="center"/>
            </w:pPr>
          </w:p>
        </w:tc>
        <w:tc>
          <w:tcPr>
            <w:tcW w:w="1988" w:type="dxa"/>
            <w:shd w:val="clear" w:color="auto" w:fill="DAE9F7" w:themeFill="text2" w:themeFillTint="1A"/>
            <w:vAlign w:val="center"/>
          </w:tcPr>
          <w:p w:rsidRPr="004A497B" w:rsidR="00775DB6" w:rsidP="00775DB6" w:rsidRDefault="00775DB6" w14:paraId="143493CC" w14:textId="77777777">
            <w:pPr>
              <w:pStyle w:val="Referentiegegevensbold"/>
              <w:jc w:val="center"/>
              <w:cnfStyle w:val="100000000000" w:firstRow="1" w:lastRow="0" w:firstColumn="0" w:lastColumn="0" w:oddVBand="0" w:evenVBand="0" w:oddHBand="0" w:evenHBand="0" w:firstRowFirstColumn="0" w:firstRowLastColumn="0" w:lastRowFirstColumn="0" w:lastRowLastColumn="0"/>
              <w:rPr>
                <w:b/>
                <w:bCs w:val="0"/>
              </w:rPr>
            </w:pPr>
            <w:r w:rsidRPr="004A497B">
              <w:rPr>
                <w:b/>
                <w:bCs w:val="0"/>
              </w:rPr>
              <w:t>Percentage leners met ongelijke einddatum</w:t>
            </w:r>
          </w:p>
        </w:tc>
        <w:tc>
          <w:tcPr>
            <w:tcW w:w="1988" w:type="dxa"/>
            <w:shd w:val="clear" w:color="auto" w:fill="DAE9F7" w:themeFill="text2" w:themeFillTint="1A"/>
            <w:vAlign w:val="center"/>
          </w:tcPr>
          <w:p w:rsidRPr="004A497B" w:rsidR="00775DB6" w:rsidP="00775DB6" w:rsidRDefault="00775DB6" w14:paraId="4016C769" w14:textId="77777777">
            <w:pPr>
              <w:pStyle w:val="Referentiegegevensbold"/>
              <w:jc w:val="center"/>
              <w:cnfStyle w:val="100000000000" w:firstRow="1" w:lastRow="0" w:firstColumn="0" w:lastColumn="0" w:oddVBand="0" w:evenVBand="0" w:oddHBand="0" w:evenHBand="0" w:firstRowFirstColumn="0" w:firstRowLastColumn="0" w:lastRowFirstColumn="0" w:lastRowLastColumn="0"/>
              <w:rPr>
                <w:b/>
                <w:bCs w:val="0"/>
              </w:rPr>
            </w:pPr>
            <w:r w:rsidRPr="004A497B">
              <w:rPr>
                <w:b/>
                <w:bCs w:val="0"/>
              </w:rPr>
              <w:t>Gemiddeld verschil in einddatum</w:t>
            </w:r>
          </w:p>
        </w:tc>
        <w:tc>
          <w:tcPr>
            <w:cnfStyle w:val="000100000000" w:firstRow="0" w:lastRow="0" w:firstColumn="0" w:lastColumn="1" w:oddVBand="0" w:evenVBand="0" w:oddHBand="0" w:evenHBand="0" w:firstRowFirstColumn="0" w:firstRowLastColumn="0" w:lastRowFirstColumn="0" w:lastRowLastColumn="0"/>
            <w:tcW w:w="1988" w:type="dxa"/>
            <w:shd w:val="clear" w:color="auto" w:fill="DAE9F7" w:themeFill="text2" w:themeFillTint="1A"/>
            <w:vAlign w:val="center"/>
          </w:tcPr>
          <w:p w:rsidRPr="004A497B" w:rsidR="00775DB6" w:rsidP="00775DB6" w:rsidRDefault="00B7202E" w14:paraId="44ECD9DE" w14:textId="77777777">
            <w:pPr>
              <w:pStyle w:val="Referentiegegevensbold"/>
              <w:jc w:val="center"/>
              <w:rPr>
                <w:b/>
                <w:bCs w:val="0"/>
              </w:rPr>
            </w:pPr>
            <w:r w:rsidRPr="004A497B">
              <w:rPr>
                <w:b/>
                <w:bCs w:val="0"/>
              </w:rPr>
              <w:t>A</w:t>
            </w:r>
            <w:r w:rsidRPr="004A497B" w:rsidR="00775DB6">
              <w:rPr>
                <w:b/>
                <w:bCs w:val="0"/>
              </w:rPr>
              <w:t>antal observaties</w:t>
            </w:r>
          </w:p>
        </w:tc>
      </w:tr>
      <w:tr w:rsidR="00775DB6" w:rsidTr="00775DB6" w14:paraId="63FA7241" w14:textId="77777777">
        <w:trPr>
          <w:trHeight w:val="532"/>
        </w:trPr>
        <w:tc>
          <w:tcPr>
            <w:cnfStyle w:val="001000000000" w:firstRow="0" w:lastRow="0" w:firstColumn="1" w:lastColumn="0" w:oddVBand="0" w:evenVBand="0" w:oddHBand="0" w:evenHBand="0" w:firstRowFirstColumn="0" w:firstRowLastColumn="0" w:lastRowFirstColumn="0" w:lastRowLastColumn="0"/>
            <w:tcW w:w="1989" w:type="dxa"/>
            <w:vAlign w:val="center"/>
          </w:tcPr>
          <w:p w:rsidRPr="00775DB6" w:rsidR="00775DB6" w:rsidP="00775DB6" w:rsidRDefault="00775DB6" w14:paraId="31CDF31F" w14:textId="77777777">
            <w:pPr>
              <w:pStyle w:val="Referentiegegevens"/>
              <w:jc w:val="center"/>
            </w:pPr>
            <w:r w:rsidRPr="00775DB6">
              <w:t>Oudste startdatum hypotheek voor 2012</w:t>
            </w:r>
          </w:p>
        </w:tc>
        <w:tc>
          <w:tcPr>
            <w:tcW w:w="1988" w:type="dxa"/>
            <w:vAlign w:val="center"/>
          </w:tcPr>
          <w:p w:rsidRPr="004A497B" w:rsidR="00775DB6" w:rsidP="00775DB6" w:rsidRDefault="00775DB6" w14:paraId="44F4BD42" w14:textId="77777777">
            <w:pPr>
              <w:pStyle w:val="Referentiegegevens"/>
              <w:jc w:val="center"/>
              <w:cnfStyle w:val="000000000000" w:firstRow="0" w:lastRow="0" w:firstColumn="0" w:lastColumn="0" w:oddVBand="0" w:evenVBand="0" w:oddHBand="0" w:evenHBand="0" w:firstRowFirstColumn="0" w:firstRowLastColumn="0" w:lastRowFirstColumn="0" w:lastRowLastColumn="0"/>
              <w:rPr>
                <w:bCs/>
                <w:sz w:val="16"/>
                <w:szCs w:val="17"/>
              </w:rPr>
            </w:pPr>
            <w:r w:rsidRPr="004A497B">
              <w:rPr>
                <w:bCs/>
                <w:sz w:val="16"/>
                <w:szCs w:val="17"/>
              </w:rPr>
              <w:t>18%</w:t>
            </w:r>
          </w:p>
        </w:tc>
        <w:tc>
          <w:tcPr>
            <w:tcW w:w="1988" w:type="dxa"/>
            <w:vAlign w:val="center"/>
          </w:tcPr>
          <w:p w:rsidRPr="004A497B" w:rsidR="00775DB6" w:rsidP="00775DB6" w:rsidRDefault="00775DB6" w14:paraId="7C0D7460" w14:textId="77777777">
            <w:pPr>
              <w:pStyle w:val="Referentiegegevens"/>
              <w:jc w:val="center"/>
              <w:cnfStyle w:val="000000000000" w:firstRow="0" w:lastRow="0" w:firstColumn="0" w:lastColumn="0" w:oddVBand="0" w:evenVBand="0" w:oddHBand="0" w:evenHBand="0" w:firstRowFirstColumn="0" w:firstRowLastColumn="0" w:lastRowFirstColumn="0" w:lastRowLastColumn="0"/>
              <w:rPr>
                <w:bCs/>
                <w:sz w:val="16"/>
                <w:szCs w:val="17"/>
              </w:rPr>
            </w:pPr>
            <w:r w:rsidRPr="004A497B">
              <w:rPr>
                <w:bCs/>
                <w:sz w:val="16"/>
                <w:szCs w:val="17"/>
              </w:rPr>
              <w:t>9 jaar</w:t>
            </w:r>
          </w:p>
        </w:tc>
        <w:tc>
          <w:tcPr>
            <w:cnfStyle w:val="000100000000" w:firstRow="0" w:lastRow="0" w:firstColumn="0" w:lastColumn="1" w:oddVBand="0" w:evenVBand="0" w:oddHBand="0" w:evenHBand="0" w:firstRowFirstColumn="0" w:firstRowLastColumn="0" w:lastRowFirstColumn="0" w:lastRowLastColumn="0"/>
            <w:tcW w:w="1988" w:type="dxa"/>
            <w:vAlign w:val="center"/>
          </w:tcPr>
          <w:p w:rsidRPr="004A497B" w:rsidR="00775DB6" w:rsidP="00775DB6" w:rsidRDefault="00775DB6" w14:paraId="2B367A31" w14:textId="77777777">
            <w:pPr>
              <w:pStyle w:val="Referentiegegevens"/>
              <w:jc w:val="center"/>
              <w:rPr>
                <w:b w:val="0"/>
                <w:sz w:val="16"/>
                <w:szCs w:val="17"/>
              </w:rPr>
            </w:pPr>
            <w:r w:rsidRPr="004A497B">
              <w:rPr>
                <w:b w:val="0"/>
                <w:sz w:val="16"/>
              </w:rPr>
              <w:t>1,6 miljoen</w:t>
            </w:r>
          </w:p>
        </w:tc>
      </w:tr>
      <w:tr w:rsidR="00775DB6" w:rsidTr="00E60F38" w14:paraId="65BFA189" w14:textId="77777777">
        <w:trPr>
          <w:cnfStyle w:val="010000000000" w:firstRow="0" w:lastRow="1"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989" w:type="dxa"/>
            <w:shd w:val="clear" w:color="auto" w:fill="DAE9F7" w:themeFill="text2" w:themeFillTint="1A"/>
            <w:vAlign w:val="center"/>
          </w:tcPr>
          <w:p w:rsidRPr="00775DB6" w:rsidR="00775DB6" w:rsidP="00775DB6" w:rsidRDefault="00775DB6" w14:paraId="19FE1A42" w14:textId="77777777">
            <w:pPr>
              <w:pStyle w:val="Referentiegegevens"/>
              <w:jc w:val="center"/>
            </w:pPr>
            <w:r w:rsidRPr="00775DB6">
              <w:t>Oudste startdatum hypotheek vanaf 2013</w:t>
            </w:r>
          </w:p>
        </w:tc>
        <w:tc>
          <w:tcPr>
            <w:tcW w:w="1988" w:type="dxa"/>
            <w:shd w:val="clear" w:color="auto" w:fill="DAE9F7" w:themeFill="text2" w:themeFillTint="1A"/>
            <w:vAlign w:val="center"/>
          </w:tcPr>
          <w:p w:rsidRPr="004A497B" w:rsidR="00775DB6" w:rsidP="00775DB6" w:rsidRDefault="00775DB6" w14:paraId="44420601" w14:textId="77777777">
            <w:pPr>
              <w:pStyle w:val="Referentiegegevens"/>
              <w:jc w:val="center"/>
              <w:cnfStyle w:val="010000000000" w:firstRow="0" w:lastRow="1" w:firstColumn="0" w:lastColumn="0" w:oddVBand="0" w:evenVBand="0" w:oddHBand="0" w:evenHBand="0" w:firstRowFirstColumn="0" w:firstRowLastColumn="0" w:lastRowFirstColumn="0" w:lastRowLastColumn="0"/>
              <w:rPr>
                <w:b w:val="0"/>
                <w:sz w:val="16"/>
                <w:szCs w:val="17"/>
              </w:rPr>
            </w:pPr>
            <w:r w:rsidRPr="004A497B">
              <w:rPr>
                <w:b w:val="0"/>
                <w:sz w:val="16"/>
              </w:rPr>
              <w:t>24%</w:t>
            </w:r>
          </w:p>
        </w:tc>
        <w:tc>
          <w:tcPr>
            <w:tcW w:w="1988" w:type="dxa"/>
            <w:shd w:val="clear" w:color="auto" w:fill="DAE9F7" w:themeFill="text2" w:themeFillTint="1A"/>
            <w:vAlign w:val="center"/>
          </w:tcPr>
          <w:p w:rsidRPr="004A497B" w:rsidR="00775DB6" w:rsidP="00775DB6" w:rsidRDefault="00775DB6" w14:paraId="33ED3EC3" w14:textId="77777777">
            <w:pPr>
              <w:pStyle w:val="Referentiegegevens"/>
              <w:jc w:val="center"/>
              <w:cnfStyle w:val="010000000000" w:firstRow="0" w:lastRow="1" w:firstColumn="0" w:lastColumn="0" w:oddVBand="0" w:evenVBand="0" w:oddHBand="0" w:evenHBand="0" w:firstRowFirstColumn="0" w:firstRowLastColumn="0" w:lastRowFirstColumn="0" w:lastRowLastColumn="0"/>
              <w:rPr>
                <w:b w:val="0"/>
                <w:sz w:val="16"/>
                <w:szCs w:val="17"/>
              </w:rPr>
            </w:pPr>
            <w:r w:rsidRPr="004A497B">
              <w:rPr>
                <w:b w:val="0"/>
                <w:sz w:val="16"/>
              </w:rPr>
              <w:t>8 jaar</w:t>
            </w:r>
          </w:p>
        </w:tc>
        <w:tc>
          <w:tcPr>
            <w:cnfStyle w:val="000100000000" w:firstRow="0" w:lastRow="0" w:firstColumn="0" w:lastColumn="1" w:oddVBand="0" w:evenVBand="0" w:oddHBand="0" w:evenHBand="0" w:firstRowFirstColumn="0" w:firstRowLastColumn="0" w:lastRowFirstColumn="0" w:lastRowLastColumn="0"/>
            <w:tcW w:w="1988" w:type="dxa"/>
            <w:shd w:val="clear" w:color="auto" w:fill="DAE9F7" w:themeFill="text2" w:themeFillTint="1A"/>
            <w:vAlign w:val="center"/>
          </w:tcPr>
          <w:p w:rsidRPr="004A497B" w:rsidR="00775DB6" w:rsidP="00775DB6" w:rsidRDefault="00775DB6" w14:paraId="2F8D95FC" w14:textId="77777777">
            <w:pPr>
              <w:pStyle w:val="Referentiegegevens"/>
              <w:jc w:val="center"/>
              <w:rPr>
                <w:b w:val="0"/>
                <w:sz w:val="16"/>
                <w:szCs w:val="17"/>
              </w:rPr>
            </w:pPr>
            <w:r w:rsidRPr="004A497B">
              <w:rPr>
                <w:b w:val="0"/>
                <w:sz w:val="16"/>
              </w:rPr>
              <w:t>1,2 miljoen</w:t>
            </w:r>
          </w:p>
        </w:tc>
      </w:tr>
    </w:tbl>
    <w:p w:rsidR="00775DB6" w:rsidP="00775DB6" w:rsidRDefault="00775DB6" w14:paraId="03A4FF6E" w14:textId="77777777"/>
    <w:p w:rsidR="00775DB6" w:rsidP="00775DB6" w:rsidRDefault="00E60F38" w14:paraId="6BE7DFB2" w14:textId="77777777">
      <w:r w:rsidRPr="00E60F38">
        <w:rPr>
          <w:b/>
          <w:bCs/>
        </w:rPr>
        <w:t>In de meeste gevallen zal de Belastingdienst – bij gebrek aan contra-informatie – geen uitsluitsel kunnen geven over de juiste toepassing van de HRA in individuele situaties</w:t>
      </w:r>
      <w:r>
        <w:t xml:space="preserve">. </w:t>
      </w:r>
      <w:r w:rsidRPr="000916F3" w:rsidR="00775DB6">
        <w:t>Voor</w:t>
      </w:r>
      <w:r w:rsidR="00FC1B25">
        <w:t xml:space="preserve"> belastingplichtigen met een</w:t>
      </w:r>
      <w:r w:rsidRPr="000916F3" w:rsidR="00775DB6">
        <w:t xml:space="preserve"> hypotheek met </w:t>
      </w:r>
      <w:r w:rsidR="00775DB6">
        <w:t xml:space="preserve">een </w:t>
      </w:r>
      <w:r w:rsidRPr="000916F3" w:rsidR="00775DB6">
        <w:t xml:space="preserve">oudste startdatum </w:t>
      </w:r>
      <w:r w:rsidR="00775DB6">
        <w:t xml:space="preserve">van </w:t>
      </w:r>
      <w:r w:rsidRPr="000916F3" w:rsidR="00775DB6">
        <w:t xml:space="preserve">voor 2012 geldt </w:t>
      </w:r>
      <w:r w:rsidR="00FC1B25">
        <w:t xml:space="preserve">zoals eerder beschreven </w:t>
      </w:r>
      <w:r w:rsidRPr="000916F3" w:rsidR="00775DB6">
        <w:t xml:space="preserve">dat deze het recht op </w:t>
      </w:r>
      <w:r w:rsidR="00F840AD">
        <w:t>HRA</w:t>
      </w:r>
      <w:r w:rsidRPr="000916F3" w:rsidR="00775DB6">
        <w:t xml:space="preserve"> op in ieder geval een deel van de hypotheekschuld zullen verliezen in de periode 2031-2043. Bovendien geldt voor deze groep dat het hypotheekverleden niet eenvoudig is</w:t>
      </w:r>
      <w:r w:rsidR="00FC1B25">
        <w:t xml:space="preserve"> vast te stellen</w:t>
      </w:r>
      <w:r w:rsidRPr="000916F3" w:rsidR="00775DB6">
        <w:t xml:space="preserve"> door de aanwezigheid van </w:t>
      </w:r>
      <w:proofErr w:type="spellStart"/>
      <w:r w:rsidRPr="000916F3" w:rsidR="00775DB6">
        <w:t>leningdelen</w:t>
      </w:r>
      <w:proofErr w:type="spellEnd"/>
      <w:r w:rsidRPr="000916F3" w:rsidR="00775DB6">
        <w:t xml:space="preserve"> met ongelijke looptijd</w:t>
      </w:r>
      <w:r w:rsidR="00775DB6">
        <w:t>.</w:t>
      </w:r>
      <w:r w:rsidRPr="009015E7" w:rsidR="00775DB6">
        <w:t xml:space="preserve"> </w:t>
      </w:r>
    </w:p>
    <w:p w:rsidR="00775DB6" w:rsidP="00775DB6" w:rsidRDefault="00775DB6" w14:paraId="397DAD78" w14:textId="77777777">
      <w:pPr>
        <w:spacing w:line="276" w:lineRule="auto"/>
      </w:pPr>
    </w:p>
    <w:p w:rsidR="00E60F38" w:rsidP="00E60F38" w:rsidRDefault="00E60F38" w14:paraId="2574AD89" w14:textId="77777777">
      <w:pPr>
        <w:spacing w:line="276" w:lineRule="auto"/>
      </w:pPr>
      <w:r w:rsidRPr="00915B58">
        <w:rPr>
          <w:b/>
          <w:bCs/>
        </w:rPr>
        <w:t xml:space="preserve">Zoals eerder beschreven </w:t>
      </w:r>
      <w:r>
        <w:rPr>
          <w:b/>
          <w:bCs/>
        </w:rPr>
        <w:t>wordt de complexiteit groter</w:t>
      </w:r>
      <w:r w:rsidRPr="00915B58">
        <w:rPr>
          <w:b/>
          <w:bCs/>
        </w:rPr>
        <w:t xml:space="preserve"> in situaties waar sprake is van (een stapeling van) </w:t>
      </w:r>
      <w:r w:rsidRPr="00915B58">
        <w:rPr>
          <w:b/>
          <w:bCs/>
          <w:i/>
          <w:iCs/>
        </w:rPr>
        <w:t>life events</w:t>
      </w:r>
      <w:r w:rsidRPr="00915B58">
        <w:rPr>
          <w:b/>
          <w:bCs/>
        </w:rPr>
        <w:t>.</w:t>
      </w:r>
      <w:r>
        <w:t xml:space="preserve"> Hieronder vallen bijvoorbeeld </w:t>
      </w:r>
      <w:r w:rsidRPr="00915B58">
        <w:t xml:space="preserve">(echt)scheiding, huwelijk, samenwonen, oversluiten, koop en verkoop en verbouwen van de eigen woning. Dit zijn situaties waarbij vaak op verschillende momenten </w:t>
      </w:r>
      <w:proofErr w:type="spellStart"/>
      <w:r w:rsidRPr="00915B58">
        <w:t>leningdelen</w:t>
      </w:r>
      <w:proofErr w:type="spellEnd"/>
      <w:r w:rsidRPr="00915B58">
        <w:t xml:space="preserve"> zijn aangegaan</w:t>
      </w:r>
      <w:r w:rsidR="002317F3">
        <w:t xml:space="preserve"> of overgesloten</w:t>
      </w:r>
      <w:r w:rsidRPr="00915B58">
        <w:t xml:space="preserve">. Dergelijke situaties hebben gevolgen voor de hoogte en de totale looptijd van de </w:t>
      </w:r>
      <w:r w:rsidR="00F840AD">
        <w:t>HRA</w:t>
      </w:r>
      <w:r w:rsidRPr="00915B58">
        <w:t xml:space="preserve">. Ook zullen belastingplichtigen niet altijd op de hoogte zijn van het aparte regime voor eigenwoningleningen van voor 1 januari 2013. </w:t>
      </w:r>
      <w:r>
        <w:t xml:space="preserve">Het voorbeeld in kader 3 illustreert de complexiteit bij </w:t>
      </w:r>
      <w:r>
        <w:rPr>
          <w:i/>
          <w:iCs/>
        </w:rPr>
        <w:t>life events</w:t>
      </w:r>
      <w:r>
        <w:t>.</w:t>
      </w:r>
    </w:p>
    <w:p w:rsidR="00FC1B25" w:rsidP="00E60F38" w:rsidRDefault="00FC1B25" w14:paraId="08322B8D" w14:textId="77777777">
      <w:pPr>
        <w:spacing w:line="276" w:lineRule="auto"/>
      </w:pPr>
    </w:p>
    <w:p w:rsidR="007D1C17" w:rsidP="007D1C17" w:rsidRDefault="00FC1B25" w14:paraId="07BD7E58" w14:textId="77777777">
      <w:pPr>
        <w:spacing w:line="276" w:lineRule="auto"/>
        <w:rPr>
          <w:b/>
          <w:bCs/>
        </w:rPr>
      </w:pPr>
      <w:r w:rsidRPr="006F6757">
        <w:rPr>
          <w:b/>
          <w:bCs/>
        </w:rPr>
        <w:t>In beginsel ligt de bewijslast voor het aannemelijk maken van het recht op HRA bij de belastingplichtige zelf</w:t>
      </w:r>
      <w:r w:rsidRPr="006F6757">
        <w:t xml:space="preserve">. Echter, het valt zeer te betwijfelen of belastingplichtigen zich daar voldoende van bewust zijn en of zij het overzicht zelf wel hebben. Om burgers te wijzen op het belang van het bijhouden van een administratie is hier in het verleden in voorlichtingsmateriaal (beperkt) aandacht aan besteed. Tegelijkertijd is bij invoering van de Wet IB 2001 bij de Belastingdienst niets ingeregeld om het hypotheekverleden vast te leggen, er is bijvoorbeeld geen register. De historie per lening(deel) is bij de Belastingdienst dus niet bekend. Als </w:t>
      </w:r>
      <w:r w:rsidRPr="006F6757">
        <w:lastRenderedPageBreak/>
        <w:t>gevolg hiervan beschikt de Belastingdienst niet over de</w:t>
      </w:r>
      <w:r>
        <w:t xml:space="preserve"> benodigde contra-</w:t>
      </w:r>
      <w:r w:rsidRPr="006F6757">
        <w:t xml:space="preserve">informatie en middelen om </w:t>
      </w:r>
      <w:r>
        <w:t xml:space="preserve">goede </w:t>
      </w:r>
      <w:r w:rsidRPr="006F6757">
        <w:t>handhaving van de 30-jaarstermijn te garanderen. Belastingplichtigen kunnen dus ook niet geïnformeerd of geholpen worden over de status van hun 30-jaarstermijn.</w:t>
      </w:r>
    </w:p>
    <w:p w:rsidR="007D1C17" w:rsidP="007D1C17" w:rsidRDefault="007D1C17" w14:paraId="0BA49957" w14:textId="77777777">
      <w:pPr>
        <w:spacing w:line="276" w:lineRule="auto"/>
        <w:rPr>
          <w:b/>
          <w:bCs/>
        </w:rPr>
      </w:pPr>
    </w:p>
    <w:p w:rsidR="007D1C17" w:rsidP="007D1C17" w:rsidRDefault="007D1C17" w14:paraId="449B47E4" w14:textId="77777777">
      <w:pPr>
        <w:spacing w:line="276" w:lineRule="auto"/>
      </w:pPr>
      <w:r>
        <w:rPr>
          <w:noProof/>
        </w:rPr>
        <mc:AlternateContent>
          <mc:Choice Requires="wps">
            <w:drawing>
              <wp:anchor distT="45720" distB="45720" distL="114300" distR="114300" simplePos="0" relativeHeight="251666432" behindDoc="0" locked="0" layoutInCell="1" allowOverlap="1" wp14:editId="42F61CE2" wp14:anchorId="76EB7BB7">
                <wp:simplePos x="0" y="0"/>
                <wp:positionH relativeFrom="margin">
                  <wp:align>right</wp:align>
                </wp:positionH>
                <wp:positionV relativeFrom="paragraph">
                  <wp:posOffset>635</wp:posOffset>
                </wp:positionV>
                <wp:extent cx="4869180" cy="6812280"/>
                <wp:effectExtent l="0" t="0" r="26670" b="26670"/>
                <wp:wrapSquare wrapText="bothSides"/>
                <wp:docPr id="21447187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6812280"/>
                        </a:xfrm>
                        <a:prstGeom prst="rect">
                          <a:avLst/>
                        </a:prstGeom>
                        <a:solidFill>
                          <a:schemeClr val="tx2">
                            <a:lumMod val="10000"/>
                            <a:lumOff val="90000"/>
                          </a:schemeClr>
                        </a:solidFill>
                        <a:ln w="12700">
                          <a:solidFill>
                            <a:srgbClr val="000000"/>
                          </a:solidFill>
                          <a:miter lim="800000"/>
                          <a:headEnd/>
                          <a:tailEnd/>
                        </a:ln>
                      </wps:spPr>
                      <wps:txbx>
                        <w:txbxContent>
                          <w:p w:rsidRPr="00E60F38" w:rsidR="00E60F38" w:rsidP="00E60F38" w:rsidRDefault="00E60F38" w14:paraId="541F3027" w14:textId="77777777">
                            <w:pPr>
                              <w:jc w:val="center"/>
                              <w:rPr>
                                <w:b/>
                                <w:bCs/>
                                <w:i/>
                                <w:iCs/>
                              </w:rPr>
                            </w:pPr>
                            <w:r w:rsidRPr="001067D9">
                              <w:rPr>
                                <w:b/>
                                <w:bCs/>
                              </w:rPr>
                              <w:t xml:space="preserve">Kader </w:t>
                            </w:r>
                            <w:r>
                              <w:rPr>
                                <w:b/>
                                <w:bCs/>
                              </w:rPr>
                              <w:t>3</w:t>
                            </w:r>
                            <w:r w:rsidRPr="001067D9">
                              <w:rPr>
                                <w:b/>
                                <w:bCs/>
                              </w:rPr>
                              <w:t xml:space="preserve"> – </w:t>
                            </w:r>
                            <w:r>
                              <w:rPr>
                                <w:b/>
                                <w:bCs/>
                              </w:rPr>
                              <w:t xml:space="preserve">Voorbeeld complexiteit bij </w:t>
                            </w:r>
                            <w:r>
                              <w:rPr>
                                <w:b/>
                                <w:bCs/>
                                <w:i/>
                                <w:iCs/>
                              </w:rPr>
                              <w:t>life events</w:t>
                            </w:r>
                          </w:p>
                          <w:p w:rsidRPr="007D1C17" w:rsidR="00E60F38" w:rsidP="00E60F38" w:rsidRDefault="00E60F38" w14:paraId="4B871D70" w14:textId="77777777">
                            <w:pPr>
                              <w:jc w:val="both"/>
                              <w:rPr>
                                <w:color w:val="000000" w:themeColor="text1"/>
                                <w:sz w:val="16"/>
                                <w:szCs w:val="16"/>
                              </w:rPr>
                            </w:pPr>
                            <w:r w:rsidRPr="007D1C17">
                              <w:rPr>
                                <w:color w:val="000000" w:themeColor="text1"/>
                                <w:sz w:val="16"/>
                                <w:szCs w:val="16"/>
                              </w:rPr>
                              <w:t xml:space="preserve">Stan en </w:t>
                            </w:r>
                            <w:proofErr w:type="spellStart"/>
                            <w:r w:rsidRPr="007D1C17">
                              <w:rPr>
                                <w:color w:val="000000" w:themeColor="text1"/>
                                <w:sz w:val="16"/>
                                <w:szCs w:val="16"/>
                              </w:rPr>
                              <w:t>Souraya</w:t>
                            </w:r>
                            <w:proofErr w:type="spellEnd"/>
                            <w:r w:rsidRPr="007D1C17">
                              <w:rPr>
                                <w:color w:val="000000" w:themeColor="text1"/>
                                <w:sz w:val="16"/>
                                <w:szCs w:val="16"/>
                              </w:rPr>
                              <w:t xml:space="preserve"> trouwen in 2003 in gemeenschap van goederen en kopen per 1 juli 2004 hun eerste eigen woning voor € 250.000. Ze gaan voor de aankoop van de woning een lening aan van € 250.000. Vanwege gezinsuitbreiding verbouwen ze in 2009 de zolder en ze sluiten daarvoor per 1 juli 2009 een lening af van € 30.000. In 2011 gaan Stan en </w:t>
                            </w:r>
                            <w:proofErr w:type="spellStart"/>
                            <w:r w:rsidRPr="007D1C17">
                              <w:rPr>
                                <w:color w:val="000000" w:themeColor="text1"/>
                                <w:sz w:val="16"/>
                                <w:szCs w:val="16"/>
                              </w:rPr>
                              <w:t>Souraya</w:t>
                            </w:r>
                            <w:proofErr w:type="spellEnd"/>
                            <w:r w:rsidRPr="007D1C17">
                              <w:rPr>
                                <w:color w:val="000000" w:themeColor="text1"/>
                                <w:sz w:val="16"/>
                                <w:szCs w:val="16"/>
                              </w:rPr>
                              <w:t xml:space="preserve"> uit elkaar. </w:t>
                            </w:r>
                            <w:proofErr w:type="spellStart"/>
                            <w:r w:rsidRPr="007D1C17">
                              <w:rPr>
                                <w:color w:val="000000" w:themeColor="text1"/>
                                <w:sz w:val="16"/>
                                <w:szCs w:val="16"/>
                              </w:rPr>
                              <w:t>Souraya</w:t>
                            </w:r>
                            <w:proofErr w:type="spellEnd"/>
                            <w:r w:rsidRPr="007D1C17">
                              <w:rPr>
                                <w:color w:val="000000" w:themeColor="text1"/>
                                <w:sz w:val="16"/>
                                <w:szCs w:val="16"/>
                              </w:rPr>
                              <w:t xml:space="preserve"> blijft in de woning wonen en neemt het aandeel van Stan in de woning. De woning is op dat moment (1 juli 2011) € 310.000 waard. </w:t>
                            </w:r>
                            <w:proofErr w:type="spellStart"/>
                            <w:r w:rsidRPr="007D1C17">
                              <w:rPr>
                                <w:color w:val="000000" w:themeColor="text1"/>
                                <w:sz w:val="16"/>
                                <w:szCs w:val="16"/>
                              </w:rPr>
                              <w:t>Souraya</w:t>
                            </w:r>
                            <w:proofErr w:type="spellEnd"/>
                            <w:r w:rsidRPr="007D1C17">
                              <w:rPr>
                                <w:color w:val="000000" w:themeColor="text1"/>
                                <w:sz w:val="16"/>
                                <w:szCs w:val="16"/>
                              </w:rPr>
                              <w:t xml:space="preserve"> financiert de overname van het aandeel van Stan (€ 155.000) door de bestaande leningen van € 250.000 en €</w:t>
                            </w:r>
                            <w:r w:rsidR="00AB339B">
                              <w:rPr>
                                <w:color w:val="000000" w:themeColor="text1"/>
                                <w:sz w:val="16"/>
                                <w:szCs w:val="16"/>
                              </w:rPr>
                              <w:t> </w:t>
                            </w:r>
                            <w:r w:rsidRPr="007D1C17">
                              <w:rPr>
                                <w:color w:val="000000" w:themeColor="text1"/>
                                <w:sz w:val="16"/>
                                <w:szCs w:val="16"/>
                              </w:rPr>
                              <w:t xml:space="preserve">30.000 volledig op haar naam te laten zetten. Het deel van Stan in die schulden bedraagt op dat moment </w:t>
                            </w:r>
                            <w:r w:rsidRPr="007D1C17" w:rsidR="00A73821">
                              <w:rPr>
                                <w:color w:val="000000" w:themeColor="text1"/>
                                <w:sz w:val="16"/>
                                <w:szCs w:val="16"/>
                              </w:rPr>
                              <w:t>€</w:t>
                            </w:r>
                            <w:r w:rsidRPr="007D1C17" w:rsidDel="009017B2" w:rsidR="00A73821">
                              <w:rPr>
                                <w:color w:val="000000" w:themeColor="text1"/>
                                <w:sz w:val="16"/>
                                <w:szCs w:val="16"/>
                              </w:rPr>
                              <w:t xml:space="preserve"> </w:t>
                            </w:r>
                            <w:r w:rsidRPr="007D1C17" w:rsidR="00A73821">
                              <w:rPr>
                                <w:color w:val="000000" w:themeColor="text1"/>
                                <w:sz w:val="16"/>
                                <w:szCs w:val="16"/>
                              </w:rPr>
                              <w:t>140.000.</w:t>
                            </w:r>
                            <w:r w:rsidRPr="007D1C17">
                              <w:rPr>
                                <w:color w:val="000000" w:themeColor="text1"/>
                                <w:sz w:val="16"/>
                                <w:szCs w:val="16"/>
                              </w:rPr>
                              <w:t xml:space="preserve"> </w:t>
                            </w:r>
                            <w:proofErr w:type="spellStart"/>
                            <w:r w:rsidRPr="007D1C17">
                              <w:rPr>
                                <w:color w:val="000000" w:themeColor="text1"/>
                                <w:sz w:val="16"/>
                                <w:szCs w:val="16"/>
                              </w:rPr>
                              <w:t>Souraya</w:t>
                            </w:r>
                            <w:proofErr w:type="spellEnd"/>
                            <w:r w:rsidRPr="007D1C17">
                              <w:rPr>
                                <w:color w:val="000000" w:themeColor="text1"/>
                                <w:sz w:val="16"/>
                                <w:szCs w:val="16"/>
                              </w:rPr>
                              <w:t xml:space="preserve"> sluit om die reden daarnaast per 1 juli 2011 een aanvullende lening van </w:t>
                            </w:r>
                            <w:r w:rsidRPr="007D1C17" w:rsidR="00A73821">
                              <w:rPr>
                                <w:color w:val="000000" w:themeColor="text1"/>
                                <w:sz w:val="16"/>
                                <w:szCs w:val="16"/>
                              </w:rPr>
                              <w:t>€ 15.000</w:t>
                            </w:r>
                            <w:r w:rsidRPr="007D1C17">
                              <w:rPr>
                                <w:color w:val="000000" w:themeColor="text1"/>
                                <w:sz w:val="16"/>
                                <w:szCs w:val="16"/>
                              </w:rPr>
                              <w:t xml:space="preserve"> om Stan uit te kopen. Stan lost zijn oorspronkelijke eigenwoningschuld van </w:t>
                            </w:r>
                            <w:r w:rsidRPr="007D1C17" w:rsidR="00A73821">
                              <w:rPr>
                                <w:color w:val="000000" w:themeColor="text1"/>
                                <w:sz w:val="16"/>
                                <w:szCs w:val="16"/>
                              </w:rPr>
                              <w:t>€</w:t>
                            </w:r>
                            <w:r w:rsidRPr="007D1C17" w:rsidDel="009017B2" w:rsidR="00A73821">
                              <w:rPr>
                                <w:color w:val="000000" w:themeColor="text1"/>
                                <w:sz w:val="16"/>
                                <w:szCs w:val="16"/>
                              </w:rPr>
                              <w:t xml:space="preserve"> </w:t>
                            </w:r>
                            <w:r w:rsidRPr="007D1C17" w:rsidR="00A73821">
                              <w:rPr>
                                <w:color w:val="000000" w:themeColor="text1"/>
                                <w:sz w:val="16"/>
                                <w:szCs w:val="16"/>
                              </w:rPr>
                              <w:t>125.000</w:t>
                            </w:r>
                            <w:r w:rsidRPr="007D1C17">
                              <w:rPr>
                                <w:color w:val="000000" w:themeColor="text1"/>
                                <w:sz w:val="16"/>
                                <w:szCs w:val="16"/>
                              </w:rPr>
                              <w:t xml:space="preserve"> en zijn oorspronkelijk aandeel in de verbouwingsschuld van </w:t>
                            </w:r>
                            <w:r w:rsidRPr="007D1C17" w:rsidR="00A73821">
                              <w:rPr>
                                <w:color w:val="000000" w:themeColor="text1"/>
                                <w:sz w:val="16"/>
                                <w:szCs w:val="16"/>
                              </w:rPr>
                              <w:t>€ 15.000</w:t>
                            </w:r>
                            <w:r w:rsidRPr="007D1C17">
                              <w:rPr>
                                <w:color w:val="000000" w:themeColor="text1"/>
                                <w:sz w:val="16"/>
                                <w:szCs w:val="16"/>
                              </w:rPr>
                              <w:t xml:space="preserve"> daarmee op dat moment volledig af. Stan koopt vervolgens per 1 januari 2012 een nieuwe woning voor </w:t>
                            </w:r>
                            <w:r w:rsidRPr="007D1C17" w:rsidR="00A73821">
                              <w:rPr>
                                <w:color w:val="000000" w:themeColor="text1"/>
                                <w:sz w:val="16"/>
                                <w:szCs w:val="16"/>
                              </w:rPr>
                              <w:t>€</w:t>
                            </w:r>
                            <w:r w:rsidRPr="007D1C17" w:rsidDel="009017B2" w:rsidR="00A73821">
                              <w:rPr>
                                <w:color w:val="000000" w:themeColor="text1"/>
                                <w:sz w:val="16"/>
                                <w:szCs w:val="16"/>
                              </w:rPr>
                              <w:t xml:space="preserve"> </w:t>
                            </w:r>
                            <w:r w:rsidRPr="007D1C17" w:rsidR="00A73821">
                              <w:rPr>
                                <w:color w:val="000000" w:themeColor="text1"/>
                                <w:sz w:val="16"/>
                                <w:szCs w:val="16"/>
                              </w:rPr>
                              <w:t>280.000</w:t>
                            </w:r>
                            <w:r w:rsidRPr="007D1C17">
                              <w:rPr>
                                <w:color w:val="000000" w:themeColor="text1"/>
                                <w:sz w:val="16"/>
                                <w:szCs w:val="16"/>
                              </w:rPr>
                              <w:t xml:space="preserve"> en hij gaat daarvoor een lening aan van € 260.000. Stan en </w:t>
                            </w:r>
                            <w:proofErr w:type="spellStart"/>
                            <w:r w:rsidRPr="007D1C17">
                              <w:rPr>
                                <w:color w:val="000000" w:themeColor="text1"/>
                                <w:sz w:val="16"/>
                                <w:szCs w:val="16"/>
                              </w:rPr>
                              <w:t>Souraya</w:t>
                            </w:r>
                            <w:proofErr w:type="spellEnd"/>
                            <w:r w:rsidRPr="007D1C17">
                              <w:rPr>
                                <w:color w:val="000000" w:themeColor="text1"/>
                                <w:sz w:val="16"/>
                                <w:szCs w:val="16"/>
                              </w:rPr>
                              <w:t xml:space="preserve"> wonen in 2024 nog steeds ieder in hun eigen woning en zij hebben tussen 1</w:t>
                            </w:r>
                            <w:r w:rsidR="00AB339B">
                              <w:rPr>
                                <w:color w:val="000000" w:themeColor="text1"/>
                                <w:sz w:val="16"/>
                                <w:szCs w:val="16"/>
                              </w:rPr>
                              <w:t> </w:t>
                            </w:r>
                            <w:r w:rsidRPr="007D1C17">
                              <w:rPr>
                                <w:color w:val="000000" w:themeColor="text1"/>
                                <w:sz w:val="16"/>
                                <w:szCs w:val="16"/>
                              </w:rPr>
                              <w:t>januari 2012 en 1 januari 2024 hun schulden niet afgelost of verhoogd. Ook hebben zij in de tussenliggende periode geen nieuwe fiscaal partner gekregen.</w:t>
                            </w:r>
                          </w:p>
                          <w:p w:rsidRPr="007D1C17" w:rsidR="00E60F38" w:rsidP="00E60F38" w:rsidRDefault="00E60F38" w14:paraId="1981204A" w14:textId="77777777">
                            <w:pPr>
                              <w:jc w:val="both"/>
                              <w:rPr>
                                <w:color w:val="000000" w:themeColor="text1"/>
                                <w:sz w:val="16"/>
                                <w:szCs w:val="16"/>
                              </w:rPr>
                            </w:pPr>
                          </w:p>
                          <w:p w:rsidRPr="007D1C17" w:rsidR="00E60F38" w:rsidP="00E60F38" w:rsidRDefault="00E60F38" w14:paraId="09C07F1E" w14:textId="77777777">
                            <w:pPr>
                              <w:jc w:val="both"/>
                              <w:rPr>
                                <w:b/>
                                <w:bCs/>
                                <w:color w:val="000000" w:themeColor="text1"/>
                                <w:sz w:val="16"/>
                                <w:szCs w:val="16"/>
                              </w:rPr>
                            </w:pPr>
                            <w:r w:rsidRPr="007D1C17">
                              <w:rPr>
                                <w:b/>
                                <w:bCs/>
                                <w:color w:val="000000" w:themeColor="text1"/>
                                <w:sz w:val="16"/>
                                <w:szCs w:val="16"/>
                              </w:rPr>
                              <w:t xml:space="preserve">Voor </w:t>
                            </w:r>
                            <w:proofErr w:type="spellStart"/>
                            <w:r w:rsidRPr="007D1C17">
                              <w:rPr>
                                <w:b/>
                                <w:bCs/>
                                <w:color w:val="000000" w:themeColor="text1"/>
                                <w:sz w:val="16"/>
                                <w:szCs w:val="16"/>
                              </w:rPr>
                              <w:t>Souraya</w:t>
                            </w:r>
                            <w:proofErr w:type="spellEnd"/>
                            <w:r w:rsidRPr="007D1C17">
                              <w:rPr>
                                <w:b/>
                                <w:bCs/>
                                <w:color w:val="000000" w:themeColor="text1"/>
                                <w:sz w:val="16"/>
                                <w:szCs w:val="16"/>
                              </w:rPr>
                              <w:t xml:space="preserve"> geldt dan met betrekking tot de 30-jaarstermijn van haar totale eigenwoningschuld van € 295.000 per 1 januari 2024 het volgende:</w:t>
                            </w:r>
                          </w:p>
                          <w:p w:rsidRPr="007D1C17" w:rsidR="00E60F38" w:rsidRDefault="00E60F38" w14:paraId="38D95945" w14:textId="77777777">
                            <w:pPr>
                              <w:pStyle w:val="Lijstalinea"/>
                              <w:numPr>
                                <w:ilvl w:val="0"/>
                                <w:numId w:val="8"/>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€ 125.000 geldt dat de termijn van </w:t>
                            </w:r>
                            <w:r w:rsidR="00F840AD">
                              <w:rPr>
                                <w:color w:val="000000" w:themeColor="text1"/>
                                <w:sz w:val="16"/>
                                <w:szCs w:val="16"/>
                              </w:rPr>
                              <w:t>HRA</w:t>
                            </w:r>
                            <w:r w:rsidRPr="007D1C17">
                              <w:rPr>
                                <w:color w:val="000000" w:themeColor="text1"/>
                                <w:sz w:val="16"/>
                                <w:szCs w:val="16"/>
                              </w:rPr>
                              <w:t xml:space="preserve"> afloopt per 1 juli 2034. Per 1 januari 2024 heeft zij over dat bedrag 19 jaar en zes maanden </w:t>
                            </w:r>
                            <w:r w:rsidR="00F840AD">
                              <w:rPr>
                                <w:color w:val="000000" w:themeColor="text1"/>
                                <w:sz w:val="16"/>
                                <w:szCs w:val="16"/>
                              </w:rPr>
                              <w:t>HRA</w:t>
                            </w:r>
                            <w:r w:rsidRPr="007D1C17">
                              <w:rPr>
                                <w:color w:val="000000" w:themeColor="text1"/>
                                <w:sz w:val="16"/>
                                <w:szCs w:val="16"/>
                              </w:rPr>
                              <w:t xml:space="preserve"> genoten.</w:t>
                            </w:r>
                          </w:p>
                          <w:p w:rsidRPr="007D1C17" w:rsidR="00E60F38" w:rsidRDefault="00E60F38" w14:paraId="05428ED3" w14:textId="77777777">
                            <w:pPr>
                              <w:pStyle w:val="Lijstalinea"/>
                              <w:numPr>
                                <w:ilvl w:val="0"/>
                                <w:numId w:val="8"/>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€ 15.000 geldt dat de termijn van </w:t>
                            </w:r>
                            <w:r w:rsidR="00F840AD">
                              <w:rPr>
                                <w:color w:val="000000" w:themeColor="text1"/>
                                <w:sz w:val="16"/>
                                <w:szCs w:val="16"/>
                              </w:rPr>
                              <w:t>HRA</w:t>
                            </w:r>
                            <w:r w:rsidRPr="007D1C17">
                              <w:rPr>
                                <w:color w:val="000000" w:themeColor="text1"/>
                                <w:sz w:val="16"/>
                                <w:szCs w:val="16"/>
                              </w:rPr>
                              <w:t xml:space="preserve"> afloopt per 1 juli 2039. Per 1 januari 2024 heeft zij over dat bedrag 14 jaar en zes maanden </w:t>
                            </w:r>
                            <w:r w:rsidR="00F840AD">
                              <w:rPr>
                                <w:color w:val="000000" w:themeColor="text1"/>
                                <w:sz w:val="16"/>
                                <w:szCs w:val="16"/>
                              </w:rPr>
                              <w:t>HRA</w:t>
                            </w:r>
                            <w:r w:rsidRPr="007D1C17">
                              <w:rPr>
                                <w:color w:val="000000" w:themeColor="text1"/>
                                <w:sz w:val="16"/>
                                <w:szCs w:val="16"/>
                              </w:rPr>
                              <w:t xml:space="preserve"> genoten.</w:t>
                            </w:r>
                          </w:p>
                          <w:p w:rsidRPr="007D1C17" w:rsidR="00E60F38" w:rsidRDefault="00E60F38" w14:paraId="656DF790" w14:textId="77777777">
                            <w:pPr>
                              <w:pStyle w:val="Lijstalinea"/>
                              <w:numPr>
                                <w:ilvl w:val="0"/>
                                <w:numId w:val="8"/>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€ 155.000 geldt dat de termijn van </w:t>
                            </w:r>
                            <w:r w:rsidR="00F840AD">
                              <w:rPr>
                                <w:color w:val="000000" w:themeColor="text1"/>
                                <w:sz w:val="16"/>
                                <w:szCs w:val="16"/>
                              </w:rPr>
                              <w:t>HRA</w:t>
                            </w:r>
                            <w:r w:rsidRPr="007D1C17">
                              <w:rPr>
                                <w:color w:val="000000" w:themeColor="text1"/>
                                <w:sz w:val="16"/>
                                <w:szCs w:val="16"/>
                              </w:rPr>
                              <w:t xml:space="preserve"> afloopt per 1 juli 2041. Per 1 januari 2024 heeft zij over dat bedrag 12 jaar en zes maanden </w:t>
                            </w:r>
                            <w:r w:rsidR="00F840AD">
                              <w:rPr>
                                <w:color w:val="000000" w:themeColor="text1"/>
                                <w:sz w:val="16"/>
                                <w:szCs w:val="16"/>
                              </w:rPr>
                              <w:t>HRA</w:t>
                            </w:r>
                            <w:r w:rsidRPr="007D1C17">
                              <w:rPr>
                                <w:color w:val="000000" w:themeColor="text1"/>
                                <w:sz w:val="16"/>
                                <w:szCs w:val="16"/>
                              </w:rPr>
                              <w:t xml:space="preserve"> genoten.</w:t>
                            </w:r>
                          </w:p>
                          <w:p w:rsidRPr="007D1C17" w:rsidR="00E60F38" w:rsidP="00E60F38" w:rsidRDefault="00E60F38" w14:paraId="46BF3105" w14:textId="77777777">
                            <w:pPr>
                              <w:jc w:val="both"/>
                              <w:rPr>
                                <w:b/>
                                <w:bCs/>
                                <w:color w:val="000000" w:themeColor="text1"/>
                                <w:sz w:val="16"/>
                                <w:szCs w:val="16"/>
                              </w:rPr>
                            </w:pPr>
                            <w:r w:rsidRPr="007D1C17">
                              <w:rPr>
                                <w:b/>
                                <w:bCs/>
                                <w:color w:val="000000" w:themeColor="text1"/>
                                <w:sz w:val="16"/>
                                <w:szCs w:val="16"/>
                              </w:rPr>
                              <w:t>Voor Stan geldt dan met betrekking tot de 30-jaarstermijn van zijn totale eigenwoningschuld van € 260.000 per 1 januari 2024 het volgende:</w:t>
                            </w:r>
                          </w:p>
                          <w:p w:rsidRPr="007D1C17" w:rsidR="00E60F38" w:rsidRDefault="00E60F38" w14:paraId="2FC86143" w14:textId="77777777">
                            <w:pPr>
                              <w:pStyle w:val="Lijstalinea"/>
                              <w:numPr>
                                <w:ilvl w:val="0"/>
                                <w:numId w:val="9"/>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€ 125.000 geldt dat de termijn van </w:t>
                            </w:r>
                            <w:r w:rsidR="00F840AD">
                              <w:rPr>
                                <w:color w:val="000000" w:themeColor="text1"/>
                                <w:sz w:val="16"/>
                                <w:szCs w:val="16"/>
                              </w:rPr>
                              <w:t>HRA</w:t>
                            </w:r>
                            <w:r w:rsidRPr="007D1C17">
                              <w:rPr>
                                <w:color w:val="000000" w:themeColor="text1"/>
                                <w:sz w:val="16"/>
                                <w:szCs w:val="16"/>
                              </w:rPr>
                              <w:t xml:space="preserve"> afloopt per 1 januari 2035. Per 1 januari 2024 heeft hij over dat bedrag 19 jaar </w:t>
                            </w:r>
                            <w:r w:rsidR="00EB4148">
                              <w:rPr>
                                <w:color w:val="000000" w:themeColor="text1"/>
                                <w:sz w:val="16"/>
                                <w:szCs w:val="16"/>
                              </w:rPr>
                              <w:t>HRA</w:t>
                            </w:r>
                            <w:r w:rsidRPr="007D1C17">
                              <w:rPr>
                                <w:color w:val="000000" w:themeColor="text1"/>
                                <w:sz w:val="16"/>
                                <w:szCs w:val="16"/>
                              </w:rPr>
                              <w:t xml:space="preserve"> genoten. In de periode van 1 juli 2011 tot 1 januari 2012 had Stan geen </w:t>
                            </w:r>
                            <w:r w:rsidR="00F840AD">
                              <w:rPr>
                                <w:color w:val="000000" w:themeColor="text1"/>
                                <w:sz w:val="16"/>
                                <w:szCs w:val="16"/>
                              </w:rPr>
                              <w:t>HRA</w:t>
                            </w:r>
                            <w:r w:rsidRPr="007D1C17">
                              <w:rPr>
                                <w:color w:val="000000" w:themeColor="text1"/>
                                <w:sz w:val="16"/>
                                <w:szCs w:val="16"/>
                              </w:rPr>
                              <w:t>. Omdat Stan zijn oorspronkelijke eigenwoningschuld van € 125.000 per 1 juli 2011 volledig heeft afgelost, is de 30-jaarstermijn voor hem in de periode van 1 juli 2011 tot 1 januari 2012 gestuit. Per 1 januari 2012 is die termijn weer gaan lopen.</w:t>
                            </w:r>
                          </w:p>
                          <w:p w:rsidRPr="007D1C17" w:rsidR="00E60F38" w:rsidRDefault="00E60F38" w14:paraId="35481604" w14:textId="77777777">
                            <w:pPr>
                              <w:pStyle w:val="Lijstalinea"/>
                              <w:numPr>
                                <w:ilvl w:val="0"/>
                                <w:numId w:val="9"/>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€ 15.000 geldt dat de termijn van </w:t>
                            </w:r>
                            <w:r w:rsidR="00F840AD">
                              <w:rPr>
                                <w:color w:val="000000" w:themeColor="text1"/>
                                <w:sz w:val="16"/>
                                <w:szCs w:val="16"/>
                              </w:rPr>
                              <w:t>HRA</w:t>
                            </w:r>
                            <w:r w:rsidRPr="007D1C17">
                              <w:rPr>
                                <w:color w:val="000000" w:themeColor="text1"/>
                                <w:sz w:val="16"/>
                                <w:szCs w:val="16"/>
                              </w:rPr>
                              <w:t xml:space="preserve"> afloopt per 1 januari 2040. Per 1 januari 2024 heeft hij over dat bedrag 14 jaar </w:t>
                            </w:r>
                            <w:r w:rsidR="00F840AD">
                              <w:rPr>
                                <w:color w:val="000000" w:themeColor="text1"/>
                                <w:sz w:val="16"/>
                                <w:szCs w:val="16"/>
                              </w:rPr>
                              <w:t>HRA</w:t>
                            </w:r>
                            <w:r w:rsidRPr="007D1C17">
                              <w:rPr>
                                <w:color w:val="000000" w:themeColor="text1"/>
                                <w:sz w:val="16"/>
                                <w:szCs w:val="16"/>
                              </w:rPr>
                              <w:t xml:space="preserve"> genoten. In de periode van 1 juli 2011 tot 1 januari 2012 had Stan geen </w:t>
                            </w:r>
                            <w:r w:rsidR="00F840AD">
                              <w:rPr>
                                <w:color w:val="000000" w:themeColor="text1"/>
                                <w:sz w:val="16"/>
                                <w:szCs w:val="16"/>
                              </w:rPr>
                              <w:t>HRA</w:t>
                            </w:r>
                            <w:r w:rsidRPr="007D1C17">
                              <w:rPr>
                                <w:color w:val="000000" w:themeColor="text1"/>
                                <w:sz w:val="16"/>
                                <w:szCs w:val="16"/>
                              </w:rPr>
                              <w:t>. Omdat Stan zijn oorspronkelijke aandeel in de verbouwingsschuld van € 15.000 per 1 juli 2011 volledig heeft afgelost, is de 30-jaarstermijn voor hem in de periode van 1 juli 2011 tot 1 januari 2012 gestuit. Per 1 januari 2012 is die termijn weer gaan lopen.</w:t>
                            </w:r>
                          </w:p>
                          <w:p w:rsidRPr="007D1C17" w:rsidR="00E60F38" w:rsidRDefault="00E60F38" w14:paraId="298166A7" w14:textId="77777777">
                            <w:pPr>
                              <w:pStyle w:val="Lijstalinea"/>
                              <w:numPr>
                                <w:ilvl w:val="0"/>
                                <w:numId w:val="9"/>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€ 120.000 geldt dat de termijn van </w:t>
                            </w:r>
                            <w:r w:rsidR="00F840AD">
                              <w:rPr>
                                <w:color w:val="000000" w:themeColor="text1"/>
                                <w:sz w:val="16"/>
                                <w:szCs w:val="16"/>
                              </w:rPr>
                              <w:t>HRA</w:t>
                            </w:r>
                            <w:r w:rsidRPr="007D1C17">
                              <w:rPr>
                                <w:color w:val="000000" w:themeColor="text1"/>
                                <w:sz w:val="16"/>
                                <w:szCs w:val="16"/>
                              </w:rPr>
                              <w:t xml:space="preserve"> daarvoor afloopt per 1 januari 2042. Per 1 januari 2024 heeft hij over dat bedrag 12 jaar </w:t>
                            </w:r>
                            <w:r w:rsidR="00F840AD">
                              <w:rPr>
                                <w:color w:val="000000" w:themeColor="text1"/>
                                <w:sz w:val="16"/>
                                <w:szCs w:val="16"/>
                              </w:rPr>
                              <w:t>HRA</w:t>
                            </w:r>
                            <w:r w:rsidRPr="007D1C17">
                              <w:rPr>
                                <w:color w:val="000000" w:themeColor="text1"/>
                                <w:sz w:val="16"/>
                                <w:szCs w:val="16"/>
                              </w:rPr>
                              <w:t xml:space="preserve"> genoten.</w:t>
                            </w:r>
                          </w:p>
                          <w:p w:rsidR="00E60F38" w:rsidP="00E60F38" w:rsidRDefault="00E60F38" w14:paraId="644BEE48" w14:textId="77777777">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32.2pt;margin-top:.05pt;width:383.4pt;height:536.4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dceaf7 [35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" w14:anchorId="76EB7BB7">
                <v:textbox>
                  <w:txbxContent>
                    <w:p w:rsidRPr="00E60F38" w:rsidR="00E60F38" w:rsidP="00E60F38" w:rsidRDefault="00E60F38" w14:paraId="541F3027" w14:textId="77777777">
                      <w:pPr>
                        <w:jc w:val="center"/>
                        <w:rPr>
                          <w:b/>
                          <w:bCs/>
                          <w:i/>
                          <w:iCs/>
                        </w:rPr>
                      </w:pPr>
                      <w:r w:rsidRPr="001067D9">
                        <w:rPr>
                          <w:b/>
                          <w:bCs/>
                        </w:rPr>
                        <w:t xml:space="preserve">Kader </w:t>
                      </w:r>
                      <w:r>
                        <w:rPr>
                          <w:b/>
                          <w:bCs/>
                        </w:rPr>
                        <w:t>3</w:t>
                      </w:r>
                      <w:r w:rsidRPr="001067D9">
                        <w:rPr>
                          <w:b/>
                          <w:bCs/>
                        </w:rPr>
                        <w:t xml:space="preserve"> – </w:t>
                      </w:r>
                      <w:r>
                        <w:rPr>
                          <w:b/>
                          <w:bCs/>
                        </w:rPr>
                        <w:t xml:space="preserve">Voorbeeld complexiteit bij </w:t>
                      </w:r>
                      <w:r>
                        <w:rPr>
                          <w:b/>
                          <w:bCs/>
                          <w:i/>
                          <w:iCs/>
                        </w:rPr>
                        <w:t>life events</w:t>
                      </w:r>
                    </w:p>
                    <w:p w:rsidRPr="007D1C17" w:rsidR="00E60F38" w:rsidP="00E60F38" w:rsidRDefault="00E60F38" w14:paraId="4B871D70" w14:textId="77777777">
                      <w:pPr>
                        <w:jc w:val="both"/>
                        <w:rPr>
                          <w:color w:val="000000" w:themeColor="text1"/>
                          <w:sz w:val="16"/>
                          <w:szCs w:val="16"/>
                        </w:rPr>
                      </w:pPr>
                      <w:r w:rsidRPr="007D1C17">
                        <w:rPr>
                          <w:color w:val="000000" w:themeColor="text1"/>
                          <w:sz w:val="16"/>
                          <w:szCs w:val="16"/>
                        </w:rPr>
                        <w:t xml:space="preserve">Stan en </w:t>
                      </w:r>
                      <w:proofErr w:type="spellStart"/>
                      <w:r w:rsidRPr="007D1C17">
                        <w:rPr>
                          <w:color w:val="000000" w:themeColor="text1"/>
                          <w:sz w:val="16"/>
                          <w:szCs w:val="16"/>
                        </w:rPr>
                        <w:t>Souraya</w:t>
                      </w:r>
                      <w:proofErr w:type="spellEnd"/>
                      <w:r w:rsidRPr="007D1C17">
                        <w:rPr>
                          <w:color w:val="000000" w:themeColor="text1"/>
                          <w:sz w:val="16"/>
                          <w:szCs w:val="16"/>
                        </w:rPr>
                        <w:t xml:space="preserve"> trouwen in 2003 in gemeenschap van goederen en kopen per 1 juli 2004 hun eerste eigen woning voor € 250.000. Ze gaan voor de aankoop van de woning een lening aan van € 250.000. Vanwege gezinsuitbreiding verbouwen ze in 2009 de zolder en ze sluiten daarvoor per 1 juli 2009 een lening af van € 30.000. In 2011 gaan Stan en </w:t>
                      </w:r>
                      <w:proofErr w:type="spellStart"/>
                      <w:r w:rsidRPr="007D1C17">
                        <w:rPr>
                          <w:color w:val="000000" w:themeColor="text1"/>
                          <w:sz w:val="16"/>
                          <w:szCs w:val="16"/>
                        </w:rPr>
                        <w:t>Souraya</w:t>
                      </w:r>
                      <w:proofErr w:type="spellEnd"/>
                      <w:r w:rsidRPr="007D1C17">
                        <w:rPr>
                          <w:color w:val="000000" w:themeColor="text1"/>
                          <w:sz w:val="16"/>
                          <w:szCs w:val="16"/>
                        </w:rPr>
                        <w:t xml:space="preserve"> uit elkaar. </w:t>
                      </w:r>
                      <w:proofErr w:type="spellStart"/>
                      <w:r w:rsidRPr="007D1C17">
                        <w:rPr>
                          <w:color w:val="000000" w:themeColor="text1"/>
                          <w:sz w:val="16"/>
                          <w:szCs w:val="16"/>
                        </w:rPr>
                        <w:t>Souraya</w:t>
                      </w:r>
                      <w:proofErr w:type="spellEnd"/>
                      <w:r w:rsidRPr="007D1C17">
                        <w:rPr>
                          <w:color w:val="000000" w:themeColor="text1"/>
                          <w:sz w:val="16"/>
                          <w:szCs w:val="16"/>
                        </w:rPr>
                        <w:t xml:space="preserve"> blijft in de woning wonen en neemt het aandeel van Stan in de woning. De woning is op dat moment (1 juli 2011) € 310.000 waard. </w:t>
                      </w:r>
                      <w:proofErr w:type="spellStart"/>
                      <w:r w:rsidRPr="007D1C17">
                        <w:rPr>
                          <w:color w:val="000000" w:themeColor="text1"/>
                          <w:sz w:val="16"/>
                          <w:szCs w:val="16"/>
                        </w:rPr>
                        <w:t>Souraya</w:t>
                      </w:r>
                      <w:proofErr w:type="spellEnd"/>
                      <w:r w:rsidRPr="007D1C17">
                        <w:rPr>
                          <w:color w:val="000000" w:themeColor="text1"/>
                          <w:sz w:val="16"/>
                          <w:szCs w:val="16"/>
                        </w:rPr>
                        <w:t xml:space="preserve"> financiert de overname van het aandeel van Stan (€ 155.000) door de bestaande leningen van € 250.000 en €</w:t>
                      </w:r>
                      <w:r w:rsidR="00AB339B">
                        <w:rPr>
                          <w:color w:val="000000" w:themeColor="text1"/>
                          <w:sz w:val="16"/>
                          <w:szCs w:val="16"/>
                        </w:rPr>
                        <w:t> </w:t>
                      </w:r>
                      <w:r w:rsidRPr="007D1C17">
                        <w:rPr>
                          <w:color w:val="000000" w:themeColor="text1"/>
                          <w:sz w:val="16"/>
                          <w:szCs w:val="16"/>
                        </w:rPr>
                        <w:t xml:space="preserve">30.000 volledig op haar naam te laten zetten. Het deel van Stan in die schulden bedraagt op dat moment </w:t>
                      </w:r>
                      <w:r w:rsidRPr="007D1C17" w:rsidR="00A73821">
                        <w:rPr>
                          <w:color w:val="000000" w:themeColor="text1"/>
                          <w:sz w:val="16"/>
                          <w:szCs w:val="16"/>
                        </w:rPr>
                        <w:t>€</w:t>
                      </w:r>
                      <w:r w:rsidRPr="007D1C17" w:rsidDel="009017B2" w:rsidR="00A73821">
                        <w:rPr>
                          <w:color w:val="000000" w:themeColor="text1"/>
                          <w:sz w:val="16"/>
                          <w:szCs w:val="16"/>
                        </w:rPr>
                        <w:t xml:space="preserve"> </w:t>
                      </w:r>
                      <w:r w:rsidRPr="007D1C17" w:rsidR="00A73821">
                        <w:rPr>
                          <w:color w:val="000000" w:themeColor="text1"/>
                          <w:sz w:val="16"/>
                          <w:szCs w:val="16"/>
                        </w:rPr>
                        <w:t>140.000.</w:t>
                      </w:r>
                      <w:r w:rsidRPr="007D1C17">
                        <w:rPr>
                          <w:color w:val="000000" w:themeColor="text1"/>
                          <w:sz w:val="16"/>
                          <w:szCs w:val="16"/>
                        </w:rPr>
                        <w:t xml:space="preserve"> </w:t>
                      </w:r>
                      <w:proofErr w:type="spellStart"/>
                      <w:r w:rsidRPr="007D1C17">
                        <w:rPr>
                          <w:color w:val="000000" w:themeColor="text1"/>
                          <w:sz w:val="16"/>
                          <w:szCs w:val="16"/>
                        </w:rPr>
                        <w:t>Souraya</w:t>
                      </w:r>
                      <w:proofErr w:type="spellEnd"/>
                      <w:r w:rsidRPr="007D1C17">
                        <w:rPr>
                          <w:color w:val="000000" w:themeColor="text1"/>
                          <w:sz w:val="16"/>
                          <w:szCs w:val="16"/>
                        </w:rPr>
                        <w:t xml:space="preserve"> sluit om die reden daarnaast per 1 juli 2011 een aanvullende lening van </w:t>
                      </w:r>
                      <w:r w:rsidRPr="007D1C17" w:rsidR="00A73821">
                        <w:rPr>
                          <w:color w:val="000000" w:themeColor="text1"/>
                          <w:sz w:val="16"/>
                          <w:szCs w:val="16"/>
                        </w:rPr>
                        <w:t>€ 15.000</w:t>
                      </w:r>
                      <w:r w:rsidRPr="007D1C17">
                        <w:rPr>
                          <w:color w:val="000000" w:themeColor="text1"/>
                          <w:sz w:val="16"/>
                          <w:szCs w:val="16"/>
                        </w:rPr>
                        <w:t xml:space="preserve"> om Stan uit te kopen. Stan lost zijn oorspronkelijke eigenwoningschuld van </w:t>
                      </w:r>
                      <w:r w:rsidRPr="007D1C17" w:rsidR="00A73821">
                        <w:rPr>
                          <w:color w:val="000000" w:themeColor="text1"/>
                          <w:sz w:val="16"/>
                          <w:szCs w:val="16"/>
                        </w:rPr>
                        <w:t>€</w:t>
                      </w:r>
                      <w:r w:rsidRPr="007D1C17" w:rsidDel="009017B2" w:rsidR="00A73821">
                        <w:rPr>
                          <w:color w:val="000000" w:themeColor="text1"/>
                          <w:sz w:val="16"/>
                          <w:szCs w:val="16"/>
                        </w:rPr>
                        <w:t xml:space="preserve"> </w:t>
                      </w:r>
                      <w:r w:rsidRPr="007D1C17" w:rsidR="00A73821">
                        <w:rPr>
                          <w:color w:val="000000" w:themeColor="text1"/>
                          <w:sz w:val="16"/>
                          <w:szCs w:val="16"/>
                        </w:rPr>
                        <w:t>125.000</w:t>
                      </w:r>
                      <w:r w:rsidRPr="007D1C17">
                        <w:rPr>
                          <w:color w:val="000000" w:themeColor="text1"/>
                          <w:sz w:val="16"/>
                          <w:szCs w:val="16"/>
                        </w:rPr>
                        <w:t xml:space="preserve"> en zijn oorspronkelijk aandeel in de verbouwingsschuld van </w:t>
                      </w:r>
                      <w:r w:rsidRPr="007D1C17" w:rsidR="00A73821">
                        <w:rPr>
                          <w:color w:val="000000" w:themeColor="text1"/>
                          <w:sz w:val="16"/>
                          <w:szCs w:val="16"/>
                        </w:rPr>
                        <w:t>€ 15.000</w:t>
                      </w:r>
                      <w:r w:rsidRPr="007D1C17">
                        <w:rPr>
                          <w:color w:val="000000" w:themeColor="text1"/>
                          <w:sz w:val="16"/>
                          <w:szCs w:val="16"/>
                        </w:rPr>
                        <w:t xml:space="preserve"> daarmee op dat moment volledig af. Stan koopt vervolgens per 1 januari 2012 een nieuwe woning voor </w:t>
                      </w:r>
                      <w:r w:rsidRPr="007D1C17" w:rsidR="00A73821">
                        <w:rPr>
                          <w:color w:val="000000" w:themeColor="text1"/>
                          <w:sz w:val="16"/>
                          <w:szCs w:val="16"/>
                        </w:rPr>
                        <w:t>€</w:t>
                      </w:r>
                      <w:r w:rsidRPr="007D1C17" w:rsidDel="009017B2" w:rsidR="00A73821">
                        <w:rPr>
                          <w:color w:val="000000" w:themeColor="text1"/>
                          <w:sz w:val="16"/>
                          <w:szCs w:val="16"/>
                        </w:rPr>
                        <w:t xml:space="preserve"> </w:t>
                      </w:r>
                      <w:r w:rsidRPr="007D1C17" w:rsidR="00A73821">
                        <w:rPr>
                          <w:color w:val="000000" w:themeColor="text1"/>
                          <w:sz w:val="16"/>
                          <w:szCs w:val="16"/>
                        </w:rPr>
                        <w:t>280.000</w:t>
                      </w:r>
                      <w:r w:rsidRPr="007D1C17">
                        <w:rPr>
                          <w:color w:val="000000" w:themeColor="text1"/>
                          <w:sz w:val="16"/>
                          <w:szCs w:val="16"/>
                        </w:rPr>
                        <w:t xml:space="preserve"> en hij gaat daarvoor een lening aan van € 260.000. Stan en </w:t>
                      </w:r>
                      <w:proofErr w:type="spellStart"/>
                      <w:r w:rsidRPr="007D1C17">
                        <w:rPr>
                          <w:color w:val="000000" w:themeColor="text1"/>
                          <w:sz w:val="16"/>
                          <w:szCs w:val="16"/>
                        </w:rPr>
                        <w:t>Souraya</w:t>
                      </w:r>
                      <w:proofErr w:type="spellEnd"/>
                      <w:r w:rsidRPr="007D1C17">
                        <w:rPr>
                          <w:color w:val="000000" w:themeColor="text1"/>
                          <w:sz w:val="16"/>
                          <w:szCs w:val="16"/>
                        </w:rPr>
                        <w:t xml:space="preserve"> wonen in 2024 nog steeds ieder in hun eigen woning en zij hebben tussen 1</w:t>
                      </w:r>
                      <w:r w:rsidR="00AB339B">
                        <w:rPr>
                          <w:color w:val="000000" w:themeColor="text1"/>
                          <w:sz w:val="16"/>
                          <w:szCs w:val="16"/>
                        </w:rPr>
                        <w:t> </w:t>
                      </w:r>
                      <w:r w:rsidRPr="007D1C17">
                        <w:rPr>
                          <w:color w:val="000000" w:themeColor="text1"/>
                          <w:sz w:val="16"/>
                          <w:szCs w:val="16"/>
                        </w:rPr>
                        <w:t>januari 2012 en 1 januari 2024 hun schulden niet afgelost of verhoogd. Ook hebben zij in de tussenliggende periode geen nieuwe fiscaal partner gekregen.</w:t>
                      </w:r>
                    </w:p>
                    <w:p w:rsidRPr="007D1C17" w:rsidR="00E60F38" w:rsidP="00E60F38" w:rsidRDefault="00E60F38" w14:paraId="1981204A" w14:textId="77777777">
                      <w:pPr>
                        <w:jc w:val="both"/>
                        <w:rPr>
                          <w:color w:val="000000" w:themeColor="text1"/>
                          <w:sz w:val="16"/>
                          <w:szCs w:val="16"/>
                        </w:rPr>
                      </w:pPr>
                    </w:p>
                    <w:p w:rsidRPr="007D1C17" w:rsidR="00E60F38" w:rsidP="00E60F38" w:rsidRDefault="00E60F38" w14:paraId="09C07F1E" w14:textId="77777777">
                      <w:pPr>
                        <w:jc w:val="both"/>
                        <w:rPr>
                          <w:b/>
                          <w:bCs/>
                          <w:color w:val="000000" w:themeColor="text1"/>
                          <w:sz w:val="16"/>
                          <w:szCs w:val="16"/>
                        </w:rPr>
                      </w:pPr>
                      <w:r w:rsidRPr="007D1C17">
                        <w:rPr>
                          <w:b/>
                          <w:bCs/>
                          <w:color w:val="000000" w:themeColor="text1"/>
                          <w:sz w:val="16"/>
                          <w:szCs w:val="16"/>
                        </w:rPr>
                        <w:t xml:space="preserve">Voor </w:t>
                      </w:r>
                      <w:proofErr w:type="spellStart"/>
                      <w:r w:rsidRPr="007D1C17">
                        <w:rPr>
                          <w:b/>
                          <w:bCs/>
                          <w:color w:val="000000" w:themeColor="text1"/>
                          <w:sz w:val="16"/>
                          <w:szCs w:val="16"/>
                        </w:rPr>
                        <w:t>Souraya</w:t>
                      </w:r>
                      <w:proofErr w:type="spellEnd"/>
                      <w:r w:rsidRPr="007D1C17">
                        <w:rPr>
                          <w:b/>
                          <w:bCs/>
                          <w:color w:val="000000" w:themeColor="text1"/>
                          <w:sz w:val="16"/>
                          <w:szCs w:val="16"/>
                        </w:rPr>
                        <w:t xml:space="preserve"> geldt dan met betrekking tot de 30-jaarstermijn van haar totale eigenwoningschuld van € 295.000 per 1 januari 2024 het volgende:</w:t>
                      </w:r>
                    </w:p>
                    <w:p w:rsidRPr="007D1C17" w:rsidR="00E60F38" w:rsidRDefault="00E60F38" w14:paraId="38D95945" w14:textId="77777777">
                      <w:pPr>
                        <w:pStyle w:val="Lijstalinea"/>
                        <w:numPr>
                          <w:ilvl w:val="0"/>
                          <w:numId w:val="8"/>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€ 125.000 geldt dat de termijn van </w:t>
                      </w:r>
                      <w:r w:rsidR="00F840AD">
                        <w:rPr>
                          <w:color w:val="000000" w:themeColor="text1"/>
                          <w:sz w:val="16"/>
                          <w:szCs w:val="16"/>
                        </w:rPr>
                        <w:t>HRA</w:t>
                      </w:r>
                      <w:r w:rsidRPr="007D1C17">
                        <w:rPr>
                          <w:color w:val="000000" w:themeColor="text1"/>
                          <w:sz w:val="16"/>
                          <w:szCs w:val="16"/>
                        </w:rPr>
                        <w:t xml:space="preserve"> afloopt per 1 juli 2034. Per 1 januari 2024 heeft zij over dat bedrag 19 jaar en zes maanden </w:t>
                      </w:r>
                      <w:r w:rsidR="00F840AD">
                        <w:rPr>
                          <w:color w:val="000000" w:themeColor="text1"/>
                          <w:sz w:val="16"/>
                          <w:szCs w:val="16"/>
                        </w:rPr>
                        <w:t>HRA</w:t>
                      </w:r>
                      <w:r w:rsidRPr="007D1C17">
                        <w:rPr>
                          <w:color w:val="000000" w:themeColor="text1"/>
                          <w:sz w:val="16"/>
                          <w:szCs w:val="16"/>
                        </w:rPr>
                        <w:t xml:space="preserve"> genoten.</w:t>
                      </w:r>
                    </w:p>
                    <w:p w:rsidRPr="007D1C17" w:rsidR="00E60F38" w:rsidRDefault="00E60F38" w14:paraId="05428ED3" w14:textId="77777777">
                      <w:pPr>
                        <w:pStyle w:val="Lijstalinea"/>
                        <w:numPr>
                          <w:ilvl w:val="0"/>
                          <w:numId w:val="8"/>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€ 15.000 geldt dat de termijn van </w:t>
                      </w:r>
                      <w:r w:rsidR="00F840AD">
                        <w:rPr>
                          <w:color w:val="000000" w:themeColor="text1"/>
                          <w:sz w:val="16"/>
                          <w:szCs w:val="16"/>
                        </w:rPr>
                        <w:t>HRA</w:t>
                      </w:r>
                      <w:r w:rsidRPr="007D1C17">
                        <w:rPr>
                          <w:color w:val="000000" w:themeColor="text1"/>
                          <w:sz w:val="16"/>
                          <w:szCs w:val="16"/>
                        </w:rPr>
                        <w:t xml:space="preserve"> afloopt per 1 juli 2039. Per 1 januari 2024 heeft zij over dat bedrag 14 jaar en zes maanden </w:t>
                      </w:r>
                      <w:r w:rsidR="00F840AD">
                        <w:rPr>
                          <w:color w:val="000000" w:themeColor="text1"/>
                          <w:sz w:val="16"/>
                          <w:szCs w:val="16"/>
                        </w:rPr>
                        <w:t>HRA</w:t>
                      </w:r>
                      <w:r w:rsidRPr="007D1C17">
                        <w:rPr>
                          <w:color w:val="000000" w:themeColor="text1"/>
                          <w:sz w:val="16"/>
                          <w:szCs w:val="16"/>
                        </w:rPr>
                        <w:t xml:space="preserve"> genoten.</w:t>
                      </w:r>
                    </w:p>
                    <w:p w:rsidRPr="007D1C17" w:rsidR="00E60F38" w:rsidRDefault="00E60F38" w14:paraId="656DF790" w14:textId="77777777">
                      <w:pPr>
                        <w:pStyle w:val="Lijstalinea"/>
                        <w:numPr>
                          <w:ilvl w:val="0"/>
                          <w:numId w:val="8"/>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€ 155.000 geldt dat de termijn van </w:t>
                      </w:r>
                      <w:r w:rsidR="00F840AD">
                        <w:rPr>
                          <w:color w:val="000000" w:themeColor="text1"/>
                          <w:sz w:val="16"/>
                          <w:szCs w:val="16"/>
                        </w:rPr>
                        <w:t>HRA</w:t>
                      </w:r>
                      <w:r w:rsidRPr="007D1C17">
                        <w:rPr>
                          <w:color w:val="000000" w:themeColor="text1"/>
                          <w:sz w:val="16"/>
                          <w:szCs w:val="16"/>
                        </w:rPr>
                        <w:t xml:space="preserve"> afloopt per 1 juli 2041. Per 1 januari 2024 heeft zij over dat bedrag 12 jaar en zes maanden </w:t>
                      </w:r>
                      <w:r w:rsidR="00F840AD">
                        <w:rPr>
                          <w:color w:val="000000" w:themeColor="text1"/>
                          <w:sz w:val="16"/>
                          <w:szCs w:val="16"/>
                        </w:rPr>
                        <w:t>HRA</w:t>
                      </w:r>
                      <w:r w:rsidRPr="007D1C17">
                        <w:rPr>
                          <w:color w:val="000000" w:themeColor="text1"/>
                          <w:sz w:val="16"/>
                          <w:szCs w:val="16"/>
                        </w:rPr>
                        <w:t xml:space="preserve"> genoten.</w:t>
                      </w:r>
                    </w:p>
                    <w:p w:rsidRPr="007D1C17" w:rsidR="00E60F38" w:rsidP="00E60F38" w:rsidRDefault="00E60F38" w14:paraId="46BF3105" w14:textId="77777777">
                      <w:pPr>
                        <w:jc w:val="both"/>
                        <w:rPr>
                          <w:b/>
                          <w:bCs/>
                          <w:color w:val="000000" w:themeColor="text1"/>
                          <w:sz w:val="16"/>
                          <w:szCs w:val="16"/>
                        </w:rPr>
                      </w:pPr>
                      <w:r w:rsidRPr="007D1C17">
                        <w:rPr>
                          <w:b/>
                          <w:bCs/>
                          <w:color w:val="000000" w:themeColor="text1"/>
                          <w:sz w:val="16"/>
                          <w:szCs w:val="16"/>
                        </w:rPr>
                        <w:t>Voor Stan geldt dan met betrekking tot de 30-jaarstermijn van zijn totale eigenwoningschuld van € 260.000 per 1 januari 2024 het volgende:</w:t>
                      </w:r>
                    </w:p>
                    <w:p w:rsidRPr="007D1C17" w:rsidR="00E60F38" w:rsidRDefault="00E60F38" w14:paraId="2FC86143" w14:textId="77777777">
                      <w:pPr>
                        <w:pStyle w:val="Lijstalinea"/>
                        <w:numPr>
                          <w:ilvl w:val="0"/>
                          <w:numId w:val="9"/>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€ 125.000 geldt dat de termijn van </w:t>
                      </w:r>
                      <w:r w:rsidR="00F840AD">
                        <w:rPr>
                          <w:color w:val="000000" w:themeColor="text1"/>
                          <w:sz w:val="16"/>
                          <w:szCs w:val="16"/>
                        </w:rPr>
                        <w:t>HRA</w:t>
                      </w:r>
                      <w:r w:rsidRPr="007D1C17">
                        <w:rPr>
                          <w:color w:val="000000" w:themeColor="text1"/>
                          <w:sz w:val="16"/>
                          <w:szCs w:val="16"/>
                        </w:rPr>
                        <w:t xml:space="preserve"> afloopt per 1 januari 2035. Per 1 januari 2024 heeft hij over dat bedrag 19 jaar </w:t>
                      </w:r>
                      <w:r w:rsidR="00EB4148">
                        <w:rPr>
                          <w:color w:val="000000" w:themeColor="text1"/>
                          <w:sz w:val="16"/>
                          <w:szCs w:val="16"/>
                        </w:rPr>
                        <w:t>HRA</w:t>
                      </w:r>
                      <w:r w:rsidRPr="007D1C17">
                        <w:rPr>
                          <w:color w:val="000000" w:themeColor="text1"/>
                          <w:sz w:val="16"/>
                          <w:szCs w:val="16"/>
                        </w:rPr>
                        <w:t xml:space="preserve"> genoten. In de periode van 1 juli 2011 tot 1 januari 2012 had Stan geen </w:t>
                      </w:r>
                      <w:r w:rsidR="00F840AD">
                        <w:rPr>
                          <w:color w:val="000000" w:themeColor="text1"/>
                          <w:sz w:val="16"/>
                          <w:szCs w:val="16"/>
                        </w:rPr>
                        <w:t>HRA</w:t>
                      </w:r>
                      <w:r w:rsidRPr="007D1C17">
                        <w:rPr>
                          <w:color w:val="000000" w:themeColor="text1"/>
                          <w:sz w:val="16"/>
                          <w:szCs w:val="16"/>
                        </w:rPr>
                        <w:t>. Omdat Stan zijn oorspronkelijke eigenwoningschuld van € 125.000 per 1 juli 2011 volledig heeft afgelost, is de 30-jaarstermijn voor hem in de periode van 1 juli 2011 tot 1 januari 2012 gestuit. Per 1 januari 2012 is die termijn weer gaan lopen.</w:t>
                      </w:r>
                    </w:p>
                    <w:p w:rsidRPr="007D1C17" w:rsidR="00E60F38" w:rsidRDefault="00E60F38" w14:paraId="35481604" w14:textId="77777777">
                      <w:pPr>
                        <w:pStyle w:val="Lijstalinea"/>
                        <w:numPr>
                          <w:ilvl w:val="0"/>
                          <w:numId w:val="9"/>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€ 15.000 geldt dat de termijn van </w:t>
                      </w:r>
                      <w:r w:rsidR="00F840AD">
                        <w:rPr>
                          <w:color w:val="000000" w:themeColor="text1"/>
                          <w:sz w:val="16"/>
                          <w:szCs w:val="16"/>
                        </w:rPr>
                        <w:t>HRA</w:t>
                      </w:r>
                      <w:r w:rsidRPr="007D1C17">
                        <w:rPr>
                          <w:color w:val="000000" w:themeColor="text1"/>
                          <w:sz w:val="16"/>
                          <w:szCs w:val="16"/>
                        </w:rPr>
                        <w:t xml:space="preserve"> afloopt per 1 januari 2040. Per 1 januari 2024 heeft hij over dat bedrag 14 jaar </w:t>
                      </w:r>
                      <w:r w:rsidR="00F840AD">
                        <w:rPr>
                          <w:color w:val="000000" w:themeColor="text1"/>
                          <w:sz w:val="16"/>
                          <w:szCs w:val="16"/>
                        </w:rPr>
                        <w:t>HRA</w:t>
                      </w:r>
                      <w:r w:rsidRPr="007D1C17">
                        <w:rPr>
                          <w:color w:val="000000" w:themeColor="text1"/>
                          <w:sz w:val="16"/>
                          <w:szCs w:val="16"/>
                        </w:rPr>
                        <w:t xml:space="preserve"> genoten. In de periode van 1 juli 2011 tot 1 januari 2012 had Stan geen </w:t>
                      </w:r>
                      <w:r w:rsidR="00F840AD">
                        <w:rPr>
                          <w:color w:val="000000" w:themeColor="text1"/>
                          <w:sz w:val="16"/>
                          <w:szCs w:val="16"/>
                        </w:rPr>
                        <w:t>HRA</w:t>
                      </w:r>
                      <w:r w:rsidRPr="007D1C17">
                        <w:rPr>
                          <w:color w:val="000000" w:themeColor="text1"/>
                          <w:sz w:val="16"/>
                          <w:szCs w:val="16"/>
                        </w:rPr>
                        <w:t>. Omdat Stan zijn oorspronkelijke aandeel in de verbouwingsschuld van € 15.000 per 1 juli 2011 volledig heeft afgelost, is de 30-jaarstermijn voor hem in de periode van 1 juli 2011 tot 1 januari 2012 gestuit. Per 1 januari 2012 is die termijn weer gaan lopen.</w:t>
                      </w:r>
                    </w:p>
                    <w:p w:rsidRPr="007D1C17" w:rsidR="00E60F38" w:rsidRDefault="00E60F38" w14:paraId="298166A7" w14:textId="77777777">
                      <w:pPr>
                        <w:pStyle w:val="Lijstalinea"/>
                        <w:numPr>
                          <w:ilvl w:val="0"/>
                          <w:numId w:val="9"/>
                        </w:numPr>
                        <w:autoSpaceDN/>
                        <w:spacing w:after="160" w:line="259" w:lineRule="auto"/>
                        <w:jc w:val="both"/>
                        <w:textAlignment w:val="auto"/>
                        <w:rPr>
                          <w:color w:val="000000" w:themeColor="text1"/>
                          <w:sz w:val="16"/>
                          <w:szCs w:val="16"/>
                        </w:rPr>
                      </w:pPr>
                      <w:r w:rsidRPr="007D1C17">
                        <w:rPr>
                          <w:color w:val="000000" w:themeColor="text1"/>
                          <w:sz w:val="16"/>
                          <w:szCs w:val="16"/>
                        </w:rPr>
                        <w:t xml:space="preserve">Voor € 120.000 geldt dat de termijn van </w:t>
                      </w:r>
                      <w:r w:rsidR="00F840AD">
                        <w:rPr>
                          <w:color w:val="000000" w:themeColor="text1"/>
                          <w:sz w:val="16"/>
                          <w:szCs w:val="16"/>
                        </w:rPr>
                        <w:t>HRA</w:t>
                      </w:r>
                      <w:r w:rsidRPr="007D1C17">
                        <w:rPr>
                          <w:color w:val="000000" w:themeColor="text1"/>
                          <w:sz w:val="16"/>
                          <w:szCs w:val="16"/>
                        </w:rPr>
                        <w:t xml:space="preserve"> daarvoor afloopt per 1 januari 2042. Per 1 januari 2024 heeft hij over dat bedrag 12 jaar </w:t>
                      </w:r>
                      <w:r w:rsidR="00F840AD">
                        <w:rPr>
                          <w:color w:val="000000" w:themeColor="text1"/>
                          <w:sz w:val="16"/>
                          <w:szCs w:val="16"/>
                        </w:rPr>
                        <w:t>HRA</w:t>
                      </w:r>
                      <w:r w:rsidRPr="007D1C17">
                        <w:rPr>
                          <w:color w:val="000000" w:themeColor="text1"/>
                          <w:sz w:val="16"/>
                          <w:szCs w:val="16"/>
                        </w:rPr>
                        <w:t xml:space="preserve"> genoten.</w:t>
                      </w:r>
                    </w:p>
                    <w:p w:rsidR="00E60F38" w:rsidP="00E60F38" w:rsidRDefault="00E60F38" w14:paraId="644BEE48" w14:textId="77777777">
                      <w:pPr>
                        <w:jc w:val="center"/>
                        <w:rPr>
                          <w:b/>
                          <w:bCs/>
                        </w:rPr>
                      </w:pPr>
                    </w:p>
                  </w:txbxContent>
                </v:textbox>
                <w10:wrap type="square" anchorx="margin"/>
              </v:shape>
            </w:pict>
          </mc:Fallback>
        </mc:AlternateContent>
      </w:r>
      <w:r>
        <w:rPr>
          <w:b/>
          <w:bCs/>
        </w:rPr>
        <w:t>Situaties zoals in kader 3</w:t>
      </w:r>
      <w:r w:rsidRPr="00407812">
        <w:rPr>
          <w:b/>
          <w:bCs/>
        </w:rPr>
        <w:t xml:space="preserve"> doen zich relatief vaak voor gedurende de looptijd van een lening voor de eigen woning</w:t>
      </w:r>
      <w:r>
        <w:rPr>
          <w:b/>
          <w:bCs/>
        </w:rPr>
        <w:t>.</w:t>
      </w:r>
      <w:r w:rsidRPr="00407812">
        <w:rPr>
          <w:b/>
          <w:bCs/>
        </w:rPr>
        <w:t xml:space="preserve"> </w:t>
      </w:r>
      <w:r w:rsidRPr="00407812">
        <w:t>Veel belastingplichtigen zullen dus nu of in de toekomst te maken hebben met de complexiteit van de 30-jaarstermijn.</w:t>
      </w:r>
      <w:r w:rsidRPr="00407812">
        <w:rPr>
          <w:b/>
          <w:bCs/>
        </w:rPr>
        <w:t xml:space="preserve"> </w:t>
      </w:r>
      <w:r>
        <w:t xml:space="preserve">De </w:t>
      </w:r>
      <w:r>
        <w:lastRenderedPageBreak/>
        <w:t>onzekerheid rondom de complexiteit kan een rem vormen op de bereidheid om te verhuizen. Ook kan (beperkte) handhaving van de 30-jaarstermijn doorwerken naar de belastingmoraal.</w:t>
      </w:r>
    </w:p>
    <w:p w:rsidRPr="008A6BA9" w:rsidR="007D1C17" w:rsidP="007D1C17" w:rsidRDefault="007D1C17" w14:paraId="1421D2E4" w14:textId="77777777">
      <w:pPr>
        <w:spacing w:line="276" w:lineRule="auto"/>
      </w:pPr>
    </w:p>
    <w:p w:rsidRPr="008A6BA9" w:rsidR="007D1C17" w:rsidP="007D1C17" w:rsidRDefault="002317F3" w14:paraId="70A43F3B" w14:textId="77777777">
      <w:pPr>
        <w:spacing w:line="276" w:lineRule="auto"/>
      </w:pPr>
      <w:r>
        <w:rPr>
          <w:b/>
          <w:bCs/>
        </w:rPr>
        <w:t>Concluderend doet d</w:t>
      </w:r>
      <w:r w:rsidR="007D1C17">
        <w:rPr>
          <w:b/>
          <w:bCs/>
        </w:rPr>
        <w:t xml:space="preserve">e huidige eigenwoningregeling een te groot beroep op het </w:t>
      </w:r>
      <w:proofErr w:type="spellStart"/>
      <w:r w:rsidR="007D1C17">
        <w:rPr>
          <w:b/>
          <w:bCs/>
        </w:rPr>
        <w:t>doenvermogen</w:t>
      </w:r>
      <w:proofErr w:type="spellEnd"/>
      <w:r w:rsidR="007D1C17">
        <w:rPr>
          <w:b/>
          <w:bCs/>
        </w:rPr>
        <w:t xml:space="preserve"> van burgers.</w:t>
      </w:r>
      <w:r w:rsidR="007D1C17">
        <w:t xml:space="preserve"> Het is voor burgers niet doenlijk om een administratie bij te houden die tot 30 jaar terugloopt. De constatering uit het Bouwstenen-rapport blijft onverminderd relevant: </w:t>
      </w:r>
      <w:r w:rsidR="007D1C17">
        <w:rPr>
          <w:i/>
          <w:iCs/>
        </w:rPr>
        <w:t>het is zeer de vraag of mensen zelf wel de benodigde gegevens hebben om aan te tonen dat ze recht hebben op HRA.</w:t>
      </w:r>
      <w:r w:rsidR="007D1C17">
        <w:t xml:space="preserve"> Voor veel burgers geldt vanaf 2031 dat zij de regeling wel willen naleven, maar dat feitelijk </w:t>
      </w:r>
      <w:r w:rsidR="00EB4148">
        <w:t xml:space="preserve">(deels) </w:t>
      </w:r>
      <w:r w:rsidR="007D1C17">
        <w:t>niet kunnen.</w:t>
      </w:r>
      <w:r w:rsidR="00B92340">
        <w:t xml:space="preserve"> </w:t>
      </w:r>
      <w:r w:rsidRPr="005A7603" w:rsidR="00B92340">
        <w:t>Sterker nog, door de complexiteit van de regeling en de bewijslast die bij de burger ligt kan het recht op HRA in veel gevallen vervallen voordat de 30-jaarstermijn verstreken is. Dat is niet de bedoeling van de regeling.</w:t>
      </w:r>
      <w:r w:rsidR="00C80E06">
        <w:t xml:space="preserve"> </w:t>
      </w:r>
    </w:p>
    <w:p w:rsidR="00AD3A32" w:rsidRDefault="00AD3A32" w14:paraId="681AA26F" w14:textId="77777777"/>
    <w:p w:rsidR="00AD3A32" w:rsidRDefault="007D1C17" w14:paraId="60D65AA8" w14:textId="77777777">
      <w:pPr>
        <w:pStyle w:val="Kop2"/>
      </w:pPr>
      <w:bookmarkStart w:name="_Toc222756874" w:id="21"/>
      <w:bookmarkStart w:name="_Toc226640257" w:id="22"/>
      <w:r>
        <w:t>Knelpunten voor adviseurs en financieel dienstverleners</w:t>
      </w:r>
      <w:bookmarkEnd w:id="21"/>
      <w:bookmarkEnd w:id="22"/>
    </w:p>
    <w:p w:rsidR="007D1C17" w:rsidP="007D1C17" w:rsidRDefault="007D1C17" w14:paraId="1A60D32C" w14:textId="77777777"/>
    <w:p w:rsidR="007D1C17" w:rsidP="007D1C17" w:rsidRDefault="007D1C17" w14:paraId="0F92074B" w14:textId="77777777">
      <w:pPr>
        <w:spacing w:line="276" w:lineRule="auto"/>
      </w:pPr>
      <w:r w:rsidRPr="00C46176">
        <w:rPr>
          <w:b/>
          <w:bCs/>
        </w:rPr>
        <w:t>Een belangrijk knelpunt volgens</w:t>
      </w:r>
      <w:r>
        <w:rPr>
          <w:b/>
          <w:bCs/>
        </w:rPr>
        <w:t xml:space="preserve"> kredietaanbieders en</w:t>
      </w:r>
      <w:r w:rsidRPr="00C46176">
        <w:rPr>
          <w:b/>
          <w:bCs/>
        </w:rPr>
        <w:t xml:space="preserve"> adviseurs</w:t>
      </w:r>
      <w:r w:rsidRPr="00C46176">
        <w:rPr>
          <w:rStyle w:val="Voetnootmarkering"/>
          <w:b/>
          <w:bCs/>
        </w:rPr>
        <w:footnoteReference w:id="25"/>
      </w:r>
      <w:r w:rsidRPr="00C46176">
        <w:rPr>
          <w:b/>
          <w:bCs/>
        </w:rPr>
        <w:t xml:space="preserve"> is de beschikbaarheid van de benodigde (historische) informatie</w:t>
      </w:r>
      <w:r>
        <w:t>. Kredietaanbieders en adviseurs bouwen zelf dossiers op, maar bij belastingplichtigen die zijn overgestapt naar een andere aanbieder ontbreekt deze informatie of is de informatie niet volledig.</w:t>
      </w:r>
    </w:p>
    <w:p w:rsidR="00B87684" w:rsidP="007D1C17" w:rsidRDefault="00B87684" w14:paraId="702E8695" w14:textId="77777777">
      <w:pPr>
        <w:spacing w:line="276" w:lineRule="auto"/>
      </w:pPr>
    </w:p>
    <w:p w:rsidR="00024AA1" w:rsidP="007D1C17" w:rsidRDefault="00B87684" w14:paraId="43EE0720" w14:textId="77777777">
      <w:pPr>
        <w:spacing w:line="276" w:lineRule="auto"/>
      </w:pPr>
      <w:r w:rsidRPr="006F6757">
        <w:rPr>
          <w:b/>
          <w:bCs/>
        </w:rPr>
        <w:t>In de praktijk doen zich nu al problemen voor vanwege complexe situaties bij het aangaan van nieuwe hypotheken</w:t>
      </w:r>
      <w:r w:rsidRPr="006F6757">
        <w:t>. In deze situaties is het overzicht van het hypotheekverleden niet voldoende aanwezig terwijl dat voor de advisering</w:t>
      </w:r>
      <w:r w:rsidR="00B7202E">
        <w:t xml:space="preserve"> door financieel dienstverleners</w:t>
      </w:r>
      <w:r w:rsidRPr="006F6757">
        <w:t xml:space="preserve"> wel van belang is. </w:t>
      </w:r>
    </w:p>
    <w:p w:rsidR="007D1C17" w:rsidP="007D1C17" w:rsidRDefault="007D1C17" w14:paraId="1D94405A" w14:textId="77777777">
      <w:pPr>
        <w:spacing w:line="276" w:lineRule="auto"/>
      </w:pPr>
      <w:r>
        <w:br/>
      </w:r>
      <w:r w:rsidRPr="00FF3304" w:rsidR="008B67D5">
        <w:rPr>
          <w:noProof/>
        </w:rPr>
        <w:t>De financieel dienstverlener dient zijn klanten van passend advies te voorzien en juist te informeren</w:t>
      </w:r>
      <w:r w:rsidR="008B67D5">
        <w:t xml:space="preserve">. </w:t>
      </w:r>
      <w:r>
        <w:t xml:space="preserve">De wettelijk voorgeschreven maximale hoogte van een hypothecaire lening is mede afhankelijk van of er recht bestaat op HRA. Aanbieders van krediet passen uniform de regel toe dat </w:t>
      </w:r>
      <w:r w:rsidR="00AB339B">
        <w:t xml:space="preserve">de toets of een geldlener </w:t>
      </w:r>
      <w:r>
        <w:t xml:space="preserve">een specifiek </w:t>
      </w:r>
      <w:proofErr w:type="spellStart"/>
      <w:r>
        <w:t>leningdeel</w:t>
      </w:r>
      <w:proofErr w:type="spellEnd"/>
      <w:r>
        <w:t xml:space="preserve"> </w:t>
      </w:r>
      <w:r w:rsidR="00AB339B">
        <w:t xml:space="preserve">financieel kan dragen </w:t>
      </w:r>
      <w:r w:rsidR="009811FC">
        <w:t>ervan uitgaat</w:t>
      </w:r>
      <w:r w:rsidR="00AB339B">
        <w:t xml:space="preserve"> dat</w:t>
      </w:r>
      <w:r>
        <w:t xml:space="preserve"> </w:t>
      </w:r>
      <w:r w:rsidR="00B4598F">
        <w:t xml:space="preserve">geen recht </w:t>
      </w:r>
      <w:r w:rsidR="00AB339B">
        <w:t>bestaat op</w:t>
      </w:r>
      <w:r>
        <w:t xml:space="preserve"> HRA </w:t>
      </w:r>
      <w:r w:rsidR="00AB339B">
        <w:t xml:space="preserve">als </w:t>
      </w:r>
      <w:r>
        <w:t xml:space="preserve">een consument binnen tien jaar na het afsluiten van de hypotheek de HRA op </w:t>
      </w:r>
      <w:r w:rsidR="00AB339B">
        <w:t xml:space="preserve">dat </w:t>
      </w:r>
      <w:proofErr w:type="spellStart"/>
      <w:r>
        <w:t>leningdeel</w:t>
      </w:r>
      <w:proofErr w:type="spellEnd"/>
      <w:r>
        <w:t xml:space="preserve"> verliest. Bij gebrek aan een uniform hypotheekoverzicht is de kredietaanbieder </w:t>
      </w:r>
      <w:r w:rsidR="008B67D5">
        <w:t xml:space="preserve">hiervoor </w:t>
      </w:r>
      <w:r>
        <w:t>(deels) afhankelijk van gegevens die de consument verstrekt. Dat betekent dat adviseurs en kredietaanbieders in de praktijk al sinds 2021 tegen uitvoeringsproblemen aanlopen. Onderzoek van de AFM onderschrijft de problematiek waar adviseurs tegenaan lopen.</w:t>
      </w:r>
      <w:r>
        <w:rPr>
          <w:rStyle w:val="Voetnootmarkering"/>
        </w:rPr>
        <w:footnoteReference w:id="26"/>
      </w:r>
      <w:r>
        <w:t xml:space="preserve"> </w:t>
      </w:r>
    </w:p>
    <w:p w:rsidR="00FC1B25" w:rsidP="00FC1B25" w:rsidRDefault="00FC1B25" w14:paraId="5B757B7C" w14:textId="77777777">
      <w:pPr>
        <w:pStyle w:val="Kop2"/>
      </w:pPr>
      <w:bookmarkStart w:name="_Toc226640258" w:id="23"/>
      <w:bookmarkStart w:name="_Toc222756875" w:id="24"/>
      <w:bookmarkStart w:name="_Hlk220577867" w:id="25"/>
      <w:r>
        <w:t>Knelpunten voor de Belastingdienst</w:t>
      </w:r>
      <w:bookmarkEnd w:id="23"/>
    </w:p>
    <w:p w:rsidR="00FC1B25" w:rsidP="00FC1B25" w:rsidRDefault="00FC1B25" w14:paraId="450F2621" w14:textId="77777777"/>
    <w:p w:rsidRPr="009D4DA6" w:rsidR="00FC1B25" w:rsidP="00FC1B25" w:rsidRDefault="00FC1B25" w14:paraId="713690E8" w14:textId="77777777">
      <w:pPr>
        <w:spacing w:line="276" w:lineRule="auto"/>
      </w:pPr>
      <w:r w:rsidRPr="009D4DA6">
        <w:t xml:space="preserve">De uitvoering en handhaving van de 30-jaarstermijn in de praktijk blijkt complex. </w:t>
      </w:r>
      <w:proofErr w:type="spellStart"/>
      <w:r w:rsidRPr="009D4DA6">
        <w:t>Panteia</w:t>
      </w:r>
      <w:proofErr w:type="spellEnd"/>
      <w:r w:rsidRPr="009D4DA6">
        <w:t xml:space="preserve"> stelt in 2019 vast dat het historieprobleem</w:t>
      </w:r>
      <w:r w:rsidRPr="009D4DA6">
        <w:rPr>
          <w:vertAlign w:val="superscript"/>
        </w:rPr>
        <w:footnoteReference w:id="27"/>
      </w:r>
      <w:r w:rsidRPr="009D4DA6">
        <w:t xml:space="preserve"> gevolgen heeft voor de handhaafbaarheid van de eigenwoningregeling. Over de uitvoering wordt in het rapport van </w:t>
      </w:r>
      <w:proofErr w:type="spellStart"/>
      <w:r w:rsidRPr="009D4DA6">
        <w:t>Panteia</w:t>
      </w:r>
      <w:proofErr w:type="spellEnd"/>
      <w:r w:rsidRPr="009D4DA6">
        <w:t xml:space="preserve"> het volgende gesteld:</w:t>
      </w:r>
    </w:p>
    <w:p w:rsidRPr="009D4DA6" w:rsidR="00FC1B25" w:rsidP="00FC1B25" w:rsidRDefault="00FC1B25" w14:paraId="55621B14" w14:textId="77777777">
      <w:pPr>
        <w:spacing w:line="276" w:lineRule="auto"/>
      </w:pPr>
    </w:p>
    <w:p w:rsidRPr="009D4DA6" w:rsidR="00FC1B25" w:rsidP="00FC1B25" w:rsidRDefault="00FC1B25" w14:paraId="2FB59F6A" w14:textId="77777777">
      <w:pPr>
        <w:spacing w:line="276" w:lineRule="auto"/>
      </w:pPr>
      <w:r w:rsidRPr="009D4DA6">
        <w:rPr>
          <w:i/>
          <w:iCs/>
        </w:rPr>
        <w:lastRenderedPageBreak/>
        <w:t>Op dit moment is er nog geen beleid voor handhaving van de 30-jaarstermijn. Vanaf 2031, als de eerste termijnen van 30 jaar aflopen, kan dat tot grote problemen gaan leiden.</w:t>
      </w:r>
    </w:p>
    <w:p w:rsidR="00FC1B25" w:rsidP="00FC1B25" w:rsidRDefault="00FC1B25" w14:paraId="65B1747B" w14:textId="77777777">
      <w:pPr>
        <w:spacing w:line="276" w:lineRule="auto"/>
        <w:rPr>
          <w:b/>
          <w:bCs/>
        </w:rPr>
      </w:pPr>
    </w:p>
    <w:p w:rsidRPr="00450BB7" w:rsidR="00FC1B25" w:rsidP="00FC1B25" w:rsidRDefault="00FC1B25" w14:paraId="63CE7DC1" w14:textId="77777777">
      <w:pPr>
        <w:spacing w:line="276" w:lineRule="auto"/>
      </w:pPr>
      <w:r>
        <w:rPr>
          <w:b/>
          <w:bCs/>
        </w:rPr>
        <w:t xml:space="preserve">Bij gebrek aan contra-informatie is de </w:t>
      </w:r>
      <w:r w:rsidR="000F5D84">
        <w:rPr>
          <w:b/>
          <w:bCs/>
        </w:rPr>
        <w:t xml:space="preserve">controle op en de handhaving van de </w:t>
      </w:r>
      <w:r>
        <w:rPr>
          <w:b/>
          <w:bCs/>
        </w:rPr>
        <w:t xml:space="preserve">30-jaarstermijn voor de Belastingdienst </w:t>
      </w:r>
      <w:r w:rsidR="000F5D84">
        <w:rPr>
          <w:b/>
          <w:bCs/>
        </w:rPr>
        <w:t>erg ingewikkeld</w:t>
      </w:r>
      <w:r>
        <w:rPr>
          <w:b/>
          <w:bCs/>
        </w:rPr>
        <w:t xml:space="preserve">. </w:t>
      </w:r>
      <w:r w:rsidRPr="001F2DF5">
        <w:t>Volgens de Belastingdienst is bij opeenvolgende aanpassingen aan de eigenwoningregeling vooral aandacht geweest voor het bereiken van beleidsdoelen. Er is geen sprake van eenvoudige en robuuste wetgeving</w:t>
      </w:r>
      <w:r w:rsidRPr="001F2DF5">
        <w:rPr>
          <w:rStyle w:val="Voetnootmarkering"/>
        </w:rPr>
        <w:footnoteReference w:id="28"/>
      </w:r>
      <w:r w:rsidR="002317F3">
        <w:t>.</w:t>
      </w:r>
      <w:r>
        <w:t xml:space="preserve"> Verder geeft de Belastingdienst aan dat voor het controleren van het juist toepassen van de 30-jaarstermijn veel informatie over het eigenwoningverleden van belastingplichtigen vereist is. Deze benodigde historische informatie is vaak niet </w:t>
      </w:r>
      <w:r w:rsidR="009017B1">
        <w:t xml:space="preserve">bijgehouden door </w:t>
      </w:r>
      <w:r>
        <w:t>de Belastingdienst.</w:t>
      </w:r>
      <w:r w:rsidR="009017B1">
        <w:t xml:space="preserve"> Tegelijkertijd hebben belastingplichtigen deze informatie ook niet altijd meer.</w:t>
      </w:r>
      <w:r>
        <w:t xml:space="preserve"> </w:t>
      </w:r>
      <w:r w:rsidR="00781FEA">
        <w:t>I</w:t>
      </w:r>
      <w:r>
        <w:t xml:space="preserve">n de selectielijsten voor de primaire processen van de Belastingdienst </w:t>
      </w:r>
      <w:r w:rsidR="00781FEA">
        <w:t>zijn eigenwoningschulden opgenomen, hiervoor geldt</w:t>
      </w:r>
      <w:r>
        <w:t xml:space="preserve"> een maximale bewaartermijn van 14 jaar.</w:t>
      </w:r>
      <w:r w:rsidRPr="00D90E23">
        <w:rPr>
          <w:vertAlign w:val="superscript"/>
        </w:rPr>
        <w:footnoteReference w:id="29"/>
      </w:r>
      <w:r>
        <w:t xml:space="preserve"> </w:t>
      </w:r>
      <w:r w:rsidR="009861C9">
        <w:t>Vanaf 2031</w:t>
      </w:r>
      <w:r>
        <w:t xml:space="preserve"> verwacht de Belastingdienst veel vragen van burgers die de eigenwoningregeling op juiste wijze willen toepassen maar niet over de volledige benodigde historische gegevens beschikken. </w:t>
      </w:r>
      <w:r w:rsidR="004A497B">
        <w:t>Zo zouden goedwillende belastingplichtigen die niet aannemelijk kunnen maken dat ze nog recht hebben op HRA een Belastingdienst tegen zich kunnen</w:t>
      </w:r>
      <w:r w:rsidR="00781FEA">
        <w:t xml:space="preserve"> </w:t>
      </w:r>
      <w:r w:rsidR="004A497B">
        <w:t>vinden die de HRA corrigeert.</w:t>
      </w:r>
      <w:r>
        <w:t xml:space="preserve"> </w:t>
      </w:r>
      <w:r w:rsidR="004A497B">
        <w:t>D</w:t>
      </w:r>
      <w:r w:rsidRPr="00450BB7">
        <w:t xml:space="preserve">at </w:t>
      </w:r>
      <w:r w:rsidR="004A497B">
        <w:t xml:space="preserve">opent </w:t>
      </w:r>
      <w:r>
        <w:t>mogelijk de deur naar</w:t>
      </w:r>
      <w:r w:rsidRPr="00D90E23">
        <w:t xml:space="preserve"> bezwaar- en beroepsprocedures</w:t>
      </w:r>
      <w:r w:rsidR="002317F3">
        <w:t xml:space="preserve"> en vormt dus een risico voor de belastingmoraal en de belastinginkomsten.</w:t>
      </w:r>
    </w:p>
    <w:p w:rsidR="00FC1B25" w:rsidP="00FC1B25" w:rsidRDefault="00FC1B25" w14:paraId="03BB449C" w14:textId="77777777">
      <w:pPr>
        <w:spacing w:line="276" w:lineRule="auto"/>
      </w:pPr>
    </w:p>
    <w:p w:rsidR="00FC1B25" w:rsidP="00FC1B25" w:rsidRDefault="00FC1B25" w14:paraId="4243D2F0" w14:textId="77777777">
      <w:pPr>
        <w:spacing w:line="276" w:lineRule="auto"/>
      </w:pPr>
      <w:r w:rsidRPr="001D7FE1">
        <w:rPr>
          <w:b/>
          <w:bCs/>
        </w:rPr>
        <w:t xml:space="preserve">Zelfs als contra-informatie beschikbaar zou zijn over de hoogte en de verstreken looptijd van </w:t>
      </w:r>
      <w:r w:rsidR="002421C4">
        <w:rPr>
          <w:b/>
          <w:bCs/>
        </w:rPr>
        <w:t>BEWS</w:t>
      </w:r>
      <w:r w:rsidRPr="001D7FE1">
        <w:rPr>
          <w:b/>
          <w:bCs/>
        </w:rPr>
        <w:t xml:space="preserve"> zijn er </w:t>
      </w:r>
      <w:r>
        <w:rPr>
          <w:b/>
          <w:bCs/>
        </w:rPr>
        <w:t>uitdagingen</w:t>
      </w:r>
      <w:r w:rsidRPr="001D7FE1">
        <w:rPr>
          <w:b/>
          <w:bCs/>
        </w:rPr>
        <w:t xml:space="preserve"> bij de </w:t>
      </w:r>
      <w:r>
        <w:rPr>
          <w:b/>
          <w:bCs/>
        </w:rPr>
        <w:t>handhaving</w:t>
      </w:r>
      <w:r w:rsidRPr="001D7FE1">
        <w:rPr>
          <w:b/>
          <w:bCs/>
        </w:rPr>
        <w:t xml:space="preserve"> van de 30-jaarstermijn</w:t>
      </w:r>
      <w:r>
        <w:t>. Vooral bij life</w:t>
      </w:r>
      <w:r w:rsidR="009861C9">
        <w:t xml:space="preserve"> </w:t>
      </w:r>
      <w:r>
        <w:t xml:space="preserve">events zoals trouwen, scheiden, overlijden, verhuizen of verbouwen. Ook kan in het verleden sprake zijn geweest van een situatie waarin de woning en de daarvoor aangegane schuld niet onder de eigenwoningregeling vielen. Die periode telt niet mee voor de 30-jaarstermijn. Ook kan op basis van gegevens over de hoogte en de verstreken looptijd van de aangegane schuld bij partners of bij meerdere schuldenaren niet meteen worden vastgesteld voor welk bedrag per belastingplichtige de 30-jaarstermijn al is verstreken. Daarvoor zijn ook gegevens nodig over de </w:t>
      </w:r>
      <w:r w:rsidR="00BB488E">
        <w:t xml:space="preserve">schuldverhouding en de </w:t>
      </w:r>
      <w:r>
        <w:t xml:space="preserve">eigendomsverhouding van de woning. Verder zijn er situaties waarin fiscaal partners weliswaar beiden eigenaar en schuldenaar zijn, maar de HRA in de bepaalde jaren bij één van beide partners in aanmerking is genomen. Bijvoorbeeld omdat de andere partner geen of een laag inkomen had. Voor zover er dan al aangiftegegevens beschikbaar zouden zijn, kan daaruit niet direct worden opgemaakt wat dan voor welke partner de reeds verstreken termijn ten aanzien van de 30-jaarstermijn is. </w:t>
      </w:r>
    </w:p>
    <w:p w:rsidR="00FC1B25" w:rsidP="00FC1B25" w:rsidRDefault="00FC1B25" w14:paraId="3F0018DB" w14:textId="77777777">
      <w:pPr>
        <w:spacing w:line="240" w:lineRule="auto"/>
      </w:pPr>
    </w:p>
    <w:p w:rsidR="00256D57" w:rsidP="00024AA1" w:rsidRDefault="00256D57" w14:paraId="01C650F8" w14:textId="77777777"/>
    <w:p w:rsidR="00FC1B25" w:rsidP="00FC1B25" w:rsidRDefault="00FC1B25" w14:paraId="301CF18B" w14:textId="77777777">
      <w:r w:rsidRPr="00DD7440">
        <w:rPr>
          <w:b/>
          <w:bCs/>
        </w:rPr>
        <w:t xml:space="preserve">Er kunnen stappen gezet worden om een completer beeld van het hypotheekverleden van belastingplichtigen in kaart te brengen, maar (een combinatie van) deze stappen zijn niet voldoende om de 30-jaarstermijn </w:t>
      </w:r>
      <w:r w:rsidRPr="00DD7440" w:rsidR="00024AA1">
        <w:rPr>
          <w:b/>
          <w:bCs/>
        </w:rPr>
        <w:t xml:space="preserve">op korte termijn </w:t>
      </w:r>
      <w:r w:rsidRPr="00DD7440" w:rsidR="002317F3">
        <w:rPr>
          <w:b/>
          <w:bCs/>
        </w:rPr>
        <w:t xml:space="preserve">beter </w:t>
      </w:r>
      <w:r w:rsidRPr="00DD7440">
        <w:rPr>
          <w:b/>
          <w:bCs/>
        </w:rPr>
        <w:t>handhaafbaar te maken.</w:t>
      </w:r>
      <w:r>
        <w:t xml:space="preserve"> Tabel 2 geeft een overzicht van de onderzochte maatregelen:</w:t>
      </w:r>
    </w:p>
    <w:p w:rsidR="00DD7440" w:rsidP="00FC1B25" w:rsidRDefault="00DD7440" w14:paraId="616B24DB" w14:textId="77777777"/>
    <w:p w:rsidR="00FC1B25" w:rsidP="00FC1B25" w:rsidRDefault="00FC1B25" w14:paraId="6671E1B6" w14:textId="77777777"/>
    <w:p w:rsidRPr="007D1C17" w:rsidR="00FC1B25" w:rsidP="00FC1B25" w:rsidRDefault="00FC1B25" w14:paraId="39ED027F" w14:textId="77777777">
      <w:pPr>
        <w:rPr>
          <w:b/>
          <w:bCs/>
          <w:sz w:val="16"/>
          <w:szCs w:val="16"/>
        </w:rPr>
      </w:pPr>
      <w:r w:rsidRPr="007049D3">
        <w:rPr>
          <w:b/>
          <w:bCs/>
          <w:sz w:val="16"/>
          <w:szCs w:val="16"/>
        </w:rPr>
        <w:lastRenderedPageBreak/>
        <w:t>Tabel 2 – Maatregelen om de 30-jaarstermijn beter uitvoerbaar te maken</w:t>
      </w:r>
    </w:p>
    <w:tbl>
      <w:tblPr>
        <w:tblStyle w:val="Onopgemaaktetabel4"/>
        <w:tblW w:w="0" w:type="auto"/>
        <w:tblLook w:val="04A0" w:firstRow="1" w:lastRow="0" w:firstColumn="1" w:lastColumn="0" w:noHBand="0" w:noVBand="1"/>
      </w:tblPr>
      <w:tblGrid>
        <w:gridCol w:w="3925"/>
        <w:gridCol w:w="3786"/>
      </w:tblGrid>
      <w:tr w:rsidRPr="007D1C17" w:rsidR="00FC1B25" w:rsidTr="00BF378C" w14:paraId="12B4E9F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156082" w:themeFill="accent1"/>
          </w:tcPr>
          <w:p w:rsidRPr="007D1C17" w:rsidR="00FC1B25" w:rsidP="00BF378C" w:rsidRDefault="00FC1B25" w14:paraId="548593E2" w14:textId="77777777">
            <w:pPr>
              <w:jc w:val="center"/>
              <w:rPr>
                <w:color w:val="FFFFFF" w:themeColor="background1"/>
                <w:sz w:val="22"/>
                <w:szCs w:val="24"/>
              </w:rPr>
            </w:pPr>
            <w:r w:rsidRPr="007D1C17">
              <w:rPr>
                <w:color w:val="FFFFFF" w:themeColor="background1"/>
                <w:sz w:val="22"/>
                <w:szCs w:val="24"/>
              </w:rPr>
              <w:t>Maatregel</w:t>
            </w:r>
          </w:p>
        </w:tc>
        <w:tc>
          <w:tcPr>
            <w:tcW w:w="4531" w:type="dxa"/>
            <w:shd w:val="clear" w:color="auto" w:fill="156082" w:themeFill="accent1"/>
          </w:tcPr>
          <w:p w:rsidRPr="007D1C17" w:rsidR="00FC1B25" w:rsidP="00BF378C" w:rsidRDefault="00FC1B25" w14:paraId="23872576" w14:textId="77777777">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4"/>
              </w:rPr>
            </w:pPr>
            <w:r w:rsidRPr="007D1C17">
              <w:rPr>
                <w:color w:val="FFFFFF" w:themeColor="background1"/>
                <w:sz w:val="22"/>
                <w:szCs w:val="24"/>
              </w:rPr>
              <w:t>Beperking</w:t>
            </w:r>
          </w:p>
        </w:tc>
      </w:tr>
      <w:tr w:rsidR="00FC1B25" w:rsidTr="00BF378C" w14:paraId="2E60B9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D9E8F0"/>
            <w:vAlign w:val="center"/>
          </w:tcPr>
          <w:p w:rsidRPr="005E4362" w:rsidR="00FC1B25" w:rsidP="00BF378C" w:rsidRDefault="00FC1B25" w14:paraId="4180C196" w14:textId="77777777">
            <w:pPr>
              <w:rPr>
                <w:b w:val="0"/>
                <w:bCs w:val="0"/>
              </w:rPr>
            </w:pPr>
            <w:r w:rsidRPr="005E4362">
              <w:t xml:space="preserve">Opzetten van een digitaal platform vergelijkbaar met het Uniform Pensioen </w:t>
            </w:r>
            <w:r w:rsidRPr="00B747D4">
              <w:t>Overzicht</w:t>
            </w:r>
            <w:r w:rsidRPr="005E4362">
              <w:t xml:space="preserve"> waar belastingplichtigen gegevens rond het hypotheekverleden kan inzien.</w:t>
            </w:r>
          </w:p>
        </w:tc>
        <w:tc>
          <w:tcPr>
            <w:tcW w:w="4531" w:type="dxa"/>
            <w:shd w:val="clear" w:color="auto" w:fill="D9E8F0"/>
            <w:vAlign w:val="center"/>
          </w:tcPr>
          <w:p w:rsidR="00FC1B25" w:rsidP="00BF378C" w:rsidRDefault="00FC1B25" w14:paraId="038F5FF4" w14:textId="77777777">
            <w:pPr>
              <w:cnfStyle w:val="000000100000" w:firstRow="0" w:lastRow="0" w:firstColumn="0" w:lastColumn="0" w:oddVBand="0" w:evenVBand="0" w:oddHBand="1" w:evenHBand="0" w:firstRowFirstColumn="0" w:firstRowLastColumn="0" w:lastRowFirstColumn="0" w:lastRowLastColumn="0"/>
            </w:pPr>
            <w:r>
              <w:t xml:space="preserve">Informatie uit het </w:t>
            </w:r>
            <w:r w:rsidRPr="005E4362">
              <w:rPr>
                <w:b/>
                <w:bCs/>
              </w:rPr>
              <w:t>verleden</w:t>
            </w:r>
            <w:r>
              <w:t xml:space="preserve"> is niet uitputtend beschikbaar en kan niet gecontroleerd worden. Daarmee is dit een maatregel die kan helpen richting de </w:t>
            </w:r>
            <w:r w:rsidRPr="005E4362">
              <w:rPr>
                <w:b/>
                <w:bCs/>
              </w:rPr>
              <w:t>toekomst</w:t>
            </w:r>
            <w:r>
              <w:t xml:space="preserve">, maar kan </w:t>
            </w:r>
            <w:r w:rsidR="002421C4">
              <w:t>d</w:t>
            </w:r>
            <w:r>
              <w:t>e huidige complexiteit niet wegnemen.</w:t>
            </w:r>
          </w:p>
        </w:tc>
      </w:tr>
      <w:tr w:rsidR="00FC1B25" w:rsidTr="00BF378C" w14:paraId="0A65DA7D" w14:textId="77777777">
        <w:tc>
          <w:tcPr>
            <w:cnfStyle w:val="001000000000" w:firstRow="0" w:lastRow="0" w:firstColumn="1" w:lastColumn="0" w:oddVBand="0" w:evenVBand="0" w:oddHBand="0" w:evenHBand="0" w:firstRowFirstColumn="0" w:firstRowLastColumn="0" w:lastRowFirstColumn="0" w:lastRowLastColumn="0"/>
            <w:tcW w:w="4531" w:type="dxa"/>
            <w:vAlign w:val="center"/>
          </w:tcPr>
          <w:p w:rsidRPr="005E4362" w:rsidR="00FC1B25" w:rsidP="00BF378C" w:rsidRDefault="00FC1B25" w14:paraId="4FBB52FA" w14:textId="77777777">
            <w:pPr>
              <w:rPr>
                <w:b w:val="0"/>
                <w:bCs w:val="0"/>
              </w:rPr>
            </w:pPr>
            <w:r w:rsidRPr="005E4362">
              <w:t>Mogelijkheid tot aanvragen van</w:t>
            </w:r>
            <w:r>
              <w:t xml:space="preserve"> een</w:t>
            </w:r>
            <w:r w:rsidRPr="005E4362">
              <w:t xml:space="preserve"> beschikking bij de Belastingdienst voor de resterende jaren van </w:t>
            </w:r>
            <w:r>
              <w:t>HRA</w:t>
            </w:r>
            <w:r w:rsidRPr="005E4362">
              <w:t xml:space="preserve"> voor verschillende </w:t>
            </w:r>
            <w:proofErr w:type="spellStart"/>
            <w:r w:rsidRPr="005E4362">
              <w:t>leningdelen</w:t>
            </w:r>
            <w:proofErr w:type="spellEnd"/>
            <w:r w:rsidRPr="005E4362">
              <w:t>.</w:t>
            </w:r>
          </w:p>
        </w:tc>
        <w:tc>
          <w:tcPr>
            <w:tcW w:w="4531" w:type="dxa"/>
            <w:vAlign w:val="center"/>
          </w:tcPr>
          <w:p w:rsidRPr="00DC15F5" w:rsidR="00FC1B25" w:rsidP="00BF378C" w:rsidRDefault="00FC1B25" w14:paraId="606B2B38" w14:textId="77777777">
            <w:pPr>
              <w:cnfStyle w:val="000000000000" w:firstRow="0" w:lastRow="0" w:firstColumn="0" w:lastColumn="0" w:oddVBand="0" w:evenVBand="0" w:oddHBand="0" w:evenHBand="0" w:firstRowFirstColumn="0" w:firstRowLastColumn="0" w:lastRowFirstColumn="0" w:lastRowLastColumn="0"/>
            </w:pPr>
            <w:r>
              <w:t xml:space="preserve">De Belastingdienst heeft geen informatie beschikbaar van voor 2013. Het </w:t>
            </w:r>
            <w:r w:rsidRPr="005E4362">
              <w:rPr>
                <w:b/>
                <w:bCs/>
                <w:i/>
                <w:iCs/>
              </w:rPr>
              <w:t>historieprobleem</w:t>
            </w:r>
            <w:r>
              <w:t xml:space="preserve"> blijft daarmee bestaan.</w:t>
            </w:r>
          </w:p>
        </w:tc>
      </w:tr>
      <w:tr w:rsidR="00FC1B25" w:rsidTr="00BF378C" w14:paraId="29F8FE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D9E8F0"/>
            <w:vAlign w:val="center"/>
          </w:tcPr>
          <w:p w:rsidRPr="005E4362" w:rsidR="00FC1B25" w:rsidP="00BF378C" w:rsidRDefault="00FC1B25" w14:paraId="007BAA68" w14:textId="77777777">
            <w:pPr>
              <w:rPr>
                <w:b w:val="0"/>
                <w:bCs w:val="0"/>
              </w:rPr>
            </w:pPr>
            <w:r w:rsidRPr="005E4362">
              <w:t>Meer gegevens met betrekking tot het eigenwoningverleden uitvragen in de aangifte.</w:t>
            </w:r>
          </w:p>
        </w:tc>
        <w:tc>
          <w:tcPr>
            <w:tcW w:w="4531" w:type="dxa"/>
            <w:shd w:val="clear" w:color="auto" w:fill="D9E8F0"/>
            <w:vAlign w:val="center"/>
          </w:tcPr>
          <w:p w:rsidR="00FC1B25" w:rsidP="00BF378C" w:rsidRDefault="00FC1B25" w14:paraId="234505B7" w14:textId="77777777">
            <w:pPr>
              <w:cnfStyle w:val="000000100000" w:firstRow="0" w:lastRow="0" w:firstColumn="0" w:lastColumn="0" w:oddVBand="0" w:evenVBand="0" w:oddHBand="1" w:evenHBand="0" w:firstRowFirstColumn="0" w:firstRowLastColumn="0" w:lastRowFirstColumn="0" w:lastRowLastColumn="0"/>
            </w:pPr>
            <w:r>
              <w:t xml:space="preserve">Dit kan alleen werken naar de </w:t>
            </w:r>
            <w:r w:rsidRPr="005E4362">
              <w:rPr>
                <w:b/>
                <w:bCs/>
              </w:rPr>
              <w:t>toekomst</w:t>
            </w:r>
            <w:r>
              <w:t xml:space="preserve"> toe. Zekerheid bij burger en Belastingdienst bestaat alleen over de </w:t>
            </w:r>
            <w:r w:rsidRPr="005E4362">
              <w:rPr>
                <w:b/>
                <w:bCs/>
              </w:rPr>
              <w:t>situatie</w:t>
            </w:r>
            <w:r>
              <w:rPr>
                <w:b/>
                <w:bCs/>
              </w:rPr>
              <w:t xml:space="preserve"> vanaf dat moment</w:t>
            </w:r>
            <w:r w:rsidRPr="005E4362">
              <w:rPr>
                <w:b/>
                <w:bCs/>
              </w:rPr>
              <w:t>.</w:t>
            </w:r>
          </w:p>
        </w:tc>
      </w:tr>
      <w:tr w:rsidR="00FC1B25" w:rsidTr="00BF378C" w14:paraId="21344A75" w14:textId="77777777">
        <w:tc>
          <w:tcPr>
            <w:cnfStyle w:val="001000000000" w:firstRow="0" w:lastRow="0" w:firstColumn="1" w:lastColumn="0" w:oddVBand="0" w:evenVBand="0" w:oddHBand="0" w:evenHBand="0" w:firstRowFirstColumn="0" w:firstRowLastColumn="0" w:lastRowFirstColumn="0" w:lastRowLastColumn="0"/>
            <w:tcW w:w="4531" w:type="dxa"/>
            <w:vAlign w:val="center"/>
          </w:tcPr>
          <w:p w:rsidRPr="005E4362" w:rsidR="00FC1B25" w:rsidP="00BF378C" w:rsidRDefault="00FC1B25" w14:paraId="503D8D49" w14:textId="77777777">
            <w:pPr>
              <w:rPr>
                <w:b w:val="0"/>
                <w:bCs w:val="0"/>
              </w:rPr>
            </w:pPr>
            <w:r w:rsidRPr="005E4362">
              <w:t>Meer gebruik maken van broninformatie van andere partijen zodat dit meegenomen kan worden in de vooraf ingevulde aangifte. Bijvoorbeeld het Kadaster.</w:t>
            </w:r>
          </w:p>
        </w:tc>
        <w:tc>
          <w:tcPr>
            <w:tcW w:w="4531" w:type="dxa"/>
            <w:vAlign w:val="center"/>
          </w:tcPr>
          <w:p w:rsidR="00FC1B25" w:rsidP="00BF378C" w:rsidRDefault="00FC1B25" w14:paraId="64621108" w14:textId="77777777">
            <w:pPr>
              <w:cnfStyle w:val="000000000000" w:firstRow="0" w:lastRow="0" w:firstColumn="0" w:lastColumn="0" w:oddVBand="0" w:evenVBand="0" w:oddHBand="0" w:evenHBand="0" w:firstRowFirstColumn="0" w:firstRowLastColumn="0" w:lastRowFirstColumn="0" w:lastRowLastColumn="0"/>
            </w:pPr>
            <w:r w:rsidRPr="00DC15F5">
              <w:t xml:space="preserve">Deze informatie </w:t>
            </w:r>
            <w:r>
              <w:t>is</w:t>
            </w:r>
            <w:r w:rsidRPr="00DC15F5">
              <w:t xml:space="preserve"> onvoldoende specifiek, omdat alleen notariële vastleggingen bekend zijn bij het Kadaster en niet aanvullende leningen voor bijv. verbouwingen</w:t>
            </w:r>
            <w:r>
              <w:t xml:space="preserve">. </w:t>
            </w:r>
            <w:r w:rsidRPr="00422A15">
              <w:rPr>
                <w:b/>
                <w:bCs/>
              </w:rPr>
              <w:t>Leningen bij niet-administratieplichtigen blijven ook buiten beeld</w:t>
            </w:r>
            <w:r>
              <w:t xml:space="preserve">, terwijl deze een waarde van </w:t>
            </w:r>
            <w:proofErr w:type="gramStart"/>
            <w:r>
              <w:t>circa</w:t>
            </w:r>
            <w:proofErr w:type="gramEnd"/>
            <w:r>
              <w:t xml:space="preserve"> € 70 miljard vertegenwoordigen.</w:t>
            </w:r>
          </w:p>
        </w:tc>
      </w:tr>
      <w:tr w:rsidR="00FC1B25" w:rsidTr="00BF378C" w14:paraId="353671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D9E8F0"/>
            <w:vAlign w:val="center"/>
          </w:tcPr>
          <w:p w:rsidRPr="005E4362" w:rsidR="00FC1B25" w:rsidP="00BF378C" w:rsidRDefault="00FC1B25" w14:paraId="6E192937" w14:textId="77777777">
            <w:pPr>
              <w:rPr>
                <w:b w:val="0"/>
                <w:bCs w:val="0"/>
              </w:rPr>
            </w:pPr>
            <w:r w:rsidRPr="005E4362">
              <w:t>Uitbreiding van renseigneringsverplichting van geldverstrekker</w:t>
            </w:r>
            <w:r>
              <w:t>s</w:t>
            </w:r>
            <w:r w:rsidRPr="005E4362">
              <w:t xml:space="preserve"> zodat de looptijd van een lening gebruikt kan worden in vooraf ingevulde aangifte</w:t>
            </w:r>
            <w:r>
              <w:t>n.</w:t>
            </w:r>
          </w:p>
        </w:tc>
        <w:tc>
          <w:tcPr>
            <w:tcW w:w="4531" w:type="dxa"/>
            <w:shd w:val="clear" w:color="auto" w:fill="D9E8F0"/>
            <w:vAlign w:val="center"/>
          </w:tcPr>
          <w:p w:rsidR="00FC1B25" w:rsidP="00BF378C" w:rsidRDefault="00FC1B25" w14:paraId="564F2475" w14:textId="77777777">
            <w:pPr>
              <w:cnfStyle w:val="000000100000" w:firstRow="0" w:lastRow="0" w:firstColumn="0" w:lastColumn="0" w:oddVBand="0" w:evenVBand="0" w:oddHBand="1" w:evenHBand="0" w:firstRowFirstColumn="0" w:firstRowLastColumn="0" w:lastRowFirstColumn="0" w:lastRowLastColumn="0"/>
            </w:pPr>
            <w:r w:rsidRPr="00DC15F5">
              <w:t>Hieruit volgt alleen de informatie van nog lopende leningen. Het renteaftrekverleden bij een andere geldverstrekker wordt niet inzichtelijk</w:t>
            </w:r>
            <w:r w:rsidRPr="005E4362">
              <w:rPr>
                <w:b/>
                <w:bCs/>
              </w:rPr>
              <w:t>. E.e.a. leidt niet tot een compleet beeld</w:t>
            </w:r>
            <w:r w:rsidRPr="00DC15F5">
              <w:t>, hetgeen belastingplichtigen dan mogelijk wel verwachten. Dat is ongewenst.</w:t>
            </w:r>
            <w:r>
              <w:t xml:space="preserve"> Onduidelijkheid </w:t>
            </w:r>
            <w:proofErr w:type="gramStart"/>
            <w:r>
              <w:t>omtrent</w:t>
            </w:r>
            <w:proofErr w:type="gramEnd"/>
            <w:r>
              <w:t xml:space="preserve"> leningen bij niet-administratieplichtigen blijft bestaan.</w:t>
            </w:r>
          </w:p>
        </w:tc>
      </w:tr>
      <w:tr w:rsidR="00FC1B25" w:rsidTr="00BF378C" w14:paraId="44263E58" w14:textId="77777777">
        <w:tc>
          <w:tcPr>
            <w:cnfStyle w:val="001000000000" w:firstRow="0" w:lastRow="0" w:firstColumn="1" w:lastColumn="0" w:oddVBand="0" w:evenVBand="0" w:oddHBand="0" w:evenHBand="0" w:firstRowFirstColumn="0" w:firstRowLastColumn="0" w:lastRowFirstColumn="0" w:lastRowLastColumn="0"/>
            <w:tcW w:w="4531" w:type="dxa"/>
            <w:vAlign w:val="center"/>
          </w:tcPr>
          <w:p w:rsidRPr="005E4362" w:rsidR="00FC1B25" w:rsidP="00BF378C" w:rsidRDefault="00FC1B25" w14:paraId="04AEE7EC" w14:textId="77777777">
            <w:pPr>
              <w:rPr>
                <w:b w:val="0"/>
                <w:bCs w:val="0"/>
              </w:rPr>
            </w:pPr>
            <w:r w:rsidRPr="005E4362">
              <w:t>Het opbouwen van een</w:t>
            </w:r>
            <w:r>
              <w:t xml:space="preserve"> HRA-</w:t>
            </w:r>
            <w:r w:rsidRPr="005E4362">
              <w:t>register over het eigenwoningverleden.</w:t>
            </w:r>
          </w:p>
        </w:tc>
        <w:tc>
          <w:tcPr>
            <w:tcW w:w="4531" w:type="dxa"/>
            <w:vAlign w:val="center"/>
          </w:tcPr>
          <w:p w:rsidRPr="00DC15F5" w:rsidR="00FC1B25" w:rsidP="00BF378C" w:rsidRDefault="00FC1B25" w14:paraId="4503F6F7" w14:textId="77777777">
            <w:pPr>
              <w:cnfStyle w:val="000000000000" w:firstRow="0" w:lastRow="0" w:firstColumn="0" w:lastColumn="0" w:oddVBand="0" w:evenVBand="0" w:oddHBand="0" w:evenHBand="0" w:firstRowFirstColumn="0" w:firstRowLastColumn="0" w:lastRowFirstColumn="0" w:lastRowLastColumn="0"/>
            </w:pPr>
            <w:r w:rsidRPr="00964CCD">
              <w:t xml:space="preserve">De informatie om het register te vullen is niet/onvoldoende beschikbaar naar het verleden toe. Is alleen een optie als er gekozen wordt voor een </w:t>
            </w:r>
            <w:r w:rsidRPr="005E4362">
              <w:rPr>
                <w:b/>
                <w:bCs/>
              </w:rPr>
              <w:t>nieuwe nulmeting</w:t>
            </w:r>
            <w:r w:rsidRPr="00964CCD">
              <w:t>.</w:t>
            </w:r>
          </w:p>
        </w:tc>
      </w:tr>
      <w:tr w:rsidR="00FC1B25" w:rsidTr="00BF378C" w14:paraId="74D40C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D9E8F0"/>
            <w:vAlign w:val="center"/>
          </w:tcPr>
          <w:p w:rsidRPr="005E4362" w:rsidR="00FC1B25" w:rsidP="00BF378C" w:rsidRDefault="00FC1B25" w14:paraId="0A327CEE" w14:textId="77777777">
            <w:pPr>
              <w:rPr>
                <w:b w:val="0"/>
                <w:bCs w:val="0"/>
              </w:rPr>
            </w:pPr>
            <w:r w:rsidRPr="005E4362">
              <w:t>Een wijzigingsvoorstel laten indienen door de Belastingdienst voor de selectielijsten op basis van de Archiefwet, om informatie over oude jaren te mogen bewaren in het kader van controle en handhaving.</w:t>
            </w:r>
          </w:p>
        </w:tc>
        <w:tc>
          <w:tcPr>
            <w:tcW w:w="4531" w:type="dxa"/>
            <w:shd w:val="clear" w:color="auto" w:fill="D9E8F0"/>
            <w:vAlign w:val="center"/>
          </w:tcPr>
          <w:p w:rsidRPr="00964CCD" w:rsidR="00FC1B25" w:rsidP="00BF378C" w:rsidRDefault="00FC1B25" w14:paraId="4DEF6A76" w14:textId="77777777">
            <w:pPr>
              <w:cnfStyle w:val="000000100000" w:firstRow="0" w:lastRow="0" w:firstColumn="0" w:lastColumn="0" w:oddVBand="0" w:evenVBand="0" w:oddHBand="1" w:evenHBand="0" w:firstRowFirstColumn="0" w:firstRowLastColumn="0" w:lastRowFirstColumn="0" w:lastRowLastColumn="0"/>
            </w:pPr>
            <w:r w:rsidRPr="00964CCD">
              <w:t xml:space="preserve">Dit doet alleen iets naar de </w:t>
            </w:r>
            <w:r w:rsidRPr="005E4362">
              <w:rPr>
                <w:b/>
                <w:bCs/>
              </w:rPr>
              <w:t>toekomst</w:t>
            </w:r>
            <w:r w:rsidRPr="00964CCD">
              <w:t xml:space="preserve"> </w:t>
            </w:r>
            <w:r>
              <w:t>toe en helpt niet bij het oplossen van de huidige problemen. Een dergelijk wijzigingsvoorstel helpt ook bij de controle en handhaving bij leningen die aan de aflossingseis voldoen.</w:t>
            </w:r>
          </w:p>
        </w:tc>
      </w:tr>
      <w:tr w:rsidR="00FC1B25" w:rsidTr="00BF378C" w14:paraId="78CF3F37" w14:textId="77777777">
        <w:tc>
          <w:tcPr>
            <w:cnfStyle w:val="001000000000" w:firstRow="0" w:lastRow="0" w:firstColumn="1" w:lastColumn="0" w:oddVBand="0" w:evenVBand="0" w:oddHBand="0" w:evenHBand="0" w:firstRowFirstColumn="0" w:firstRowLastColumn="0" w:lastRowFirstColumn="0" w:lastRowLastColumn="0"/>
            <w:tcW w:w="4531" w:type="dxa"/>
            <w:shd w:val="clear" w:color="auto" w:fill="auto"/>
            <w:vAlign w:val="center"/>
          </w:tcPr>
          <w:p w:rsidRPr="008A6BA9" w:rsidR="00FC1B25" w:rsidP="00BF378C" w:rsidRDefault="00FC1B25" w14:paraId="0601CF8D" w14:textId="77777777">
            <w:pPr>
              <w:rPr>
                <w:b w:val="0"/>
                <w:bCs w:val="0"/>
              </w:rPr>
            </w:pPr>
            <w:r>
              <w:t>Een grote publiekscampagne die meer bewustwording creëert.</w:t>
            </w:r>
          </w:p>
        </w:tc>
        <w:tc>
          <w:tcPr>
            <w:tcW w:w="4531" w:type="dxa"/>
            <w:shd w:val="clear" w:color="auto" w:fill="auto"/>
            <w:vAlign w:val="center"/>
          </w:tcPr>
          <w:p w:rsidRPr="00964CCD" w:rsidR="00FC1B25" w:rsidP="00BF378C" w:rsidRDefault="00FC1B25" w14:paraId="0E83FEB6" w14:textId="77777777">
            <w:pPr>
              <w:cnfStyle w:val="000000000000" w:firstRow="0" w:lastRow="0" w:firstColumn="0" w:lastColumn="0" w:oddVBand="0" w:evenVBand="0" w:oddHBand="0" w:evenHBand="0" w:firstRowFirstColumn="0" w:firstRowLastColumn="0" w:lastRowFirstColumn="0" w:lastRowLastColumn="0"/>
            </w:pPr>
            <w:r w:rsidRPr="00422A15">
              <w:rPr>
                <w:b/>
                <w:bCs/>
              </w:rPr>
              <w:t>Lost het probleem niet op</w:t>
            </w:r>
            <w:r>
              <w:t xml:space="preserve"> dat individuele burgers vaak niet zullen beschikken over alle relevante informatie om hun hypotheekverleden inzichtelijk te maken.</w:t>
            </w:r>
          </w:p>
        </w:tc>
      </w:tr>
    </w:tbl>
    <w:p w:rsidR="00FC1B25" w:rsidP="00FC1B25" w:rsidRDefault="00FC1B25" w14:paraId="41B91C8A" w14:textId="77777777"/>
    <w:bookmarkEnd w:id="24"/>
    <w:bookmarkEnd w:id="25"/>
    <w:p w:rsidR="00AD3A32" w:rsidRDefault="00AD3A32" w14:paraId="7588A1D6" w14:textId="77777777"/>
    <w:p w:rsidR="00FF3304" w:rsidP="00FF3304" w:rsidRDefault="00FF3304" w14:paraId="15B5886E" w14:textId="77777777"/>
    <w:p w:rsidR="00973568" w:rsidP="00973568" w:rsidRDefault="00973568" w14:paraId="703F96D6" w14:textId="77777777">
      <w:pPr>
        <w:pStyle w:val="Kop1"/>
      </w:pPr>
      <w:bookmarkStart w:name="_Toc222756876" w:id="26"/>
      <w:bookmarkStart w:name="_Toc226640259" w:id="27"/>
      <w:r>
        <w:lastRenderedPageBreak/>
        <w:t>Mogelijke oplossingsrichtingen</w:t>
      </w:r>
      <w:bookmarkEnd w:id="26"/>
      <w:bookmarkEnd w:id="27"/>
    </w:p>
    <w:p w:rsidR="00411F58" w:rsidP="00411F58" w:rsidRDefault="00411F58" w14:paraId="528A7665" w14:textId="77777777">
      <w:pPr>
        <w:spacing w:line="276" w:lineRule="auto"/>
      </w:pPr>
      <w:r w:rsidRPr="0062752C">
        <w:rPr>
          <w:b/>
          <w:bCs/>
        </w:rPr>
        <w:t>Bij het vinden van een oplossingsrichting geldt als uitgangspunt dat de oplossing duidelijk</w:t>
      </w:r>
      <w:r>
        <w:rPr>
          <w:b/>
          <w:bCs/>
        </w:rPr>
        <w:t>heid</w:t>
      </w:r>
      <w:r w:rsidRPr="0062752C">
        <w:rPr>
          <w:b/>
          <w:bCs/>
        </w:rPr>
        <w:t xml:space="preserve"> biedt</w:t>
      </w:r>
      <w:r w:rsidR="00DD7440">
        <w:rPr>
          <w:b/>
          <w:bCs/>
        </w:rPr>
        <w:t xml:space="preserve"> aan belastingplichtigen en financieel adviseurs</w:t>
      </w:r>
      <w:r w:rsidRPr="0062752C">
        <w:rPr>
          <w:b/>
          <w:bCs/>
        </w:rPr>
        <w:t>, de complexiteit wegneemt en niet verschuift.</w:t>
      </w:r>
      <w:r>
        <w:t xml:space="preserve"> Daarnaast is het wenselijk om de oorspronkelijke doelstelling van de 30-jaarstermijn voor ogen te blijven houden – het stimuleren van aflossing en beperken van de budgettaire derving.</w:t>
      </w:r>
    </w:p>
    <w:p w:rsidR="00411F58" w:rsidP="00411F58" w:rsidRDefault="00411F58" w14:paraId="24ECD4D6" w14:textId="77777777">
      <w:pPr>
        <w:spacing w:line="276" w:lineRule="auto"/>
      </w:pPr>
    </w:p>
    <w:p w:rsidR="0028068D" w:rsidP="0028068D" w:rsidRDefault="0028068D" w14:paraId="2CADEEE9" w14:textId="77777777">
      <w:pPr>
        <w:spacing w:line="276" w:lineRule="auto"/>
      </w:pPr>
      <w:r>
        <w:t>Zoals in het vorige hoofdstuk uiteengezet liggen de grootste knelpunten van de 30-jaarstermijn bij de BEWS (hypotheken die zijn afgesloten v</w:t>
      </w:r>
      <w:r w:rsidR="00570D44">
        <w:t>óó</w:t>
      </w:r>
      <w:r>
        <w:t xml:space="preserve">r 2013). De BEWS kunnen uitgesplitst worden in vier categorieën: </w:t>
      </w:r>
    </w:p>
    <w:p w:rsidR="0028068D" w:rsidP="00024AA1" w:rsidRDefault="0028068D" w14:paraId="27B319F7" w14:textId="77777777">
      <w:pPr>
        <w:pStyle w:val="Lijstalinea"/>
        <w:numPr>
          <w:ilvl w:val="0"/>
          <w:numId w:val="49"/>
        </w:numPr>
        <w:spacing w:line="276" w:lineRule="auto"/>
      </w:pPr>
      <w:proofErr w:type="gramStart"/>
      <w:r>
        <w:t>aflossingsvrije</w:t>
      </w:r>
      <w:proofErr w:type="gramEnd"/>
      <w:r>
        <w:t xml:space="preserve"> hypotheken;</w:t>
      </w:r>
    </w:p>
    <w:p w:rsidR="0028068D" w:rsidP="00024AA1" w:rsidRDefault="0028068D" w14:paraId="1CF7F0D9" w14:textId="77777777">
      <w:pPr>
        <w:pStyle w:val="Lijstalinea"/>
        <w:numPr>
          <w:ilvl w:val="0"/>
          <w:numId w:val="49"/>
        </w:numPr>
        <w:spacing w:line="276" w:lineRule="auto"/>
      </w:pPr>
      <w:proofErr w:type="gramStart"/>
      <w:r>
        <w:t>aflossingsvrije</w:t>
      </w:r>
      <w:proofErr w:type="gramEnd"/>
      <w:r>
        <w:t xml:space="preserve"> hypotheken, waarbij ook een spaar-, beleggings- of verzekeringsproduct is afgesloten dat aan het einde van de looptijd deze hypotheek </w:t>
      </w:r>
      <w:r w:rsidR="009861C9">
        <w:t>(deels)</w:t>
      </w:r>
      <w:r>
        <w:t xml:space="preserve"> aflost;</w:t>
      </w:r>
    </w:p>
    <w:p w:rsidR="0028068D" w:rsidP="00024AA1" w:rsidRDefault="0028068D" w14:paraId="6EDF7FAF" w14:textId="77777777">
      <w:pPr>
        <w:pStyle w:val="Lijstalinea"/>
        <w:numPr>
          <w:ilvl w:val="0"/>
          <w:numId w:val="49"/>
        </w:numPr>
        <w:spacing w:line="276" w:lineRule="auto"/>
      </w:pPr>
      <w:proofErr w:type="gramStart"/>
      <w:r>
        <w:t>aflossingsvrije</w:t>
      </w:r>
      <w:proofErr w:type="gramEnd"/>
      <w:r>
        <w:t xml:space="preserve"> hypotheken die inmiddels zijn omgezet in leningen die voldoen aan de </w:t>
      </w:r>
      <w:r w:rsidR="00137B74">
        <w:t xml:space="preserve">fiscale </w:t>
      </w:r>
      <w:r>
        <w:t>aflossingseis;</w:t>
      </w:r>
    </w:p>
    <w:p w:rsidR="0028068D" w:rsidP="00024AA1" w:rsidRDefault="0028068D" w14:paraId="0F324806" w14:textId="77777777">
      <w:pPr>
        <w:pStyle w:val="Lijstalinea"/>
        <w:numPr>
          <w:ilvl w:val="0"/>
          <w:numId w:val="49"/>
        </w:numPr>
        <w:spacing w:line="276" w:lineRule="auto"/>
      </w:pPr>
      <w:proofErr w:type="gramStart"/>
      <w:r>
        <w:t>leningen</w:t>
      </w:r>
      <w:proofErr w:type="gramEnd"/>
      <w:r>
        <w:t xml:space="preserve"> die v</w:t>
      </w:r>
      <w:r w:rsidR="00570D44">
        <w:t>óó</w:t>
      </w:r>
      <w:r>
        <w:t xml:space="preserve">r 2013 zijn afgesloten en voldoen aan de </w:t>
      </w:r>
      <w:r w:rsidR="00137B74">
        <w:t xml:space="preserve">fiscale </w:t>
      </w:r>
      <w:r>
        <w:t>aflossingseis.</w:t>
      </w:r>
    </w:p>
    <w:p w:rsidR="0028068D" w:rsidP="0028068D" w:rsidRDefault="0028068D" w14:paraId="1701D3F1" w14:textId="77777777">
      <w:pPr>
        <w:spacing w:line="276" w:lineRule="auto"/>
      </w:pPr>
    </w:p>
    <w:p w:rsidR="004A666F" w:rsidP="0028068D" w:rsidRDefault="004A666F" w14:paraId="3C2C7C26" w14:textId="77777777">
      <w:pPr>
        <w:spacing w:line="276" w:lineRule="auto"/>
      </w:pPr>
    </w:p>
    <w:p w:rsidR="0028068D" w:rsidP="0028068D" w:rsidRDefault="0028068D" w14:paraId="11A38F1B" w14:textId="77777777">
      <w:pPr>
        <w:spacing w:line="276" w:lineRule="auto"/>
      </w:pPr>
      <w:r>
        <w:t xml:space="preserve">De knelpunten van de 30-jaarstermijn spitsen zich met name toe op categorie (1) aflossingsvrije hypotheken en categorie (3) aflossingsvrije hypotheken die inmiddels zijn omgezet in leningen die voldoen aan de </w:t>
      </w:r>
      <w:r w:rsidR="00137B74">
        <w:t xml:space="preserve">fiscale </w:t>
      </w:r>
      <w:r>
        <w:t>aflossingseis. Bij deze hypotheken is niet goed meer te achterhalen hoelang er nog recht op HRA bestaat. Bij de andere twee categorieën is</w:t>
      </w:r>
      <w:r w:rsidR="00024AA1">
        <w:t xml:space="preserve"> doorgaans</w:t>
      </w:r>
      <w:r>
        <w:t xml:space="preserve"> gewaarborgd dat binnen 30 jaar de lening wordt afgelost. Bij het zoeken naar oplossingsrichtingen wordt </w:t>
      </w:r>
      <w:r w:rsidR="00024AA1">
        <w:t>aangenomen dat h</w:t>
      </w:r>
      <w:r>
        <w:t>istorische gegevens</w:t>
      </w:r>
      <w:r w:rsidR="00024AA1">
        <w:t xml:space="preserve"> onvoldoende beschikbaar zijn. </w:t>
      </w:r>
      <w:r w:rsidRPr="00024AA1" w:rsidR="00024AA1">
        <w:rPr>
          <w:b/>
          <w:bCs/>
        </w:rPr>
        <w:t xml:space="preserve">Daarom wordt in </w:t>
      </w:r>
      <w:r w:rsidRPr="00024AA1">
        <w:rPr>
          <w:b/>
          <w:bCs/>
        </w:rPr>
        <w:t>alle oplossingsrichtingen</w:t>
      </w:r>
      <w:r w:rsidR="000F5D84">
        <w:rPr>
          <w:b/>
          <w:bCs/>
        </w:rPr>
        <w:t xml:space="preserve"> </w:t>
      </w:r>
      <w:r w:rsidRPr="00024AA1">
        <w:rPr>
          <w:b/>
          <w:bCs/>
        </w:rPr>
        <w:t>voorgesteld om de 30-jaarstermijn te laten vervallen</w:t>
      </w:r>
      <w:r w:rsidR="002B1FD0">
        <w:rPr>
          <w:b/>
          <w:bCs/>
        </w:rPr>
        <w:t xml:space="preserve"> </w:t>
      </w:r>
      <w:r w:rsidR="009017B1">
        <w:rPr>
          <w:b/>
          <w:bCs/>
        </w:rPr>
        <w:t>voor BEWS</w:t>
      </w:r>
      <w:r w:rsidRPr="00024AA1">
        <w:rPr>
          <w:b/>
          <w:bCs/>
        </w:rPr>
        <w:t>.</w:t>
      </w:r>
      <w:r w:rsidR="009017B1">
        <w:rPr>
          <w:rStyle w:val="Voetnootmarkering"/>
          <w:b/>
          <w:bCs/>
        </w:rPr>
        <w:footnoteReference w:id="30"/>
      </w:r>
      <w:r w:rsidRPr="00024AA1">
        <w:rPr>
          <w:b/>
          <w:bCs/>
        </w:rPr>
        <w:t xml:space="preserve"> </w:t>
      </w:r>
    </w:p>
    <w:p w:rsidR="0028068D" w:rsidP="0028068D" w:rsidRDefault="0028068D" w14:paraId="4AB5B55B" w14:textId="77777777">
      <w:pPr>
        <w:spacing w:line="276" w:lineRule="auto"/>
      </w:pPr>
    </w:p>
    <w:p w:rsidR="0028068D" w:rsidP="0028068D" w:rsidRDefault="0028068D" w14:paraId="37FB46E4" w14:textId="77777777">
      <w:pPr>
        <w:spacing w:line="276" w:lineRule="auto"/>
      </w:pPr>
      <w:r w:rsidRPr="00422A15">
        <w:rPr>
          <w:b/>
          <w:bCs/>
        </w:rPr>
        <w:t>Een van de oplossingsrichtingen is het uitsluiten van HRA in box 1</w:t>
      </w:r>
      <w:r w:rsidRPr="00422A15" w:rsidR="00024AA1">
        <w:rPr>
          <w:b/>
          <w:bCs/>
        </w:rPr>
        <w:t xml:space="preserve"> </w:t>
      </w:r>
      <w:r w:rsidRPr="00422A15">
        <w:rPr>
          <w:b/>
          <w:bCs/>
        </w:rPr>
        <w:t>voor alle BEWS.</w:t>
      </w:r>
      <w:r>
        <w:t xml:space="preserve"> In de fiches is dit uitgewerkt </w:t>
      </w:r>
      <w:r w:rsidR="004A497B">
        <w:t>met</w:t>
      </w:r>
      <w:r>
        <w:t xml:space="preserve"> </w:t>
      </w:r>
      <w:r w:rsidR="00486BBD">
        <w:t>uitsluiten per</w:t>
      </w:r>
      <w:r>
        <w:t xml:space="preserve"> 2031 (fiche 1A) en</w:t>
      </w:r>
      <w:r w:rsidR="00486BBD">
        <w:t xml:space="preserve"> uitsluiten per</w:t>
      </w:r>
      <w:r>
        <w:t xml:space="preserve"> 2043 (fiche 2A).  Deze oplossingsrichting betekent dat alle BEWS vanaf het gekozen jaar niet meer voor HRA in box 1 in aanmerking komen, maar in box 3 in aanmerking worden genomen. Tot het moment van uitsluiten komen de BEWS wel in aanmerking voor HRA in box 1, ook als de 30-jaarstermijn al is verlopen. Om te voorkomen dat BEWS alsnog in box 1 in aanmerking genomen kunnen worden, is het noodzakelijk deze leningen te oormerken als verplichte box 3-schuld (box 3-EWL). </w:t>
      </w:r>
      <w:r w:rsidR="009017B1">
        <w:t>Als deze box 3-EWL wordt afgelost vervalt deze en kan bij de aankoop van een nieuwe woning voor het betreffende bedrag weer een eigenwoningschuld worden afgesloten</w:t>
      </w:r>
      <w:r w:rsidR="00A10A1F">
        <w:t xml:space="preserve"> (na toepassing van de </w:t>
      </w:r>
      <w:proofErr w:type="spellStart"/>
      <w:r w:rsidR="00A10A1F">
        <w:t>bijleenregeling</w:t>
      </w:r>
      <w:proofErr w:type="spellEnd"/>
      <w:r w:rsidR="00A10A1F">
        <w:t>)</w:t>
      </w:r>
      <w:r w:rsidR="009017B1">
        <w:t>. Hierdoor hoeven de belastingplichtige en de Belastingdienst de box 3-EWL niet voor altijd bij te houden als deze niet meer bestaat.</w:t>
      </w:r>
    </w:p>
    <w:p w:rsidR="0028068D" w:rsidP="0028068D" w:rsidRDefault="0028068D" w14:paraId="3DDB62B5" w14:textId="77777777">
      <w:pPr>
        <w:spacing w:line="276" w:lineRule="auto"/>
      </w:pPr>
    </w:p>
    <w:p w:rsidR="0028068D" w:rsidP="0028068D" w:rsidRDefault="0028068D" w14:paraId="24669757" w14:textId="77777777">
      <w:pPr>
        <w:spacing w:line="276" w:lineRule="auto"/>
      </w:pPr>
      <w:r w:rsidRPr="00422A15">
        <w:rPr>
          <w:b/>
          <w:bCs/>
        </w:rPr>
        <w:lastRenderedPageBreak/>
        <w:t>Het voordeel van deze oplossingsrichting is dat niet bepaald hoeft te worden hoelang er in het verleden HRA bij een BEWS is genoten</w:t>
      </w:r>
      <w:r>
        <w:t xml:space="preserve">. </w:t>
      </w:r>
      <w:r w:rsidR="00486BBD">
        <w:t>Daar staat tegenover dat b</w:t>
      </w:r>
      <w:r w:rsidR="00024AA1">
        <w:t xml:space="preserve">ij </w:t>
      </w:r>
      <w:r w:rsidR="00486BBD">
        <w:t xml:space="preserve">uitsluiten per </w:t>
      </w:r>
      <w:r w:rsidR="00024AA1">
        <w:t>2031 geldt dat een groep</w:t>
      </w:r>
      <w:r>
        <w:t xml:space="preserve"> belastingplichtigen minder dan 30 jaar HRA over een eigenwoninglening hebben gehad. </w:t>
      </w:r>
      <w:r w:rsidR="00024AA1">
        <w:t>Daarnaast moeten</w:t>
      </w:r>
      <w:r>
        <w:t xml:space="preserve"> Belastingdienst en belastingplichtige</w:t>
      </w:r>
      <w:r w:rsidR="00024AA1">
        <w:t>n</w:t>
      </w:r>
      <w:r>
        <w:t xml:space="preserve"> een eigenwoninglening aanmerken als een BEWS. Dit betekent dat bepaald moet worden of en welk deel van de eigenwoninglening is afgesloten v</w:t>
      </w:r>
      <w:r w:rsidR="00570D44">
        <w:t>óó</w:t>
      </w:r>
      <w:r>
        <w:t xml:space="preserve">r 2013. Hierbij moet geaccepteerd worden dat er fouten kunnen optreden. </w:t>
      </w:r>
    </w:p>
    <w:p w:rsidR="004A666F" w:rsidP="0028068D" w:rsidRDefault="004A666F" w14:paraId="0EC8B96D" w14:textId="77777777">
      <w:pPr>
        <w:spacing w:line="276" w:lineRule="auto"/>
      </w:pPr>
    </w:p>
    <w:p w:rsidR="0028068D" w:rsidP="0028068D" w:rsidRDefault="0028068D" w14:paraId="457E55C0" w14:textId="77777777">
      <w:pPr>
        <w:spacing w:line="276" w:lineRule="auto"/>
      </w:pPr>
      <w:r w:rsidRPr="00422A15">
        <w:rPr>
          <w:b/>
          <w:bCs/>
        </w:rPr>
        <w:t>Er zijn twee overgangsregelingen uitgewerkt in aanvulling op de eerste oplossingsrichting (fiche 1B en 1C)</w:t>
      </w:r>
      <w:r>
        <w:t>. Eigenwoningleningen die vanaf 2031 voldoen aan de aflossingseis behouden</w:t>
      </w:r>
      <w:r w:rsidR="00486BBD">
        <w:t xml:space="preserve"> dan</w:t>
      </w:r>
      <w:r>
        <w:t xml:space="preserve"> recht op HRA. In de eerste overgangsregeling </w:t>
      </w:r>
      <w:r w:rsidR="00486BBD">
        <w:t xml:space="preserve">1B </w:t>
      </w:r>
      <w:r>
        <w:t xml:space="preserve">wordt </w:t>
      </w:r>
      <w:r w:rsidR="00DD7440">
        <w:t>aftrek voor alle BEWS mogelijk</w:t>
      </w:r>
      <w:r>
        <w:t xml:space="preserve"> tot en met 2042 en in de tweede overgangsregeling</w:t>
      </w:r>
      <w:r w:rsidR="00486BBD">
        <w:t xml:space="preserve"> 1C</w:t>
      </w:r>
      <w:r>
        <w:t xml:space="preserve"> is het mogelijk om vanaf het oversluitmoment opnieuw voor 30 jaar in aanmerking te komen voor HRA. Aflossingsvrije hypotheken vallen verplicht in box 3 (box 3-EWL). Met de eerste overgangsregeling is de (verlengde) HRA beperkt tot het moment dat alle BEWS minimaal 30 jaar HRA hebben gehad</w:t>
      </w:r>
      <w:r w:rsidR="00486BBD">
        <w:t xml:space="preserve"> (in 2042)</w:t>
      </w:r>
      <w:r>
        <w:t xml:space="preserve">. Aangezien bij spaar-, beleggings- en </w:t>
      </w:r>
      <w:r w:rsidR="000F503B">
        <w:t>levens</w:t>
      </w:r>
      <w:r>
        <w:t xml:space="preserve">hypotheken aflossing van (een deel van) de hypotheek gewaarborgd is, vallen deze hypotheken </w:t>
      </w:r>
      <w:r w:rsidR="00C357AB">
        <w:t>in deze</w:t>
      </w:r>
      <w:r>
        <w:t xml:space="preserve"> oplossingsrichting</w:t>
      </w:r>
      <w:r w:rsidR="00C357AB">
        <w:t>en</w:t>
      </w:r>
      <w:r>
        <w:t xml:space="preserve"> ook onder de overgangsregeling. Voor deze producten is het niet nodig over te sluiten op een aflossend hypotheekproduct</w:t>
      </w:r>
      <w:r w:rsidR="00C357AB">
        <w:t xml:space="preserve"> om HRA te behouden.</w:t>
      </w:r>
    </w:p>
    <w:p w:rsidRPr="00422A15" w:rsidR="0028068D" w:rsidP="0028068D" w:rsidRDefault="0028068D" w14:paraId="1AAC87B6" w14:textId="77777777">
      <w:pPr>
        <w:spacing w:line="276" w:lineRule="auto"/>
        <w:rPr>
          <w:b/>
          <w:bCs/>
        </w:rPr>
      </w:pPr>
    </w:p>
    <w:p w:rsidR="0028068D" w:rsidP="0028068D" w:rsidRDefault="0028068D" w14:paraId="67DF063D" w14:textId="77777777">
      <w:pPr>
        <w:spacing w:line="276" w:lineRule="auto"/>
      </w:pPr>
      <w:r w:rsidRPr="00422A15">
        <w:rPr>
          <w:b/>
          <w:bCs/>
        </w:rPr>
        <w:t xml:space="preserve">Deze overgangsregelingen hebben </w:t>
      </w:r>
      <w:r w:rsidRPr="00422A15" w:rsidR="00486BBD">
        <w:rPr>
          <w:b/>
          <w:bCs/>
        </w:rPr>
        <w:t>het</w:t>
      </w:r>
      <w:r w:rsidRPr="00422A15">
        <w:rPr>
          <w:b/>
          <w:bCs/>
        </w:rPr>
        <w:t xml:space="preserve"> voordeel dat de Belastingdienst en de belastingplichtige alleen de huidige status van de lening hoeven te beoordelen</w:t>
      </w:r>
      <w:r>
        <w:t xml:space="preserve">. Als een eigenwoninglening inmiddels voldoet aan de aflossingseis of er is sprake van een spaar-, beleggings- of </w:t>
      </w:r>
      <w:r w:rsidR="000F503B">
        <w:t>levenshypotheek</w:t>
      </w:r>
      <w:r>
        <w:t xml:space="preserve">, is aftrek toegestaan. Alleen aflossingsvrije hypotheken verhuizen naar box 3. </w:t>
      </w:r>
      <w:r w:rsidR="002C3712">
        <w:t xml:space="preserve">Bij fiche 1B is er recht op </w:t>
      </w:r>
      <w:r w:rsidR="000F5F9D">
        <w:t>HRA</w:t>
      </w:r>
      <w:r w:rsidR="002C3712">
        <w:t xml:space="preserve"> tot en met 2042, waardoor wel voor deze </w:t>
      </w:r>
      <w:proofErr w:type="spellStart"/>
      <w:r w:rsidR="002C3712">
        <w:t>leningdelen</w:t>
      </w:r>
      <w:proofErr w:type="spellEnd"/>
      <w:r w:rsidR="002C3712">
        <w:t xml:space="preserve"> moet worden bijgehouden dat de renteaftrek per 2043 stopt. Bij fiche 1C is dit niet nodig omdat er recht is op 30 jaar renteaftrek. </w:t>
      </w:r>
      <w:r w:rsidR="002B1FD0">
        <w:t xml:space="preserve">BEWS die inmiddels voldoen aan de aflossingseis moeten in fiche 1B wel worden aangemerkt als BEWS om de HRA per 2043 te kunnen beperken. In fiche 1C is dat niet meer nodig en hebben alle leningen die voldoen aan de aflossingseis recht op HRA. Fiche 1C betreft dus een vereenvoudiging voor de uitvoering ten opzichte van fiche 1B. </w:t>
      </w:r>
      <w:r>
        <w:t>Deze overgangsregelingen betekenen wel dat bepaalde belastingplichtigen langer dan 30 jaar recht hebben op HRA.</w:t>
      </w:r>
      <w:r w:rsidR="000F5F9D">
        <w:t xml:space="preserve"> Tegelijkertijd brengt h</w:t>
      </w:r>
      <w:r>
        <w:t xml:space="preserve">et oversluiten van een aflossingsvrije hypotheek naar een eigenwoninglening die voldoet aan de aflossingseis </w:t>
      </w:r>
      <w:r w:rsidR="009861C9">
        <w:t>vaak eenmalige kosten met zich mee</w:t>
      </w:r>
      <w:r w:rsidR="000F5F9D">
        <w:t xml:space="preserve"> (zoals advieskosten)</w:t>
      </w:r>
      <w:r>
        <w:t>.</w:t>
      </w:r>
      <w:r w:rsidR="009861C9">
        <w:t xml:space="preserve"> </w:t>
      </w:r>
      <w:r w:rsidR="000F5F9D">
        <w:t>Bovendien</w:t>
      </w:r>
      <w:r w:rsidR="009861C9">
        <w:t xml:space="preserve"> moet de hypotheek opnieuw getoetst worden. Mensen moeten hiervoor gegevens aanleveren over onder meer inkomen, wat </w:t>
      </w:r>
      <w:r w:rsidR="000F5F9D">
        <w:t xml:space="preserve">een beroep doet op het </w:t>
      </w:r>
      <w:proofErr w:type="spellStart"/>
      <w:r w:rsidR="000F5F9D">
        <w:t>doenvermogen</w:t>
      </w:r>
      <w:proofErr w:type="spellEnd"/>
      <w:r w:rsidR="000F5F9D">
        <w:t>.</w:t>
      </w:r>
      <w:r>
        <w:t xml:space="preserve"> Over het algemeen zullen de maandlasten na oversluiten toenemen</w:t>
      </w:r>
      <w:r w:rsidR="009861C9">
        <w:t xml:space="preserve"> (omdat het voordeel van behoud van HRA kleiner is dan de hogere maandlasten als gevolg van aflossingen)</w:t>
      </w:r>
      <w:r>
        <w:t xml:space="preserve"> waardoor de verwachting is dat een groot deel van </w:t>
      </w:r>
      <w:r w:rsidR="00570D44">
        <w:t xml:space="preserve">de </w:t>
      </w:r>
      <w:r>
        <w:t>belastingplichtigen die het betreft, niet zullen oversluiten.</w:t>
      </w:r>
      <w:r w:rsidR="000F5F9D">
        <w:t xml:space="preserve"> Daarom is de medewerking van de kredietaanbieders belangrijk om handelingsperspectief te bieden aan belastingplichtigen.</w:t>
      </w:r>
    </w:p>
    <w:p w:rsidR="0028068D" w:rsidP="0028068D" w:rsidRDefault="0028068D" w14:paraId="71FF4A0B" w14:textId="77777777">
      <w:pPr>
        <w:spacing w:line="276" w:lineRule="auto"/>
      </w:pPr>
    </w:p>
    <w:p w:rsidR="0028068D" w:rsidP="0028068D" w:rsidRDefault="0028068D" w14:paraId="69C879CF" w14:textId="77777777">
      <w:pPr>
        <w:spacing w:line="276" w:lineRule="auto"/>
      </w:pPr>
      <w:r w:rsidRPr="00422A15">
        <w:rPr>
          <w:b/>
          <w:bCs/>
        </w:rPr>
        <w:t xml:space="preserve">Een alternatief voor de bovenstaande oplossingsrichting </w:t>
      </w:r>
      <w:r w:rsidRPr="00422A15" w:rsidR="002C3712">
        <w:rPr>
          <w:b/>
          <w:bCs/>
        </w:rPr>
        <w:t>(en overgangsregelingen)</w:t>
      </w:r>
      <w:r w:rsidRPr="00422A15">
        <w:rPr>
          <w:b/>
          <w:bCs/>
        </w:rPr>
        <w:t xml:space="preserve"> is een afbouw van de HRA voor BEWS met als eindpunt dat alle BEWS vanaf 2043 verplicht verhuizen naar box 3 (box 3-EWL) (fiche 3)</w:t>
      </w:r>
      <w:r>
        <w:t xml:space="preserve">. </w:t>
      </w:r>
      <w:r w:rsidR="004A666F">
        <w:t xml:space="preserve">Ook in deze optie komt de doorwerking van de verstreken looptijd </w:t>
      </w:r>
      <w:r w:rsidR="004A666F">
        <w:lastRenderedPageBreak/>
        <w:t xml:space="preserve">van BEWS te vervallen. </w:t>
      </w:r>
      <w:r>
        <w:t xml:space="preserve">Dit </w:t>
      </w:r>
      <w:r w:rsidR="00422A15">
        <w:t>afbouw pad</w:t>
      </w:r>
      <w:r>
        <w:t xml:space="preserve"> </w:t>
      </w:r>
      <w:r w:rsidR="00C357AB">
        <w:t>loopt</w:t>
      </w:r>
      <w:r>
        <w:t xml:space="preserve"> vanaf 2031 tot en met 2042. Deze oplossingsrichting betekent een zachtere landing voor belastingplichtigen met een aflossingsvrije hypotheek dan volledige afschaffing van het recht op HRA voor BEWS per 1 januari 2031. Ook hoeven belastingplichtigen hun lening niet over te sluiten om HRA te behouden. </w:t>
      </w:r>
    </w:p>
    <w:p w:rsidR="0028068D" w:rsidP="0028068D" w:rsidRDefault="0028068D" w14:paraId="4AF5F71B" w14:textId="77777777">
      <w:pPr>
        <w:spacing w:line="276" w:lineRule="auto"/>
      </w:pPr>
    </w:p>
    <w:p w:rsidR="00024AA1" w:rsidP="0028068D" w:rsidRDefault="00C357AB" w14:paraId="591598C7" w14:textId="77777777">
      <w:pPr>
        <w:spacing w:line="276" w:lineRule="auto"/>
      </w:pPr>
      <w:r w:rsidRPr="00422A15">
        <w:rPr>
          <w:b/>
          <w:bCs/>
        </w:rPr>
        <w:t xml:space="preserve">Tot slot is een </w:t>
      </w:r>
      <w:r w:rsidRPr="00422A15" w:rsidR="0028068D">
        <w:rPr>
          <w:b/>
          <w:bCs/>
        </w:rPr>
        <w:t>oplossingsrichting uitgewerkt die het 30-jaarsprobleem oplost, de oplossingsrichting ‘eerlijker’ maakt naar belastingplichtigen met een eigenwoninglening aangegaan vanaf 2013 en de eigenwoningregeling minder complex maakt (fiche</w:t>
      </w:r>
      <w:r w:rsidRPr="00422A15" w:rsidR="003E4FBE">
        <w:rPr>
          <w:b/>
          <w:bCs/>
        </w:rPr>
        <w:t>s</w:t>
      </w:r>
      <w:r w:rsidRPr="00422A15" w:rsidR="0028068D">
        <w:rPr>
          <w:b/>
          <w:bCs/>
        </w:rPr>
        <w:t xml:space="preserve"> 1D en 2B)</w:t>
      </w:r>
      <w:r w:rsidRPr="00422A15" w:rsidR="00024AA1">
        <w:rPr>
          <w:b/>
          <w:bCs/>
        </w:rPr>
        <w:t>.</w:t>
      </w:r>
      <w:r w:rsidR="00024AA1">
        <w:t xml:space="preserve"> Deze oplossingsrichtingen vormen een uitbreiding op fiche 1C en fiche 2A</w:t>
      </w:r>
      <w:r>
        <w:t xml:space="preserve"> (de basis uit fiche 1C en fiche 2A blijft onverminderd van kracht)</w:t>
      </w:r>
      <w:r w:rsidR="00575F4A">
        <w:t>.</w:t>
      </w:r>
      <w:r w:rsidR="0028068D">
        <w:t xml:space="preserve"> In het vorige hoofdstuk is beschreven dat ook in bepaalde gevallen bij eigenwoningleningen die vanaf 2013 zijn afgesloten de 30-jaarstermijn tot problemen</w:t>
      </w:r>
      <w:r w:rsidRPr="005F5428" w:rsidR="0028068D">
        <w:t xml:space="preserve"> </w:t>
      </w:r>
      <w:r w:rsidR="0028068D">
        <w:t>leidt. In deze oplossingsrichting komt iedere lening die voldoet aan de aflossingseis in aanmerking voor recht op HRA</w:t>
      </w:r>
      <w:r w:rsidR="00A10A1F">
        <w:t xml:space="preserve"> (na toepassing van de </w:t>
      </w:r>
      <w:proofErr w:type="spellStart"/>
      <w:r w:rsidR="00A10A1F">
        <w:t>bijleenregeling</w:t>
      </w:r>
      <w:proofErr w:type="spellEnd"/>
      <w:r w:rsidR="00A10A1F">
        <w:t>)</w:t>
      </w:r>
      <w:r w:rsidR="0028068D">
        <w:t xml:space="preserve">. Bij elke verhuizing komt een nieuwe lening weer voor 30 jaar in aanmerking voor HRA zonder rekening te houden met de </w:t>
      </w:r>
      <w:proofErr w:type="gramStart"/>
      <w:r w:rsidR="0028068D">
        <w:t>reeds</w:t>
      </w:r>
      <w:proofErr w:type="gramEnd"/>
      <w:r w:rsidR="0028068D">
        <w:t xml:space="preserve"> verstreken aftrektermijn. Deze oplossingsrichting heeft hiermee het voordeel dat niet alleen belastingplichtigen met een BEWS langer HRA kunnen krijgen, maar ook belastingplichtigen die een eigenwoninglening hebben die voldoet aan de aflossingseis. Daarmee is deze oplossingsrichting </w:t>
      </w:r>
      <w:r w:rsidR="002C3712">
        <w:t>uitgebreider</w:t>
      </w:r>
      <w:r w:rsidR="0028068D">
        <w:t xml:space="preserve"> dan de eerste oplossingsrichting met overgangsregeling, waarbij alleen belastingplichtigen met een BEWS kunnen profiteren van een ruimer HRA-regime. Het recht op HRA voor leningen die aflossingsvrij zijn en/of blijven wordt wel gestopt</w:t>
      </w:r>
      <w:r w:rsidR="00575F4A">
        <w:t xml:space="preserve"> </w:t>
      </w:r>
      <w:proofErr w:type="gramStart"/>
      <w:r w:rsidR="00575F4A">
        <w:t>conform</w:t>
      </w:r>
      <w:proofErr w:type="gramEnd"/>
      <w:r w:rsidR="00575F4A">
        <w:t xml:space="preserve"> de voorwaarden in fiche 1C en 2A</w:t>
      </w:r>
      <w:r w:rsidR="0028068D">
        <w:t xml:space="preserve">, zodat deze leningen overgaan naar box 3. </w:t>
      </w:r>
    </w:p>
    <w:p w:rsidR="00024AA1" w:rsidP="0028068D" w:rsidRDefault="00024AA1" w14:paraId="2C92FF8F" w14:textId="77777777">
      <w:pPr>
        <w:spacing w:line="276" w:lineRule="auto"/>
      </w:pPr>
    </w:p>
    <w:p w:rsidR="0028068D" w:rsidP="0028068D" w:rsidRDefault="0028068D" w14:paraId="1E62CEB1" w14:textId="77777777">
      <w:pPr>
        <w:spacing w:line="276" w:lineRule="auto"/>
      </w:pPr>
      <w:r w:rsidRPr="00422A15">
        <w:rPr>
          <w:b/>
          <w:bCs/>
        </w:rPr>
        <w:t>Voor de Belastingdienst is deze optie het best uitvoerbaar, omdat alleen de huidige status van de eigenwoninglening van belang is voor het bepalen van het recht op HRA</w:t>
      </w:r>
      <w:r>
        <w:t xml:space="preserve">. Historische gegevens zijn dus niet meer nodig. </w:t>
      </w:r>
      <w:r w:rsidR="00C357AB">
        <w:t>De</w:t>
      </w:r>
      <w:r>
        <w:t xml:space="preserve"> box 3-EWL hoeft bij deze oplossingsrichting niet vastgesteld te worden, dit is ook een voordeel voor de uitvoering ten opzichte van enkele andere oplossingsrichtingen. Tot slot stimuleert deze oplossingsrichting mogelijk de doorstroming op de huizenmarkt. Het nadeel is dat het recht op HRA </w:t>
      </w:r>
      <w:r w:rsidR="00575F4A">
        <w:t xml:space="preserve">– en daarmee de fiscale subsidiëring van de eigen woning - </w:t>
      </w:r>
      <w:r>
        <w:t xml:space="preserve">hiermee aanzienlijk wordt uitgebreid, wat niet in lijn is met </w:t>
      </w:r>
      <w:r w:rsidR="009861C9">
        <w:t>eerder ingezet beleid om de fiscale subsidiering</w:t>
      </w:r>
      <w:r w:rsidR="008872C7">
        <w:t xml:space="preserve"> </w:t>
      </w:r>
      <w:r>
        <w:t xml:space="preserve">van </w:t>
      </w:r>
      <w:r w:rsidR="009861C9">
        <w:t>eigenwoningbezit af te bouwen</w:t>
      </w:r>
      <w:r>
        <w:t xml:space="preserve">. </w:t>
      </w:r>
      <w:r w:rsidR="00575F4A">
        <w:t>D</w:t>
      </w:r>
      <w:r>
        <w:t xml:space="preserve">eze oplossingsrichtingen </w:t>
      </w:r>
      <w:r w:rsidR="00575F4A">
        <w:t xml:space="preserve">leiden </w:t>
      </w:r>
      <w:r>
        <w:t xml:space="preserve">ook tot een </w:t>
      </w:r>
      <w:r w:rsidR="009524D7">
        <w:t xml:space="preserve">aanzienlijk </w:t>
      </w:r>
      <w:r>
        <w:t xml:space="preserve">grotere budgettaire derving </w:t>
      </w:r>
      <w:r w:rsidR="00C357AB">
        <w:t>dan de basisvarianten.</w:t>
      </w:r>
    </w:p>
    <w:p w:rsidR="00411F58" w:rsidP="00411F58" w:rsidRDefault="00411F58" w14:paraId="4FA0298D" w14:textId="77777777">
      <w:pPr>
        <w:rPr>
          <w:b/>
          <w:bCs/>
        </w:rPr>
      </w:pPr>
    </w:p>
    <w:p w:rsidR="00411F58" w:rsidP="00411F58" w:rsidRDefault="00575F4A" w14:paraId="4E66EA7A" w14:textId="77777777">
      <w:pPr>
        <w:rPr>
          <w:b/>
          <w:bCs/>
        </w:rPr>
      </w:pPr>
      <w:r>
        <w:rPr>
          <w:b/>
          <w:bCs/>
        </w:rPr>
        <w:t xml:space="preserve">Samenvattend </w:t>
      </w:r>
      <w:r w:rsidR="00C357AB">
        <w:rPr>
          <w:b/>
          <w:bCs/>
        </w:rPr>
        <w:t xml:space="preserve">zijn </w:t>
      </w:r>
      <w:r w:rsidR="00DB3406">
        <w:rPr>
          <w:b/>
          <w:bCs/>
        </w:rPr>
        <w:t xml:space="preserve">dus </w:t>
      </w:r>
      <w:r>
        <w:rPr>
          <w:b/>
          <w:bCs/>
        </w:rPr>
        <w:t>drie</w:t>
      </w:r>
      <w:r w:rsidR="00411F58">
        <w:rPr>
          <w:b/>
          <w:bCs/>
        </w:rPr>
        <w:t xml:space="preserve"> </w:t>
      </w:r>
      <w:r w:rsidRPr="00A6373A" w:rsidR="00411F58">
        <w:rPr>
          <w:b/>
          <w:bCs/>
        </w:rPr>
        <w:t>varianten</w:t>
      </w:r>
      <w:r w:rsidR="00411F58">
        <w:rPr>
          <w:b/>
          <w:bCs/>
        </w:rPr>
        <w:t xml:space="preserve"> </w:t>
      </w:r>
      <w:r>
        <w:rPr>
          <w:b/>
          <w:bCs/>
        </w:rPr>
        <w:t>met oplossingsrichtingen uitgewerkt:</w:t>
      </w:r>
    </w:p>
    <w:p w:rsidRPr="00A6373A" w:rsidR="00411F58" w:rsidP="00411F58" w:rsidRDefault="00411F58" w14:paraId="5D3E2582" w14:textId="77777777">
      <w:pPr>
        <w:rPr>
          <w:b/>
          <w:bCs/>
        </w:rPr>
      </w:pPr>
    </w:p>
    <w:p w:rsidR="00411F58" w:rsidP="00411F58" w:rsidRDefault="00411F58" w14:paraId="3431C83D" w14:textId="77777777">
      <w:pPr>
        <w:pStyle w:val="Lijstalinea"/>
        <w:numPr>
          <w:ilvl w:val="0"/>
          <w:numId w:val="10"/>
        </w:numPr>
        <w:autoSpaceDN/>
        <w:spacing w:after="160" w:line="259" w:lineRule="auto"/>
        <w:textAlignment w:val="auto"/>
      </w:pPr>
      <w:r>
        <w:rPr>
          <w:b/>
          <w:bCs/>
        </w:rPr>
        <w:t>Variant</w:t>
      </w:r>
      <w:r w:rsidRPr="00A6373A">
        <w:rPr>
          <w:b/>
          <w:bCs/>
        </w:rPr>
        <w:t xml:space="preserve"> 1</w:t>
      </w:r>
      <w:r>
        <w:t xml:space="preserve"> - Afschaffen HRA op BEWS per 2031 (fiche 1A). Inclusief varianten voor overgangsregelingen (Fiches 1B, 1C) en </w:t>
      </w:r>
      <w:r w:rsidR="00B7202E">
        <w:t>uitbreiding voor leningen van na 1-1-2013 (1D).</w:t>
      </w:r>
    </w:p>
    <w:p w:rsidR="00411F58" w:rsidP="00411F58" w:rsidRDefault="00411F58" w14:paraId="74DBA818" w14:textId="77777777">
      <w:pPr>
        <w:pStyle w:val="Lijstalinea"/>
        <w:numPr>
          <w:ilvl w:val="0"/>
          <w:numId w:val="10"/>
        </w:numPr>
        <w:autoSpaceDN/>
        <w:spacing w:after="160" w:line="259" w:lineRule="auto"/>
        <w:textAlignment w:val="auto"/>
      </w:pPr>
      <w:r>
        <w:rPr>
          <w:b/>
          <w:bCs/>
        </w:rPr>
        <w:t>Variant</w:t>
      </w:r>
      <w:r w:rsidRPr="00A6373A">
        <w:rPr>
          <w:b/>
          <w:bCs/>
        </w:rPr>
        <w:t xml:space="preserve"> 2</w:t>
      </w:r>
      <w:r>
        <w:t xml:space="preserve"> - Afschaffen HRA op BEWS per 2043 (fiche 2A). Inclusief optie met</w:t>
      </w:r>
      <w:r w:rsidR="00B7202E">
        <w:t xml:space="preserve"> uitbreiding voor leningen van na 1-1-2013</w:t>
      </w:r>
      <w:r>
        <w:t xml:space="preserve"> (fiche 2B).</w:t>
      </w:r>
    </w:p>
    <w:p w:rsidR="00411F58" w:rsidP="00411F58" w:rsidRDefault="00411F58" w14:paraId="29CC9C0D" w14:textId="77777777">
      <w:pPr>
        <w:pStyle w:val="Lijstalinea"/>
        <w:numPr>
          <w:ilvl w:val="0"/>
          <w:numId w:val="10"/>
        </w:numPr>
        <w:autoSpaceDN/>
        <w:spacing w:after="160" w:line="259" w:lineRule="auto"/>
        <w:textAlignment w:val="auto"/>
      </w:pPr>
      <w:r>
        <w:rPr>
          <w:b/>
          <w:bCs/>
        </w:rPr>
        <w:t xml:space="preserve">Variant 3 </w:t>
      </w:r>
      <w:r>
        <w:t>– Geleidelijke afbouw HRA op BEWS per 2031 (fiche 3).</w:t>
      </w:r>
    </w:p>
    <w:p w:rsidR="00A10C87" w:rsidP="00A10C87" w:rsidRDefault="00A10C87" w14:paraId="298B77F7" w14:textId="77777777">
      <w:r>
        <w:t xml:space="preserve">Hieronder worden de oplossingsrichtingen kwalitatief beschreven. </w:t>
      </w:r>
      <w:r w:rsidR="00EF605B">
        <w:t>E</w:t>
      </w:r>
      <w:r>
        <w:t xml:space="preserve">nkele </w:t>
      </w:r>
      <w:r w:rsidR="00EF605B">
        <w:t xml:space="preserve">inleidende </w:t>
      </w:r>
      <w:r>
        <w:t xml:space="preserve">opmerkingen: </w:t>
      </w:r>
    </w:p>
    <w:p w:rsidR="00A10C87" w:rsidP="00A10C87" w:rsidRDefault="00A10C87" w14:paraId="6685FF04" w14:textId="77777777"/>
    <w:p w:rsidR="00A10C87" w:rsidP="00A10C87" w:rsidRDefault="00A10C87" w14:paraId="3D9536D0" w14:textId="77777777">
      <w:pPr>
        <w:pStyle w:val="Lijstalinea"/>
        <w:numPr>
          <w:ilvl w:val="0"/>
          <w:numId w:val="12"/>
        </w:numPr>
        <w:autoSpaceDN/>
        <w:spacing w:after="160" w:line="259" w:lineRule="auto"/>
        <w:textAlignment w:val="auto"/>
      </w:pPr>
      <w:r w:rsidRPr="008243D1">
        <w:t xml:space="preserve">Alle maatregelen zijn uitvoerbaar </w:t>
      </w:r>
      <w:r w:rsidR="001812BA">
        <w:t>per</w:t>
      </w:r>
      <w:r w:rsidRPr="008243D1">
        <w:t xml:space="preserve"> belastingjaar 2030, uitgaande van tijdige aanpassing van systemen en processen. Een </w:t>
      </w:r>
      <w:r w:rsidRPr="008243D1" w:rsidR="00441E40">
        <w:t>Uitvoeringstoets</w:t>
      </w:r>
      <w:r w:rsidRPr="008243D1">
        <w:t xml:space="preserve"> is nodig om de definitieve datum van inwerkingtreding te bepalen.</w:t>
      </w:r>
      <w:r>
        <w:t xml:space="preserve"> </w:t>
      </w:r>
    </w:p>
    <w:p w:rsidR="0028068D" w:rsidP="0028068D" w:rsidRDefault="0028068D" w14:paraId="206494CB" w14:textId="77777777">
      <w:pPr>
        <w:pStyle w:val="Lijstalinea"/>
        <w:numPr>
          <w:ilvl w:val="0"/>
          <w:numId w:val="12"/>
        </w:numPr>
        <w:autoSpaceDN/>
        <w:spacing w:after="160" w:line="259" w:lineRule="auto"/>
        <w:textAlignment w:val="auto"/>
      </w:pPr>
      <w:r>
        <w:lastRenderedPageBreak/>
        <w:t xml:space="preserve">Als een oplossingsrichting leidt tot een derving wordt geen dekkingsoptie gegeven. </w:t>
      </w:r>
    </w:p>
    <w:p w:rsidR="0072737F" w:rsidP="00A10C87" w:rsidRDefault="0072737F" w14:paraId="4DACF14F" w14:textId="77777777">
      <w:pPr>
        <w:pStyle w:val="Lijstalinea"/>
        <w:numPr>
          <w:ilvl w:val="0"/>
          <w:numId w:val="12"/>
        </w:numPr>
        <w:autoSpaceDN/>
        <w:spacing w:after="160" w:line="259" w:lineRule="auto"/>
        <w:textAlignment w:val="auto"/>
      </w:pPr>
      <w:r>
        <w:t xml:space="preserve">Met uitzondering van de oplossingsrichting in fiche 1A worden </w:t>
      </w:r>
      <w:bookmarkStart w:name="_Hlk224567274" w:id="28"/>
      <w:r>
        <w:t>spaar-</w:t>
      </w:r>
      <w:r w:rsidR="0028068D">
        <w:t>, beleggings-</w:t>
      </w:r>
      <w:r>
        <w:t xml:space="preserve"> en</w:t>
      </w:r>
      <w:r w:rsidR="0028068D">
        <w:t xml:space="preserve"> </w:t>
      </w:r>
      <w:r w:rsidR="00EE606A">
        <w:t>leven</w:t>
      </w:r>
      <w:r w:rsidR="0028068D">
        <w:t>s</w:t>
      </w:r>
      <w:r>
        <w:t>hypotheken</w:t>
      </w:r>
      <w:bookmarkEnd w:id="28"/>
      <w:r>
        <w:t xml:space="preserve"> niet geraakt door de maatregelen. Voor deze producten geldt dat deze doorgaans na 30 jaar eindigen waarna belastingplichtigen – indien van toepassing – met de financieel dienstverlener </w:t>
      </w:r>
      <w:r w:rsidR="00C63CA7">
        <w:t xml:space="preserve">en/of kredietverstrekker </w:t>
      </w:r>
      <w:r>
        <w:t>nieuwe afspraken moeten maken onder het dan geldende fiscale regime.</w:t>
      </w:r>
    </w:p>
    <w:p w:rsidR="00B86E59" w:rsidP="00A10C87" w:rsidRDefault="00B86E59" w14:paraId="7EB23B10" w14:textId="77777777">
      <w:pPr>
        <w:pStyle w:val="Lijstalinea"/>
        <w:numPr>
          <w:ilvl w:val="0"/>
          <w:numId w:val="12"/>
        </w:numPr>
        <w:autoSpaceDN/>
        <w:spacing w:after="160" w:line="259" w:lineRule="auto"/>
        <w:textAlignment w:val="auto"/>
      </w:pPr>
      <w:r>
        <w:t xml:space="preserve">In alle </w:t>
      </w:r>
      <w:r w:rsidR="00A84A8B">
        <w:t>oplossingsrichtingen</w:t>
      </w:r>
      <w:r>
        <w:t xml:space="preserve"> komt de doorwerking van de verstreken looptijd van een eerdere eigenwoningschuld of van BEWS te vervallen. Voor leningen die moeten voldoen aan de fiscale aflossingseis wordt de maximale looptijd van 360 maanden niet langer verminderd met de verstreken looptijd van die eerdere </w:t>
      </w:r>
      <w:r w:rsidR="00781FEA">
        <w:t>BEWS</w:t>
      </w:r>
      <w:r>
        <w:t xml:space="preserve">. In variant 1D en 2B wordt een vergelijkbare verruiming geïntroduceerd voor leningen die aan de fiscale aflossingseis moeten voldoen. </w:t>
      </w:r>
    </w:p>
    <w:p w:rsidR="00DB045A" w:rsidP="00A10C87" w:rsidRDefault="00DB045A" w14:paraId="1690CD13" w14:textId="77777777">
      <w:pPr>
        <w:pStyle w:val="Lijstalinea"/>
        <w:numPr>
          <w:ilvl w:val="0"/>
          <w:numId w:val="12"/>
        </w:numPr>
        <w:autoSpaceDN/>
        <w:spacing w:after="160" w:line="259" w:lineRule="auto"/>
        <w:textAlignment w:val="auto"/>
      </w:pPr>
      <w:r>
        <w:t>De praktische uitwerking van de fiches wordt telkens verduidelijkt aan de hand van de volgende 4 voorbeeldsituaties</w:t>
      </w:r>
      <w:r w:rsidR="003E4FBE">
        <w:t>:</w:t>
      </w:r>
      <w:r w:rsidR="000B08FB">
        <w:rPr>
          <w:rStyle w:val="Voetnootmarkering"/>
        </w:rPr>
        <w:footnoteReference w:id="31"/>
      </w:r>
    </w:p>
    <w:p w:rsidR="00DB045A" w:rsidP="00DB045A" w:rsidRDefault="00DB045A" w14:paraId="4C1819E8" w14:textId="77777777">
      <w:pPr>
        <w:pStyle w:val="Lijstalinea"/>
        <w:numPr>
          <w:ilvl w:val="1"/>
          <w:numId w:val="12"/>
        </w:numPr>
        <w:autoSpaceDN/>
        <w:spacing w:after="160" w:line="259" w:lineRule="auto"/>
        <w:textAlignment w:val="auto"/>
      </w:pPr>
      <w:r>
        <w:rPr>
          <w:b/>
          <w:bCs/>
        </w:rPr>
        <w:t>Naomi:</w:t>
      </w:r>
      <w:r>
        <w:t xml:space="preserve"> heeft op 1 juli 2005 een aflossingsvrije hypotheek afgesloten. Zij heeft de lening sindsdien niet overgesloten en zal dit in de toekomst ook niet doen.</w:t>
      </w:r>
    </w:p>
    <w:p w:rsidR="00DB045A" w:rsidP="00DB045A" w:rsidRDefault="00DB045A" w14:paraId="53A6C879" w14:textId="77777777">
      <w:pPr>
        <w:pStyle w:val="Lijstalinea"/>
        <w:numPr>
          <w:ilvl w:val="1"/>
          <w:numId w:val="12"/>
        </w:numPr>
        <w:autoSpaceDN/>
        <w:spacing w:after="160" w:line="259" w:lineRule="auto"/>
        <w:textAlignment w:val="auto"/>
      </w:pPr>
      <w:r>
        <w:rPr>
          <w:b/>
          <w:bCs/>
        </w:rPr>
        <w:t>Fred:</w:t>
      </w:r>
      <w:r>
        <w:t xml:space="preserve"> heeft op 1 juli 2008 een aflossingsvrije lening afgesloten. Op 1 juli 2030 sluit Fred zijn lening over op een lening met een ten minste annuïtair aflossingsschema van 360 maanden.</w:t>
      </w:r>
    </w:p>
    <w:p w:rsidR="00DB045A" w:rsidP="00DB045A" w:rsidRDefault="00DB045A" w14:paraId="4065B913" w14:textId="77777777">
      <w:pPr>
        <w:pStyle w:val="Lijstalinea"/>
        <w:numPr>
          <w:ilvl w:val="1"/>
          <w:numId w:val="12"/>
        </w:numPr>
        <w:autoSpaceDN/>
        <w:spacing w:after="160" w:line="259" w:lineRule="auto"/>
        <w:textAlignment w:val="auto"/>
      </w:pPr>
      <w:r>
        <w:rPr>
          <w:b/>
          <w:bCs/>
        </w:rPr>
        <w:t>Tim:</w:t>
      </w:r>
      <w:r>
        <w:t xml:space="preserve"> heeft op 1 juli 2010 een spaarhypotheek afgesloten. Na 30 jaar lost hij de hypotheek in een keer af. Dat is op 1 juli 2040.</w:t>
      </w:r>
    </w:p>
    <w:p w:rsidR="00DB045A" w:rsidP="00DB045A" w:rsidRDefault="00DB045A" w14:paraId="1979F60E" w14:textId="77777777">
      <w:pPr>
        <w:pStyle w:val="Lijstalinea"/>
        <w:numPr>
          <w:ilvl w:val="1"/>
          <w:numId w:val="12"/>
        </w:numPr>
        <w:autoSpaceDN/>
        <w:spacing w:after="160" w:line="259" w:lineRule="auto"/>
        <w:textAlignment w:val="auto"/>
      </w:pPr>
      <w:r>
        <w:rPr>
          <w:b/>
          <w:bCs/>
        </w:rPr>
        <w:t>Anna:</w:t>
      </w:r>
      <w:r>
        <w:t xml:space="preserve"> heeft op 1 juli 2015 een lening met een ten minste annuïtair aflossingsschema van 360 maanden afgesloten. Op 1 december 2035 verhuist Anna naar een nieuwe woning.</w:t>
      </w:r>
      <w:r w:rsidR="001812BA">
        <w:t xml:space="preserve"> </w:t>
      </w:r>
      <w:r w:rsidR="009A029D">
        <w:t xml:space="preserve">De </w:t>
      </w:r>
      <w:proofErr w:type="spellStart"/>
      <w:r w:rsidR="009A029D">
        <w:t>bijleenregeling</w:t>
      </w:r>
      <w:proofErr w:type="spellEnd"/>
      <w:r w:rsidR="009A029D">
        <w:t xml:space="preserve"> wordt voor de eenvoud buiten beschouwing gelaten.</w:t>
      </w:r>
    </w:p>
    <w:p w:rsidR="00391AE9" w:rsidP="00391AE9" w:rsidRDefault="00391AE9" w14:paraId="76E13CFE" w14:textId="77777777">
      <w:pPr>
        <w:pStyle w:val="Lijstalinea"/>
        <w:numPr>
          <w:ilvl w:val="0"/>
          <w:numId w:val="12"/>
        </w:numPr>
        <w:autoSpaceDN/>
        <w:spacing w:after="160" w:line="259" w:lineRule="auto"/>
        <w:textAlignment w:val="auto"/>
      </w:pPr>
      <w:r>
        <w:t>Het is mogelijk om een jaartal te kiezen tussen 2031 en 2042 om de budgettaire effecten te dempen</w:t>
      </w:r>
      <w:r w:rsidR="00520340">
        <w:t xml:space="preserve"> (zie bijlage 3)</w:t>
      </w:r>
      <w:r>
        <w:t xml:space="preserve">. Dit heeft consequenties voor de uitvoering omdat niet meer wordt aangesloten bij de </w:t>
      </w:r>
      <w:r w:rsidR="008D7E8E">
        <w:t>bekende hoekpunten 2031 en 2042.</w:t>
      </w:r>
    </w:p>
    <w:p w:rsidR="0028068D" w:rsidP="0028068D" w:rsidRDefault="0028068D" w14:paraId="39EDC82C" w14:textId="77777777">
      <w:pPr>
        <w:pStyle w:val="Lijstalinea"/>
        <w:numPr>
          <w:ilvl w:val="0"/>
          <w:numId w:val="12"/>
        </w:numPr>
        <w:autoSpaceDN/>
        <w:spacing w:after="160" w:line="259" w:lineRule="auto"/>
        <w:textAlignment w:val="auto"/>
      </w:pPr>
      <w:r>
        <w:t xml:space="preserve">De oplossingsrichtingen zijn uitgewerkt </w:t>
      </w:r>
      <w:r w:rsidR="00DD7440">
        <w:t>met de huidige wetgeving als uitgangspunt</w:t>
      </w:r>
      <w:r w:rsidR="00AB16F6">
        <w:t xml:space="preserve"> waarbij de lening naar box 3 gaat als het recht op HRA in box 1 vervalt. Dit rapport gaat niet in op het uitsluiten van renteaftrek in box 3. Als dit in de toekomst – eventueel bij afbouw van de HRA – gewenst zou zijn, dan moeten de oplossingsrichtingen en de geschetste gevolgen daarvan opnieuw worden bezien. </w:t>
      </w:r>
      <w:r>
        <w:t xml:space="preserve">Het uitsluiten van </w:t>
      </w:r>
      <w:r w:rsidR="003E4FBE">
        <w:t>HRA in</w:t>
      </w:r>
      <w:r>
        <w:t xml:space="preserve"> box 3 kent juridische risico</w:t>
      </w:r>
      <w:r w:rsidR="00AB16F6">
        <w:t>’</w:t>
      </w:r>
      <w:r>
        <w:t>s</w:t>
      </w:r>
      <w:r w:rsidR="00AB16F6">
        <w:t xml:space="preserve"> die nader onderzocht moeten worden.</w:t>
      </w:r>
    </w:p>
    <w:p w:rsidRPr="00B02C53" w:rsidR="00A10C87" w:rsidP="00A10C87" w:rsidRDefault="00A10C87" w14:paraId="72250909" w14:textId="77777777">
      <w:pPr>
        <w:pStyle w:val="Lijstalinea"/>
        <w:numPr>
          <w:ilvl w:val="0"/>
          <w:numId w:val="12"/>
        </w:numPr>
        <w:autoSpaceDN/>
        <w:spacing w:after="160" w:line="259" w:lineRule="auto"/>
        <w:textAlignment w:val="auto"/>
      </w:pPr>
      <w:r w:rsidRPr="00B02C53">
        <w:t>De volledige fiches zijn te vinden in de bijgevoegde fichebundel.</w:t>
      </w:r>
    </w:p>
    <w:p w:rsidR="00521EF1" w:rsidP="00521EF1" w:rsidRDefault="00521EF1" w14:paraId="11D8A24C" w14:textId="77777777">
      <w:pPr>
        <w:pStyle w:val="Kop2"/>
      </w:pPr>
      <w:bookmarkStart w:name="_Toc222756877" w:id="29"/>
      <w:bookmarkStart w:name="_Toc226640260" w:id="30"/>
      <w:bookmarkStart w:name="_Hlk220591562" w:id="31"/>
      <w:r>
        <w:t xml:space="preserve">Fiche 1A: </w:t>
      </w:r>
      <w:r w:rsidR="00AE7692">
        <w:t>Per 2031 afschaffen HRA voor hypotheken afgesloten vóór 2013 zonder overgangsregeling</w:t>
      </w:r>
      <w:bookmarkEnd w:id="29"/>
      <w:bookmarkEnd w:id="30"/>
    </w:p>
    <w:p w:rsidR="00411F58" w:rsidP="00FF3304" w:rsidRDefault="00411F58" w14:paraId="3ED6F32F" w14:textId="77777777"/>
    <w:p w:rsidR="00A10C87" w:rsidP="00A10C87" w:rsidRDefault="00A10C87" w14:paraId="573C270B" w14:textId="77777777">
      <w:r w:rsidRPr="00AB2EC3">
        <w:t xml:space="preserve">In deze variant wordt de 30-jaarstermijn </w:t>
      </w:r>
      <w:r w:rsidR="00B86E59">
        <w:t xml:space="preserve">(inclusief de doorwerking) </w:t>
      </w:r>
      <w:r w:rsidRPr="00AB2EC3">
        <w:t xml:space="preserve">afgeschaft en vervalt de </w:t>
      </w:r>
      <w:r w:rsidR="00EB4148">
        <w:t>HRA</w:t>
      </w:r>
      <w:r w:rsidRPr="00AB2EC3">
        <w:t xml:space="preserve"> voor bestaande eigenwoningschulden (BEWS) per 1 januari 2031. Dit betreft alle leningen afgesloten voor 2013, ongeacht aflostype of -schema. Deze leningen worden met ingang van 2031 behandeld als box 3-schuld (box 3-EWL) en komen niet langer voor HRA in aanmerking. De Belastingdienst dient vast te stellen welke leningen als BEWS kwalificeren. Gevolg is dat</w:t>
      </w:r>
      <w:r w:rsidR="00777A8D">
        <w:t xml:space="preserve"> sommige</w:t>
      </w:r>
      <w:r w:rsidRPr="00AB2EC3">
        <w:t xml:space="preserve"> huishoudens met een BEWS </w:t>
      </w:r>
      <w:r w:rsidR="002C3712">
        <w:t xml:space="preserve">vanaf 2031 </w:t>
      </w:r>
      <w:r w:rsidR="00F5023A">
        <w:t xml:space="preserve">te maken krijgen met een </w:t>
      </w:r>
      <w:r w:rsidR="002C3712">
        <w:t>forse</w:t>
      </w:r>
      <w:r w:rsidR="00F5023A">
        <w:t xml:space="preserve"> lastenverzwaring</w:t>
      </w:r>
      <w:r w:rsidR="002C3712">
        <w:t xml:space="preserve">. </w:t>
      </w:r>
      <w:proofErr w:type="gramStart"/>
      <w:r w:rsidR="002C3712">
        <w:t xml:space="preserve">De </w:t>
      </w:r>
      <w:r w:rsidRPr="00AB2EC3">
        <w:t xml:space="preserve"> meeste</w:t>
      </w:r>
      <w:proofErr w:type="gramEnd"/>
      <w:r w:rsidRPr="00AB2EC3">
        <w:t xml:space="preserve"> </w:t>
      </w:r>
      <w:r w:rsidRPr="00AB2EC3">
        <w:lastRenderedPageBreak/>
        <w:t xml:space="preserve">huishoudens zullen de inkomenseffecten </w:t>
      </w:r>
      <w:r w:rsidR="002C3712">
        <w:t>wel</w:t>
      </w:r>
      <w:r w:rsidRPr="00AB2EC3">
        <w:t xml:space="preserve"> kunnen opvangen. Een beperkte groep </w:t>
      </w:r>
      <w:r w:rsidR="008872C7">
        <w:t xml:space="preserve">komt mogelijk </w:t>
      </w:r>
      <w:r w:rsidR="00C223FC">
        <w:t xml:space="preserve">financieel </w:t>
      </w:r>
      <w:r w:rsidRPr="00AB2EC3">
        <w:t>in de problemen. De leencapaciteit daalt voor betrokken huishoudens enigszins. De budgettaire opbrengst is</w:t>
      </w:r>
      <w:r w:rsidR="008F6480">
        <w:t xml:space="preserve"> </w:t>
      </w:r>
      <w:proofErr w:type="gramStart"/>
      <w:r w:rsidR="008F6480">
        <w:t>circa</w:t>
      </w:r>
      <w:proofErr w:type="gramEnd"/>
      <w:r w:rsidRPr="00AB2EC3">
        <w:t xml:space="preserve"> </w:t>
      </w:r>
      <w:r w:rsidR="005134A3">
        <w:t>3,</w:t>
      </w:r>
      <w:r w:rsidR="00FF366C">
        <w:t>4</w:t>
      </w:r>
      <w:r w:rsidR="005134A3">
        <w:t xml:space="preserve"> miljard euro in 2031 en loopt geleidelijk </w:t>
      </w:r>
      <w:r w:rsidRPr="00AB2EC3">
        <w:t xml:space="preserve">af tot nihil in 2043. </w:t>
      </w:r>
      <w:r w:rsidR="008872C7">
        <w:t>Dit fiche vereist</w:t>
      </w:r>
      <w:r w:rsidRPr="00AB2EC3">
        <w:t xml:space="preserve"> exacte</w:t>
      </w:r>
      <w:r w:rsidR="007C7219">
        <w:t>, foutgevoelige</w:t>
      </w:r>
      <w:r w:rsidRPr="00AB2EC3">
        <w:t xml:space="preserve"> gegevensvastlegging per lening</w:t>
      </w:r>
      <w:r>
        <w:t xml:space="preserve"> door de Belastingdienst en de belastingplichtige en het vastleggen van een box 3-EWL</w:t>
      </w:r>
      <w:r w:rsidRPr="00AB2EC3">
        <w:t xml:space="preserve">. </w:t>
      </w:r>
    </w:p>
    <w:p w:rsidR="00DB045A" w:rsidP="00A10C87" w:rsidRDefault="00DB045A" w14:paraId="39B2AA16" w14:textId="77777777"/>
    <w:p w:rsidRPr="00DB045A" w:rsidR="00DB045A" w:rsidP="00DB045A" w:rsidRDefault="00DB045A" w14:paraId="1633E6B6" w14:textId="77777777">
      <w:pPr>
        <w:pStyle w:val="Lijstalinea"/>
        <w:numPr>
          <w:ilvl w:val="0"/>
          <w:numId w:val="44"/>
        </w:numPr>
      </w:pPr>
      <w:r>
        <w:rPr>
          <w:b/>
          <w:bCs/>
        </w:rPr>
        <w:t>Naomi:</w:t>
      </w:r>
      <w:r>
        <w:t xml:space="preserve"> </w:t>
      </w:r>
      <w:r w:rsidRPr="00DB045A">
        <w:t>Per 1-1-2031 verliest Naomi haar recht op HRA (i.p.v. op 1-7-2035).</w:t>
      </w:r>
    </w:p>
    <w:p w:rsidRPr="00DB045A" w:rsidR="00DB045A" w:rsidP="00DB045A" w:rsidRDefault="00DB045A" w14:paraId="602689FD" w14:textId="77777777">
      <w:pPr>
        <w:pStyle w:val="Lijstalinea"/>
        <w:numPr>
          <w:ilvl w:val="0"/>
          <w:numId w:val="44"/>
        </w:numPr>
      </w:pPr>
      <w:r w:rsidRPr="00DB045A">
        <w:rPr>
          <w:b/>
          <w:bCs/>
        </w:rPr>
        <w:t>Fred:</w:t>
      </w:r>
      <w:r>
        <w:t xml:space="preserve"> </w:t>
      </w:r>
      <w:r w:rsidRPr="00DB045A">
        <w:t xml:space="preserve">Per 1-1-2031 verliest Fred zijn recht op HRA (i.p.v. </w:t>
      </w:r>
      <w:r w:rsidR="00777A8D">
        <w:t>op</w:t>
      </w:r>
      <w:r w:rsidRPr="00DB045A" w:rsidR="00777A8D">
        <w:t xml:space="preserve"> </w:t>
      </w:r>
      <w:r w:rsidR="00777A8D">
        <w:t>1</w:t>
      </w:r>
      <w:r w:rsidRPr="00DB045A">
        <w:t>-</w:t>
      </w:r>
      <w:r w:rsidR="00777A8D">
        <w:t>7</w:t>
      </w:r>
      <w:r w:rsidRPr="00DB045A">
        <w:t>-2038)</w:t>
      </w:r>
      <w:r w:rsidR="00857B4B">
        <w:t>.</w:t>
      </w:r>
    </w:p>
    <w:p w:rsidRPr="00DB045A" w:rsidR="00DB045A" w:rsidP="00DB045A" w:rsidRDefault="00DB045A" w14:paraId="41889FC1" w14:textId="77777777">
      <w:pPr>
        <w:pStyle w:val="Lijstalinea"/>
        <w:numPr>
          <w:ilvl w:val="0"/>
          <w:numId w:val="44"/>
        </w:numPr>
      </w:pPr>
      <w:r w:rsidRPr="00DB045A">
        <w:rPr>
          <w:b/>
          <w:bCs/>
        </w:rPr>
        <w:t>Tim</w:t>
      </w:r>
      <w:r>
        <w:t xml:space="preserve">: </w:t>
      </w:r>
      <w:r w:rsidRPr="00DB045A">
        <w:t>Per 1-1-2031 verliest Tim zijn recht op HRA</w:t>
      </w:r>
      <w:r>
        <w:t xml:space="preserve"> (i.p.v. per 1-7-2040)</w:t>
      </w:r>
      <w:r w:rsidR="00857B4B">
        <w:t>.</w:t>
      </w:r>
    </w:p>
    <w:p w:rsidRPr="00AB2EC3" w:rsidR="00DB045A" w:rsidP="00DB045A" w:rsidRDefault="00DB045A" w14:paraId="316577B8" w14:textId="77777777">
      <w:pPr>
        <w:pStyle w:val="Lijstalinea"/>
        <w:numPr>
          <w:ilvl w:val="0"/>
          <w:numId w:val="44"/>
        </w:numPr>
      </w:pPr>
      <w:r>
        <w:rPr>
          <w:b/>
          <w:bCs/>
        </w:rPr>
        <w:t>Anna:</w:t>
      </w:r>
      <w:r>
        <w:t xml:space="preserve"> </w:t>
      </w:r>
      <w:r w:rsidRPr="00DB045A">
        <w:t xml:space="preserve">Voor Anna wijzigt er niets. Na verhuizing kan zij haar bestaande lening meenemen met haar huidige </w:t>
      </w:r>
      <w:r w:rsidR="001812BA">
        <w:t xml:space="preserve">resterende </w:t>
      </w:r>
      <w:r w:rsidRPr="00DB045A">
        <w:t>looptijd.</w:t>
      </w:r>
    </w:p>
    <w:p w:rsidR="00411F58" w:rsidP="00FF3304" w:rsidRDefault="00411F58" w14:paraId="1CAEA80F" w14:textId="77777777"/>
    <w:p w:rsidRPr="00AE7692" w:rsidR="00521EF1" w:rsidP="00521EF1" w:rsidRDefault="00521EF1" w14:paraId="73721599" w14:textId="77777777">
      <w:pPr>
        <w:pStyle w:val="Kop2"/>
        <w:rPr>
          <w:i/>
          <w:iCs/>
        </w:rPr>
      </w:pPr>
      <w:bookmarkStart w:name="_Toc222756878" w:id="32"/>
      <w:bookmarkStart w:name="_Toc226640261" w:id="33"/>
      <w:r w:rsidRPr="00521EF1">
        <w:t xml:space="preserve">Fiche 1B: zoals 1A, maar </w:t>
      </w:r>
      <w:r>
        <w:t xml:space="preserve">met overgangsbepaling. Bij oversluiten naar annuïtair aflosschema geldt behoud van HRA </w:t>
      </w:r>
      <w:r w:rsidRPr="00AE7692">
        <w:rPr>
          <w:i/>
          <w:iCs/>
        </w:rPr>
        <w:t>tot en met 2042</w:t>
      </w:r>
      <w:bookmarkEnd w:id="32"/>
      <w:bookmarkEnd w:id="33"/>
    </w:p>
    <w:p w:rsidRPr="00521EF1" w:rsidR="00521EF1" w:rsidP="00A10C87" w:rsidRDefault="00521EF1" w14:paraId="7AB379BA" w14:textId="77777777">
      <w:pPr>
        <w:rPr>
          <w:b/>
          <w:bCs/>
        </w:rPr>
      </w:pPr>
    </w:p>
    <w:p w:rsidR="00A10C87" w:rsidP="00A10C87" w:rsidRDefault="00A10C87" w14:paraId="5251CB2E" w14:textId="77777777">
      <w:r w:rsidRPr="00AB2EC3">
        <w:t xml:space="preserve">Deze variant bouwt voort op fiche 1A, maar voegt een overgangsregeling toe. Belastingplichtigen kunnen hun BEWS vóór 1 januari 2031 oversluiten naar een lening die </w:t>
      </w:r>
      <w:r w:rsidR="000F503B">
        <w:t xml:space="preserve">vanaf dat moment </w:t>
      </w:r>
      <w:r w:rsidRPr="00AB2EC3">
        <w:t>ten minste annuïtair in maximaal 360 maanden wordt afgelost.</w:t>
      </w:r>
      <w:r>
        <w:t xml:space="preserve"> </w:t>
      </w:r>
      <w:r w:rsidR="0032289F">
        <w:t>S</w:t>
      </w:r>
      <w:r>
        <w:t>paar-</w:t>
      </w:r>
      <w:r w:rsidR="00781FEA">
        <w:t>,</w:t>
      </w:r>
      <w:r>
        <w:t xml:space="preserve"> beleggings</w:t>
      </w:r>
      <w:r w:rsidR="00781FEA">
        <w:t>- en levens</w:t>
      </w:r>
      <w:r>
        <w:t xml:space="preserve">hypotheken </w:t>
      </w:r>
      <w:r w:rsidR="00774467">
        <w:t xml:space="preserve">die voor 2013 zijn afgesloten </w:t>
      </w:r>
      <w:r>
        <w:t>behouden HRA tot het einde van het betreffende product (maximaal 30 jaar).</w:t>
      </w:r>
      <w:r w:rsidRPr="00AB2EC3">
        <w:t xml:space="preserve"> </w:t>
      </w:r>
      <w:r>
        <w:t>D</w:t>
      </w:r>
      <w:r w:rsidRPr="00AB2EC3">
        <w:t>e HRA</w:t>
      </w:r>
      <w:r>
        <w:t xml:space="preserve"> blijft voor deze groep belastingplichtigen</w:t>
      </w:r>
      <w:r w:rsidRPr="00AB2EC3">
        <w:t xml:space="preserve"> tot en met </w:t>
      </w:r>
      <w:r w:rsidR="0032289F">
        <w:t xml:space="preserve">uiterlijk </w:t>
      </w:r>
      <w:r w:rsidRPr="00AB2EC3">
        <w:t>2042 behouden; vervolgens gaat de lening alsnog over naar box 3</w:t>
      </w:r>
      <w:r>
        <w:t xml:space="preserve"> (box 3-EWL)</w:t>
      </w:r>
      <w:r w:rsidRPr="00AB2EC3">
        <w:t xml:space="preserve">. De regeling faciliteert dat burgers </w:t>
      </w:r>
      <w:r>
        <w:t>ten minste 30 jaar, maar vaak aanzienlijk langer recht kunnen hebben op</w:t>
      </w:r>
      <w:r w:rsidRPr="00AB2EC3">
        <w:t xml:space="preserve"> HRA. </w:t>
      </w:r>
      <w:r>
        <w:t>L</w:t>
      </w:r>
      <w:r w:rsidRPr="00AB2EC3">
        <w:t>eningen die in 2031 nog aflossingsvrij zijn, verliezen direct het aftrekrecht</w:t>
      </w:r>
      <w:r>
        <w:t xml:space="preserve"> en </w:t>
      </w:r>
      <w:r w:rsidR="00777A8D">
        <w:t xml:space="preserve">gaan over </w:t>
      </w:r>
      <w:r>
        <w:t>naar box 3 (box 3-EWL).</w:t>
      </w:r>
      <w:r w:rsidR="007F2E38">
        <w:t xml:space="preserve"> Voor deze huishoudens geldt dat ze te maken krijgen met een lastenverzwaring die</w:t>
      </w:r>
      <w:r w:rsidR="00B7202E">
        <w:t xml:space="preserve"> in vrijwel alle gevallen</w:t>
      </w:r>
      <w:r w:rsidR="007F2E38">
        <w:t xml:space="preserve"> niet problematisch is. </w:t>
      </w:r>
      <w:r w:rsidRPr="00AB2EC3">
        <w:t>Voor overige BEWS die zijn</w:t>
      </w:r>
      <w:r w:rsidR="00C223FC">
        <w:t xml:space="preserve"> of worden</w:t>
      </w:r>
      <w:r w:rsidRPr="00AB2EC3">
        <w:t xml:space="preserve"> omgezet </w:t>
      </w:r>
      <w:r w:rsidR="00777A8D">
        <w:t>naar een lening die</w:t>
      </w:r>
      <w:r>
        <w:t xml:space="preserve"> in ten hoogste 360 maanden</w:t>
      </w:r>
      <w:r w:rsidR="00777A8D">
        <w:t xml:space="preserve"> ten minste annuïtair wordt afgelost</w:t>
      </w:r>
      <w:r w:rsidRPr="00AB2EC3">
        <w:t>, geldt</w:t>
      </w:r>
      <w:r>
        <w:t xml:space="preserve"> dus</w:t>
      </w:r>
      <w:r w:rsidRPr="00AB2EC3">
        <w:t xml:space="preserve"> een langere periode HRA.</w:t>
      </w:r>
      <w:r>
        <w:t xml:space="preserve"> </w:t>
      </w:r>
      <w:r w:rsidR="00F25D07">
        <w:t>Om gebruik te maken van d</w:t>
      </w:r>
      <w:r>
        <w:t xml:space="preserve">eze </w:t>
      </w:r>
      <w:r w:rsidR="00F25D07">
        <w:t>overgangs</w:t>
      </w:r>
      <w:r>
        <w:t xml:space="preserve">maatregel </w:t>
      </w:r>
      <w:r w:rsidR="00F25D07">
        <w:t>dienen</w:t>
      </w:r>
      <w:r>
        <w:t xml:space="preserve"> b</w:t>
      </w:r>
      <w:r w:rsidRPr="00AB2EC3">
        <w:t>elastingplichtigen tijdig voor oversluit</w:t>
      </w:r>
      <w:r>
        <w:t>en</w:t>
      </w:r>
      <w:r w:rsidR="008872C7">
        <w:t xml:space="preserve"> te</w:t>
      </w:r>
      <w:r w:rsidRPr="00AB2EC3">
        <w:t xml:space="preserve"> kiezen, wat gepaard kan gaan met extra eenmalige overstapkosten en advieskosten. </w:t>
      </w:r>
      <w:r w:rsidR="005134A3">
        <w:t>De budgettaire opbrengst</w:t>
      </w:r>
      <w:r w:rsidR="00B7202E">
        <w:t xml:space="preserve"> van deze maatregel</w:t>
      </w:r>
      <w:r w:rsidR="005134A3">
        <w:t xml:space="preserve"> is </w:t>
      </w:r>
      <w:proofErr w:type="gramStart"/>
      <w:r w:rsidR="008F6480">
        <w:t>circa</w:t>
      </w:r>
      <w:proofErr w:type="gramEnd"/>
      <w:r w:rsidR="008F6480">
        <w:t xml:space="preserve"> </w:t>
      </w:r>
      <w:r w:rsidR="005134A3">
        <w:t>3,</w:t>
      </w:r>
      <w:r w:rsidR="00FF366C">
        <w:t>2</w:t>
      </w:r>
      <w:r w:rsidR="005134A3">
        <w:t xml:space="preserve"> miljard euro in 2031 en loopt geleidelijk af tot nihil in 2043. Daarmee is de opbrengst een fractie lager</w:t>
      </w:r>
      <w:r w:rsidRPr="00AB2EC3">
        <w:t xml:space="preserve"> dan onder fiche 1A. Verwacht wordt dat vooral belastingplichtigen met een hoge rente of </w:t>
      </w:r>
      <w:r w:rsidR="00F25D07">
        <w:t xml:space="preserve">een </w:t>
      </w:r>
      <w:r w:rsidRPr="00AB2EC3">
        <w:t xml:space="preserve">wens tot </w:t>
      </w:r>
      <w:r w:rsidR="00F25D07">
        <w:t xml:space="preserve">het </w:t>
      </w:r>
      <w:r w:rsidRPr="00AB2EC3">
        <w:t xml:space="preserve">afbouwen van </w:t>
      </w:r>
      <w:r w:rsidR="00F25D07">
        <w:t>hun</w:t>
      </w:r>
      <w:r w:rsidRPr="00AB2EC3" w:rsidR="00F25D07">
        <w:t xml:space="preserve"> </w:t>
      </w:r>
      <w:r w:rsidRPr="00AB2EC3">
        <w:t xml:space="preserve">schuld </w:t>
      </w:r>
      <w:r w:rsidR="008F23F4">
        <w:t xml:space="preserve">hun </w:t>
      </w:r>
      <w:r w:rsidR="00F25D07">
        <w:t xml:space="preserve">lening </w:t>
      </w:r>
      <w:r w:rsidR="008F23F4">
        <w:t>oversluiten naar een annuïtaire hypotheek</w:t>
      </w:r>
      <w:r w:rsidRPr="00AB2EC3">
        <w:t xml:space="preserve">. </w:t>
      </w:r>
      <w:r>
        <w:t>Voor de uitvoering betekent deze maatregel ten opzichte van fiche 1A dat</w:t>
      </w:r>
      <w:r w:rsidR="004A497B">
        <w:t xml:space="preserve"> door de Belastingdienst</w:t>
      </w:r>
      <w:r>
        <w:t xml:space="preserve"> vastgelegd moet worden dat voor bepaalde eigenwoningleningen HRA in box 1 geldt tot 2043.</w:t>
      </w:r>
      <w:r w:rsidR="008F1AA6">
        <w:t xml:space="preserve"> Dit voegt complexiteit toe aan de kant van de uitvoering.</w:t>
      </w:r>
    </w:p>
    <w:p w:rsidR="00DB045A" w:rsidP="00A10C87" w:rsidRDefault="00DB045A" w14:paraId="26EC923B" w14:textId="77777777"/>
    <w:p w:rsidRPr="00DB045A" w:rsidR="00DB045A" w:rsidP="00DB045A" w:rsidRDefault="00DB045A" w14:paraId="5CB2B833" w14:textId="77777777">
      <w:pPr>
        <w:pStyle w:val="Lijstalinea"/>
        <w:numPr>
          <w:ilvl w:val="0"/>
          <w:numId w:val="44"/>
        </w:numPr>
      </w:pPr>
      <w:r>
        <w:rPr>
          <w:b/>
          <w:bCs/>
        </w:rPr>
        <w:t>Naomi:</w:t>
      </w:r>
      <w:r>
        <w:t xml:space="preserve"> </w:t>
      </w:r>
      <w:r w:rsidR="00E11B7E">
        <w:t>p</w:t>
      </w:r>
      <w:r w:rsidRPr="00DB045A">
        <w:t>er 1-1-2031 verliest Naomi haar recht op HRA (i.p.v. op 1-7-2035)</w:t>
      </w:r>
      <w:r w:rsidR="00B7202E">
        <w:t xml:space="preserve"> omdat ze geen gebruik maakt van de overgangsregeling.</w:t>
      </w:r>
    </w:p>
    <w:p w:rsidRPr="00DB045A" w:rsidR="00DB045A" w:rsidP="00DB045A" w:rsidRDefault="00DB045A" w14:paraId="4F516367" w14:textId="77777777">
      <w:pPr>
        <w:pStyle w:val="Lijstalinea"/>
        <w:numPr>
          <w:ilvl w:val="0"/>
          <w:numId w:val="44"/>
        </w:numPr>
      </w:pPr>
      <w:r w:rsidRPr="00DB045A">
        <w:rPr>
          <w:b/>
          <w:bCs/>
        </w:rPr>
        <w:t>Fred:</w:t>
      </w:r>
      <w:r>
        <w:t xml:space="preserve"> </w:t>
      </w:r>
      <w:r w:rsidRPr="00DB045A">
        <w:t xml:space="preserve">behoudt zijn recht op HRA tot 2043 (i.p.v. tot </w:t>
      </w:r>
      <w:r w:rsidR="004B7831">
        <w:t>1</w:t>
      </w:r>
      <w:r w:rsidRPr="00DB045A">
        <w:t>-</w:t>
      </w:r>
      <w:r w:rsidR="004B7831">
        <w:t>7</w:t>
      </w:r>
      <w:r w:rsidRPr="00DB045A">
        <w:t>-2038).</w:t>
      </w:r>
    </w:p>
    <w:p w:rsidRPr="00DB045A" w:rsidR="00DB045A" w:rsidP="00E11B7E" w:rsidRDefault="00DB045A" w14:paraId="005F4F52" w14:textId="77777777">
      <w:pPr>
        <w:pStyle w:val="Lijstalinea"/>
        <w:numPr>
          <w:ilvl w:val="0"/>
          <w:numId w:val="44"/>
        </w:numPr>
      </w:pPr>
      <w:r w:rsidRPr="00DB045A">
        <w:rPr>
          <w:b/>
          <w:bCs/>
        </w:rPr>
        <w:t>Tim</w:t>
      </w:r>
      <w:r>
        <w:t xml:space="preserve">: </w:t>
      </w:r>
      <w:r w:rsidRPr="00E11B7E" w:rsidR="00E11B7E">
        <w:t>heeft recht op HRA tot het einde van zijn spaarproduct (1-7-2040).</w:t>
      </w:r>
    </w:p>
    <w:p w:rsidRPr="00AB2EC3" w:rsidR="00DB045A" w:rsidP="00DB045A" w:rsidRDefault="00DB045A" w14:paraId="6372BBA7" w14:textId="77777777">
      <w:pPr>
        <w:pStyle w:val="Lijstalinea"/>
        <w:numPr>
          <w:ilvl w:val="0"/>
          <w:numId w:val="44"/>
        </w:numPr>
      </w:pPr>
      <w:r>
        <w:rPr>
          <w:b/>
          <w:bCs/>
        </w:rPr>
        <w:t>Anna:</w:t>
      </w:r>
      <w:r>
        <w:t xml:space="preserve"> </w:t>
      </w:r>
      <w:r w:rsidRPr="00DB045A">
        <w:t xml:space="preserve">Voor Anna wijzigt er niets. Na verhuizing kan zij kan haar bestaande lening meenemen met haar huidige </w:t>
      </w:r>
      <w:r w:rsidR="001812BA">
        <w:t xml:space="preserve">resterende </w:t>
      </w:r>
      <w:r w:rsidRPr="00DB045A">
        <w:t>looptijd.</w:t>
      </w:r>
    </w:p>
    <w:p w:rsidRPr="00AB2EC3" w:rsidR="00DB045A" w:rsidP="00A10C87" w:rsidRDefault="00DB045A" w14:paraId="4395DEB8" w14:textId="77777777"/>
    <w:p w:rsidR="00A10C87" w:rsidP="00FF3304" w:rsidRDefault="00A10C87" w14:paraId="678E1408" w14:textId="77777777"/>
    <w:p w:rsidR="006A173C" w:rsidP="00FF3304" w:rsidRDefault="006A173C" w14:paraId="50A352EB" w14:textId="77777777"/>
    <w:p w:rsidR="006A173C" w:rsidP="00FF3304" w:rsidRDefault="006A173C" w14:paraId="24B0DD4F" w14:textId="77777777"/>
    <w:p w:rsidR="00521EF1" w:rsidP="00521EF1" w:rsidRDefault="00521EF1" w14:paraId="3026F4AB" w14:textId="77777777">
      <w:pPr>
        <w:pStyle w:val="Kop2"/>
      </w:pPr>
      <w:bookmarkStart w:name="_Toc222756879" w:id="34"/>
      <w:bookmarkStart w:name="_Toc226640262" w:id="35"/>
      <w:r>
        <w:lastRenderedPageBreak/>
        <w:t xml:space="preserve">Fiche 1C: zoals 1A, maar met overgangsbepaling. Bij oversluiten naar annuïtair aflosschema geldt behoud van HRA </w:t>
      </w:r>
      <w:r>
        <w:rPr>
          <w:i/>
          <w:iCs/>
        </w:rPr>
        <w:t>tot einde looptijd lening</w:t>
      </w:r>
      <w:bookmarkEnd w:id="34"/>
      <w:bookmarkEnd w:id="35"/>
    </w:p>
    <w:p w:rsidR="00521EF1" w:rsidP="00FF3304" w:rsidRDefault="00521EF1" w14:paraId="61851D36" w14:textId="77777777"/>
    <w:p w:rsidR="00A10C87" w:rsidP="00A10C87" w:rsidRDefault="00A10C87" w14:paraId="4ABE7955" w14:textId="77777777">
      <w:r w:rsidRPr="00AB2EC3">
        <w:t xml:space="preserve">In deze variant vervalt de HRA voor BEWS per 2031 met mogelijkheid tot oversluiten naar een </w:t>
      </w:r>
      <w:r>
        <w:t>lening die ten minste annuïtair in maximaal 360 maanden wordt afgelost</w:t>
      </w:r>
      <w:r w:rsidRPr="00AB2EC3">
        <w:t xml:space="preserve">, waarna gedurende 30 jaar opnieuw HRA kan worden genoten. Hiermee ontstaat een gunstige regeling voor belastingplichtigen, die na oversluiten </w:t>
      </w:r>
      <w:r>
        <w:t>nog eens</w:t>
      </w:r>
      <w:r w:rsidRPr="00AB2EC3">
        <w:t xml:space="preserve"> </w:t>
      </w:r>
      <w:r>
        <w:t>30</w:t>
      </w:r>
      <w:r w:rsidRPr="00AB2EC3">
        <w:t xml:space="preserve"> jaar </w:t>
      </w:r>
      <w:r>
        <w:t xml:space="preserve">recht houden op </w:t>
      </w:r>
      <w:r w:rsidRPr="00AB2EC3">
        <w:t xml:space="preserve">HRA (bestaande plus nieuwe periode). Alleen BEWS die in 2031 aflossingsvrij blijven, </w:t>
      </w:r>
      <w:r w:rsidR="004B7831">
        <w:t>gaan over</w:t>
      </w:r>
      <w:r w:rsidRPr="00AB2EC3" w:rsidR="004B7831">
        <w:t xml:space="preserve"> </w:t>
      </w:r>
      <w:r w:rsidRPr="00AB2EC3">
        <w:t>naar box 3</w:t>
      </w:r>
      <w:r>
        <w:t xml:space="preserve"> (box 3-EWL)</w:t>
      </w:r>
      <w:r w:rsidRPr="00AB2EC3">
        <w:t xml:space="preserve">. </w:t>
      </w:r>
      <w:r w:rsidR="0019130A">
        <w:t xml:space="preserve">Verwacht wordt dat een iets grotere, maar nog steeds beperkte groep belastingplichtigen </w:t>
      </w:r>
      <w:r w:rsidR="004B7831">
        <w:t xml:space="preserve">gebruikmaakt </w:t>
      </w:r>
      <w:r w:rsidR="0019130A">
        <w:t>van de overgangsbepaling.</w:t>
      </w:r>
      <w:r w:rsidRPr="00AB2EC3">
        <w:t xml:space="preserve"> </w:t>
      </w:r>
      <w:r w:rsidR="005134A3">
        <w:t xml:space="preserve">De budgettaire opbrengst </w:t>
      </w:r>
      <w:r w:rsidR="00B7202E">
        <w:t xml:space="preserve">van de maatregel </w:t>
      </w:r>
      <w:r w:rsidR="005134A3">
        <w:t xml:space="preserve">is </w:t>
      </w:r>
      <w:proofErr w:type="gramStart"/>
      <w:r w:rsidR="008F6480">
        <w:t>circa</w:t>
      </w:r>
      <w:proofErr w:type="gramEnd"/>
      <w:r w:rsidR="008F6480">
        <w:t xml:space="preserve"> </w:t>
      </w:r>
      <w:r w:rsidR="005134A3">
        <w:t>3,</w:t>
      </w:r>
      <w:r w:rsidR="00FF366C">
        <w:t>1</w:t>
      </w:r>
      <w:r w:rsidR="005134A3">
        <w:t xml:space="preserve"> miljard euro in 2031 en loopt geleidelijk af tot nihil in 2043. </w:t>
      </w:r>
      <w:r w:rsidR="0019130A">
        <w:t>Daar</w:t>
      </w:r>
      <w:r w:rsidR="005134A3">
        <w:t>mee</w:t>
      </w:r>
      <w:r w:rsidR="0019130A">
        <w:t xml:space="preserve"> is de budgettaire opbrengst</w:t>
      </w:r>
      <w:r w:rsidRPr="00AB2EC3">
        <w:t xml:space="preserve"> iets beperkter dan onder fiche 1B. </w:t>
      </w:r>
      <w:r>
        <w:t>Ook in deze variant moet de Belastingdienst een box 3-EWL vastleggen</w:t>
      </w:r>
      <w:r w:rsidR="004B7831">
        <w:t>, maar alleen voor aflossingsvrije leningen die niet worden overgesloten</w:t>
      </w:r>
      <w:r>
        <w:t xml:space="preserve">. Voor de uitvoering is deze maatregel </w:t>
      </w:r>
      <w:r w:rsidR="0019130A">
        <w:t>eenvoudiger</w:t>
      </w:r>
      <w:r>
        <w:t xml:space="preserve"> dan fiche 1B</w:t>
      </w:r>
      <w:r w:rsidR="008F23F4">
        <w:t xml:space="preserve"> (en 1A)</w:t>
      </w:r>
      <w:r>
        <w:t xml:space="preserve"> omdat geen maximale aftrektermijn geldt voor leningen die </w:t>
      </w:r>
      <w:r w:rsidR="001812BA">
        <w:t>voldoen aan de aflossingseis</w:t>
      </w:r>
      <w:r>
        <w:t>.</w:t>
      </w:r>
      <w:r w:rsidRPr="00AB2EC3">
        <w:t xml:space="preserve"> </w:t>
      </w:r>
      <w:r w:rsidR="00DA13B6">
        <w:t>Er hoef</w:t>
      </w:r>
      <w:r w:rsidR="008F23F4">
        <w:t>t</w:t>
      </w:r>
      <w:r w:rsidR="00DA13B6">
        <w:t xml:space="preserve"> alleen bepaald te worden of een lening ten minste annuïtair in maximaal 360 maanden wordt afgelost, niet of een lening een BEWS is.</w:t>
      </w:r>
      <w:r w:rsidR="008F1AA6">
        <w:t xml:space="preserve"> Dit is een forse vereenvoudiging ten opzichte van fiches 1A en 1B.</w:t>
      </w:r>
    </w:p>
    <w:p w:rsidR="0019130A" w:rsidP="00A10C87" w:rsidRDefault="0019130A" w14:paraId="08418E1F" w14:textId="77777777"/>
    <w:p w:rsidRPr="00DB045A" w:rsidR="00E11B7E" w:rsidP="00E11B7E" w:rsidRDefault="00E11B7E" w14:paraId="55F5DF60" w14:textId="77777777">
      <w:pPr>
        <w:pStyle w:val="Lijstalinea"/>
        <w:numPr>
          <w:ilvl w:val="0"/>
          <w:numId w:val="44"/>
        </w:numPr>
      </w:pPr>
      <w:r>
        <w:rPr>
          <w:b/>
          <w:bCs/>
        </w:rPr>
        <w:t>Naomi:</w:t>
      </w:r>
      <w:r>
        <w:t xml:space="preserve"> p</w:t>
      </w:r>
      <w:r w:rsidRPr="00DB045A">
        <w:t>er 1-1-2031 verliest Naomi haar recht op HRA (i.p.v. op 1-7-2035)</w:t>
      </w:r>
      <w:r w:rsidR="00B7202E">
        <w:t xml:space="preserve"> omdat ze geen gebruik maakt van de overgangsregeling.</w:t>
      </w:r>
    </w:p>
    <w:p w:rsidRPr="00DB045A" w:rsidR="00E11B7E" w:rsidP="00E11B7E" w:rsidRDefault="00E11B7E" w14:paraId="548754D8" w14:textId="77777777">
      <w:pPr>
        <w:pStyle w:val="Lijstalinea"/>
        <w:numPr>
          <w:ilvl w:val="0"/>
          <w:numId w:val="44"/>
        </w:numPr>
      </w:pPr>
      <w:r w:rsidRPr="00DB045A">
        <w:rPr>
          <w:b/>
          <w:bCs/>
        </w:rPr>
        <w:t>Fred:</w:t>
      </w:r>
      <w:r>
        <w:t xml:space="preserve"> </w:t>
      </w:r>
      <w:r w:rsidRPr="00E11B7E">
        <w:t xml:space="preserve">Fred behoudt zijn recht op HRA tot hij zijn lening heeft afgelost op </w:t>
      </w:r>
      <w:r w:rsidR="004B7831">
        <w:t>1</w:t>
      </w:r>
      <w:r w:rsidRPr="00E11B7E">
        <w:t>-</w:t>
      </w:r>
      <w:r w:rsidR="004B7831">
        <w:t>7</w:t>
      </w:r>
      <w:r w:rsidRPr="00E11B7E">
        <w:t>-2060.</w:t>
      </w:r>
    </w:p>
    <w:p w:rsidRPr="00DB045A" w:rsidR="00E11B7E" w:rsidP="00E11B7E" w:rsidRDefault="00E11B7E" w14:paraId="66CEBCAE" w14:textId="77777777">
      <w:pPr>
        <w:pStyle w:val="Lijstalinea"/>
        <w:numPr>
          <w:ilvl w:val="0"/>
          <w:numId w:val="44"/>
        </w:numPr>
      </w:pPr>
      <w:r w:rsidRPr="00DB045A">
        <w:rPr>
          <w:b/>
          <w:bCs/>
        </w:rPr>
        <w:t>Tim</w:t>
      </w:r>
      <w:r>
        <w:t xml:space="preserve">: </w:t>
      </w:r>
      <w:r w:rsidRPr="00E11B7E">
        <w:t>heeft recht op HRA tot het einde van zijn spaarproduct (1-7-2040).</w:t>
      </w:r>
    </w:p>
    <w:p w:rsidRPr="00AB2EC3" w:rsidR="00E11B7E" w:rsidP="00E11B7E" w:rsidRDefault="00E11B7E" w14:paraId="242953BA" w14:textId="77777777">
      <w:pPr>
        <w:pStyle w:val="Lijstalinea"/>
        <w:numPr>
          <w:ilvl w:val="0"/>
          <w:numId w:val="44"/>
        </w:numPr>
      </w:pPr>
      <w:r>
        <w:rPr>
          <w:b/>
          <w:bCs/>
        </w:rPr>
        <w:t>Anna:</w:t>
      </w:r>
      <w:r>
        <w:t xml:space="preserve"> </w:t>
      </w:r>
      <w:r w:rsidRPr="00DB045A">
        <w:t>Voor Anna wijzigt er niets. Na verhuizing kan zij kan haar bestaande lening meenemen met haar huidige</w:t>
      </w:r>
      <w:r w:rsidR="001812BA">
        <w:t xml:space="preserve"> resterende</w:t>
      </w:r>
      <w:r w:rsidRPr="00DB045A">
        <w:t xml:space="preserve"> looptijd.</w:t>
      </w:r>
    </w:p>
    <w:p w:rsidR="00E11B7E" w:rsidP="00A10C87" w:rsidRDefault="00E11B7E" w14:paraId="607DCB5A" w14:textId="77777777"/>
    <w:p w:rsidR="00521EF1" w:rsidP="00521EF1" w:rsidRDefault="00521EF1" w14:paraId="54EF3228" w14:textId="77777777">
      <w:pPr>
        <w:pStyle w:val="Kop2"/>
      </w:pPr>
      <w:bookmarkStart w:name="_Toc222756880" w:id="36"/>
      <w:bookmarkStart w:name="_Toc226640263" w:id="37"/>
      <w:r>
        <w:t>Fiche 1D: zoals 1C, maar met uitbreiding voor leningen van na 1-1-2013</w:t>
      </w:r>
      <w:bookmarkEnd w:id="36"/>
      <w:bookmarkEnd w:id="37"/>
    </w:p>
    <w:p w:rsidRPr="00AB2EC3" w:rsidR="0019130A" w:rsidP="00A10C87" w:rsidRDefault="0019130A" w14:paraId="77640909" w14:textId="77777777"/>
    <w:p w:rsidR="00F8213F" w:rsidP="0019130A" w:rsidRDefault="0019130A" w14:paraId="53BB9CAC" w14:textId="77777777">
      <w:r w:rsidRPr="00AB2EC3">
        <w:t xml:space="preserve">Deze uitbreiding van fiche 1C voorziet ook in een nieuwe looptijd van 30 jaar </w:t>
      </w:r>
      <w:r>
        <w:t>HRA</w:t>
      </w:r>
      <w:r w:rsidRPr="00AB2EC3">
        <w:t xml:space="preserve"> </w:t>
      </w:r>
      <w:r>
        <w:t>voor</w:t>
      </w:r>
      <w:r w:rsidRPr="00AB2EC3">
        <w:t xml:space="preserve"> eigenwoningleningen</w:t>
      </w:r>
      <w:r>
        <w:t xml:space="preserve"> aangegaan ná 1-1-2013 </w:t>
      </w:r>
      <w:r w:rsidR="004B7831">
        <w:t>die</w:t>
      </w:r>
      <w:r>
        <w:t xml:space="preserve"> bij verhuizen</w:t>
      </w:r>
      <w:r w:rsidR="004B7831">
        <w:t xml:space="preserve"> worden overgesloten en</w:t>
      </w:r>
      <w:r w:rsidRPr="00AB2EC3">
        <w:t xml:space="preserve"> die aan de aflossingseis voldoen</w:t>
      </w:r>
      <w:r w:rsidR="004B7831">
        <w:t xml:space="preserve"> (van een aflostermijn van opnieuw 360 maanden)</w:t>
      </w:r>
      <w:r w:rsidRPr="00AB2EC3">
        <w:t>.</w:t>
      </w:r>
      <w:r>
        <w:t xml:space="preserve"> Deze maatregel leidt ertoe dat een evenwicht bereikt wordt tussen leningen die zijn afgesloten v</w:t>
      </w:r>
      <w:r w:rsidR="008F1AA6">
        <w:t>óó</w:t>
      </w:r>
      <w:r>
        <w:t>r, en n</w:t>
      </w:r>
      <w:r w:rsidR="008F1AA6">
        <w:t>á</w:t>
      </w:r>
      <w:r>
        <w:t xml:space="preserve"> 1 januari 2013.</w:t>
      </w:r>
      <w:r w:rsidRPr="00AB2EC3">
        <w:t xml:space="preserve"> De regeling vereenvoudigt het systeem doordat bij elke nieuwe annuïtaire lening automatisch een nieuwe periode van 30 jaar HRA geldt</w:t>
      </w:r>
      <w:r>
        <w:rPr>
          <w:rStyle w:val="Voetnootmarkering"/>
        </w:rPr>
        <w:footnoteReference w:id="32"/>
      </w:r>
      <w:r w:rsidR="006A173C">
        <w:t>.</w:t>
      </w:r>
      <w:r w:rsidRPr="00AB2EC3">
        <w:t xml:space="preserve"> Dat maakt toetsingsmomenten </w:t>
      </w:r>
      <w:proofErr w:type="gramStart"/>
      <w:r w:rsidRPr="00AB2EC3">
        <w:t>omtrent</w:t>
      </w:r>
      <w:proofErr w:type="gramEnd"/>
      <w:r w:rsidRPr="00AB2EC3">
        <w:t xml:space="preserve"> het ontstaan</w:t>
      </w:r>
      <w:r>
        <w:t xml:space="preserve"> </w:t>
      </w:r>
      <w:r w:rsidR="004B7831">
        <w:t>van elk afzonderlijk</w:t>
      </w:r>
      <w:r w:rsidR="009811FC">
        <w:t xml:space="preserve"> </w:t>
      </w:r>
      <w:proofErr w:type="spellStart"/>
      <w:r w:rsidRPr="00AB2EC3">
        <w:t>lening</w:t>
      </w:r>
      <w:r w:rsidR="004B7831">
        <w:t>deel</w:t>
      </w:r>
      <w:proofErr w:type="spellEnd"/>
      <w:r w:rsidRPr="00AB2EC3">
        <w:t xml:space="preserve"> overbodig. </w:t>
      </w:r>
      <w:r>
        <w:t xml:space="preserve">Leningen die niet voldoen aan de aflossingseis (met name </w:t>
      </w:r>
      <w:r w:rsidRPr="00AB2EC3">
        <w:t>aflossingsvrije leningen</w:t>
      </w:r>
      <w:r>
        <w:t>)</w:t>
      </w:r>
      <w:r w:rsidRPr="00AB2EC3">
        <w:t xml:space="preserve"> komen niet langer in aanmerking</w:t>
      </w:r>
      <w:r>
        <w:t xml:space="preserve"> voor HRA</w:t>
      </w:r>
      <w:r w:rsidRPr="00AB2EC3">
        <w:t>.</w:t>
      </w:r>
      <w:r w:rsidR="00B7202E">
        <w:t xml:space="preserve"> </w:t>
      </w:r>
      <w:bookmarkStart w:name="_Hlk220593743" w:id="38"/>
      <w:r>
        <w:t>De</w:t>
      </w:r>
      <w:r w:rsidRPr="00AB2EC3">
        <w:t xml:space="preserve"> </w:t>
      </w:r>
      <w:r>
        <w:t xml:space="preserve">verruiming van de regeling voor alle eigenwoningleningen leidt </w:t>
      </w:r>
      <w:r w:rsidR="00B7202E">
        <w:t>ten opzicht</w:t>
      </w:r>
      <w:r w:rsidR="004B7831">
        <w:t>e</w:t>
      </w:r>
      <w:r w:rsidR="00B7202E">
        <w:t xml:space="preserve"> van fiche 1C </w:t>
      </w:r>
      <w:r>
        <w:t>tot een aanvullende</w:t>
      </w:r>
      <w:r w:rsidR="009761D0">
        <w:t xml:space="preserve">, structurele </w:t>
      </w:r>
      <w:r>
        <w:t>budgettaire derving in de periode vanaf 2043</w:t>
      </w:r>
      <w:r w:rsidR="007B6E51">
        <w:t>.</w:t>
      </w:r>
      <w:r w:rsidR="009761D0">
        <w:t xml:space="preserve"> </w:t>
      </w:r>
      <w:r>
        <w:t>Er is nader onderzoek nodig om de orde grootte van deze aanvullende, substantiële</w:t>
      </w:r>
      <w:r w:rsidR="009761D0">
        <w:t xml:space="preserve">, structurele </w:t>
      </w:r>
      <w:r>
        <w:t>derving in kaart te brengen</w:t>
      </w:r>
      <w:bookmarkEnd w:id="38"/>
      <w:r w:rsidR="004B7831">
        <w:t>.</w:t>
      </w:r>
      <w:r w:rsidR="00B7202E">
        <w:rPr>
          <w:rStyle w:val="Voetnootmarkering"/>
        </w:rPr>
        <w:footnoteReference w:id="33"/>
      </w:r>
      <w:r w:rsidRPr="001734EC">
        <w:t xml:space="preserve"> </w:t>
      </w:r>
      <w:r>
        <w:t xml:space="preserve">Voor de </w:t>
      </w:r>
      <w:r>
        <w:lastRenderedPageBreak/>
        <w:t xml:space="preserve">uitvoering is deze maatregel een vereenvoudiging, omdat ook het renteaftrekverleden van leningen na 1 januari 2013 niet meer bijgehouden hoeft te worden. Ook is het niet nodig om een box 3-EWL vast te stellen, omdat elke nieuwe lening die voldoet aan de aflossingseis in aanmerking komt voor HRA. </w:t>
      </w:r>
      <w:r w:rsidR="008F1AA6">
        <w:t>Deze maatregel zou de doorstroming op de woningmarkt ten goede kunnen komen maar t</w:t>
      </w:r>
      <w:r w:rsidR="00F8213F">
        <w:t>egelijkertijd vergroot deze maatregel de subsidie op de eigen woning door het recht op HRA uit te breiden.</w:t>
      </w:r>
    </w:p>
    <w:p w:rsidRPr="00AB2EC3" w:rsidR="00F8213F" w:rsidP="0019130A" w:rsidRDefault="00F8213F" w14:paraId="5F765CCE" w14:textId="77777777"/>
    <w:p w:rsidRPr="00DB045A" w:rsidR="00E11B7E" w:rsidP="00E11B7E" w:rsidRDefault="00E11B7E" w14:paraId="5AD3415F" w14:textId="77777777">
      <w:pPr>
        <w:pStyle w:val="Lijstalinea"/>
        <w:numPr>
          <w:ilvl w:val="0"/>
          <w:numId w:val="44"/>
        </w:numPr>
      </w:pPr>
      <w:r>
        <w:rPr>
          <w:b/>
          <w:bCs/>
        </w:rPr>
        <w:t>Naomi:</w:t>
      </w:r>
      <w:r>
        <w:t xml:space="preserve"> p</w:t>
      </w:r>
      <w:r w:rsidRPr="00DB045A">
        <w:t>er 1-1-2031 verliest Naomi haar recht op HRA (i.p.v. op 1-7-2035).</w:t>
      </w:r>
    </w:p>
    <w:p w:rsidRPr="00DB045A" w:rsidR="00E11B7E" w:rsidP="00E11B7E" w:rsidRDefault="00E11B7E" w14:paraId="757FC0FC" w14:textId="77777777">
      <w:pPr>
        <w:pStyle w:val="Lijstalinea"/>
        <w:numPr>
          <w:ilvl w:val="0"/>
          <w:numId w:val="44"/>
        </w:numPr>
      </w:pPr>
      <w:r w:rsidRPr="00DB045A">
        <w:rPr>
          <w:b/>
          <w:bCs/>
        </w:rPr>
        <w:t>Fred:</w:t>
      </w:r>
      <w:r>
        <w:t xml:space="preserve"> </w:t>
      </w:r>
      <w:r w:rsidRPr="00E11B7E">
        <w:t xml:space="preserve">Fred behoudt zijn recht op HRA tot hij zijn lening heeft afgelost op </w:t>
      </w:r>
      <w:r w:rsidR="004B7831">
        <w:t>1</w:t>
      </w:r>
      <w:r w:rsidRPr="00E11B7E">
        <w:t>-</w:t>
      </w:r>
      <w:r w:rsidR="004B7831">
        <w:t>7</w:t>
      </w:r>
      <w:r w:rsidRPr="00E11B7E">
        <w:t>-2060.</w:t>
      </w:r>
    </w:p>
    <w:p w:rsidRPr="00DB045A" w:rsidR="00E11B7E" w:rsidP="00E11B7E" w:rsidRDefault="00E11B7E" w14:paraId="411B7DD5" w14:textId="77777777">
      <w:pPr>
        <w:pStyle w:val="Lijstalinea"/>
        <w:numPr>
          <w:ilvl w:val="0"/>
          <w:numId w:val="44"/>
        </w:numPr>
      </w:pPr>
      <w:r w:rsidRPr="00DB045A">
        <w:rPr>
          <w:b/>
          <w:bCs/>
        </w:rPr>
        <w:t>Tim</w:t>
      </w:r>
      <w:r>
        <w:t xml:space="preserve">: </w:t>
      </w:r>
      <w:r w:rsidRPr="00E11B7E">
        <w:t>heeft recht op HRA tot het einde van zijn spaarproduct (1-7-2040).</w:t>
      </w:r>
    </w:p>
    <w:p w:rsidRPr="00AB2EC3" w:rsidR="00E11B7E" w:rsidP="00E11B7E" w:rsidRDefault="00E11B7E" w14:paraId="56B718A3" w14:textId="77777777">
      <w:pPr>
        <w:pStyle w:val="Lijstalinea"/>
        <w:numPr>
          <w:ilvl w:val="0"/>
          <w:numId w:val="44"/>
        </w:numPr>
      </w:pPr>
      <w:r>
        <w:rPr>
          <w:b/>
          <w:bCs/>
        </w:rPr>
        <w:t>Anna:</w:t>
      </w:r>
      <w:r>
        <w:t xml:space="preserve"> </w:t>
      </w:r>
      <w:r w:rsidRPr="00E11B7E">
        <w:t>Anna kan bij haar verhuizing haar bestaande lening oversluiten met opnieuw een looptijd van 360 maanden. Ze heeft hierdoor recht op HRA tot 1-12-2065 (i.p.v</w:t>
      </w:r>
      <w:r w:rsidR="00857B4B">
        <w:t>.</w:t>
      </w:r>
      <w:r w:rsidRPr="00E11B7E">
        <w:t xml:space="preserve"> tot </w:t>
      </w:r>
      <w:r w:rsidR="004B7831">
        <w:t>1</w:t>
      </w:r>
      <w:r w:rsidRPr="00E11B7E">
        <w:t>-</w:t>
      </w:r>
      <w:r w:rsidR="004B7831">
        <w:t>7</w:t>
      </w:r>
      <w:r w:rsidRPr="00E11B7E">
        <w:t>-2045).</w:t>
      </w:r>
    </w:p>
    <w:p w:rsidR="00411F58" w:rsidP="00FF3304" w:rsidRDefault="00411F58" w14:paraId="49391143" w14:textId="77777777"/>
    <w:p w:rsidR="00521EF1" w:rsidP="00521EF1" w:rsidRDefault="00521EF1" w14:paraId="2D580E55" w14:textId="77777777">
      <w:pPr>
        <w:pStyle w:val="Kop2"/>
      </w:pPr>
      <w:bookmarkStart w:name="_Toc222756881" w:id="39"/>
      <w:bookmarkStart w:name="_Toc226640264" w:id="40"/>
      <w:r>
        <w:t xml:space="preserve">Fiche 2A: </w:t>
      </w:r>
      <w:r w:rsidR="00AE7692">
        <w:t xml:space="preserve">Per 2043 afschaffen HRA voor hypotheken afgesloten vóór 2013 </w:t>
      </w:r>
      <w:r>
        <w:t>(fiche 1A per 2043 i.p.v. 2031)</w:t>
      </w:r>
      <w:bookmarkEnd w:id="39"/>
      <w:bookmarkEnd w:id="40"/>
      <w:r w:rsidRPr="00AE7692" w:rsidR="00AE7692">
        <w:t xml:space="preserve"> </w:t>
      </w:r>
    </w:p>
    <w:p w:rsidR="00521EF1" w:rsidP="00FF3304" w:rsidRDefault="00521EF1" w14:paraId="262AA84D" w14:textId="77777777"/>
    <w:p w:rsidR="0019130A" w:rsidP="0019130A" w:rsidRDefault="0019130A" w14:paraId="4D874825" w14:textId="77777777">
      <w:r w:rsidRPr="00AB2EC3">
        <w:t xml:space="preserve">Deze variant voorziet in het afschaffen van de 30-jaarstermijn </w:t>
      </w:r>
      <w:r w:rsidR="00B86E59">
        <w:t>(inclusief de doorwerking)</w:t>
      </w:r>
      <w:r w:rsidRPr="00AB2EC3">
        <w:t xml:space="preserve"> voor alle BEWS </w:t>
      </w:r>
      <w:r w:rsidR="00461E9B">
        <w:t xml:space="preserve">en recht op HRA </w:t>
      </w:r>
      <w:proofErr w:type="gramStart"/>
      <w:r w:rsidR="00461E9B">
        <w:t xml:space="preserve">tot </w:t>
      </w:r>
      <w:r w:rsidRPr="00AB2EC3">
        <w:t xml:space="preserve"> 1</w:t>
      </w:r>
      <w:proofErr w:type="gramEnd"/>
      <w:r w:rsidRPr="00AB2EC3">
        <w:t xml:space="preserve"> januari 2043. Dat </w:t>
      </w:r>
      <w:r>
        <w:t>houdt in</w:t>
      </w:r>
      <w:r w:rsidRPr="00AB2EC3">
        <w:t xml:space="preserve"> dat iedere betrokken belastingplichtige ten minste 30 jaar </w:t>
      </w:r>
      <w:r>
        <w:t>HRA heeft gehad</w:t>
      </w:r>
      <w:r w:rsidRPr="00AB2EC3">
        <w:t xml:space="preserve">, waarna per genoemde datum de lening naar box 3 </w:t>
      </w:r>
      <w:r w:rsidR="00461E9B">
        <w:t xml:space="preserve">overgaat </w:t>
      </w:r>
      <w:r>
        <w:t>(box 3-EWL)</w:t>
      </w:r>
      <w:r w:rsidRPr="00AB2EC3">
        <w:t xml:space="preserve">. </w:t>
      </w:r>
      <w:r w:rsidR="0032289F">
        <w:t>H</w:t>
      </w:r>
      <w:r>
        <w:t xml:space="preserve">et voordeel </w:t>
      </w:r>
      <w:r w:rsidR="0032289F">
        <w:t xml:space="preserve">van deze maatregel komt </w:t>
      </w:r>
      <w:r>
        <w:t xml:space="preserve">terecht bij </w:t>
      </w:r>
      <w:r w:rsidR="00207C95">
        <w:t xml:space="preserve">huiseigenaren die ten minste 30 jaar, en veelal langer, </w:t>
      </w:r>
      <w:r w:rsidR="0032289F">
        <w:t xml:space="preserve">HRA </w:t>
      </w:r>
      <w:r w:rsidR="00207C95">
        <w:t>hebben genoten</w:t>
      </w:r>
      <w:r>
        <w:t>.</w:t>
      </w:r>
      <w:r w:rsidRPr="00AB2EC3">
        <w:t xml:space="preserve"> </w:t>
      </w:r>
      <w:r w:rsidR="00DA13B6">
        <w:t>Deze optie leidt tot een</w:t>
      </w:r>
      <w:r w:rsidRPr="00AB2EC3">
        <w:t xml:space="preserve"> </w:t>
      </w:r>
      <w:r w:rsidR="00DA13B6">
        <w:t>budgettaire derving</w:t>
      </w:r>
      <w:r w:rsidRPr="00AB2EC3">
        <w:t>.</w:t>
      </w:r>
      <w:r w:rsidR="005134A3">
        <w:t xml:space="preserve"> De derving is </w:t>
      </w:r>
      <w:proofErr w:type="gramStart"/>
      <w:r w:rsidR="008F6480">
        <w:t>circa</w:t>
      </w:r>
      <w:proofErr w:type="gramEnd"/>
      <w:r w:rsidR="008F6480">
        <w:t xml:space="preserve"> </w:t>
      </w:r>
      <w:r w:rsidR="00FF366C">
        <w:t>860</w:t>
      </w:r>
      <w:r w:rsidR="008F6480">
        <w:t xml:space="preserve"> </w:t>
      </w:r>
      <w:r w:rsidR="005134A3">
        <w:t xml:space="preserve">miljoen euro in 2031 en loopt geleidelijk op tot </w:t>
      </w:r>
      <w:r w:rsidR="008F6480">
        <w:t xml:space="preserve">circa </w:t>
      </w:r>
      <w:r w:rsidR="00FF366C">
        <w:t>1,8</w:t>
      </w:r>
      <w:r w:rsidR="005134A3">
        <w:t xml:space="preserve"> miljard euro in 2042.</w:t>
      </w:r>
      <w:r w:rsidRPr="00AB2EC3">
        <w:t xml:space="preserve"> </w:t>
      </w:r>
      <w:r>
        <w:t>Ook in deze optie moet de Belastingdienst vanaf 1 januari 2043 een box 3-EWL vastleggen.</w:t>
      </w:r>
    </w:p>
    <w:p w:rsidR="00E11B7E" w:rsidP="0019130A" w:rsidRDefault="00E11B7E" w14:paraId="59E799CB" w14:textId="77777777"/>
    <w:p w:rsidRPr="00DB045A" w:rsidR="00E11B7E" w:rsidP="00E11B7E" w:rsidRDefault="00E11B7E" w14:paraId="2503DF3C" w14:textId="77777777">
      <w:pPr>
        <w:pStyle w:val="Lijstalinea"/>
        <w:numPr>
          <w:ilvl w:val="0"/>
          <w:numId w:val="44"/>
        </w:numPr>
      </w:pPr>
      <w:r>
        <w:rPr>
          <w:b/>
          <w:bCs/>
        </w:rPr>
        <w:t>Naomi:</w:t>
      </w:r>
      <w:r>
        <w:t xml:space="preserve"> </w:t>
      </w:r>
      <w:r w:rsidRPr="00E11B7E">
        <w:t xml:space="preserve">behoudt haar recht op HRA tot 2043 (i.p.v. </w:t>
      </w:r>
      <w:r w:rsidR="007B199A">
        <w:t>tot</w:t>
      </w:r>
      <w:r w:rsidRPr="00E11B7E" w:rsidR="007B199A">
        <w:t xml:space="preserve"> </w:t>
      </w:r>
      <w:r w:rsidR="007B199A">
        <w:t>1</w:t>
      </w:r>
      <w:r w:rsidRPr="00E11B7E">
        <w:t>-</w:t>
      </w:r>
      <w:r w:rsidR="007B199A">
        <w:t>7</w:t>
      </w:r>
      <w:r w:rsidRPr="00E11B7E">
        <w:t xml:space="preserve">-2035). </w:t>
      </w:r>
    </w:p>
    <w:p w:rsidRPr="00DB045A" w:rsidR="00E11B7E" w:rsidP="00E11B7E" w:rsidRDefault="00E11B7E" w14:paraId="2097B626" w14:textId="77777777">
      <w:pPr>
        <w:pStyle w:val="Lijstalinea"/>
        <w:numPr>
          <w:ilvl w:val="0"/>
          <w:numId w:val="44"/>
        </w:numPr>
      </w:pPr>
      <w:r w:rsidRPr="00DB045A">
        <w:rPr>
          <w:b/>
          <w:bCs/>
        </w:rPr>
        <w:t>Fred:</w:t>
      </w:r>
      <w:r>
        <w:t xml:space="preserve"> </w:t>
      </w:r>
      <w:r w:rsidRPr="00E11B7E">
        <w:t xml:space="preserve">behoudt zijn recht op HRA tot 2043 (ook als hij zijn lening niet oversluit) (i.p.v. </w:t>
      </w:r>
      <w:r w:rsidR="007B199A">
        <w:t>tot</w:t>
      </w:r>
      <w:r w:rsidRPr="00E11B7E">
        <w:t xml:space="preserve"> </w:t>
      </w:r>
      <w:r w:rsidR="007B199A">
        <w:t>1</w:t>
      </w:r>
      <w:r w:rsidRPr="00E11B7E">
        <w:t>-</w:t>
      </w:r>
      <w:r w:rsidR="007B199A">
        <w:t>7</w:t>
      </w:r>
      <w:r w:rsidRPr="00E11B7E">
        <w:t>-2038).</w:t>
      </w:r>
    </w:p>
    <w:p w:rsidRPr="00DB045A" w:rsidR="00E11B7E" w:rsidP="00E11B7E" w:rsidRDefault="00E11B7E" w14:paraId="77338FDE" w14:textId="77777777">
      <w:pPr>
        <w:pStyle w:val="Lijstalinea"/>
        <w:numPr>
          <w:ilvl w:val="0"/>
          <w:numId w:val="44"/>
        </w:numPr>
      </w:pPr>
      <w:r w:rsidRPr="00DB045A">
        <w:rPr>
          <w:b/>
          <w:bCs/>
        </w:rPr>
        <w:t>Tim</w:t>
      </w:r>
      <w:r>
        <w:t xml:space="preserve">: </w:t>
      </w:r>
      <w:r w:rsidRPr="00E11B7E">
        <w:t>heeft recht op HRA tot het einde van zijn spaarproduct (1-7-2040).</w:t>
      </w:r>
    </w:p>
    <w:p w:rsidRPr="00AB2EC3" w:rsidR="00E11B7E" w:rsidP="00E11B7E" w:rsidRDefault="00E11B7E" w14:paraId="10231D1B" w14:textId="77777777">
      <w:pPr>
        <w:pStyle w:val="Lijstalinea"/>
        <w:numPr>
          <w:ilvl w:val="0"/>
          <w:numId w:val="44"/>
        </w:numPr>
      </w:pPr>
      <w:r>
        <w:rPr>
          <w:b/>
          <w:bCs/>
        </w:rPr>
        <w:t>Anna:</w:t>
      </w:r>
      <w:r>
        <w:t xml:space="preserve"> </w:t>
      </w:r>
      <w:r w:rsidRPr="00E11B7E">
        <w:t>Voor Anna wijzigt er niets. Na verhuizing kan zij haar bestaande lening meenemen met haar huidige</w:t>
      </w:r>
      <w:r w:rsidR="001812BA">
        <w:t xml:space="preserve"> resterende</w:t>
      </w:r>
      <w:r w:rsidRPr="00E11B7E">
        <w:t xml:space="preserve"> looptijd.</w:t>
      </w:r>
    </w:p>
    <w:p w:rsidR="0019130A" w:rsidP="00FF3304" w:rsidRDefault="0019130A" w14:paraId="2E204630" w14:textId="77777777"/>
    <w:p w:rsidR="00521EF1" w:rsidP="00521EF1" w:rsidRDefault="00521EF1" w14:paraId="27316DD0" w14:textId="77777777">
      <w:pPr>
        <w:pStyle w:val="Kop2"/>
      </w:pPr>
      <w:bookmarkStart w:name="_Toc222756882" w:id="41"/>
      <w:bookmarkStart w:name="_Toc226640265" w:id="42"/>
      <w:r>
        <w:t>Fiche 2B: zoals 2A, maar met uitbreiding voor leningen van na 1-1-2013</w:t>
      </w:r>
      <w:bookmarkEnd w:id="41"/>
      <w:bookmarkEnd w:id="42"/>
    </w:p>
    <w:p w:rsidR="00521EF1" w:rsidP="00FF3304" w:rsidRDefault="00521EF1" w14:paraId="2E4E9E41" w14:textId="77777777"/>
    <w:p w:rsidR="00DA13B6" w:rsidP="00DA13B6" w:rsidRDefault="00DA13B6" w14:paraId="1919E75A" w14:textId="77777777">
      <w:r w:rsidRPr="00AB2EC3">
        <w:t xml:space="preserve">Fiche 2B is een </w:t>
      </w:r>
      <w:r>
        <w:t>variant</w:t>
      </w:r>
      <w:r w:rsidRPr="00AB2EC3">
        <w:t xml:space="preserve"> op fiche 2A, waarbij er een uitbreiding geldt voor nieuwe annuïtaire leningen</w:t>
      </w:r>
      <w:r w:rsidR="007B199A">
        <w:t xml:space="preserve"> (net als bij fiche 1D)</w:t>
      </w:r>
      <w:r w:rsidRPr="00AB2EC3">
        <w:t>: bij het afsluiten van een nieuwe lening die aan de aflossingseis voldoet, kan opnieuw 30 jaar HRA worden genote</w:t>
      </w:r>
      <w:r>
        <w:t>n. Dit geldt zowel voor BEWS als eigenwoningleningen die na 1 januari 2013 zijn afgesloten.</w:t>
      </w:r>
      <w:r w:rsidRPr="00126461">
        <w:t xml:space="preserve"> Deze maatregel leidt ertoe dat er </w:t>
      </w:r>
      <w:r w:rsidR="000F503B">
        <w:t>m</w:t>
      </w:r>
      <w:r w:rsidRPr="00126461">
        <w:t>ee</w:t>
      </w:r>
      <w:r w:rsidR="000F503B">
        <w:t>r</w:t>
      </w:r>
      <w:r w:rsidRPr="00126461">
        <w:t xml:space="preserve"> evenwicht bereikt wordt tussen leningen die zijn afgesloten voor en na 1 januari 2013</w:t>
      </w:r>
      <w:r w:rsidR="0032289F">
        <w:t xml:space="preserve"> maar betekent wel een flinke verruiming van de </w:t>
      </w:r>
      <w:r w:rsidR="00E436B4">
        <w:t>HRA</w:t>
      </w:r>
      <w:r w:rsidR="005134A3">
        <w:t>. De</w:t>
      </w:r>
      <w:r w:rsidRPr="00AB2EC3" w:rsidR="005134A3">
        <w:t xml:space="preserve"> </w:t>
      </w:r>
      <w:r w:rsidR="005134A3">
        <w:t>verruiming van de regeling voor alle eigenwoningleningen leidt</w:t>
      </w:r>
      <w:r w:rsidR="00AC5114">
        <w:t xml:space="preserve"> ten opzichte van fiche 2A</w:t>
      </w:r>
      <w:r w:rsidR="005134A3">
        <w:t xml:space="preserve"> tot een aanvullende, structurele budgettaire derving in de periode vanaf 2043</w:t>
      </w:r>
      <w:r w:rsidRPr="007B6E51" w:rsidR="007B6E51">
        <w:t xml:space="preserve">. Er is nader onderzoek nodig om de orde </w:t>
      </w:r>
      <w:r w:rsidR="000F503B">
        <w:t>van</w:t>
      </w:r>
      <w:r w:rsidRPr="007B6E51" w:rsidR="007B6E51">
        <w:t xml:space="preserve"> grootte van deze aanvullende, substantiële, structurele derving in kaart te brengen</w:t>
      </w:r>
      <w:r w:rsidR="0032289F">
        <w:t xml:space="preserve">. </w:t>
      </w:r>
      <w:r w:rsidRPr="00AB2EC3">
        <w:t xml:space="preserve">De complexiteit </w:t>
      </w:r>
      <w:r>
        <w:t xml:space="preserve">van de eigenwoningregeling </w:t>
      </w:r>
      <w:r w:rsidRPr="00AB2EC3">
        <w:t xml:space="preserve">daalt doordat het onderscheid op basis van afsluitjaar grotendeels ophoudt te bestaan. </w:t>
      </w:r>
      <w:r>
        <w:t xml:space="preserve">Vanaf 1 januari 2043 bestaat alleen nog recht </w:t>
      </w:r>
      <w:r w:rsidR="007B199A">
        <w:t>op HRA</w:t>
      </w:r>
      <w:r>
        <w:t xml:space="preserve"> als de lening voldoet aan de aflossingseis. Voor de uitvoering is deze variant </w:t>
      </w:r>
      <w:r>
        <w:lastRenderedPageBreak/>
        <w:t xml:space="preserve">beter dan fiche 2A, omdat geen box 3-EWL vastgelegd hoeft te worden. </w:t>
      </w:r>
      <w:r w:rsidR="00F8213F">
        <w:t>Tegelijkertijd vergroot deze maatregel de subsidie op de eigen woning door het recht op HRA uit te breiden.</w:t>
      </w:r>
      <w:r w:rsidR="007B199A">
        <w:t xml:space="preserve"> Tot slot zou deze maatregel de doorstroming op de huizenmarkt ten goede kunnen komen.</w:t>
      </w:r>
    </w:p>
    <w:p w:rsidR="006C2F5F" w:rsidP="00DA13B6" w:rsidRDefault="006C2F5F" w14:paraId="11CD22F7" w14:textId="77777777"/>
    <w:p w:rsidRPr="00DB045A" w:rsidR="00E11B7E" w:rsidP="00E11B7E" w:rsidRDefault="00E11B7E" w14:paraId="05C32B36" w14:textId="77777777">
      <w:pPr>
        <w:pStyle w:val="Lijstalinea"/>
        <w:numPr>
          <w:ilvl w:val="0"/>
          <w:numId w:val="44"/>
        </w:numPr>
      </w:pPr>
      <w:r>
        <w:rPr>
          <w:b/>
          <w:bCs/>
        </w:rPr>
        <w:t>Naomi:</w:t>
      </w:r>
      <w:r>
        <w:t xml:space="preserve"> </w:t>
      </w:r>
      <w:r w:rsidR="0032289F">
        <w:t>krijgt</w:t>
      </w:r>
      <w:r w:rsidRPr="00E11B7E">
        <w:t xml:space="preserve"> recht op HRA tot 2043 (i.p.v. </w:t>
      </w:r>
      <w:r w:rsidR="007B199A">
        <w:t>tot</w:t>
      </w:r>
      <w:r w:rsidRPr="00E11B7E" w:rsidR="007B199A">
        <w:t xml:space="preserve"> </w:t>
      </w:r>
      <w:r w:rsidR="007B199A">
        <w:t>1</w:t>
      </w:r>
      <w:r w:rsidRPr="00E11B7E">
        <w:t>-</w:t>
      </w:r>
      <w:r w:rsidR="007B199A">
        <w:t>7</w:t>
      </w:r>
      <w:r w:rsidRPr="00E11B7E">
        <w:t xml:space="preserve">-2035). </w:t>
      </w:r>
    </w:p>
    <w:p w:rsidRPr="00DB045A" w:rsidR="00E11B7E" w:rsidP="00E11B7E" w:rsidRDefault="00E11B7E" w14:paraId="2B5D630D" w14:textId="77777777">
      <w:pPr>
        <w:pStyle w:val="Lijstalinea"/>
        <w:numPr>
          <w:ilvl w:val="0"/>
          <w:numId w:val="44"/>
        </w:numPr>
      </w:pPr>
      <w:r w:rsidRPr="00DB045A">
        <w:rPr>
          <w:b/>
          <w:bCs/>
        </w:rPr>
        <w:t>Fred:</w:t>
      </w:r>
      <w:r>
        <w:t xml:space="preserve"> </w:t>
      </w:r>
      <w:r w:rsidR="0032289F">
        <w:t>krijgt</w:t>
      </w:r>
      <w:r w:rsidRPr="00E11B7E">
        <w:t xml:space="preserve"> recht op HRA tot 2043 (ook als hij zijn lening niet oversluit) (i.p.v. </w:t>
      </w:r>
      <w:r w:rsidR="002A42ED">
        <w:t>tot</w:t>
      </w:r>
      <w:r w:rsidRPr="00E11B7E">
        <w:t xml:space="preserve"> </w:t>
      </w:r>
      <w:r w:rsidR="002A42ED">
        <w:t>1</w:t>
      </w:r>
      <w:r w:rsidRPr="00E11B7E">
        <w:t>-</w:t>
      </w:r>
      <w:r w:rsidR="002A42ED">
        <w:t>7</w:t>
      </w:r>
      <w:r w:rsidRPr="00E11B7E">
        <w:t>-2038).</w:t>
      </w:r>
    </w:p>
    <w:p w:rsidRPr="00DB045A" w:rsidR="00E11B7E" w:rsidP="00E11B7E" w:rsidRDefault="00E11B7E" w14:paraId="38ADB88C" w14:textId="77777777">
      <w:pPr>
        <w:pStyle w:val="Lijstalinea"/>
        <w:numPr>
          <w:ilvl w:val="0"/>
          <w:numId w:val="44"/>
        </w:numPr>
      </w:pPr>
      <w:r w:rsidRPr="00DB045A">
        <w:rPr>
          <w:b/>
          <w:bCs/>
        </w:rPr>
        <w:t>Tim</w:t>
      </w:r>
      <w:r>
        <w:t xml:space="preserve">: </w:t>
      </w:r>
      <w:r w:rsidRPr="00E11B7E">
        <w:t>heeft recht op HRA tot het einde van zijn spaarproduct (1-7-2040).</w:t>
      </w:r>
    </w:p>
    <w:p w:rsidRPr="00AB2EC3" w:rsidR="00E11B7E" w:rsidP="00E11B7E" w:rsidRDefault="00E11B7E" w14:paraId="7B8DAFFE" w14:textId="77777777">
      <w:pPr>
        <w:pStyle w:val="Lijstalinea"/>
        <w:numPr>
          <w:ilvl w:val="0"/>
          <w:numId w:val="44"/>
        </w:numPr>
      </w:pPr>
      <w:r>
        <w:rPr>
          <w:b/>
          <w:bCs/>
        </w:rPr>
        <w:t>Anna:</w:t>
      </w:r>
      <w:r w:rsidRPr="00E11B7E">
        <w:t xml:space="preserve"> kan bij haar verhuizing haar bestaande lening oversluiten met opnieuw een looptijd van 360 maanden. Ze heeft hierdoor recht op HRA tot 1-12-2065 (</w:t>
      </w:r>
      <w:r w:rsidRPr="00E11B7E" w:rsidR="00857B4B">
        <w:t>i.p.v.</w:t>
      </w:r>
      <w:r w:rsidRPr="00E11B7E">
        <w:t xml:space="preserve"> tot </w:t>
      </w:r>
      <w:r w:rsidR="002A42ED">
        <w:t>1</w:t>
      </w:r>
      <w:r w:rsidRPr="00E11B7E">
        <w:t>-</w:t>
      </w:r>
      <w:r w:rsidR="002A42ED">
        <w:t>7</w:t>
      </w:r>
      <w:r w:rsidRPr="00E11B7E">
        <w:t>-2045).</w:t>
      </w:r>
    </w:p>
    <w:p w:rsidR="00E11B7E" w:rsidP="00DA13B6" w:rsidRDefault="00E11B7E" w14:paraId="05A59B03" w14:textId="77777777"/>
    <w:p w:rsidRPr="006C2F5F" w:rsidR="006C2F5F" w:rsidP="006C2F5F" w:rsidRDefault="006C2F5F" w14:paraId="3D387FC2" w14:textId="77777777">
      <w:pPr>
        <w:pStyle w:val="Kop2"/>
      </w:pPr>
      <w:bookmarkStart w:name="_Toc222756883" w:id="43"/>
      <w:bookmarkStart w:name="_Toc226640266" w:id="44"/>
      <w:r w:rsidRPr="006C2F5F">
        <w:t>Fiche 3: fiche 1A, maar met</w:t>
      </w:r>
      <w:r>
        <w:t xml:space="preserve"> geleidelijke afbouw HRA voor BEWS vanaf 2031</w:t>
      </w:r>
      <w:bookmarkEnd w:id="43"/>
      <w:bookmarkEnd w:id="44"/>
    </w:p>
    <w:p w:rsidRPr="006C2F5F" w:rsidR="006C2F5F" w:rsidP="00DA13B6" w:rsidRDefault="006C2F5F" w14:paraId="3B89FBC3" w14:textId="77777777"/>
    <w:p w:rsidR="006C2F5F" w:rsidP="00B61D55" w:rsidRDefault="00B61D55" w14:paraId="378C29DA" w14:textId="77777777">
      <w:r w:rsidRPr="00AB2EC3">
        <w:t xml:space="preserve">Onder deze optie </w:t>
      </w:r>
      <w:r w:rsidR="008F23F4">
        <w:t>is er geen volledige</w:t>
      </w:r>
      <w:r w:rsidRPr="00AB2EC3">
        <w:t xml:space="preserve"> HRA voor BEWS </w:t>
      </w:r>
      <w:r w:rsidR="008F23F4">
        <w:t>per</w:t>
      </w:r>
      <w:r w:rsidRPr="00AB2EC3">
        <w:t xml:space="preserve"> 2031, </w:t>
      </w:r>
      <w:r w:rsidR="00EA7F2B">
        <w:t>maar geldt een geleidelijke afbouw.</w:t>
      </w:r>
      <w:r w:rsidRPr="00AB2EC3">
        <w:t xml:space="preserve"> </w:t>
      </w:r>
      <w:r w:rsidRPr="00EB4148" w:rsidR="00EA7F2B">
        <w:rPr>
          <w:rFonts w:eastAsia="Calibri" w:cs="Times New Roman"/>
          <w:color w:val="auto"/>
          <w:kern w:val="2"/>
          <w:lang w:eastAsia="en-US"/>
          <w14:ligatures w14:val="standardContextual"/>
        </w:rPr>
        <w:t>De hypotheekrente die betaald wordt ten aanzien van een BEWS</w:t>
      </w:r>
      <w:r w:rsidRPr="00EB4148" w:rsidR="00EA7F2B">
        <w:rPr>
          <w:rFonts w:eastAsia="Calibri" w:cs="Times New Roman"/>
          <w:color w:val="auto"/>
          <w:kern w:val="2"/>
          <w:vertAlign w:val="superscript"/>
          <w:lang w:eastAsia="en-US"/>
          <w14:ligatures w14:val="standardContextual"/>
        </w:rPr>
        <w:footnoteReference w:id="34"/>
      </w:r>
      <w:r w:rsidRPr="00EB4148" w:rsidR="00EA7F2B">
        <w:rPr>
          <w:rFonts w:eastAsia="Calibri" w:cs="Times New Roman"/>
          <w:color w:val="auto"/>
          <w:kern w:val="2"/>
          <w:lang w:eastAsia="en-US"/>
          <w14:ligatures w14:val="standardContextual"/>
        </w:rPr>
        <w:t xml:space="preserve"> wordt vanaf 2031 met een grondslagversmalling jaarlijks afgebouwd met 5%-punt per jaar tot 40% van de grondslag in 2042</w:t>
      </w:r>
      <w:r w:rsidR="00EA7F2B">
        <w:t xml:space="preserve">, </w:t>
      </w:r>
      <w:r w:rsidRPr="00AB2EC3">
        <w:t>waarna de schuld in box 3 valt</w:t>
      </w:r>
      <w:r>
        <w:t xml:space="preserve"> (box 3-EWL)</w:t>
      </w:r>
      <w:r w:rsidRPr="00AB2EC3">
        <w:t>.</w:t>
      </w:r>
      <w:r>
        <w:t xml:space="preserve"> </w:t>
      </w:r>
      <w:r w:rsidR="007F24D2">
        <w:t xml:space="preserve">Deze afbouw geldt ook voor </w:t>
      </w:r>
      <w:r w:rsidR="00EE606A">
        <w:t>spaar-, beleggings- en levenshypotheken</w:t>
      </w:r>
      <w:r w:rsidR="00EA2C3E">
        <w:t>, zij</w:t>
      </w:r>
      <w:r>
        <w:t xml:space="preserve"> behouden </w:t>
      </w:r>
      <w:r w:rsidR="00EA2C3E">
        <w:t>een (aflopend) recht op</w:t>
      </w:r>
      <w:r>
        <w:t xml:space="preserve"> HRA tot het einde van het betreffende product (maximaal 30 jaar).</w:t>
      </w:r>
      <w:r w:rsidRPr="00AB2EC3">
        <w:t xml:space="preserve"> Ongeacht het aflossingsschema geldt vanaf 2043 voor alle </w:t>
      </w:r>
      <w:r w:rsidR="00EA2C3E">
        <w:t>BEWS</w:t>
      </w:r>
      <w:r w:rsidRPr="00AB2EC3" w:rsidR="00EA2C3E">
        <w:t xml:space="preserve"> </w:t>
      </w:r>
      <w:r w:rsidRPr="00AB2EC3">
        <w:t xml:space="preserve">dezelfde behandeling: geen recht meer op HRA in box 1. </w:t>
      </w:r>
      <w:r w:rsidR="00A10A1F">
        <w:t xml:space="preserve">Ook de doorwerking van de verstreken looptijd van BEWS naar eigenwoningschulden die aan de aflossingseis moeten voldoen, komt te vervallen. </w:t>
      </w:r>
      <w:r>
        <w:t>Bij deze variant zal de Belastingdienst een box 3-EWL en BEWS moeten vaststellen. In deze optie is het niet nodig om de lening over te sluiten.</w:t>
      </w:r>
      <w:r w:rsidRPr="00AB2EC3">
        <w:t xml:space="preserve"> </w:t>
      </w:r>
      <w:bookmarkEnd w:id="31"/>
      <w:r w:rsidR="008F6480">
        <w:t xml:space="preserve">De budgettaire derving </w:t>
      </w:r>
      <w:r w:rsidR="00EA2C3E">
        <w:t xml:space="preserve">bedraagt </w:t>
      </w:r>
      <w:r w:rsidR="008F6480">
        <w:t xml:space="preserve">tussen de </w:t>
      </w:r>
      <w:proofErr w:type="gramStart"/>
      <w:r w:rsidR="008F6480">
        <w:t>circa</w:t>
      </w:r>
      <w:proofErr w:type="gramEnd"/>
      <w:r w:rsidR="008F6480">
        <w:t xml:space="preserve"> 5</w:t>
      </w:r>
      <w:r w:rsidR="00FF366C">
        <w:t>1</w:t>
      </w:r>
      <w:r w:rsidR="008F6480">
        <w:t>0 miljoen euro per jaar en circa 8</w:t>
      </w:r>
      <w:r w:rsidR="00FF366C">
        <w:t>0</w:t>
      </w:r>
      <w:r w:rsidR="008F6480">
        <w:t>0 miljoen euro per jaar in de jaren 2031 t/m 2042. De derving is daarmee beperkter dan de derving in fiche 2A.</w:t>
      </w:r>
    </w:p>
    <w:p w:rsidR="008F6480" w:rsidP="00B61D55" w:rsidRDefault="008F6480" w14:paraId="172E6B03" w14:textId="77777777"/>
    <w:p w:rsidRPr="00DB045A" w:rsidR="00E11B7E" w:rsidP="00E11B7E" w:rsidRDefault="00E11B7E" w14:paraId="6ACC0B42" w14:textId="77777777">
      <w:pPr>
        <w:pStyle w:val="Lijstalinea"/>
        <w:numPr>
          <w:ilvl w:val="0"/>
          <w:numId w:val="44"/>
        </w:numPr>
      </w:pPr>
      <w:r>
        <w:rPr>
          <w:b/>
          <w:bCs/>
        </w:rPr>
        <w:t>Naomi:</w:t>
      </w:r>
      <w:r>
        <w:t xml:space="preserve"> </w:t>
      </w:r>
      <w:r w:rsidRPr="00E11B7E">
        <w:t>behoudt haar recht op HRA</w:t>
      </w:r>
      <w:r>
        <w:t xml:space="preserve"> over een afnemende grondslag</w:t>
      </w:r>
      <w:r w:rsidRPr="00E11B7E">
        <w:t xml:space="preserve"> tot 2043 (i.p.v. </w:t>
      </w:r>
      <w:r w:rsidR="00EA2C3E">
        <w:t>tot</w:t>
      </w:r>
      <w:r w:rsidRPr="00E11B7E" w:rsidR="00EA2C3E">
        <w:t xml:space="preserve"> </w:t>
      </w:r>
      <w:r w:rsidR="00EA2C3E">
        <w:t>1</w:t>
      </w:r>
      <w:r w:rsidRPr="00E11B7E">
        <w:t>-</w:t>
      </w:r>
      <w:r w:rsidR="00EA2C3E">
        <w:t>7</w:t>
      </w:r>
      <w:r w:rsidRPr="00E11B7E">
        <w:t xml:space="preserve">-2035). </w:t>
      </w:r>
    </w:p>
    <w:p w:rsidRPr="00DB045A" w:rsidR="00E11B7E" w:rsidP="00E11B7E" w:rsidRDefault="00E11B7E" w14:paraId="30D8D385" w14:textId="77777777">
      <w:pPr>
        <w:pStyle w:val="Lijstalinea"/>
        <w:numPr>
          <w:ilvl w:val="0"/>
          <w:numId w:val="44"/>
        </w:numPr>
      </w:pPr>
      <w:r w:rsidRPr="00DB045A">
        <w:rPr>
          <w:b/>
          <w:bCs/>
        </w:rPr>
        <w:t>Fred:</w:t>
      </w:r>
      <w:r>
        <w:t xml:space="preserve"> </w:t>
      </w:r>
      <w:r w:rsidRPr="00E11B7E">
        <w:t xml:space="preserve">behoudt zijn recht op HRA </w:t>
      </w:r>
      <w:r>
        <w:t xml:space="preserve">over een afnemende grondslag </w:t>
      </w:r>
      <w:r w:rsidRPr="00E11B7E">
        <w:t xml:space="preserve">tot 2043 (ook als hij zijn lening niet oversluit) (i.p.v. </w:t>
      </w:r>
      <w:r w:rsidR="00EA2C3E">
        <w:t>tot</w:t>
      </w:r>
      <w:r w:rsidRPr="00E11B7E" w:rsidR="00EA2C3E">
        <w:t xml:space="preserve"> </w:t>
      </w:r>
      <w:r w:rsidR="00EA2C3E">
        <w:t>1</w:t>
      </w:r>
      <w:r w:rsidRPr="00E11B7E">
        <w:t>-</w:t>
      </w:r>
      <w:r w:rsidR="00EA2C3E">
        <w:t>7</w:t>
      </w:r>
      <w:r w:rsidRPr="00E11B7E">
        <w:t>-2038).</w:t>
      </w:r>
    </w:p>
    <w:p w:rsidRPr="00DB045A" w:rsidR="00E11B7E" w:rsidP="00E11B7E" w:rsidRDefault="00E11B7E" w14:paraId="09376891" w14:textId="77777777">
      <w:pPr>
        <w:pStyle w:val="Lijstalinea"/>
        <w:numPr>
          <w:ilvl w:val="0"/>
          <w:numId w:val="44"/>
        </w:numPr>
      </w:pPr>
      <w:r w:rsidRPr="00DB045A">
        <w:rPr>
          <w:b/>
          <w:bCs/>
        </w:rPr>
        <w:t>Tim</w:t>
      </w:r>
      <w:r>
        <w:t xml:space="preserve">: </w:t>
      </w:r>
      <w:r w:rsidR="00C63CA7">
        <w:t>behoudt zijn recht op</w:t>
      </w:r>
      <w:r w:rsidRPr="00E11B7E" w:rsidR="00C63CA7">
        <w:t xml:space="preserve"> HRA </w:t>
      </w:r>
      <w:r w:rsidR="00C63CA7">
        <w:t xml:space="preserve">over een afnemende grondslag </w:t>
      </w:r>
      <w:r w:rsidRPr="00E11B7E">
        <w:t>tot het einde van zijn spaarproduct (1-7-2040).</w:t>
      </w:r>
    </w:p>
    <w:p w:rsidRPr="00AB2EC3" w:rsidR="00E11B7E" w:rsidP="00E11B7E" w:rsidRDefault="00E11B7E" w14:paraId="2DB32E96" w14:textId="77777777">
      <w:pPr>
        <w:pStyle w:val="Lijstalinea"/>
        <w:numPr>
          <w:ilvl w:val="0"/>
          <w:numId w:val="44"/>
        </w:numPr>
      </w:pPr>
      <w:r>
        <w:rPr>
          <w:b/>
          <w:bCs/>
        </w:rPr>
        <w:t>Anna:</w:t>
      </w:r>
      <w:r w:rsidRPr="00E11B7E">
        <w:t xml:space="preserve"> Voor Anna wijzigt er niets. Na verhuizing kan zij kan haar bestaande lening meenemen met haar huidige</w:t>
      </w:r>
      <w:r w:rsidR="001812BA">
        <w:t xml:space="preserve"> resterende</w:t>
      </w:r>
      <w:r w:rsidRPr="00E11B7E">
        <w:t xml:space="preserve"> looptijd.</w:t>
      </w:r>
    </w:p>
    <w:p w:rsidR="00E11B7E" w:rsidP="00B61D55" w:rsidRDefault="00E11B7E" w14:paraId="4E0EF4E7" w14:textId="77777777"/>
    <w:p w:rsidR="006C2F5F" w:rsidP="006C2F5F" w:rsidRDefault="006C2F5F" w14:paraId="2ED6158A" w14:textId="77777777">
      <w:pPr>
        <w:pStyle w:val="Kop2"/>
      </w:pPr>
      <w:bookmarkStart w:name="_Toc222756884" w:id="45"/>
      <w:bookmarkStart w:name="_Toc226640267" w:id="46"/>
      <w:r>
        <w:t>(</w:t>
      </w:r>
      <w:proofErr w:type="spellStart"/>
      <w:r>
        <w:t>Beleids</w:t>
      </w:r>
      <w:proofErr w:type="spellEnd"/>
      <w:r>
        <w:t xml:space="preserve">)context </w:t>
      </w:r>
      <w:r w:rsidR="00DB045A">
        <w:t xml:space="preserve">en duiding </w:t>
      </w:r>
      <w:r>
        <w:t>van de oplossingsrichtingen</w:t>
      </w:r>
      <w:bookmarkEnd w:id="45"/>
      <w:bookmarkEnd w:id="46"/>
    </w:p>
    <w:p w:rsidR="006C2F5F" w:rsidP="006C2F5F" w:rsidRDefault="006C2F5F" w14:paraId="66051DE1" w14:textId="77777777"/>
    <w:p w:rsidRPr="002047C4" w:rsidR="006C2F5F" w:rsidP="006C2F5F" w:rsidRDefault="006C2F5F" w14:paraId="6D583D44" w14:textId="77777777">
      <w:pPr>
        <w:pStyle w:val="Kop3"/>
      </w:pPr>
      <w:bookmarkStart w:name="_Toc222756885" w:id="47"/>
      <w:bookmarkStart w:name="_Toc226640268" w:id="48"/>
      <w:r w:rsidRPr="002047C4">
        <w:t>(Macro)economische gevolgen</w:t>
      </w:r>
      <w:bookmarkEnd w:id="47"/>
      <w:bookmarkEnd w:id="48"/>
    </w:p>
    <w:p w:rsidRPr="002047C4" w:rsidR="00E328EB" w:rsidP="00486BBD" w:rsidRDefault="00E328EB" w14:paraId="6D33558F" w14:textId="77777777">
      <w:pPr>
        <w:numPr>
          <w:ilvl w:val="0"/>
          <w:numId w:val="15"/>
        </w:numPr>
        <w:autoSpaceDN/>
        <w:spacing w:after="160" w:line="259" w:lineRule="auto"/>
        <w:textAlignment w:val="auto"/>
      </w:pPr>
      <w:r w:rsidRPr="002047C4">
        <w:t xml:space="preserve">De Nederlandse woningmarkt is een voorraadmarkt, waardoor extra financieringsruimte snel leidt tot hogere prijzen. De concurrentie om de beschikbare koopwoningen dwingt huishoudens hoge schulden aan te gaan. De Nederlandse hypotheekschuld is met 77% </w:t>
      </w:r>
      <w:r w:rsidR="0093436B">
        <w:t xml:space="preserve">van het </w:t>
      </w:r>
      <w:r w:rsidRPr="002047C4">
        <w:t xml:space="preserve">bbp hoger dan het EU-gemiddelde (55%), wat zowel gevolgen heeft voor de bredere economie als </w:t>
      </w:r>
      <w:r w:rsidR="0093436B">
        <w:t xml:space="preserve">voor de </w:t>
      </w:r>
      <w:r w:rsidRPr="002047C4">
        <w:t xml:space="preserve">financiële stabiliteit. Problemen op de woningmarkt werken in </w:t>
      </w:r>
      <w:r w:rsidRPr="002047C4">
        <w:lastRenderedPageBreak/>
        <w:t>Nederland relatief sterk door naar het financiële stelsel en via consumptie naar de reële economie. </w:t>
      </w:r>
    </w:p>
    <w:p w:rsidRPr="002047C4" w:rsidR="00E328EB" w:rsidP="00486BBD" w:rsidRDefault="00E328EB" w14:paraId="65663287" w14:textId="77777777">
      <w:pPr>
        <w:pStyle w:val="Lijstalinea"/>
        <w:numPr>
          <w:ilvl w:val="0"/>
          <w:numId w:val="15"/>
        </w:numPr>
        <w:rPr>
          <w:rStyle w:val="elementtoproof1"/>
          <w:rFonts w:ascii="Aptos" w:hAnsi="Aptos" w:eastAsia="Times New Roman"/>
          <w:sz w:val="24"/>
          <w:szCs w:val="24"/>
        </w:rPr>
      </w:pPr>
      <w:r w:rsidRPr="002047C4">
        <w:rPr>
          <w:rStyle w:val="elementtoproof1"/>
          <w:rFonts w:eastAsia="Times New Roman"/>
        </w:rPr>
        <w:t xml:space="preserve">Vanuit economisch perspectief is de fiscale stimulering van het eigenwoningbezit dus onwenselijk. Het drijft de vraag naar koopwoningen verder op en leidt in een voorraadmarkt tot hogere prijzen en schulden. Dit is ook de reden dat economen adviseren de fiscale stimulering van het eigenwoningbezit te beperken. Het versoepelen van de fiscale aflossingseis (1D en 2B) leidt tot een </w:t>
      </w:r>
      <w:r w:rsidR="00A86EF7">
        <w:rPr>
          <w:rStyle w:val="elementtoproof1"/>
          <w:rFonts w:eastAsia="Times New Roman"/>
        </w:rPr>
        <w:t>structurele</w:t>
      </w:r>
      <w:r w:rsidRPr="002047C4">
        <w:rPr>
          <w:rStyle w:val="elementtoproof1"/>
          <w:rFonts w:eastAsia="Times New Roman"/>
        </w:rPr>
        <w:t xml:space="preserve"> uitbreiding van de eigenwoningregeling ten opzichte van de bestaande situatie.</w:t>
      </w:r>
      <w:r w:rsidR="003543D1">
        <w:rPr>
          <w:rStyle w:val="elementtoproof1"/>
          <w:rFonts w:eastAsia="Times New Roman"/>
        </w:rPr>
        <w:t xml:space="preserve"> Ook</w:t>
      </w:r>
      <w:r w:rsidR="00A86EF7">
        <w:rPr>
          <w:rStyle w:val="elementtoproof1"/>
          <w:rFonts w:eastAsia="Times New Roman"/>
        </w:rPr>
        <w:t>, oplossingsrichting 2A leidt tot een tijdelijke verruiming</w:t>
      </w:r>
      <w:r w:rsidR="003543D1">
        <w:rPr>
          <w:rStyle w:val="elementtoproof1"/>
          <w:rFonts w:eastAsia="Times New Roman"/>
        </w:rPr>
        <w:t xml:space="preserve"> van de fiscale stimulering van de eigen woning</w:t>
      </w:r>
      <w:r w:rsidRPr="002047C4">
        <w:rPr>
          <w:rStyle w:val="elementtoproof1"/>
          <w:rFonts w:eastAsia="Times New Roman"/>
        </w:rPr>
        <w:t>. </w:t>
      </w:r>
      <w:r w:rsidR="00A86EF7">
        <w:rPr>
          <w:rStyle w:val="elementtoproof1"/>
          <w:rFonts w:eastAsia="Times New Roman"/>
        </w:rPr>
        <w:t>F</w:t>
      </w:r>
      <w:r w:rsidRPr="002047C4">
        <w:rPr>
          <w:rStyle w:val="elementtoproof1"/>
          <w:rFonts w:eastAsia="Times New Roman"/>
        </w:rPr>
        <w:t xml:space="preserve">lankerende maatregelen (zoals een hoger </w:t>
      </w:r>
      <w:r w:rsidR="008F1AA6">
        <w:rPr>
          <w:rStyle w:val="elementtoproof1"/>
          <w:rFonts w:eastAsia="Times New Roman"/>
        </w:rPr>
        <w:t>eigenwoningforfait</w:t>
      </w:r>
      <w:r w:rsidRPr="002047C4">
        <w:rPr>
          <w:rStyle w:val="elementtoproof1"/>
          <w:rFonts w:eastAsia="Times New Roman"/>
        </w:rPr>
        <w:t xml:space="preserve">) </w:t>
      </w:r>
      <w:r w:rsidR="00A86EF7">
        <w:rPr>
          <w:rStyle w:val="elementtoproof1"/>
          <w:rFonts w:eastAsia="Times New Roman"/>
        </w:rPr>
        <w:t xml:space="preserve">kunnen </w:t>
      </w:r>
      <w:r w:rsidRPr="002047C4">
        <w:rPr>
          <w:rStyle w:val="elementtoproof1"/>
          <w:rFonts w:eastAsia="Times New Roman"/>
        </w:rPr>
        <w:t xml:space="preserve">de </w:t>
      </w:r>
      <w:r w:rsidR="008F1AA6">
        <w:rPr>
          <w:rStyle w:val="elementtoproof1"/>
          <w:rFonts w:eastAsia="Times New Roman"/>
        </w:rPr>
        <w:t xml:space="preserve">fiscale stimulering </w:t>
      </w:r>
      <w:r w:rsidRPr="002047C4">
        <w:rPr>
          <w:rStyle w:val="elementtoproof1"/>
          <w:rFonts w:eastAsia="Times New Roman"/>
        </w:rPr>
        <w:t>verminderen.</w:t>
      </w:r>
    </w:p>
    <w:p w:rsidRPr="002047C4" w:rsidR="00E328EB" w:rsidP="00486BBD" w:rsidRDefault="00E328EB" w14:paraId="1CAD4E52" w14:textId="77777777">
      <w:pPr>
        <w:pStyle w:val="Lijstalinea"/>
        <w:rPr>
          <w:rFonts w:ascii="Aptos" w:hAnsi="Aptos" w:eastAsia="Times New Roman"/>
          <w:sz w:val="24"/>
          <w:szCs w:val="24"/>
        </w:rPr>
      </w:pPr>
    </w:p>
    <w:p w:rsidRPr="002047C4" w:rsidR="006C2F5F" w:rsidP="00486BBD" w:rsidRDefault="00E328EB" w14:paraId="3FA25B22" w14:textId="77777777">
      <w:pPr>
        <w:numPr>
          <w:ilvl w:val="0"/>
          <w:numId w:val="15"/>
        </w:numPr>
        <w:autoSpaceDN/>
        <w:spacing w:after="160" w:line="259" w:lineRule="auto"/>
        <w:textAlignment w:val="auto"/>
      </w:pPr>
      <w:r w:rsidRPr="002047C4">
        <w:t xml:space="preserve">De oplossingsrichtingen kunnen zonder flankerend beleid ook effect hebben op het aandeel </w:t>
      </w:r>
      <w:r w:rsidRPr="008F1AA6" w:rsidR="0093436B">
        <w:t xml:space="preserve">van </w:t>
      </w:r>
      <w:r w:rsidRPr="002047C4">
        <w:t xml:space="preserve">aflossingsvrije </w:t>
      </w:r>
      <w:r w:rsidRPr="006B2A1E">
        <w:t>schuld</w:t>
      </w:r>
      <w:r w:rsidRPr="008F1AA6" w:rsidR="0093436B">
        <w:t>en</w:t>
      </w:r>
      <w:r w:rsidRPr="002047C4">
        <w:t xml:space="preserve"> in Nederland. Ook dit aandeel is relatief hoog in Nederland (rond de 4</w:t>
      </w:r>
      <w:r w:rsidR="003543D1">
        <w:t>0</w:t>
      </w:r>
      <w:r w:rsidRPr="002047C4">
        <w:t>%). Dit type schuld brengt extra risico's met zich mee</w:t>
      </w:r>
      <w:r w:rsidRPr="002047C4">
        <w:rPr>
          <w:rStyle w:val="Voetnootmarkering"/>
        </w:rPr>
        <w:footnoteReference w:id="35"/>
      </w:r>
      <w:r w:rsidR="006A173C">
        <w:t>.</w:t>
      </w:r>
      <w:r w:rsidRPr="002047C4">
        <w:t xml:space="preserve"> </w:t>
      </w:r>
    </w:p>
    <w:p w:rsidR="006C2F5F" w:rsidP="006C2F5F" w:rsidRDefault="006C2F5F" w14:paraId="528EFBCC" w14:textId="77777777">
      <w:pPr>
        <w:pStyle w:val="Kop3"/>
      </w:pPr>
      <w:bookmarkStart w:name="_Toc222756886" w:id="49"/>
      <w:bookmarkStart w:name="_Toc226640269" w:id="50"/>
      <w:r>
        <w:t>Inkomenseffecten</w:t>
      </w:r>
      <w:bookmarkEnd w:id="49"/>
      <w:bookmarkEnd w:id="50"/>
    </w:p>
    <w:p w:rsidR="006C2F5F" w:rsidP="006C2F5F" w:rsidRDefault="006C2F5F" w14:paraId="525E8FC9" w14:textId="77777777">
      <w:pPr>
        <w:numPr>
          <w:ilvl w:val="0"/>
          <w:numId w:val="17"/>
        </w:numPr>
        <w:autoSpaceDN/>
        <w:spacing w:after="160" w:line="259" w:lineRule="auto"/>
        <w:textAlignment w:val="auto"/>
      </w:pPr>
      <w:r w:rsidRPr="006C2F5F">
        <w:t xml:space="preserve">Een belangrijke indicator voor (problematische) inkomenseffecten is de impact op de financieringslasten voor huishoudens. Het Nibud </w:t>
      </w:r>
      <w:r w:rsidR="00AD67BC">
        <w:t>brengt ieder jaar een advies uit over het maximale financieringslastpercentage, dit maximum is afhankelijk van het inkomen</w:t>
      </w:r>
      <w:r w:rsidR="006B2A1E">
        <w:t>.</w:t>
      </w:r>
      <w:r w:rsidR="00AD67BC">
        <w:rPr>
          <w:rStyle w:val="Voetnootmarkering"/>
        </w:rPr>
        <w:footnoteReference w:id="36"/>
      </w:r>
      <w:r w:rsidR="00AD67BC">
        <w:t xml:space="preserve"> In dit onderzoek hanteren we een grens van</w:t>
      </w:r>
      <w:r w:rsidRPr="006C2F5F">
        <w:t xml:space="preserve"> 25% als indicatie dat huishoudens</w:t>
      </w:r>
      <w:r>
        <w:t xml:space="preserve"> mogelijk</w:t>
      </w:r>
      <w:r w:rsidRPr="006C2F5F">
        <w:t xml:space="preserve"> in de problemen kunnen komen, en 35% als </w:t>
      </w:r>
      <w:r w:rsidR="00AD67BC">
        <w:t xml:space="preserve">indicatie van een </w:t>
      </w:r>
      <w:r w:rsidRPr="006C2F5F">
        <w:t xml:space="preserve">reëel risico </w:t>
      </w:r>
      <w:r w:rsidR="00AD67BC">
        <w:t>dat</w:t>
      </w:r>
      <w:r w:rsidRPr="006C2F5F">
        <w:t xml:space="preserve"> de lasten niet meer </w:t>
      </w:r>
      <w:r w:rsidR="00AD67BC">
        <w:t>gedragen kunnen worden</w:t>
      </w:r>
      <w:r w:rsidR="006B2A1E">
        <w:t>.</w:t>
      </w:r>
      <w:r w:rsidR="003424AA">
        <w:rPr>
          <w:rStyle w:val="Voetnootmarkering"/>
        </w:rPr>
        <w:footnoteReference w:id="37"/>
      </w:r>
      <w:r w:rsidRPr="006C2F5F">
        <w:t xml:space="preserve"> Per oplossingsrichting wordt geschat hoeveel huishoudens een financieringslastpercentage boven de 25% respectievelijk 35% bereiken. In</w:t>
      </w:r>
      <w:r w:rsidR="00AD67BC">
        <w:t xml:space="preserve"> de simulatie zitten in</w:t>
      </w:r>
      <w:r w:rsidRPr="006C2F5F">
        <w:t xml:space="preserve"> het </w:t>
      </w:r>
      <w:proofErr w:type="spellStart"/>
      <w:r w:rsidRPr="006C2F5F">
        <w:t>basispad</w:t>
      </w:r>
      <w:proofErr w:type="spellEnd"/>
      <w:r w:rsidRPr="006C2F5F">
        <w:t xml:space="preserve"> </w:t>
      </w:r>
      <w:proofErr w:type="gramStart"/>
      <w:r w:rsidRPr="006C2F5F">
        <w:t>circa</w:t>
      </w:r>
      <w:proofErr w:type="gramEnd"/>
      <w:r w:rsidRPr="006C2F5F">
        <w:t xml:space="preserve"> 23.500 huishoudens boven de 25% en circa 4.500 boven de 35%. Hierbij is alleen het inkomen in beschouwing genomen en niet het vermogen; de berekeningen zijn dus conservatief.</w:t>
      </w:r>
      <w:r w:rsidR="009761D0">
        <w:t xml:space="preserve"> </w:t>
      </w:r>
    </w:p>
    <w:p w:rsidRPr="00CD3577" w:rsidR="00237833" w:rsidP="00237833" w:rsidRDefault="009761D0" w14:paraId="10BEE139" w14:textId="77777777">
      <w:pPr>
        <w:autoSpaceDN/>
        <w:spacing w:after="160" w:line="259" w:lineRule="auto"/>
        <w:ind w:left="720"/>
        <w:textAlignment w:val="auto"/>
      </w:pPr>
      <w:r w:rsidRPr="006C2F5F">
        <w:t xml:space="preserve">Naar verwachting kan de meerderheid van de huishoudens de maatregelen goed opvangen </w:t>
      </w:r>
      <w:r>
        <w:t>(bijvoorbeeld door inkomensstijgingen)</w:t>
      </w:r>
      <w:r w:rsidRPr="006C2F5F">
        <w:t xml:space="preserve">, waarbij slechts een beperkt deel </w:t>
      </w:r>
      <w:r>
        <w:t xml:space="preserve">mogelijk in </w:t>
      </w:r>
      <w:r w:rsidRPr="006C2F5F">
        <w:t>de problemen kan komen</w:t>
      </w:r>
      <w:r w:rsidR="007F2E38">
        <w:t xml:space="preserve"> als gevolg van de lastenverzwaring</w:t>
      </w:r>
      <w:r w:rsidRPr="006C2F5F">
        <w:t>.</w:t>
      </w:r>
      <w:r w:rsidR="00AD67BC">
        <w:t xml:space="preserve"> Tabel </w:t>
      </w:r>
      <w:r w:rsidR="004C7E01">
        <w:t>3</w:t>
      </w:r>
      <w:r w:rsidR="00AD67BC">
        <w:t xml:space="preserve"> geeft een </w:t>
      </w:r>
      <w:r w:rsidR="004C7E01">
        <w:t>schatting</w:t>
      </w:r>
      <w:r w:rsidR="00AD67BC">
        <w:t xml:space="preserve"> van het aantal huishoudens dat boven de gehanteerde grenzen komt als gevolg van de voorgestelde maatregelen.</w:t>
      </w:r>
      <w:r w:rsidR="00CD3577">
        <w:t xml:space="preserve"> In deze schatting is geen rekening gehouden met eventuele aanvullende </w:t>
      </w:r>
      <w:r w:rsidR="00CD3577">
        <w:rPr>
          <w:i/>
          <w:iCs/>
        </w:rPr>
        <w:t xml:space="preserve">life events </w:t>
      </w:r>
      <w:r w:rsidR="00CD3577">
        <w:t>zoals bijvoorbeeld werkloosheid.</w:t>
      </w:r>
    </w:p>
    <w:p w:rsidRPr="005134A3" w:rsidR="004C7E01" w:rsidP="00237833" w:rsidRDefault="004C7E01" w14:paraId="05D2FAF6" w14:textId="77777777">
      <w:pPr>
        <w:autoSpaceDN/>
        <w:spacing w:after="160" w:line="259" w:lineRule="auto"/>
        <w:ind w:left="720"/>
        <w:textAlignment w:val="auto"/>
        <w:rPr>
          <w:b/>
          <w:bCs/>
          <w:sz w:val="16"/>
          <w:szCs w:val="16"/>
        </w:rPr>
      </w:pPr>
      <w:r w:rsidRPr="005134A3">
        <w:rPr>
          <w:b/>
          <w:bCs/>
          <w:sz w:val="16"/>
          <w:szCs w:val="16"/>
        </w:rPr>
        <w:t xml:space="preserve">Tabel 3 – </w:t>
      </w:r>
      <w:r w:rsidR="007F2E38">
        <w:rPr>
          <w:b/>
          <w:bCs/>
          <w:sz w:val="16"/>
          <w:szCs w:val="16"/>
        </w:rPr>
        <w:t>A</w:t>
      </w:r>
      <w:r w:rsidRPr="005134A3">
        <w:rPr>
          <w:b/>
          <w:bCs/>
          <w:sz w:val="16"/>
          <w:szCs w:val="16"/>
        </w:rPr>
        <w:t>antal huishoudens boven grens financieringslastpercentage als gevolg van maatregel</w:t>
      </w:r>
      <w:r w:rsidR="00771E6F">
        <w:rPr>
          <w:rStyle w:val="Voetnootmarkering"/>
          <w:b/>
          <w:bCs/>
          <w:sz w:val="16"/>
          <w:szCs w:val="16"/>
        </w:rPr>
        <w:footnoteReference w:id="38"/>
      </w:r>
    </w:p>
    <w:tbl>
      <w:tblPr>
        <w:tblStyle w:val="Onopgemaaktetabel2"/>
        <w:tblW w:w="0" w:type="auto"/>
        <w:tblInd w:w="392" w:type="dxa"/>
        <w:tblLook w:val="04A0" w:firstRow="1" w:lastRow="0" w:firstColumn="1" w:lastColumn="0" w:noHBand="0" w:noVBand="1"/>
      </w:tblPr>
      <w:tblGrid>
        <w:gridCol w:w="655"/>
        <w:gridCol w:w="3215"/>
        <w:gridCol w:w="3215"/>
      </w:tblGrid>
      <w:tr w:rsidR="004C7E01" w:rsidTr="004C7E01" w14:paraId="7960EA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Pr="00846FCD" w:rsidR="004C7E01" w:rsidP="00237833" w:rsidRDefault="004C7E01" w14:paraId="09F26C23" w14:textId="77777777">
            <w:pPr>
              <w:spacing w:after="160" w:line="259" w:lineRule="auto"/>
              <w:rPr>
                <w:lang w:val="nl-NL"/>
              </w:rPr>
            </w:pPr>
          </w:p>
        </w:tc>
        <w:tc>
          <w:tcPr>
            <w:tcW w:w="6430" w:type="dxa"/>
            <w:gridSpan w:val="2"/>
          </w:tcPr>
          <w:p w:rsidRPr="004C7E01" w:rsidR="004C7E01" w:rsidP="004C7E01" w:rsidRDefault="004C7E01" w14:paraId="342B3A1B"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pPr>
            <w:proofErr w:type="spellStart"/>
            <w:r w:rsidRPr="004C7E01">
              <w:t>Financieringslastpercentage</w:t>
            </w:r>
            <w:proofErr w:type="spellEnd"/>
          </w:p>
        </w:tc>
      </w:tr>
      <w:tr w:rsidR="004C7E01" w:rsidTr="004C7E01" w14:paraId="2D1342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004C7E01" w:rsidP="004C7E01" w:rsidRDefault="004C7E01" w14:paraId="1620C2F7" w14:textId="77777777">
            <w:pPr>
              <w:spacing w:after="160" w:line="259" w:lineRule="auto"/>
            </w:pPr>
          </w:p>
        </w:tc>
        <w:tc>
          <w:tcPr>
            <w:tcW w:w="3215" w:type="dxa"/>
          </w:tcPr>
          <w:p w:rsidRPr="004C7E01" w:rsidR="004C7E01" w:rsidP="004C7E01" w:rsidRDefault="004C7E01" w14:paraId="01E43ACD"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rPr>
            </w:pPr>
            <w:r w:rsidRPr="004C7E01">
              <w:rPr>
                <w:b/>
                <w:bCs/>
              </w:rPr>
              <w:t>&gt;25%</w:t>
            </w:r>
          </w:p>
        </w:tc>
        <w:tc>
          <w:tcPr>
            <w:tcW w:w="3215" w:type="dxa"/>
          </w:tcPr>
          <w:p w:rsidRPr="004C7E01" w:rsidR="004C7E01" w:rsidP="004C7E01" w:rsidRDefault="004C7E01" w14:paraId="2BB07F60"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rPr>
            </w:pPr>
            <w:r w:rsidRPr="004C7E01">
              <w:rPr>
                <w:b/>
                <w:bCs/>
              </w:rPr>
              <w:t>&gt;35%</w:t>
            </w:r>
          </w:p>
        </w:tc>
      </w:tr>
      <w:tr w:rsidR="004C7E01" w:rsidTr="004C7E01" w14:paraId="0E842872" w14:textId="77777777">
        <w:tc>
          <w:tcPr>
            <w:cnfStyle w:val="001000000000" w:firstRow="0" w:lastRow="0" w:firstColumn="1" w:lastColumn="0" w:oddVBand="0" w:evenVBand="0" w:oddHBand="0" w:evenHBand="0" w:firstRowFirstColumn="0" w:firstRowLastColumn="0" w:lastRowFirstColumn="0" w:lastRowLastColumn="0"/>
            <w:tcW w:w="236" w:type="dxa"/>
          </w:tcPr>
          <w:p w:rsidRPr="004C7E01" w:rsidR="004C7E01" w:rsidP="004C7E01" w:rsidRDefault="004C7E01" w14:paraId="56EACA97" w14:textId="77777777">
            <w:pPr>
              <w:spacing w:after="160" w:line="259" w:lineRule="auto"/>
            </w:pPr>
            <w:r w:rsidRPr="004C7E01">
              <w:lastRenderedPageBreak/>
              <w:t>1A</w:t>
            </w:r>
            <w:r w:rsidR="004A497B">
              <w:rPr>
                <w:rStyle w:val="Voetnootmarkering"/>
              </w:rPr>
              <w:footnoteReference w:id="39"/>
            </w:r>
          </w:p>
        </w:tc>
        <w:tc>
          <w:tcPr>
            <w:tcW w:w="3215" w:type="dxa"/>
          </w:tcPr>
          <w:p w:rsidR="004C7E01" w:rsidP="004C7E01" w:rsidRDefault="004C7E01" w14:paraId="086AF580"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pPr>
            <w:r>
              <w:t>+33.500</w:t>
            </w:r>
          </w:p>
        </w:tc>
        <w:tc>
          <w:tcPr>
            <w:tcW w:w="3215" w:type="dxa"/>
          </w:tcPr>
          <w:p w:rsidR="004C7E01" w:rsidP="004C7E01" w:rsidRDefault="004C7E01" w14:paraId="0A58DF88"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pPr>
            <w:r>
              <w:t>+7.000</w:t>
            </w:r>
          </w:p>
        </w:tc>
      </w:tr>
      <w:tr w:rsidR="004C7E01" w:rsidTr="004C7E01" w14:paraId="75E768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Pr="004C7E01" w:rsidR="004C7E01" w:rsidP="004C7E01" w:rsidRDefault="004C7E01" w14:paraId="7F104E30" w14:textId="77777777">
            <w:pPr>
              <w:spacing w:after="160" w:line="259" w:lineRule="auto"/>
            </w:pPr>
            <w:r w:rsidRPr="004C7E01">
              <w:t>1B</w:t>
            </w:r>
          </w:p>
        </w:tc>
        <w:tc>
          <w:tcPr>
            <w:tcW w:w="3215" w:type="dxa"/>
          </w:tcPr>
          <w:p w:rsidR="004C7E01" w:rsidP="004C7E01" w:rsidRDefault="004C7E01" w14:paraId="2F949128"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pPr>
            <w:r>
              <w:t>+6.500</w:t>
            </w:r>
          </w:p>
        </w:tc>
        <w:tc>
          <w:tcPr>
            <w:tcW w:w="3215" w:type="dxa"/>
          </w:tcPr>
          <w:p w:rsidR="004C7E01" w:rsidP="004C7E01" w:rsidRDefault="004C7E01" w14:paraId="71917FF9"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pPr>
            <w:r>
              <w:t>+3.500</w:t>
            </w:r>
          </w:p>
        </w:tc>
      </w:tr>
      <w:tr w:rsidR="004C7E01" w:rsidTr="004C7E01" w14:paraId="3CB46AFD" w14:textId="77777777">
        <w:tc>
          <w:tcPr>
            <w:cnfStyle w:val="001000000000" w:firstRow="0" w:lastRow="0" w:firstColumn="1" w:lastColumn="0" w:oddVBand="0" w:evenVBand="0" w:oddHBand="0" w:evenHBand="0" w:firstRowFirstColumn="0" w:firstRowLastColumn="0" w:lastRowFirstColumn="0" w:lastRowLastColumn="0"/>
            <w:tcW w:w="236" w:type="dxa"/>
          </w:tcPr>
          <w:p w:rsidRPr="004C7E01" w:rsidR="004C7E01" w:rsidP="004C7E01" w:rsidRDefault="004C7E01" w14:paraId="49A09F7C" w14:textId="77777777">
            <w:pPr>
              <w:spacing w:after="160" w:line="259" w:lineRule="auto"/>
            </w:pPr>
            <w:r w:rsidRPr="004C7E01">
              <w:t>1C</w:t>
            </w:r>
          </w:p>
        </w:tc>
        <w:tc>
          <w:tcPr>
            <w:tcW w:w="3215" w:type="dxa"/>
          </w:tcPr>
          <w:p w:rsidR="004C7E01" w:rsidP="004C7E01" w:rsidRDefault="004C7E01" w14:paraId="32133FAD"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pPr>
            <w:r>
              <w:t>+6.500</w:t>
            </w:r>
          </w:p>
        </w:tc>
        <w:tc>
          <w:tcPr>
            <w:tcW w:w="3215" w:type="dxa"/>
          </w:tcPr>
          <w:p w:rsidR="004C7E01" w:rsidP="004C7E01" w:rsidRDefault="004C7E01" w14:paraId="277E8B58"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pPr>
            <w:r>
              <w:t>+3.500</w:t>
            </w:r>
          </w:p>
        </w:tc>
      </w:tr>
      <w:tr w:rsidR="004C7E01" w:rsidTr="004C7E01" w14:paraId="6E1753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Pr="004C7E01" w:rsidR="004C7E01" w:rsidP="004C7E01" w:rsidRDefault="004C7E01" w14:paraId="70793257" w14:textId="77777777">
            <w:pPr>
              <w:spacing w:after="160" w:line="259" w:lineRule="auto"/>
            </w:pPr>
            <w:r w:rsidRPr="004C7E01">
              <w:t>1D</w:t>
            </w:r>
          </w:p>
        </w:tc>
        <w:tc>
          <w:tcPr>
            <w:tcW w:w="3215" w:type="dxa"/>
          </w:tcPr>
          <w:p w:rsidR="004C7E01" w:rsidP="004C7E01" w:rsidRDefault="004C7E01" w14:paraId="748D29EA"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pPr>
            <w:r>
              <w:t>+6.500</w:t>
            </w:r>
          </w:p>
        </w:tc>
        <w:tc>
          <w:tcPr>
            <w:tcW w:w="3215" w:type="dxa"/>
          </w:tcPr>
          <w:p w:rsidR="004C7E01" w:rsidP="004C7E01" w:rsidRDefault="004C7E01" w14:paraId="668DEF04"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pPr>
            <w:r>
              <w:t>+3.500</w:t>
            </w:r>
          </w:p>
        </w:tc>
      </w:tr>
      <w:tr w:rsidR="004C7E01" w:rsidTr="004C7E01" w14:paraId="710B574D" w14:textId="77777777">
        <w:tc>
          <w:tcPr>
            <w:cnfStyle w:val="001000000000" w:firstRow="0" w:lastRow="0" w:firstColumn="1" w:lastColumn="0" w:oddVBand="0" w:evenVBand="0" w:oddHBand="0" w:evenHBand="0" w:firstRowFirstColumn="0" w:firstRowLastColumn="0" w:lastRowFirstColumn="0" w:lastRowLastColumn="0"/>
            <w:tcW w:w="236" w:type="dxa"/>
          </w:tcPr>
          <w:p w:rsidRPr="004C7E01" w:rsidR="004C7E01" w:rsidP="004C7E01" w:rsidRDefault="004C7E01" w14:paraId="0FF5E5A4" w14:textId="77777777">
            <w:pPr>
              <w:spacing w:after="160" w:line="259" w:lineRule="auto"/>
            </w:pPr>
            <w:r w:rsidRPr="004C7E01">
              <w:t>2A</w:t>
            </w:r>
          </w:p>
        </w:tc>
        <w:tc>
          <w:tcPr>
            <w:tcW w:w="6430" w:type="dxa"/>
            <w:gridSpan w:val="2"/>
          </w:tcPr>
          <w:p w:rsidRPr="00846FCD" w:rsidR="004C7E01" w:rsidP="004C7E01" w:rsidRDefault="004C7E01" w14:paraId="6777913A"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nl-NL"/>
              </w:rPr>
            </w:pPr>
            <w:r w:rsidRPr="00C2202E">
              <w:rPr>
                <w:lang w:val="nl-NL"/>
              </w:rPr>
              <w:t>Niet van toepassing. Geen lastenverzwaring voor huishoudens.</w:t>
            </w:r>
          </w:p>
        </w:tc>
      </w:tr>
      <w:tr w:rsidR="004C7E01" w:rsidTr="004C7E01" w14:paraId="36087F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rsidRPr="004C7E01" w:rsidR="004C7E01" w:rsidP="004C7E01" w:rsidRDefault="004C7E01" w14:paraId="5B212121" w14:textId="77777777">
            <w:pPr>
              <w:spacing w:after="160" w:line="259" w:lineRule="auto"/>
            </w:pPr>
            <w:r w:rsidRPr="004C7E01">
              <w:t>2B</w:t>
            </w:r>
          </w:p>
        </w:tc>
        <w:tc>
          <w:tcPr>
            <w:tcW w:w="6430" w:type="dxa"/>
            <w:gridSpan w:val="2"/>
          </w:tcPr>
          <w:p w:rsidRPr="00846FCD" w:rsidR="004C7E01" w:rsidP="004C7E01" w:rsidRDefault="004C7E01" w14:paraId="2100C815"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lang w:val="nl-NL"/>
              </w:rPr>
            </w:pPr>
            <w:r w:rsidRPr="00C2202E">
              <w:rPr>
                <w:lang w:val="nl-NL"/>
              </w:rPr>
              <w:t>Niet van toepassing. Geen lastenverzwaring voor huishoudens.</w:t>
            </w:r>
          </w:p>
        </w:tc>
      </w:tr>
      <w:tr w:rsidR="004C7E01" w:rsidTr="004C7E01" w14:paraId="04FD263D" w14:textId="77777777">
        <w:tc>
          <w:tcPr>
            <w:cnfStyle w:val="001000000000" w:firstRow="0" w:lastRow="0" w:firstColumn="1" w:lastColumn="0" w:oddVBand="0" w:evenVBand="0" w:oddHBand="0" w:evenHBand="0" w:firstRowFirstColumn="0" w:firstRowLastColumn="0" w:lastRowFirstColumn="0" w:lastRowLastColumn="0"/>
            <w:tcW w:w="236" w:type="dxa"/>
          </w:tcPr>
          <w:p w:rsidRPr="004C7E01" w:rsidR="004C7E01" w:rsidP="004C7E01" w:rsidRDefault="004C7E01" w14:paraId="7F229C6B" w14:textId="77777777">
            <w:pPr>
              <w:spacing w:after="160" w:line="259" w:lineRule="auto"/>
            </w:pPr>
            <w:r w:rsidRPr="004C7E01">
              <w:t>3</w:t>
            </w:r>
          </w:p>
        </w:tc>
        <w:tc>
          <w:tcPr>
            <w:tcW w:w="6430" w:type="dxa"/>
            <w:gridSpan w:val="2"/>
          </w:tcPr>
          <w:p w:rsidRPr="00846FCD" w:rsidR="004C7E01" w:rsidP="004C7E01" w:rsidRDefault="004C7E01" w14:paraId="6DD7A5B6"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lang w:val="nl-NL"/>
              </w:rPr>
            </w:pPr>
            <w:r w:rsidRPr="00C2202E">
              <w:rPr>
                <w:lang w:val="nl-NL"/>
              </w:rPr>
              <w:t xml:space="preserve">Niet van toepassing. Geen </w:t>
            </w:r>
            <w:r w:rsidR="005A7603">
              <w:rPr>
                <w:lang w:val="nl-NL"/>
              </w:rPr>
              <w:t xml:space="preserve">problematische </w:t>
            </w:r>
            <w:r w:rsidRPr="00C2202E">
              <w:rPr>
                <w:lang w:val="nl-NL"/>
              </w:rPr>
              <w:t>lastenverzwaring voor huishoudens.</w:t>
            </w:r>
          </w:p>
        </w:tc>
      </w:tr>
    </w:tbl>
    <w:p w:rsidR="004C7E01" w:rsidP="00237833" w:rsidRDefault="004C7E01" w14:paraId="7EB0B405" w14:textId="77777777">
      <w:pPr>
        <w:autoSpaceDN/>
        <w:spacing w:after="160" w:line="259" w:lineRule="auto"/>
        <w:ind w:left="720"/>
        <w:textAlignment w:val="auto"/>
      </w:pPr>
    </w:p>
    <w:p w:rsidR="00F13D71" w:rsidP="00F13D71" w:rsidRDefault="00237833" w14:paraId="5BF7170E" w14:textId="77777777">
      <w:pPr>
        <w:numPr>
          <w:ilvl w:val="0"/>
          <w:numId w:val="46"/>
        </w:numPr>
        <w:autoSpaceDN/>
        <w:spacing w:after="160" w:line="259" w:lineRule="auto"/>
        <w:textAlignment w:val="auto"/>
      </w:pPr>
      <w:r w:rsidRPr="00237833">
        <w:t xml:space="preserve">Voor vermogende belastingplichtigen kan het gunstig zijn als de 30-jaarstermijn eindigt, waardoor zij hun rentekosten in aftrek kunnen brengen op hun box 3-inkomen. Dit kan nog sterker gelden voor AOW-gerechtigden met vermogen, aangezien voor deze belastingplichtigen </w:t>
      </w:r>
      <w:r w:rsidR="006B2A1E">
        <w:t xml:space="preserve">vermoedelijk </w:t>
      </w:r>
      <w:r w:rsidRPr="00237833">
        <w:t xml:space="preserve">een lager </w:t>
      </w:r>
      <w:r w:rsidR="006B2A1E">
        <w:t>belasting</w:t>
      </w:r>
      <w:r w:rsidRPr="00237833">
        <w:t xml:space="preserve">tarief in box 1 </w:t>
      </w:r>
      <w:r w:rsidR="006B2A1E">
        <w:t>zal</w:t>
      </w:r>
      <w:r w:rsidRPr="00237833" w:rsidR="006B2A1E">
        <w:t xml:space="preserve"> </w:t>
      </w:r>
      <w:r w:rsidRPr="00237833">
        <w:t>gelden</w:t>
      </w:r>
      <w:r w:rsidR="006B2A1E">
        <w:t xml:space="preserve"> dan in box 3</w:t>
      </w:r>
      <w:r w:rsidRPr="00237833">
        <w:t>, vanwege het wegvallen van de premie voor de AOW</w:t>
      </w:r>
      <w:r>
        <w:t>.</w:t>
      </w:r>
    </w:p>
    <w:p w:rsidR="00F13D71" w:rsidP="006C2F5F" w:rsidRDefault="00F13D71" w14:paraId="313C5C03" w14:textId="77777777">
      <w:pPr>
        <w:pStyle w:val="Kop3"/>
      </w:pPr>
      <w:bookmarkStart w:name="_Toc226640270" w:id="51"/>
      <w:bookmarkStart w:name="_Toc222756887" w:id="52"/>
      <w:r>
        <w:t>Interactie met box 3</w:t>
      </w:r>
      <w:bookmarkEnd w:id="51"/>
    </w:p>
    <w:p w:rsidRPr="00F13D71" w:rsidR="00F13D71" w:rsidP="009524D7" w:rsidRDefault="00F13D71" w14:paraId="73A2B674" w14:textId="77777777">
      <w:pPr>
        <w:pStyle w:val="Lijstalinea"/>
        <w:numPr>
          <w:ilvl w:val="0"/>
          <w:numId w:val="46"/>
        </w:numPr>
      </w:pPr>
      <w:r w:rsidRPr="006C2F5F">
        <w:t>De problematiek rondom de 30-jaarstermijn en de geschetste oplossingsrichtingen zijn in dit onderzoek onafhankelijk van andere ontwikkeling</w:t>
      </w:r>
      <w:r>
        <w:t>en</w:t>
      </w:r>
      <w:r w:rsidRPr="006C2F5F">
        <w:t xml:space="preserve"> onderzocht.</w:t>
      </w:r>
      <w:r w:rsidRPr="00F13D71">
        <w:rPr>
          <w:b/>
          <w:bCs/>
        </w:rPr>
        <w:t xml:space="preserve"> </w:t>
      </w:r>
      <w:r>
        <w:t>Er bestaan echter interactie-effecten met box 3. V</w:t>
      </w:r>
      <w:r w:rsidRPr="006C2F5F">
        <w:t xml:space="preserve">oor leningen die na 2013 zijn afgesloten </w:t>
      </w:r>
      <w:r>
        <w:t xml:space="preserve">is het op dit moment </w:t>
      </w:r>
      <w:r w:rsidRPr="006C2F5F">
        <w:t xml:space="preserve">mogelijk om rente op een eigenwoningschuld in box 3 in aftrek te brengen als niet wordt voldaan aan de voorwaarden voor HRA in box 1. </w:t>
      </w:r>
      <w:proofErr w:type="gramStart"/>
      <w:r>
        <w:t>Indien</w:t>
      </w:r>
      <w:proofErr w:type="gramEnd"/>
      <w:r>
        <w:t xml:space="preserve"> de HRA wordt afgebouwd in box 1 kan de vraag opkomen om gelijktijdig de renteaftrek in box 3 voor de eigenwoninglening af te bouwen. Dit voorkomt dat </w:t>
      </w:r>
      <w:r w:rsidR="009524D7">
        <w:t>vermogende belastingplichtigen rente kunnen blijven aftrekken in b</w:t>
      </w:r>
      <w:r>
        <w:t>ox 3</w:t>
      </w:r>
      <w:r w:rsidR="009524D7">
        <w:t xml:space="preserve"> en de facto dus langer dan 30 jaar renteaftrek mogelijk is</w:t>
      </w:r>
      <w:r>
        <w:t xml:space="preserve">. De juridische houdbaarheid van het uitsluiten van renteaftrek in box 3 dient nader onderzocht te worden. Als renteaftrek in box 3 (voor BEWS) wordt uitgesloten, dan wordt het aantrekkelijker </w:t>
      </w:r>
      <w:r w:rsidR="0048497C">
        <w:t xml:space="preserve">voor belastingplichtigen </w:t>
      </w:r>
      <w:r>
        <w:t xml:space="preserve">om </w:t>
      </w:r>
      <w:r w:rsidRPr="006C2F5F">
        <w:t>gebruik te maken van een overgangsregeling</w:t>
      </w:r>
      <w:r>
        <w:t xml:space="preserve"> (fiches 1B, 1C, 1D, 2B)</w:t>
      </w:r>
      <w:r w:rsidRPr="006C2F5F">
        <w:t>.</w:t>
      </w:r>
    </w:p>
    <w:p w:rsidR="006C2F5F" w:rsidP="006C2F5F" w:rsidRDefault="006C2F5F" w14:paraId="443E7867" w14:textId="77777777">
      <w:pPr>
        <w:pStyle w:val="Kop3"/>
      </w:pPr>
      <w:bookmarkStart w:name="_Toc226640271" w:id="53"/>
      <w:r>
        <w:t>Budgettair</w:t>
      </w:r>
      <w:bookmarkEnd w:id="52"/>
      <w:bookmarkEnd w:id="53"/>
    </w:p>
    <w:p w:rsidR="00DB045A" w:rsidP="006C2F5F" w:rsidRDefault="00DB045A" w14:paraId="2B9DCF6D" w14:textId="77777777">
      <w:pPr>
        <w:numPr>
          <w:ilvl w:val="0"/>
          <w:numId w:val="19"/>
        </w:numPr>
        <w:autoSpaceDN/>
        <w:spacing w:after="160" w:line="259" w:lineRule="auto"/>
        <w:textAlignment w:val="auto"/>
      </w:pPr>
      <w:r w:rsidRPr="00DB045A">
        <w:t xml:space="preserve">Figuur </w:t>
      </w:r>
      <w:r w:rsidR="005A7603">
        <w:t xml:space="preserve">6 </w:t>
      </w:r>
      <w:r w:rsidRPr="00DB045A">
        <w:t xml:space="preserve">geeft de vermoedelijke afloopdatum van </w:t>
      </w:r>
      <w:r w:rsidR="00237833">
        <w:t>BEWS</w:t>
      </w:r>
      <w:r w:rsidRPr="00DB045A">
        <w:t xml:space="preserve"> in het </w:t>
      </w:r>
      <w:proofErr w:type="spellStart"/>
      <w:r w:rsidRPr="00DB045A">
        <w:t>basispad</w:t>
      </w:r>
      <w:proofErr w:type="spellEnd"/>
      <w:r w:rsidRPr="00DB045A">
        <w:t xml:space="preserve">. </w:t>
      </w:r>
      <w:r w:rsidR="00AC5114">
        <w:t xml:space="preserve">De grootste groep heeft per 2031 al 30 jaar HRA genoten. Dit is de groep met hypotheken van voor 2001. </w:t>
      </w:r>
      <w:r w:rsidRPr="00DB045A">
        <w:t>Voor de oplossingsrichting in fiche 1A geldt dat een budgettaire opbrengst</w:t>
      </w:r>
      <w:r w:rsidRPr="00DB045A">
        <w:rPr>
          <w:vertAlign w:val="superscript"/>
        </w:rPr>
        <w:footnoteReference w:id="40"/>
      </w:r>
      <w:r w:rsidRPr="00DB045A">
        <w:t xml:space="preserve"> ontstaat doordat het recht op </w:t>
      </w:r>
      <w:r w:rsidR="00237833">
        <w:t>HRA</w:t>
      </w:r>
      <w:r w:rsidRPr="00DB045A">
        <w:t xml:space="preserve"> voor een grote groep belastingplichtigen beperkt wordt ten opzichte van het </w:t>
      </w:r>
      <w:proofErr w:type="spellStart"/>
      <w:r w:rsidRPr="00DB045A">
        <w:t>basispad</w:t>
      </w:r>
      <w:proofErr w:type="spellEnd"/>
      <w:r w:rsidRPr="00DB045A">
        <w:t>. In fiche</w:t>
      </w:r>
      <w:r w:rsidR="00237833">
        <w:t>s</w:t>
      </w:r>
      <w:r w:rsidRPr="00DB045A">
        <w:t xml:space="preserve"> 1B, 1C en 1D kan dit negatieve inkomenseffect deels opgevangen worden doordat wordt voorzien in een overgangsregeling. Aan de andere kant zorgen fiches 2A, 2B en 3 ervoor dat het recht op </w:t>
      </w:r>
      <w:r w:rsidR="00237833">
        <w:t>HRA</w:t>
      </w:r>
      <w:r w:rsidRPr="00DB045A">
        <w:t xml:space="preserve"> wordt uitgebreid voor belastingplichtigen. Dit betekent dat alle belastingplichtigen met </w:t>
      </w:r>
      <w:r w:rsidR="00EB4148">
        <w:t xml:space="preserve">een </w:t>
      </w:r>
      <w:r w:rsidR="00EB4148">
        <w:lastRenderedPageBreak/>
        <w:t xml:space="preserve">BEWS met </w:t>
      </w:r>
      <w:r w:rsidRPr="00DB045A">
        <w:t xml:space="preserve">zekerheid ten minste 30 jaar </w:t>
      </w:r>
      <w:r w:rsidR="00237833">
        <w:t>HRA</w:t>
      </w:r>
      <w:r w:rsidRPr="00DB045A">
        <w:t xml:space="preserve"> zullen genieten, maar vaak ook meer</w:t>
      </w:r>
      <w:r w:rsidR="00A84A8B">
        <w:t xml:space="preserve"> (in fiche 3 over een versmalde grondslag)</w:t>
      </w:r>
      <w:r w:rsidRPr="00DB045A">
        <w:t>. Dit resulteert in een budgettaire derving</w:t>
      </w:r>
      <w:r w:rsidR="00EB4148">
        <w:t>.</w:t>
      </w:r>
    </w:p>
    <w:p w:rsidR="00E55D2E" w:rsidP="00BC17A8" w:rsidRDefault="00E55D2E" w14:paraId="602B516D" w14:textId="77777777">
      <w:pPr>
        <w:rPr>
          <w:b/>
          <w:bCs/>
          <w:sz w:val="16"/>
          <w:szCs w:val="16"/>
        </w:rPr>
      </w:pPr>
    </w:p>
    <w:p w:rsidR="00E55D2E" w:rsidP="00BC17A8" w:rsidRDefault="00E55D2E" w14:paraId="78DFB1B7" w14:textId="77777777">
      <w:pPr>
        <w:rPr>
          <w:b/>
          <w:bCs/>
          <w:sz w:val="16"/>
          <w:szCs w:val="16"/>
        </w:rPr>
      </w:pPr>
    </w:p>
    <w:p w:rsidR="00E55D2E" w:rsidP="00BC17A8" w:rsidRDefault="00E55D2E" w14:paraId="38B1A1A2" w14:textId="77777777">
      <w:pPr>
        <w:rPr>
          <w:b/>
          <w:bCs/>
          <w:sz w:val="16"/>
          <w:szCs w:val="16"/>
        </w:rPr>
      </w:pPr>
    </w:p>
    <w:p w:rsidR="00BC17A8" w:rsidP="00BC17A8" w:rsidRDefault="00BC17A8" w14:paraId="119289EA" w14:textId="77777777">
      <w:pPr>
        <w:rPr>
          <w:b/>
          <w:bCs/>
          <w:sz w:val="16"/>
          <w:szCs w:val="16"/>
        </w:rPr>
      </w:pPr>
      <w:r w:rsidRPr="00BC17A8">
        <w:rPr>
          <w:b/>
          <w:bCs/>
          <w:sz w:val="16"/>
          <w:szCs w:val="16"/>
        </w:rPr>
        <w:t xml:space="preserve">Figuur </w:t>
      </w:r>
      <w:r w:rsidR="005A7603">
        <w:rPr>
          <w:b/>
          <w:bCs/>
          <w:sz w:val="16"/>
          <w:szCs w:val="16"/>
        </w:rPr>
        <w:t>6</w:t>
      </w:r>
      <w:r w:rsidRPr="00BC17A8">
        <w:rPr>
          <w:b/>
          <w:bCs/>
          <w:sz w:val="16"/>
          <w:szCs w:val="16"/>
        </w:rPr>
        <w:t xml:space="preserve"> – Vermoedelijke afloopdatum 30-jaarstermijn voor BEWS in het </w:t>
      </w:r>
      <w:proofErr w:type="spellStart"/>
      <w:r w:rsidRPr="00BC17A8">
        <w:rPr>
          <w:b/>
          <w:bCs/>
          <w:sz w:val="16"/>
          <w:szCs w:val="16"/>
        </w:rPr>
        <w:t>basispad</w:t>
      </w:r>
      <w:proofErr w:type="spellEnd"/>
      <w:r w:rsidR="00771E6F">
        <w:rPr>
          <w:rStyle w:val="Voetnootmarkering"/>
          <w:b/>
          <w:bCs/>
          <w:sz w:val="16"/>
          <w:szCs w:val="16"/>
        </w:rPr>
        <w:footnoteReference w:id="41"/>
      </w:r>
    </w:p>
    <w:p w:rsidR="00F13D71" w:rsidP="00BC17A8" w:rsidRDefault="00E55D2E" w14:paraId="3DC1831D" w14:textId="77777777">
      <w:r>
        <w:rPr>
          <w:noProof/>
        </w:rPr>
        <w:drawing>
          <wp:anchor distT="0" distB="0" distL="114300" distR="114300" simplePos="0" relativeHeight="251697152" behindDoc="0" locked="0" layoutInCell="1" allowOverlap="1" wp14:editId="15EA92D4" wp14:anchorId="76BEEF2D">
            <wp:simplePos x="0" y="0"/>
            <wp:positionH relativeFrom="margin">
              <wp:posOffset>0</wp:posOffset>
            </wp:positionH>
            <wp:positionV relativeFrom="paragraph">
              <wp:posOffset>152400</wp:posOffset>
            </wp:positionV>
            <wp:extent cx="4881245" cy="2665730"/>
            <wp:effectExtent l="0" t="0" r="14605" b="1270"/>
            <wp:wrapSquare wrapText="bothSides"/>
            <wp:docPr id="1542433179" name="Grafiek 1">
              <a:extLst xmlns:a="http://schemas.openxmlformats.org/drawingml/2006/main">
                <a:ext uri="{FF2B5EF4-FFF2-40B4-BE49-F238E27FC236}">
                  <a16:creationId xmlns:a16="http://schemas.microsoft.com/office/drawing/2014/main" id="{0BFCF73D-9159-4DB7-8CE6-B0EB480035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F13D71" w:rsidP="001C4D8B" w:rsidRDefault="00F13D71" w14:paraId="43CFD6B6" w14:textId="77777777">
      <w:pPr>
        <w:pStyle w:val="Lijstalinea"/>
        <w:autoSpaceDN/>
        <w:spacing w:after="160" w:line="259" w:lineRule="auto"/>
        <w:textAlignment w:val="auto"/>
      </w:pPr>
    </w:p>
    <w:p w:rsidR="00F13D71" w:rsidP="001C4D8B" w:rsidRDefault="00F13D71" w14:paraId="176CE288" w14:textId="77777777">
      <w:pPr>
        <w:pStyle w:val="Lijstalinea"/>
        <w:autoSpaceDN/>
        <w:spacing w:after="160" w:line="259" w:lineRule="auto"/>
        <w:textAlignment w:val="auto"/>
      </w:pPr>
    </w:p>
    <w:p w:rsidR="00E55D2E" w:rsidP="00E55D2E" w:rsidRDefault="00E55D2E" w14:paraId="473B29C9" w14:textId="77777777">
      <w:pPr>
        <w:pStyle w:val="Lijstalinea"/>
        <w:autoSpaceDN/>
        <w:spacing w:after="160" w:line="259" w:lineRule="auto"/>
        <w:textAlignment w:val="auto"/>
      </w:pPr>
    </w:p>
    <w:p w:rsidR="00BC17A8" w:rsidP="00C52798" w:rsidRDefault="00C52798" w14:paraId="43BEEE91" w14:textId="77777777">
      <w:pPr>
        <w:pStyle w:val="Lijstalinea"/>
        <w:numPr>
          <w:ilvl w:val="0"/>
          <w:numId w:val="46"/>
        </w:numPr>
        <w:autoSpaceDN/>
        <w:spacing w:after="160" w:line="259" w:lineRule="auto"/>
        <w:textAlignment w:val="auto"/>
      </w:pPr>
      <w:r>
        <w:t xml:space="preserve">Tabel </w:t>
      </w:r>
      <w:r w:rsidR="004C7E01">
        <w:t>4</w:t>
      </w:r>
      <w:r>
        <w:t xml:space="preserve"> geeft een overzicht van de budgettaire gevolgen van de oplossingsrichtingen. De uitbreiding van de regeling in fiches 1D en 2B voor alle eigenwoningleningen leidt tot een structurele budgettaire derving. </w:t>
      </w:r>
      <w:r w:rsidR="00A84A8B">
        <w:t xml:space="preserve">Deze generieke uitbreiding geldt voor alle belastingplichtigen en niet uitsluitend voor belastingplichtigen die geraakt worden door de maatregelen in de andere fiches. Daarnaast geldt dat de aanvullende derving in fiches 1D en 2B voornamelijk (ver) in de toekomst tot uiting zal komen. Om deze redenen </w:t>
      </w:r>
      <w:r>
        <w:t xml:space="preserve">is nader onderzoek nodig om de orde </w:t>
      </w:r>
      <w:r w:rsidR="006328BE">
        <w:t xml:space="preserve">van </w:t>
      </w:r>
      <w:r>
        <w:t xml:space="preserve">grootte van deze aanvullende, structurele derving in kaart te brengen omdat deze uitbreiding gevolgen heeft voor </w:t>
      </w:r>
      <w:r>
        <w:rPr>
          <w:u w:val="single"/>
        </w:rPr>
        <w:t>alle</w:t>
      </w:r>
      <w:r>
        <w:t xml:space="preserve"> </w:t>
      </w:r>
      <w:r w:rsidR="00A84A8B">
        <w:t xml:space="preserve">belastingplichtigen met </w:t>
      </w:r>
      <w:r>
        <w:t>leningen met recht op HRA.</w:t>
      </w:r>
    </w:p>
    <w:p w:rsidR="006A173C" w:rsidP="006A173C" w:rsidRDefault="006A173C" w14:paraId="0ED315C2" w14:textId="77777777">
      <w:pPr>
        <w:autoSpaceDN/>
        <w:spacing w:after="160" w:line="259" w:lineRule="auto"/>
        <w:textAlignment w:val="auto"/>
      </w:pPr>
    </w:p>
    <w:p w:rsidR="006A173C" w:rsidP="006A173C" w:rsidRDefault="006A173C" w14:paraId="52F6683A" w14:textId="77777777">
      <w:pPr>
        <w:autoSpaceDN/>
        <w:spacing w:after="160" w:line="259" w:lineRule="auto"/>
        <w:textAlignment w:val="auto"/>
      </w:pPr>
    </w:p>
    <w:p w:rsidR="006A173C" w:rsidP="006A173C" w:rsidRDefault="006A173C" w14:paraId="52094E1D" w14:textId="77777777">
      <w:pPr>
        <w:autoSpaceDN/>
        <w:spacing w:after="160" w:line="259" w:lineRule="auto"/>
        <w:textAlignment w:val="auto"/>
      </w:pPr>
    </w:p>
    <w:p w:rsidR="006A173C" w:rsidP="006A173C" w:rsidRDefault="006A173C" w14:paraId="4A068E98" w14:textId="77777777">
      <w:pPr>
        <w:autoSpaceDN/>
        <w:spacing w:after="160" w:line="259" w:lineRule="auto"/>
        <w:textAlignment w:val="auto"/>
      </w:pPr>
    </w:p>
    <w:p w:rsidR="006A173C" w:rsidP="006A173C" w:rsidRDefault="006A173C" w14:paraId="789931CF" w14:textId="77777777">
      <w:pPr>
        <w:autoSpaceDN/>
        <w:spacing w:after="160" w:line="259" w:lineRule="auto"/>
        <w:textAlignment w:val="auto"/>
      </w:pPr>
    </w:p>
    <w:p w:rsidR="006A173C" w:rsidP="006A173C" w:rsidRDefault="006A173C" w14:paraId="2818D52D" w14:textId="77777777">
      <w:pPr>
        <w:autoSpaceDN/>
        <w:spacing w:after="160" w:line="259" w:lineRule="auto"/>
        <w:textAlignment w:val="auto"/>
      </w:pPr>
    </w:p>
    <w:p w:rsidR="006A173C" w:rsidP="006A173C" w:rsidRDefault="006A173C" w14:paraId="5BB6E64E" w14:textId="77777777">
      <w:pPr>
        <w:autoSpaceDN/>
        <w:spacing w:after="160" w:line="259" w:lineRule="auto"/>
        <w:textAlignment w:val="auto"/>
      </w:pPr>
    </w:p>
    <w:p w:rsidR="006A173C" w:rsidP="006A173C" w:rsidRDefault="006A173C" w14:paraId="12AE18B4" w14:textId="77777777">
      <w:pPr>
        <w:autoSpaceDN/>
        <w:spacing w:after="160" w:line="259" w:lineRule="auto"/>
        <w:textAlignment w:val="auto"/>
      </w:pPr>
    </w:p>
    <w:p w:rsidRPr="00EB4148" w:rsidR="00EB4148" w:rsidP="00EB4148" w:rsidRDefault="00EB4148" w14:paraId="3BF6671D" w14:textId="77777777">
      <w:pPr>
        <w:autoSpaceDN/>
        <w:spacing w:after="160" w:line="259" w:lineRule="auto"/>
        <w:ind w:left="720"/>
        <w:textAlignment w:val="auto"/>
        <w:rPr>
          <w:b/>
          <w:bCs/>
          <w:sz w:val="16"/>
          <w:szCs w:val="16"/>
        </w:rPr>
      </w:pPr>
      <w:r w:rsidRPr="00EB4148">
        <w:rPr>
          <w:b/>
          <w:bCs/>
          <w:sz w:val="16"/>
          <w:szCs w:val="16"/>
        </w:rPr>
        <w:lastRenderedPageBreak/>
        <w:t xml:space="preserve">Tabel </w:t>
      </w:r>
      <w:r w:rsidR="004C7E01">
        <w:rPr>
          <w:b/>
          <w:bCs/>
          <w:sz w:val="16"/>
          <w:szCs w:val="16"/>
        </w:rPr>
        <w:t>4</w:t>
      </w:r>
      <w:r w:rsidRPr="00EB4148">
        <w:rPr>
          <w:b/>
          <w:bCs/>
          <w:sz w:val="16"/>
          <w:szCs w:val="16"/>
        </w:rPr>
        <w:t xml:space="preserve"> – budgettaire gevolgen maatregelen (x miljoen euro, prijzen 2026)</w:t>
      </w:r>
      <w:r w:rsidR="00771E6F">
        <w:rPr>
          <w:rStyle w:val="Voetnootmarkering"/>
          <w:b/>
          <w:bCs/>
          <w:sz w:val="16"/>
          <w:szCs w:val="16"/>
        </w:rPr>
        <w:footnoteReference w:id="42"/>
      </w:r>
    </w:p>
    <w:tbl>
      <w:tblPr>
        <w:tblStyle w:val="Onopgemaaktetabel2"/>
        <w:tblW w:w="11908" w:type="dxa"/>
        <w:tblInd w:w="-3261" w:type="dxa"/>
        <w:tblLayout w:type="fixed"/>
        <w:tblLook w:val="04A0" w:firstRow="1" w:lastRow="0" w:firstColumn="1" w:lastColumn="0" w:noHBand="0" w:noVBand="1"/>
      </w:tblPr>
      <w:tblGrid>
        <w:gridCol w:w="567"/>
        <w:gridCol w:w="785"/>
        <w:gridCol w:w="785"/>
        <w:gridCol w:w="785"/>
        <w:gridCol w:w="785"/>
        <w:gridCol w:w="785"/>
        <w:gridCol w:w="785"/>
        <w:gridCol w:w="786"/>
        <w:gridCol w:w="785"/>
        <w:gridCol w:w="785"/>
        <w:gridCol w:w="785"/>
        <w:gridCol w:w="785"/>
        <w:gridCol w:w="721"/>
        <w:gridCol w:w="850"/>
        <w:gridCol w:w="1134"/>
      </w:tblGrid>
      <w:tr w:rsidRPr="00BC17A8" w:rsidR="00C52798" w:rsidTr="00C52798" w14:paraId="22F57EFF" w14:textId="77777777">
        <w:trPr>
          <w:cnfStyle w:val="100000000000" w:firstRow="1" w:lastRow="0" w:firstColumn="0" w:lastColumn="0" w:oddVBand="0" w:evenVBand="0" w:oddHBand="0"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567" w:type="dxa"/>
            <w:vAlign w:val="center"/>
          </w:tcPr>
          <w:p w:rsidRPr="00846FCD" w:rsidR="00EB4148" w:rsidP="00BC17A8" w:rsidRDefault="00EB4148" w14:paraId="76DEA670" w14:textId="77777777">
            <w:pPr>
              <w:spacing w:after="160" w:line="259" w:lineRule="auto"/>
              <w:jc w:val="center"/>
              <w:rPr>
                <w:sz w:val="16"/>
                <w:lang w:val="nl-NL"/>
              </w:rPr>
            </w:pPr>
          </w:p>
        </w:tc>
        <w:tc>
          <w:tcPr>
            <w:tcW w:w="785" w:type="dxa"/>
            <w:vAlign w:val="bottom"/>
          </w:tcPr>
          <w:p w:rsidRPr="00BC17A8" w:rsidR="00EB4148" w:rsidP="00BC17A8" w:rsidRDefault="00EB4148" w14:paraId="56A40DE6"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2031</w:t>
            </w:r>
          </w:p>
        </w:tc>
        <w:tc>
          <w:tcPr>
            <w:tcW w:w="785" w:type="dxa"/>
            <w:vAlign w:val="bottom"/>
          </w:tcPr>
          <w:p w:rsidRPr="00BC17A8" w:rsidR="00EB4148" w:rsidP="00BC17A8" w:rsidRDefault="00EB4148" w14:paraId="6EB60A17"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2032</w:t>
            </w:r>
          </w:p>
        </w:tc>
        <w:tc>
          <w:tcPr>
            <w:tcW w:w="785" w:type="dxa"/>
            <w:vAlign w:val="bottom"/>
          </w:tcPr>
          <w:p w:rsidRPr="00BC17A8" w:rsidR="00EB4148" w:rsidP="00BC17A8" w:rsidRDefault="00EB4148" w14:paraId="58AE16E1"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2033</w:t>
            </w:r>
          </w:p>
        </w:tc>
        <w:tc>
          <w:tcPr>
            <w:tcW w:w="785" w:type="dxa"/>
            <w:vAlign w:val="bottom"/>
          </w:tcPr>
          <w:p w:rsidRPr="00BC17A8" w:rsidR="00EB4148" w:rsidP="00BC17A8" w:rsidRDefault="00EB4148" w14:paraId="29B09FC3"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2034</w:t>
            </w:r>
          </w:p>
        </w:tc>
        <w:tc>
          <w:tcPr>
            <w:tcW w:w="785" w:type="dxa"/>
            <w:vAlign w:val="bottom"/>
          </w:tcPr>
          <w:p w:rsidRPr="00BC17A8" w:rsidR="00EB4148" w:rsidP="00BC17A8" w:rsidRDefault="00EB4148" w14:paraId="77EDD680"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2035</w:t>
            </w:r>
          </w:p>
        </w:tc>
        <w:tc>
          <w:tcPr>
            <w:tcW w:w="785" w:type="dxa"/>
            <w:vAlign w:val="bottom"/>
          </w:tcPr>
          <w:p w:rsidRPr="00BC17A8" w:rsidR="00EB4148" w:rsidP="00BC17A8" w:rsidRDefault="00EB4148" w14:paraId="7A4AE475"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2036</w:t>
            </w:r>
          </w:p>
        </w:tc>
        <w:tc>
          <w:tcPr>
            <w:tcW w:w="786" w:type="dxa"/>
            <w:vAlign w:val="bottom"/>
          </w:tcPr>
          <w:p w:rsidRPr="00BC17A8" w:rsidR="00EB4148" w:rsidP="00BC17A8" w:rsidRDefault="00EB4148" w14:paraId="262B555D"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2037</w:t>
            </w:r>
          </w:p>
        </w:tc>
        <w:tc>
          <w:tcPr>
            <w:tcW w:w="785" w:type="dxa"/>
            <w:vAlign w:val="bottom"/>
          </w:tcPr>
          <w:p w:rsidRPr="00BC17A8" w:rsidR="00EB4148" w:rsidP="00BC17A8" w:rsidRDefault="00EB4148" w14:paraId="6776AA2C"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2038</w:t>
            </w:r>
          </w:p>
        </w:tc>
        <w:tc>
          <w:tcPr>
            <w:tcW w:w="785" w:type="dxa"/>
            <w:vAlign w:val="bottom"/>
          </w:tcPr>
          <w:p w:rsidRPr="00BC17A8" w:rsidR="00EB4148" w:rsidP="00BC17A8" w:rsidRDefault="00EB4148" w14:paraId="4E6B4E92"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2039</w:t>
            </w:r>
          </w:p>
        </w:tc>
        <w:tc>
          <w:tcPr>
            <w:tcW w:w="785" w:type="dxa"/>
            <w:vAlign w:val="bottom"/>
          </w:tcPr>
          <w:p w:rsidRPr="00BC17A8" w:rsidR="00EB4148" w:rsidP="00BC17A8" w:rsidRDefault="00EB4148" w14:paraId="05B22929"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2040</w:t>
            </w:r>
          </w:p>
        </w:tc>
        <w:tc>
          <w:tcPr>
            <w:tcW w:w="785" w:type="dxa"/>
            <w:vAlign w:val="bottom"/>
          </w:tcPr>
          <w:p w:rsidRPr="00BC17A8" w:rsidR="00EB4148" w:rsidP="00BC17A8" w:rsidRDefault="00EB4148" w14:paraId="1EE1AF83"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2041</w:t>
            </w:r>
          </w:p>
        </w:tc>
        <w:tc>
          <w:tcPr>
            <w:tcW w:w="721" w:type="dxa"/>
            <w:vAlign w:val="bottom"/>
          </w:tcPr>
          <w:p w:rsidRPr="00BC17A8" w:rsidR="00EB4148" w:rsidP="00BC17A8" w:rsidRDefault="00EB4148" w14:paraId="5316EF1C"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2042</w:t>
            </w:r>
          </w:p>
        </w:tc>
        <w:tc>
          <w:tcPr>
            <w:tcW w:w="850" w:type="dxa"/>
            <w:vAlign w:val="bottom"/>
          </w:tcPr>
          <w:p w:rsidRPr="00BC17A8" w:rsidR="00EB4148" w:rsidP="00BC17A8" w:rsidRDefault="00EB4148" w14:paraId="31DFD9B1"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C17A8">
              <w:rPr>
                <w:sz w:val="16"/>
                <w:szCs w:val="16"/>
              </w:rPr>
              <w:t>Cum 2031-2042</w:t>
            </w:r>
          </w:p>
        </w:tc>
        <w:tc>
          <w:tcPr>
            <w:tcW w:w="1134" w:type="dxa"/>
            <w:vAlign w:val="bottom"/>
          </w:tcPr>
          <w:p w:rsidRPr="00BC17A8" w:rsidR="00EB4148" w:rsidP="00BC17A8" w:rsidRDefault="00EB4148" w14:paraId="73AF30F1" w14:textId="77777777">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BC17A8">
              <w:rPr>
                <w:sz w:val="16"/>
                <w:szCs w:val="16"/>
              </w:rPr>
              <w:t>Struc</w:t>
            </w:r>
            <w:proofErr w:type="spellEnd"/>
            <w:r w:rsidRPr="00BC17A8">
              <w:rPr>
                <w:sz w:val="16"/>
                <w:szCs w:val="16"/>
              </w:rPr>
              <w:t xml:space="preserve"> (</w:t>
            </w:r>
            <w:proofErr w:type="spellStart"/>
            <w:r w:rsidRPr="00BC17A8">
              <w:rPr>
                <w:sz w:val="16"/>
                <w:szCs w:val="16"/>
              </w:rPr>
              <w:t>vanaf</w:t>
            </w:r>
            <w:proofErr w:type="spellEnd"/>
            <w:r w:rsidRPr="00BC17A8">
              <w:rPr>
                <w:sz w:val="16"/>
                <w:szCs w:val="16"/>
              </w:rPr>
              <w:t xml:space="preserve"> 2043)</w:t>
            </w:r>
          </w:p>
        </w:tc>
      </w:tr>
      <w:tr w:rsidR="001D71AF" w:rsidTr="001D71AF" w14:paraId="4F9AFDED" w14:textId="77777777">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567" w:type="dxa"/>
            <w:vAlign w:val="center"/>
          </w:tcPr>
          <w:p w:rsidRPr="00BC17A8" w:rsidR="001D71AF" w:rsidP="001D71AF" w:rsidRDefault="001D71AF" w14:paraId="3F15B06A" w14:textId="77777777">
            <w:pPr>
              <w:spacing w:after="160" w:line="259" w:lineRule="auto"/>
              <w:jc w:val="center"/>
              <w:rPr>
                <w:sz w:val="16"/>
                <w:szCs w:val="16"/>
              </w:rPr>
            </w:pPr>
            <w:r w:rsidRPr="00BC17A8">
              <w:rPr>
                <w:sz w:val="16"/>
                <w:szCs w:val="16"/>
              </w:rPr>
              <w:t>1A</w:t>
            </w:r>
          </w:p>
        </w:tc>
        <w:tc>
          <w:tcPr>
            <w:tcW w:w="785" w:type="dxa"/>
            <w:vAlign w:val="center"/>
          </w:tcPr>
          <w:p w:rsidRPr="001D71AF" w:rsidR="001D71AF" w:rsidP="001D71AF" w:rsidRDefault="001D71AF" w14:paraId="3E1D99B1"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3.402</w:t>
            </w:r>
          </w:p>
        </w:tc>
        <w:tc>
          <w:tcPr>
            <w:tcW w:w="785" w:type="dxa"/>
            <w:vAlign w:val="center"/>
          </w:tcPr>
          <w:p w:rsidRPr="001D71AF" w:rsidR="001D71AF" w:rsidP="001D71AF" w:rsidRDefault="001D71AF" w14:paraId="109DE436"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2.449</w:t>
            </w:r>
          </w:p>
        </w:tc>
        <w:tc>
          <w:tcPr>
            <w:tcW w:w="785" w:type="dxa"/>
            <w:vAlign w:val="center"/>
          </w:tcPr>
          <w:p w:rsidRPr="001D71AF" w:rsidR="001D71AF" w:rsidP="001D71AF" w:rsidRDefault="001D71AF" w14:paraId="144894FB"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2.250</w:t>
            </w:r>
          </w:p>
        </w:tc>
        <w:tc>
          <w:tcPr>
            <w:tcW w:w="785" w:type="dxa"/>
            <w:vAlign w:val="center"/>
          </w:tcPr>
          <w:p w:rsidRPr="001D71AF" w:rsidR="001D71AF" w:rsidP="001D71AF" w:rsidRDefault="001D71AF" w14:paraId="3F881EDA"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2.020</w:t>
            </w:r>
          </w:p>
        </w:tc>
        <w:tc>
          <w:tcPr>
            <w:tcW w:w="785" w:type="dxa"/>
            <w:vAlign w:val="center"/>
          </w:tcPr>
          <w:p w:rsidRPr="001D71AF" w:rsidR="001D71AF" w:rsidP="001D71AF" w:rsidRDefault="001D71AF" w14:paraId="6414577A"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1.775</w:t>
            </w:r>
          </w:p>
        </w:tc>
        <w:tc>
          <w:tcPr>
            <w:tcW w:w="785" w:type="dxa"/>
            <w:vAlign w:val="center"/>
          </w:tcPr>
          <w:p w:rsidRPr="001D71AF" w:rsidR="001D71AF" w:rsidP="001D71AF" w:rsidRDefault="001D71AF" w14:paraId="7B6CCBB1"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1.456</w:t>
            </w:r>
          </w:p>
        </w:tc>
        <w:tc>
          <w:tcPr>
            <w:tcW w:w="786" w:type="dxa"/>
            <w:vAlign w:val="center"/>
          </w:tcPr>
          <w:p w:rsidRPr="001D71AF" w:rsidR="001D71AF" w:rsidP="001D71AF" w:rsidRDefault="001D71AF" w14:paraId="17CF467B"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1.124</w:t>
            </w:r>
          </w:p>
        </w:tc>
        <w:tc>
          <w:tcPr>
            <w:tcW w:w="785" w:type="dxa"/>
            <w:vAlign w:val="center"/>
          </w:tcPr>
          <w:p w:rsidRPr="001D71AF" w:rsidR="001D71AF" w:rsidP="001D71AF" w:rsidRDefault="001D71AF" w14:paraId="05CF95DC"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847</w:t>
            </w:r>
          </w:p>
        </w:tc>
        <w:tc>
          <w:tcPr>
            <w:tcW w:w="785" w:type="dxa"/>
            <w:vAlign w:val="center"/>
          </w:tcPr>
          <w:p w:rsidRPr="001D71AF" w:rsidR="001D71AF" w:rsidP="001D71AF" w:rsidRDefault="001D71AF" w14:paraId="07B4BCBE"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604</w:t>
            </w:r>
          </w:p>
        </w:tc>
        <w:tc>
          <w:tcPr>
            <w:tcW w:w="785" w:type="dxa"/>
            <w:vAlign w:val="center"/>
          </w:tcPr>
          <w:p w:rsidRPr="001D71AF" w:rsidR="001D71AF" w:rsidP="001D71AF" w:rsidRDefault="001D71AF" w14:paraId="3BB971C2"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434</w:t>
            </w:r>
          </w:p>
        </w:tc>
        <w:tc>
          <w:tcPr>
            <w:tcW w:w="785" w:type="dxa"/>
            <w:vAlign w:val="center"/>
          </w:tcPr>
          <w:p w:rsidRPr="001D71AF" w:rsidR="001D71AF" w:rsidP="001D71AF" w:rsidRDefault="001D71AF" w14:paraId="544DE3CF"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285</w:t>
            </w:r>
          </w:p>
        </w:tc>
        <w:tc>
          <w:tcPr>
            <w:tcW w:w="721" w:type="dxa"/>
            <w:vAlign w:val="center"/>
          </w:tcPr>
          <w:p w:rsidRPr="001D71AF" w:rsidR="001D71AF" w:rsidP="001D71AF" w:rsidRDefault="001D71AF" w14:paraId="4B296F37"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149</w:t>
            </w:r>
          </w:p>
        </w:tc>
        <w:tc>
          <w:tcPr>
            <w:tcW w:w="850" w:type="dxa"/>
            <w:vAlign w:val="center"/>
          </w:tcPr>
          <w:p w:rsidRPr="001D71AF" w:rsidR="001D71AF" w:rsidP="001D71AF" w:rsidRDefault="00847816" w14:paraId="0F9C63DB"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Pr>
                <w:color w:val="196B24" w:themeColor="accent3"/>
                <w:sz w:val="15"/>
                <w:szCs w:val="15"/>
              </w:rPr>
              <w:t>16</w:t>
            </w:r>
            <w:r w:rsidRPr="001D71AF" w:rsidR="001D71AF">
              <w:rPr>
                <w:color w:val="196B24" w:themeColor="accent3"/>
                <w:sz w:val="15"/>
                <w:szCs w:val="15"/>
              </w:rPr>
              <w:t>.</w:t>
            </w:r>
            <w:r>
              <w:rPr>
                <w:color w:val="196B24" w:themeColor="accent3"/>
                <w:sz w:val="15"/>
                <w:szCs w:val="15"/>
              </w:rPr>
              <w:t>795</w:t>
            </w:r>
          </w:p>
        </w:tc>
        <w:tc>
          <w:tcPr>
            <w:tcW w:w="1134" w:type="dxa"/>
            <w:vAlign w:val="center"/>
          </w:tcPr>
          <w:p w:rsidRPr="00BC17A8" w:rsidR="001D71AF" w:rsidP="001D71AF" w:rsidRDefault="001D71AF" w14:paraId="7DAF77FC"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5"/>
                <w:szCs w:val="15"/>
              </w:rPr>
            </w:pPr>
            <w:r w:rsidRPr="00BC17A8">
              <w:rPr>
                <w:sz w:val="15"/>
                <w:szCs w:val="15"/>
              </w:rPr>
              <w:t>0</w:t>
            </w:r>
          </w:p>
        </w:tc>
      </w:tr>
      <w:tr w:rsidR="001D71AF" w:rsidTr="001D71AF" w14:paraId="6EAA94F5" w14:textId="77777777">
        <w:trPr>
          <w:trHeight w:val="947"/>
        </w:trPr>
        <w:tc>
          <w:tcPr>
            <w:cnfStyle w:val="001000000000" w:firstRow="0" w:lastRow="0" w:firstColumn="1" w:lastColumn="0" w:oddVBand="0" w:evenVBand="0" w:oddHBand="0" w:evenHBand="0" w:firstRowFirstColumn="0" w:firstRowLastColumn="0" w:lastRowFirstColumn="0" w:lastRowLastColumn="0"/>
            <w:tcW w:w="567" w:type="dxa"/>
            <w:vAlign w:val="center"/>
          </w:tcPr>
          <w:p w:rsidRPr="00BC17A8" w:rsidR="001D71AF" w:rsidP="001D71AF" w:rsidRDefault="001D71AF" w14:paraId="080C3ED9" w14:textId="77777777">
            <w:pPr>
              <w:spacing w:after="160" w:line="259" w:lineRule="auto"/>
              <w:jc w:val="center"/>
              <w:rPr>
                <w:sz w:val="16"/>
                <w:szCs w:val="16"/>
              </w:rPr>
            </w:pPr>
            <w:r w:rsidRPr="00BC17A8">
              <w:rPr>
                <w:sz w:val="16"/>
                <w:szCs w:val="16"/>
              </w:rPr>
              <w:t>1B</w:t>
            </w:r>
          </w:p>
        </w:tc>
        <w:tc>
          <w:tcPr>
            <w:tcW w:w="785" w:type="dxa"/>
            <w:vAlign w:val="center"/>
          </w:tcPr>
          <w:p w:rsidRPr="001D71AF" w:rsidR="001D71AF" w:rsidP="001D71AF" w:rsidRDefault="001D71AF" w14:paraId="58D3C4D3"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3.212</w:t>
            </w:r>
          </w:p>
        </w:tc>
        <w:tc>
          <w:tcPr>
            <w:tcW w:w="785" w:type="dxa"/>
            <w:vAlign w:val="center"/>
          </w:tcPr>
          <w:p w:rsidRPr="001D71AF" w:rsidR="001D71AF" w:rsidP="001D71AF" w:rsidRDefault="001D71AF" w14:paraId="4F32C31E"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2.274</w:t>
            </w:r>
          </w:p>
        </w:tc>
        <w:tc>
          <w:tcPr>
            <w:tcW w:w="785" w:type="dxa"/>
            <w:vAlign w:val="center"/>
          </w:tcPr>
          <w:p w:rsidRPr="001D71AF" w:rsidR="001D71AF" w:rsidP="001D71AF" w:rsidRDefault="001D71AF" w14:paraId="69744863"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2.086</w:t>
            </w:r>
          </w:p>
        </w:tc>
        <w:tc>
          <w:tcPr>
            <w:tcW w:w="785" w:type="dxa"/>
            <w:vAlign w:val="center"/>
          </w:tcPr>
          <w:p w:rsidRPr="001D71AF" w:rsidR="001D71AF" w:rsidP="001D71AF" w:rsidRDefault="001D71AF" w14:paraId="2D09ECC9"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1.867</w:t>
            </w:r>
          </w:p>
        </w:tc>
        <w:tc>
          <w:tcPr>
            <w:tcW w:w="785" w:type="dxa"/>
            <w:vAlign w:val="center"/>
          </w:tcPr>
          <w:p w:rsidRPr="001D71AF" w:rsidR="001D71AF" w:rsidP="001D71AF" w:rsidRDefault="001D71AF" w14:paraId="70CDA74B"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1.631</w:t>
            </w:r>
          </w:p>
        </w:tc>
        <w:tc>
          <w:tcPr>
            <w:tcW w:w="785" w:type="dxa"/>
            <w:vAlign w:val="center"/>
          </w:tcPr>
          <w:p w:rsidRPr="001D71AF" w:rsidR="001D71AF" w:rsidP="001D71AF" w:rsidRDefault="001D71AF" w14:paraId="1C97E501"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1.323</w:t>
            </w:r>
          </w:p>
        </w:tc>
        <w:tc>
          <w:tcPr>
            <w:tcW w:w="786" w:type="dxa"/>
            <w:vAlign w:val="center"/>
          </w:tcPr>
          <w:p w:rsidRPr="001D71AF" w:rsidR="001D71AF" w:rsidP="001D71AF" w:rsidRDefault="001D71AF" w14:paraId="0A391B7A"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1.001</w:t>
            </w:r>
          </w:p>
        </w:tc>
        <w:tc>
          <w:tcPr>
            <w:tcW w:w="785" w:type="dxa"/>
            <w:vAlign w:val="center"/>
          </w:tcPr>
          <w:p w:rsidRPr="001D71AF" w:rsidR="001D71AF" w:rsidP="001D71AF" w:rsidRDefault="001D71AF" w14:paraId="4BDFCF11"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733</w:t>
            </w:r>
          </w:p>
        </w:tc>
        <w:tc>
          <w:tcPr>
            <w:tcW w:w="785" w:type="dxa"/>
            <w:vAlign w:val="center"/>
          </w:tcPr>
          <w:p w:rsidRPr="001D71AF" w:rsidR="001D71AF" w:rsidP="001D71AF" w:rsidRDefault="001D71AF" w14:paraId="64179E68"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499</w:t>
            </w:r>
          </w:p>
        </w:tc>
        <w:tc>
          <w:tcPr>
            <w:tcW w:w="785" w:type="dxa"/>
            <w:vAlign w:val="center"/>
          </w:tcPr>
          <w:p w:rsidRPr="001D71AF" w:rsidR="001D71AF" w:rsidP="001D71AF" w:rsidRDefault="001D71AF" w14:paraId="7924F6CF"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339</w:t>
            </w:r>
          </w:p>
        </w:tc>
        <w:tc>
          <w:tcPr>
            <w:tcW w:w="785" w:type="dxa"/>
            <w:vAlign w:val="center"/>
          </w:tcPr>
          <w:p w:rsidRPr="001D71AF" w:rsidR="001D71AF" w:rsidP="001D71AF" w:rsidRDefault="001D71AF" w14:paraId="1A1D6D25"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199</w:t>
            </w:r>
          </w:p>
        </w:tc>
        <w:tc>
          <w:tcPr>
            <w:tcW w:w="721" w:type="dxa"/>
            <w:vAlign w:val="center"/>
          </w:tcPr>
          <w:p w:rsidRPr="001D71AF" w:rsidR="001D71AF" w:rsidP="001D71AF" w:rsidRDefault="001D71AF" w14:paraId="75F0E759"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72</w:t>
            </w:r>
          </w:p>
        </w:tc>
        <w:tc>
          <w:tcPr>
            <w:tcW w:w="850" w:type="dxa"/>
            <w:vAlign w:val="center"/>
          </w:tcPr>
          <w:p w:rsidRPr="001D71AF" w:rsidR="001D71AF" w:rsidP="001D71AF" w:rsidRDefault="00847816" w14:paraId="35E84967"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Pr>
                <w:color w:val="196B24" w:themeColor="accent3"/>
                <w:sz w:val="15"/>
                <w:szCs w:val="15"/>
              </w:rPr>
              <w:t>15.236</w:t>
            </w:r>
          </w:p>
        </w:tc>
        <w:tc>
          <w:tcPr>
            <w:tcW w:w="1134" w:type="dxa"/>
            <w:vAlign w:val="center"/>
          </w:tcPr>
          <w:p w:rsidRPr="00BC17A8" w:rsidR="001D71AF" w:rsidP="001D71AF" w:rsidRDefault="001D71AF" w14:paraId="2B54C8DD"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5"/>
                <w:szCs w:val="15"/>
              </w:rPr>
            </w:pPr>
            <w:r w:rsidRPr="00BC17A8">
              <w:rPr>
                <w:sz w:val="15"/>
                <w:szCs w:val="15"/>
              </w:rPr>
              <w:t>0</w:t>
            </w:r>
          </w:p>
        </w:tc>
      </w:tr>
      <w:tr w:rsidRPr="00BC17A8" w:rsidR="001D71AF" w:rsidTr="001D71AF" w14:paraId="6E01F796" w14:textId="77777777">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567" w:type="dxa"/>
            <w:vAlign w:val="center"/>
          </w:tcPr>
          <w:p w:rsidRPr="00BC17A8" w:rsidR="001D71AF" w:rsidP="001D71AF" w:rsidRDefault="001D71AF" w14:paraId="21217092" w14:textId="77777777">
            <w:pPr>
              <w:spacing w:after="160" w:line="259" w:lineRule="auto"/>
              <w:jc w:val="center"/>
              <w:rPr>
                <w:sz w:val="16"/>
                <w:szCs w:val="16"/>
              </w:rPr>
            </w:pPr>
            <w:r w:rsidRPr="00BC17A8">
              <w:rPr>
                <w:sz w:val="16"/>
                <w:szCs w:val="16"/>
              </w:rPr>
              <w:t>1C</w:t>
            </w:r>
          </w:p>
        </w:tc>
        <w:tc>
          <w:tcPr>
            <w:tcW w:w="785" w:type="dxa"/>
            <w:vAlign w:val="center"/>
          </w:tcPr>
          <w:p w:rsidRPr="001D71AF" w:rsidR="001D71AF" w:rsidP="001D71AF" w:rsidRDefault="001D71AF" w14:paraId="1AE8445E"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3.098</w:t>
            </w:r>
          </w:p>
        </w:tc>
        <w:tc>
          <w:tcPr>
            <w:tcW w:w="785" w:type="dxa"/>
            <w:vAlign w:val="center"/>
          </w:tcPr>
          <w:p w:rsidRPr="001D71AF" w:rsidR="001D71AF" w:rsidP="001D71AF" w:rsidRDefault="001D71AF" w14:paraId="5B938DE2"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2.167</w:t>
            </w:r>
          </w:p>
        </w:tc>
        <w:tc>
          <w:tcPr>
            <w:tcW w:w="785" w:type="dxa"/>
            <w:vAlign w:val="center"/>
          </w:tcPr>
          <w:p w:rsidRPr="001D71AF" w:rsidR="001D71AF" w:rsidP="001D71AF" w:rsidRDefault="001D71AF" w14:paraId="46B6F8BC"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1.987</w:t>
            </w:r>
          </w:p>
        </w:tc>
        <w:tc>
          <w:tcPr>
            <w:tcW w:w="785" w:type="dxa"/>
            <w:vAlign w:val="center"/>
          </w:tcPr>
          <w:p w:rsidRPr="001D71AF" w:rsidR="001D71AF" w:rsidP="001D71AF" w:rsidRDefault="001D71AF" w14:paraId="747111C5"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1.774</w:t>
            </w:r>
          </w:p>
        </w:tc>
        <w:tc>
          <w:tcPr>
            <w:tcW w:w="785" w:type="dxa"/>
            <w:vAlign w:val="center"/>
          </w:tcPr>
          <w:p w:rsidRPr="001D71AF" w:rsidR="001D71AF" w:rsidP="001D71AF" w:rsidRDefault="001D71AF" w14:paraId="30C3ABBA"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1.545</w:t>
            </w:r>
          </w:p>
        </w:tc>
        <w:tc>
          <w:tcPr>
            <w:tcW w:w="785" w:type="dxa"/>
            <w:vAlign w:val="center"/>
          </w:tcPr>
          <w:p w:rsidRPr="001D71AF" w:rsidR="001D71AF" w:rsidP="001D71AF" w:rsidRDefault="001D71AF" w14:paraId="5D9FCD78"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1.243</w:t>
            </w:r>
          </w:p>
        </w:tc>
        <w:tc>
          <w:tcPr>
            <w:tcW w:w="786" w:type="dxa"/>
            <w:vAlign w:val="center"/>
          </w:tcPr>
          <w:p w:rsidRPr="001D71AF" w:rsidR="001D71AF" w:rsidP="001D71AF" w:rsidRDefault="001D71AF" w14:paraId="569A58B2"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928</w:t>
            </w:r>
          </w:p>
        </w:tc>
        <w:tc>
          <w:tcPr>
            <w:tcW w:w="785" w:type="dxa"/>
            <w:vAlign w:val="center"/>
          </w:tcPr>
          <w:p w:rsidRPr="001D71AF" w:rsidR="001D71AF" w:rsidP="001D71AF" w:rsidRDefault="001D71AF" w14:paraId="7A499846"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665</w:t>
            </w:r>
          </w:p>
        </w:tc>
        <w:tc>
          <w:tcPr>
            <w:tcW w:w="785" w:type="dxa"/>
            <w:vAlign w:val="center"/>
          </w:tcPr>
          <w:p w:rsidRPr="001D71AF" w:rsidR="001D71AF" w:rsidP="001D71AF" w:rsidRDefault="001D71AF" w14:paraId="7463C00B"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438</w:t>
            </w:r>
          </w:p>
        </w:tc>
        <w:tc>
          <w:tcPr>
            <w:tcW w:w="785" w:type="dxa"/>
            <w:vAlign w:val="center"/>
          </w:tcPr>
          <w:p w:rsidRPr="001D71AF" w:rsidR="001D71AF" w:rsidP="001D71AF" w:rsidRDefault="001D71AF" w14:paraId="31CB67B3"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283</w:t>
            </w:r>
          </w:p>
        </w:tc>
        <w:tc>
          <w:tcPr>
            <w:tcW w:w="785" w:type="dxa"/>
            <w:vAlign w:val="center"/>
          </w:tcPr>
          <w:p w:rsidRPr="001D71AF" w:rsidR="001D71AF" w:rsidP="001D71AF" w:rsidRDefault="001D71AF" w14:paraId="635601B0"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148</w:t>
            </w:r>
          </w:p>
        </w:tc>
        <w:tc>
          <w:tcPr>
            <w:tcW w:w="721" w:type="dxa"/>
            <w:vAlign w:val="center"/>
          </w:tcPr>
          <w:p w:rsidRPr="001D71AF" w:rsidR="001D71AF" w:rsidP="001D71AF" w:rsidRDefault="001D71AF" w14:paraId="758B9799"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sidRPr="001D71AF">
              <w:rPr>
                <w:color w:val="196B24" w:themeColor="accent3"/>
                <w:sz w:val="15"/>
                <w:szCs w:val="15"/>
              </w:rPr>
              <w:t>26</w:t>
            </w:r>
          </w:p>
        </w:tc>
        <w:tc>
          <w:tcPr>
            <w:tcW w:w="850" w:type="dxa"/>
            <w:vAlign w:val="center"/>
          </w:tcPr>
          <w:p w:rsidRPr="001D71AF" w:rsidR="001D71AF" w:rsidP="001D71AF" w:rsidRDefault="00847816" w14:paraId="0743C08C"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196B24" w:themeColor="accent3"/>
                <w:sz w:val="15"/>
                <w:szCs w:val="15"/>
              </w:rPr>
            </w:pPr>
            <w:r>
              <w:rPr>
                <w:color w:val="196B24" w:themeColor="accent3"/>
                <w:sz w:val="15"/>
                <w:szCs w:val="15"/>
              </w:rPr>
              <w:t>14.303</w:t>
            </w:r>
          </w:p>
        </w:tc>
        <w:tc>
          <w:tcPr>
            <w:tcW w:w="1134" w:type="dxa"/>
            <w:vAlign w:val="center"/>
          </w:tcPr>
          <w:p w:rsidRPr="00BC17A8" w:rsidR="001D71AF" w:rsidP="001D71AF" w:rsidRDefault="001D71AF" w14:paraId="4D3E66FE"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BC17A8">
              <w:rPr>
                <w:color w:val="C00000"/>
                <w:sz w:val="15"/>
                <w:szCs w:val="15"/>
              </w:rPr>
              <w:t>-</w:t>
            </w:r>
            <w:r>
              <w:rPr>
                <w:color w:val="C00000"/>
                <w:sz w:val="15"/>
                <w:szCs w:val="15"/>
              </w:rPr>
              <w:t>55</w:t>
            </w:r>
            <w:r w:rsidRPr="00BC17A8">
              <w:rPr>
                <w:color w:val="C00000"/>
                <w:sz w:val="15"/>
                <w:szCs w:val="15"/>
              </w:rPr>
              <w:t xml:space="preserve"> in 2043 </w:t>
            </w:r>
            <w:proofErr w:type="spellStart"/>
            <w:r w:rsidRPr="00BC17A8">
              <w:rPr>
                <w:color w:val="C00000"/>
                <w:sz w:val="15"/>
                <w:szCs w:val="15"/>
              </w:rPr>
              <w:t>aflopend</w:t>
            </w:r>
            <w:proofErr w:type="spellEnd"/>
            <w:r w:rsidRPr="00BC17A8">
              <w:rPr>
                <w:color w:val="C00000"/>
                <w:sz w:val="15"/>
                <w:szCs w:val="15"/>
              </w:rPr>
              <w:t xml:space="preserve"> </w:t>
            </w:r>
            <w:proofErr w:type="gramStart"/>
            <w:r w:rsidRPr="00BC17A8">
              <w:rPr>
                <w:color w:val="C00000"/>
                <w:sz w:val="15"/>
                <w:szCs w:val="15"/>
              </w:rPr>
              <w:t>tot</w:t>
            </w:r>
            <w:proofErr w:type="gramEnd"/>
            <w:r w:rsidRPr="00BC17A8">
              <w:rPr>
                <w:color w:val="C00000"/>
                <w:sz w:val="15"/>
                <w:szCs w:val="15"/>
              </w:rPr>
              <w:t xml:space="preserve"> 0 in 2060</w:t>
            </w:r>
          </w:p>
        </w:tc>
      </w:tr>
      <w:tr w:rsidR="001D71AF" w:rsidTr="001D71AF" w14:paraId="2A1A2E47" w14:textId="77777777">
        <w:trPr>
          <w:trHeight w:val="947"/>
        </w:trPr>
        <w:tc>
          <w:tcPr>
            <w:cnfStyle w:val="001000000000" w:firstRow="0" w:lastRow="0" w:firstColumn="1" w:lastColumn="0" w:oddVBand="0" w:evenVBand="0" w:oddHBand="0" w:evenHBand="0" w:firstRowFirstColumn="0" w:firstRowLastColumn="0" w:lastRowFirstColumn="0" w:lastRowLastColumn="0"/>
            <w:tcW w:w="567" w:type="dxa"/>
            <w:vAlign w:val="center"/>
          </w:tcPr>
          <w:p w:rsidRPr="00BC17A8" w:rsidR="001D71AF" w:rsidP="001D71AF" w:rsidRDefault="001D71AF" w14:paraId="5C84231C" w14:textId="77777777">
            <w:pPr>
              <w:spacing w:after="160" w:line="259" w:lineRule="auto"/>
              <w:jc w:val="center"/>
              <w:rPr>
                <w:sz w:val="16"/>
                <w:szCs w:val="16"/>
              </w:rPr>
            </w:pPr>
            <w:r w:rsidRPr="00BC17A8">
              <w:rPr>
                <w:sz w:val="16"/>
                <w:szCs w:val="16"/>
              </w:rPr>
              <w:t>1D</w:t>
            </w:r>
          </w:p>
        </w:tc>
        <w:tc>
          <w:tcPr>
            <w:tcW w:w="785" w:type="dxa"/>
            <w:vAlign w:val="center"/>
          </w:tcPr>
          <w:p w:rsidRPr="001D71AF" w:rsidR="001D71AF" w:rsidP="001D71AF" w:rsidRDefault="001D71AF" w14:paraId="5443DF7C"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3.098</w:t>
            </w:r>
          </w:p>
        </w:tc>
        <w:tc>
          <w:tcPr>
            <w:tcW w:w="785" w:type="dxa"/>
            <w:vAlign w:val="center"/>
          </w:tcPr>
          <w:p w:rsidRPr="001D71AF" w:rsidR="001D71AF" w:rsidP="001D71AF" w:rsidRDefault="001D71AF" w14:paraId="4AE16A9E"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2.167</w:t>
            </w:r>
          </w:p>
        </w:tc>
        <w:tc>
          <w:tcPr>
            <w:tcW w:w="785" w:type="dxa"/>
            <w:vAlign w:val="center"/>
          </w:tcPr>
          <w:p w:rsidRPr="001D71AF" w:rsidR="001D71AF" w:rsidP="001D71AF" w:rsidRDefault="001D71AF" w14:paraId="44C40FAE"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1.987</w:t>
            </w:r>
          </w:p>
        </w:tc>
        <w:tc>
          <w:tcPr>
            <w:tcW w:w="785" w:type="dxa"/>
            <w:vAlign w:val="center"/>
          </w:tcPr>
          <w:p w:rsidRPr="001D71AF" w:rsidR="001D71AF" w:rsidP="001D71AF" w:rsidRDefault="001D71AF" w14:paraId="309A6FB6"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1.774</w:t>
            </w:r>
          </w:p>
        </w:tc>
        <w:tc>
          <w:tcPr>
            <w:tcW w:w="785" w:type="dxa"/>
            <w:vAlign w:val="center"/>
          </w:tcPr>
          <w:p w:rsidRPr="001D71AF" w:rsidR="001D71AF" w:rsidP="001D71AF" w:rsidRDefault="001D71AF" w14:paraId="2FBC695E"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1.545</w:t>
            </w:r>
          </w:p>
        </w:tc>
        <w:tc>
          <w:tcPr>
            <w:tcW w:w="785" w:type="dxa"/>
            <w:vAlign w:val="center"/>
          </w:tcPr>
          <w:p w:rsidRPr="001D71AF" w:rsidR="001D71AF" w:rsidP="001D71AF" w:rsidRDefault="001D71AF" w14:paraId="6A23033A"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1.243</w:t>
            </w:r>
          </w:p>
        </w:tc>
        <w:tc>
          <w:tcPr>
            <w:tcW w:w="786" w:type="dxa"/>
            <w:vAlign w:val="center"/>
          </w:tcPr>
          <w:p w:rsidRPr="001D71AF" w:rsidR="001D71AF" w:rsidP="001D71AF" w:rsidRDefault="001D71AF" w14:paraId="5C3FBE3B"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928</w:t>
            </w:r>
          </w:p>
        </w:tc>
        <w:tc>
          <w:tcPr>
            <w:tcW w:w="785" w:type="dxa"/>
            <w:vAlign w:val="center"/>
          </w:tcPr>
          <w:p w:rsidRPr="001D71AF" w:rsidR="001D71AF" w:rsidP="001D71AF" w:rsidRDefault="001D71AF" w14:paraId="1471C86F"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665</w:t>
            </w:r>
          </w:p>
        </w:tc>
        <w:tc>
          <w:tcPr>
            <w:tcW w:w="785" w:type="dxa"/>
            <w:vAlign w:val="center"/>
          </w:tcPr>
          <w:p w:rsidRPr="001D71AF" w:rsidR="001D71AF" w:rsidP="001D71AF" w:rsidRDefault="001D71AF" w14:paraId="6C230C7C"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438</w:t>
            </w:r>
          </w:p>
        </w:tc>
        <w:tc>
          <w:tcPr>
            <w:tcW w:w="785" w:type="dxa"/>
            <w:vAlign w:val="center"/>
          </w:tcPr>
          <w:p w:rsidRPr="001D71AF" w:rsidR="001D71AF" w:rsidP="001D71AF" w:rsidRDefault="001D71AF" w14:paraId="17A2D9CD"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283</w:t>
            </w:r>
          </w:p>
        </w:tc>
        <w:tc>
          <w:tcPr>
            <w:tcW w:w="785" w:type="dxa"/>
            <w:vAlign w:val="center"/>
          </w:tcPr>
          <w:p w:rsidRPr="001D71AF" w:rsidR="001D71AF" w:rsidP="001D71AF" w:rsidRDefault="001D71AF" w14:paraId="5D8A3E8D"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148</w:t>
            </w:r>
          </w:p>
        </w:tc>
        <w:tc>
          <w:tcPr>
            <w:tcW w:w="721" w:type="dxa"/>
            <w:vAlign w:val="center"/>
          </w:tcPr>
          <w:p w:rsidRPr="001D71AF" w:rsidR="001D71AF" w:rsidP="001D71AF" w:rsidRDefault="001D71AF" w14:paraId="1B8E8017"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rPr>
            </w:pPr>
            <w:r w:rsidRPr="001D71AF">
              <w:rPr>
                <w:color w:val="196B24" w:themeColor="accent3"/>
                <w:sz w:val="15"/>
                <w:szCs w:val="15"/>
              </w:rPr>
              <w:t>26</w:t>
            </w:r>
          </w:p>
        </w:tc>
        <w:tc>
          <w:tcPr>
            <w:tcW w:w="850" w:type="dxa"/>
            <w:vAlign w:val="center"/>
          </w:tcPr>
          <w:p w:rsidRPr="00847816" w:rsidR="001D71AF" w:rsidP="001D71AF" w:rsidRDefault="00847816" w14:paraId="44D4B62A"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196B24" w:themeColor="accent3"/>
                <w:sz w:val="15"/>
                <w:szCs w:val="15"/>
                <w:lang w:val="nl-NL"/>
              </w:rPr>
            </w:pPr>
            <w:r w:rsidRPr="00847816">
              <w:rPr>
                <w:color w:val="196B24" w:themeColor="accent3"/>
                <w:sz w:val="15"/>
                <w:szCs w:val="15"/>
                <w:lang w:val="nl-NL"/>
              </w:rPr>
              <w:t xml:space="preserve">Ten hoogste14.303. Nader </w:t>
            </w:r>
            <w:proofErr w:type="spellStart"/>
            <w:r w:rsidRPr="00847816">
              <w:rPr>
                <w:color w:val="196B24" w:themeColor="accent3"/>
                <w:sz w:val="15"/>
                <w:szCs w:val="15"/>
                <w:lang w:val="nl-NL"/>
              </w:rPr>
              <w:t>onder-zoek</w:t>
            </w:r>
            <w:proofErr w:type="spellEnd"/>
            <w:r w:rsidRPr="00847816">
              <w:rPr>
                <w:color w:val="196B24" w:themeColor="accent3"/>
                <w:sz w:val="15"/>
                <w:szCs w:val="15"/>
                <w:lang w:val="nl-NL"/>
              </w:rPr>
              <w:t xml:space="preserve"> vereist</w:t>
            </w:r>
          </w:p>
        </w:tc>
        <w:tc>
          <w:tcPr>
            <w:tcW w:w="1134" w:type="dxa"/>
            <w:vAlign w:val="center"/>
          </w:tcPr>
          <w:p w:rsidRPr="00BC17A8" w:rsidR="001D71AF" w:rsidP="001D71AF" w:rsidRDefault="001D71AF" w14:paraId="2F5D51DC"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Pr>
                <w:color w:val="C00000"/>
                <w:sz w:val="15"/>
                <w:szCs w:val="15"/>
              </w:rPr>
              <w:t>Derving</w:t>
            </w:r>
            <w:r w:rsidRPr="00BC17A8">
              <w:rPr>
                <w:color w:val="C00000"/>
                <w:sz w:val="15"/>
                <w:szCs w:val="15"/>
              </w:rPr>
              <w:t xml:space="preserve">. Nader </w:t>
            </w:r>
            <w:proofErr w:type="spellStart"/>
            <w:r w:rsidRPr="00BC17A8">
              <w:rPr>
                <w:color w:val="C00000"/>
                <w:sz w:val="15"/>
                <w:szCs w:val="15"/>
              </w:rPr>
              <w:t>onderzoek</w:t>
            </w:r>
            <w:proofErr w:type="spellEnd"/>
            <w:r w:rsidRPr="00BC17A8">
              <w:rPr>
                <w:color w:val="C00000"/>
                <w:sz w:val="15"/>
                <w:szCs w:val="15"/>
              </w:rPr>
              <w:t xml:space="preserve"> </w:t>
            </w:r>
            <w:proofErr w:type="spellStart"/>
            <w:r w:rsidRPr="00BC17A8">
              <w:rPr>
                <w:color w:val="C00000"/>
                <w:sz w:val="15"/>
                <w:szCs w:val="15"/>
              </w:rPr>
              <w:t>vereist</w:t>
            </w:r>
            <w:proofErr w:type="spellEnd"/>
            <w:r w:rsidRPr="00BC17A8">
              <w:rPr>
                <w:color w:val="C00000"/>
                <w:sz w:val="15"/>
                <w:szCs w:val="15"/>
              </w:rPr>
              <w:t>.</w:t>
            </w:r>
          </w:p>
        </w:tc>
      </w:tr>
      <w:tr w:rsidR="00FF366C" w:rsidTr="00FF366C" w14:paraId="29A113AB" w14:textId="77777777">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567" w:type="dxa"/>
            <w:vAlign w:val="center"/>
          </w:tcPr>
          <w:p w:rsidRPr="00BC17A8" w:rsidR="00FF366C" w:rsidP="00FF366C" w:rsidRDefault="00FF366C" w14:paraId="496E2CF7" w14:textId="77777777">
            <w:pPr>
              <w:spacing w:after="160" w:line="259" w:lineRule="auto"/>
              <w:jc w:val="center"/>
              <w:rPr>
                <w:sz w:val="16"/>
                <w:szCs w:val="16"/>
              </w:rPr>
            </w:pPr>
            <w:r w:rsidRPr="00BC17A8">
              <w:rPr>
                <w:sz w:val="16"/>
                <w:szCs w:val="16"/>
              </w:rPr>
              <w:t>2A</w:t>
            </w:r>
          </w:p>
        </w:tc>
        <w:tc>
          <w:tcPr>
            <w:tcW w:w="785" w:type="dxa"/>
            <w:vAlign w:val="center"/>
          </w:tcPr>
          <w:p w:rsidRPr="00FF366C" w:rsidR="00FF366C" w:rsidP="00FF366C" w:rsidRDefault="00FF366C" w14:paraId="22BFCB09"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-858</w:t>
            </w:r>
          </w:p>
        </w:tc>
        <w:tc>
          <w:tcPr>
            <w:tcW w:w="785" w:type="dxa"/>
            <w:vAlign w:val="center"/>
          </w:tcPr>
          <w:p w:rsidRPr="00FF366C" w:rsidR="00FF366C" w:rsidP="00FF366C" w:rsidRDefault="00FF366C" w14:paraId="32DCE0CD"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-907</w:t>
            </w:r>
          </w:p>
        </w:tc>
        <w:tc>
          <w:tcPr>
            <w:tcW w:w="785" w:type="dxa"/>
            <w:vAlign w:val="center"/>
          </w:tcPr>
          <w:p w:rsidRPr="00FF366C" w:rsidR="00FF366C" w:rsidP="00FF366C" w:rsidRDefault="00FF366C" w14:paraId="5EA8EBB7"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-994</w:t>
            </w:r>
          </w:p>
        </w:tc>
        <w:tc>
          <w:tcPr>
            <w:tcW w:w="785" w:type="dxa"/>
            <w:vAlign w:val="center"/>
          </w:tcPr>
          <w:p w:rsidRPr="00FF366C" w:rsidR="00FF366C" w:rsidP="00FF366C" w:rsidRDefault="00FF366C" w14:paraId="1167C41E"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-1.100</w:t>
            </w:r>
          </w:p>
        </w:tc>
        <w:tc>
          <w:tcPr>
            <w:tcW w:w="785" w:type="dxa"/>
            <w:vAlign w:val="center"/>
          </w:tcPr>
          <w:p w:rsidRPr="00FF366C" w:rsidR="00FF366C" w:rsidP="00FF366C" w:rsidRDefault="00FF366C" w14:paraId="54DB774F"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-1.285</w:t>
            </w:r>
          </w:p>
        </w:tc>
        <w:tc>
          <w:tcPr>
            <w:tcW w:w="785" w:type="dxa"/>
            <w:vAlign w:val="center"/>
          </w:tcPr>
          <w:p w:rsidRPr="00FF366C" w:rsidR="00FF366C" w:rsidP="00FF366C" w:rsidRDefault="00FF366C" w14:paraId="027CE553"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-1.488</w:t>
            </w:r>
          </w:p>
        </w:tc>
        <w:tc>
          <w:tcPr>
            <w:tcW w:w="786" w:type="dxa"/>
            <w:vAlign w:val="center"/>
          </w:tcPr>
          <w:p w:rsidRPr="00FF366C" w:rsidR="00FF366C" w:rsidP="00FF366C" w:rsidRDefault="00FF366C" w14:paraId="0C76498B"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-1.637</w:t>
            </w:r>
          </w:p>
        </w:tc>
        <w:tc>
          <w:tcPr>
            <w:tcW w:w="785" w:type="dxa"/>
            <w:vAlign w:val="center"/>
          </w:tcPr>
          <w:p w:rsidRPr="00FF366C" w:rsidR="00FF366C" w:rsidP="00FF366C" w:rsidRDefault="00FF366C" w14:paraId="30F0094E"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-1.751</w:t>
            </w:r>
          </w:p>
        </w:tc>
        <w:tc>
          <w:tcPr>
            <w:tcW w:w="785" w:type="dxa"/>
            <w:vAlign w:val="center"/>
          </w:tcPr>
          <w:p w:rsidRPr="00FF366C" w:rsidR="00FF366C" w:rsidP="00FF366C" w:rsidRDefault="00FF366C" w14:paraId="03A1BB77"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-1.790</w:t>
            </w:r>
          </w:p>
        </w:tc>
        <w:tc>
          <w:tcPr>
            <w:tcW w:w="785" w:type="dxa"/>
            <w:vAlign w:val="center"/>
          </w:tcPr>
          <w:p w:rsidRPr="00FF366C" w:rsidR="00FF366C" w:rsidP="00FF366C" w:rsidRDefault="00FF366C" w14:paraId="6EA1690E"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-1.808</w:t>
            </w:r>
          </w:p>
        </w:tc>
        <w:tc>
          <w:tcPr>
            <w:tcW w:w="785" w:type="dxa"/>
            <w:vAlign w:val="center"/>
          </w:tcPr>
          <w:p w:rsidRPr="00FF366C" w:rsidR="00FF366C" w:rsidP="00FF366C" w:rsidRDefault="00FF366C" w14:paraId="414835B6"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-1.813</w:t>
            </w:r>
          </w:p>
        </w:tc>
        <w:tc>
          <w:tcPr>
            <w:tcW w:w="721" w:type="dxa"/>
            <w:vAlign w:val="center"/>
          </w:tcPr>
          <w:p w:rsidRPr="00FF366C" w:rsidR="00FF366C" w:rsidP="00FF366C" w:rsidRDefault="00FF366C" w14:paraId="0A414D7A"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-1.832</w:t>
            </w:r>
          </w:p>
        </w:tc>
        <w:tc>
          <w:tcPr>
            <w:tcW w:w="850" w:type="dxa"/>
            <w:vAlign w:val="center"/>
          </w:tcPr>
          <w:p w:rsidRPr="00BC17A8" w:rsidR="00FF366C" w:rsidP="00FF366C" w:rsidRDefault="00FF366C" w14:paraId="06460A4E"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Pr>
                <w:color w:val="C00000"/>
                <w:sz w:val="15"/>
                <w:szCs w:val="15"/>
              </w:rPr>
              <w:t>-17.262</w:t>
            </w:r>
          </w:p>
        </w:tc>
        <w:tc>
          <w:tcPr>
            <w:tcW w:w="1134" w:type="dxa"/>
            <w:vAlign w:val="center"/>
          </w:tcPr>
          <w:p w:rsidRPr="00BC17A8" w:rsidR="00FF366C" w:rsidP="00FF366C" w:rsidRDefault="00FF366C" w14:paraId="480602AA"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5"/>
                <w:szCs w:val="15"/>
              </w:rPr>
            </w:pPr>
            <w:r w:rsidRPr="00BC17A8">
              <w:rPr>
                <w:sz w:val="15"/>
                <w:szCs w:val="15"/>
              </w:rPr>
              <w:t>0</w:t>
            </w:r>
          </w:p>
        </w:tc>
      </w:tr>
      <w:tr w:rsidR="00FF366C" w:rsidTr="00C52798" w14:paraId="59578632" w14:textId="77777777">
        <w:trPr>
          <w:trHeight w:val="947"/>
        </w:trPr>
        <w:tc>
          <w:tcPr>
            <w:cnfStyle w:val="001000000000" w:firstRow="0" w:lastRow="0" w:firstColumn="1" w:lastColumn="0" w:oddVBand="0" w:evenVBand="0" w:oddHBand="0" w:evenHBand="0" w:firstRowFirstColumn="0" w:firstRowLastColumn="0" w:lastRowFirstColumn="0" w:lastRowLastColumn="0"/>
            <w:tcW w:w="567" w:type="dxa"/>
            <w:vAlign w:val="center"/>
          </w:tcPr>
          <w:p w:rsidRPr="00BC17A8" w:rsidR="00FF366C" w:rsidP="00FF366C" w:rsidRDefault="00FF366C" w14:paraId="237C4DC8" w14:textId="77777777">
            <w:pPr>
              <w:spacing w:after="160" w:line="259" w:lineRule="auto"/>
              <w:jc w:val="center"/>
              <w:rPr>
                <w:sz w:val="16"/>
                <w:szCs w:val="16"/>
              </w:rPr>
            </w:pPr>
            <w:r w:rsidRPr="00BC17A8">
              <w:rPr>
                <w:sz w:val="16"/>
                <w:szCs w:val="16"/>
              </w:rPr>
              <w:t>2B</w:t>
            </w:r>
          </w:p>
        </w:tc>
        <w:tc>
          <w:tcPr>
            <w:tcW w:w="785" w:type="dxa"/>
            <w:vAlign w:val="center"/>
          </w:tcPr>
          <w:p w:rsidRPr="00BC17A8" w:rsidR="00FF366C" w:rsidP="00FF366C" w:rsidRDefault="00FF366C" w14:paraId="72C0B025"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-858</w:t>
            </w:r>
          </w:p>
        </w:tc>
        <w:tc>
          <w:tcPr>
            <w:tcW w:w="785" w:type="dxa"/>
            <w:vAlign w:val="center"/>
          </w:tcPr>
          <w:p w:rsidRPr="00BC17A8" w:rsidR="00FF366C" w:rsidP="00FF366C" w:rsidRDefault="00FF366C" w14:paraId="65326803"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-907</w:t>
            </w:r>
          </w:p>
        </w:tc>
        <w:tc>
          <w:tcPr>
            <w:tcW w:w="785" w:type="dxa"/>
            <w:vAlign w:val="center"/>
          </w:tcPr>
          <w:p w:rsidRPr="00BC17A8" w:rsidR="00FF366C" w:rsidP="00FF366C" w:rsidRDefault="00FF366C" w14:paraId="59CD1C92"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-994</w:t>
            </w:r>
          </w:p>
        </w:tc>
        <w:tc>
          <w:tcPr>
            <w:tcW w:w="785" w:type="dxa"/>
            <w:vAlign w:val="center"/>
          </w:tcPr>
          <w:p w:rsidRPr="00BC17A8" w:rsidR="00FF366C" w:rsidP="00FF366C" w:rsidRDefault="00FF366C" w14:paraId="2CCDF2F1"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-1.100</w:t>
            </w:r>
          </w:p>
        </w:tc>
        <w:tc>
          <w:tcPr>
            <w:tcW w:w="785" w:type="dxa"/>
            <w:vAlign w:val="center"/>
          </w:tcPr>
          <w:p w:rsidRPr="00BC17A8" w:rsidR="00FF366C" w:rsidP="00FF366C" w:rsidRDefault="00FF366C" w14:paraId="73EDE296"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-1.285</w:t>
            </w:r>
          </w:p>
        </w:tc>
        <w:tc>
          <w:tcPr>
            <w:tcW w:w="785" w:type="dxa"/>
            <w:vAlign w:val="center"/>
          </w:tcPr>
          <w:p w:rsidRPr="00BC17A8" w:rsidR="00FF366C" w:rsidP="00FF366C" w:rsidRDefault="00FF366C" w14:paraId="081A88EF"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-1.488</w:t>
            </w:r>
          </w:p>
        </w:tc>
        <w:tc>
          <w:tcPr>
            <w:tcW w:w="786" w:type="dxa"/>
            <w:vAlign w:val="center"/>
          </w:tcPr>
          <w:p w:rsidRPr="00BC17A8" w:rsidR="00FF366C" w:rsidP="00FF366C" w:rsidRDefault="00FF366C" w14:paraId="7D03F6C9"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-1.637</w:t>
            </w:r>
          </w:p>
        </w:tc>
        <w:tc>
          <w:tcPr>
            <w:tcW w:w="785" w:type="dxa"/>
            <w:vAlign w:val="center"/>
          </w:tcPr>
          <w:p w:rsidRPr="00BC17A8" w:rsidR="00FF366C" w:rsidP="00FF366C" w:rsidRDefault="00FF366C" w14:paraId="1C1F858B"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-1.751</w:t>
            </w:r>
          </w:p>
        </w:tc>
        <w:tc>
          <w:tcPr>
            <w:tcW w:w="785" w:type="dxa"/>
            <w:vAlign w:val="center"/>
          </w:tcPr>
          <w:p w:rsidRPr="00BC17A8" w:rsidR="00FF366C" w:rsidP="00FF366C" w:rsidRDefault="00FF366C" w14:paraId="0052D72E"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-1.790</w:t>
            </w:r>
          </w:p>
        </w:tc>
        <w:tc>
          <w:tcPr>
            <w:tcW w:w="785" w:type="dxa"/>
            <w:vAlign w:val="center"/>
          </w:tcPr>
          <w:p w:rsidRPr="00BC17A8" w:rsidR="00FF366C" w:rsidP="00FF366C" w:rsidRDefault="00FF366C" w14:paraId="05159D3D"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-1.808</w:t>
            </w:r>
          </w:p>
        </w:tc>
        <w:tc>
          <w:tcPr>
            <w:tcW w:w="785" w:type="dxa"/>
            <w:vAlign w:val="center"/>
          </w:tcPr>
          <w:p w:rsidRPr="00BC17A8" w:rsidR="00FF366C" w:rsidP="00FF366C" w:rsidRDefault="00FF366C" w14:paraId="293DD001"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-1.813</w:t>
            </w:r>
          </w:p>
        </w:tc>
        <w:tc>
          <w:tcPr>
            <w:tcW w:w="721" w:type="dxa"/>
            <w:vAlign w:val="center"/>
          </w:tcPr>
          <w:p w:rsidRPr="00BC17A8" w:rsidR="00FF366C" w:rsidP="00FF366C" w:rsidRDefault="00FF366C" w14:paraId="436189F8"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rPr>
            </w:pPr>
            <w:r w:rsidRPr="00FF366C">
              <w:rPr>
                <w:color w:val="C00000"/>
                <w:sz w:val="15"/>
                <w:szCs w:val="15"/>
              </w:rPr>
              <w:t>-1.832</w:t>
            </w:r>
          </w:p>
        </w:tc>
        <w:tc>
          <w:tcPr>
            <w:tcW w:w="850" w:type="dxa"/>
            <w:vAlign w:val="center"/>
          </w:tcPr>
          <w:p w:rsidRPr="008B6A6A" w:rsidR="00FF366C" w:rsidP="00FF366C" w:rsidRDefault="00847816" w14:paraId="0FF6CD52"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color w:val="C00000"/>
                <w:sz w:val="15"/>
                <w:szCs w:val="15"/>
                <w:lang w:val="nl-NL"/>
              </w:rPr>
            </w:pPr>
            <w:r w:rsidRPr="008B6A6A">
              <w:rPr>
                <w:color w:val="C00000"/>
                <w:sz w:val="15"/>
                <w:szCs w:val="15"/>
                <w:lang w:val="nl-NL"/>
              </w:rPr>
              <w:t xml:space="preserve">Ten minste </w:t>
            </w:r>
            <w:r w:rsidRPr="008B6A6A" w:rsidR="00FF366C">
              <w:rPr>
                <w:color w:val="C00000"/>
                <w:sz w:val="15"/>
                <w:szCs w:val="15"/>
                <w:lang w:val="nl-NL"/>
              </w:rPr>
              <w:t>-17.262</w:t>
            </w:r>
            <w:r w:rsidRPr="008B6A6A">
              <w:rPr>
                <w:color w:val="C00000"/>
                <w:sz w:val="15"/>
                <w:szCs w:val="15"/>
                <w:lang w:val="nl-NL"/>
              </w:rPr>
              <w:t xml:space="preserve">. Nader </w:t>
            </w:r>
            <w:proofErr w:type="spellStart"/>
            <w:r w:rsidRPr="008B6A6A">
              <w:rPr>
                <w:color w:val="C00000"/>
                <w:sz w:val="15"/>
                <w:szCs w:val="15"/>
                <w:lang w:val="nl-NL"/>
              </w:rPr>
              <w:t>onder-zoek</w:t>
            </w:r>
            <w:proofErr w:type="spellEnd"/>
            <w:r w:rsidRPr="008B6A6A">
              <w:rPr>
                <w:color w:val="C00000"/>
                <w:sz w:val="15"/>
                <w:szCs w:val="15"/>
                <w:lang w:val="nl-NL"/>
              </w:rPr>
              <w:t xml:space="preserve"> vereist</w:t>
            </w:r>
          </w:p>
        </w:tc>
        <w:tc>
          <w:tcPr>
            <w:tcW w:w="1134" w:type="dxa"/>
            <w:vAlign w:val="center"/>
          </w:tcPr>
          <w:p w:rsidRPr="00BC17A8" w:rsidR="00FF366C" w:rsidP="00FF366C" w:rsidRDefault="00FF366C" w14:paraId="0A2F72E6" w14:textId="77777777">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15"/>
                <w:szCs w:val="15"/>
              </w:rPr>
            </w:pPr>
            <w:r>
              <w:rPr>
                <w:color w:val="C00000"/>
                <w:sz w:val="15"/>
                <w:szCs w:val="15"/>
              </w:rPr>
              <w:t>Derving</w:t>
            </w:r>
            <w:r w:rsidRPr="00BC17A8">
              <w:rPr>
                <w:color w:val="C00000"/>
                <w:sz w:val="15"/>
                <w:szCs w:val="15"/>
              </w:rPr>
              <w:t xml:space="preserve">. Nader </w:t>
            </w:r>
            <w:proofErr w:type="spellStart"/>
            <w:r w:rsidRPr="00BC17A8">
              <w:rPr>
                <w:color w:val="C00000"/>
                <w:sz w:val="15"/>
                <w:szCs w:val="15"/>
              </w:rPr>
              <w:t>onderzoek</w:t>
            </w:r>
            <w:proofErr w:type="spellEnd"/>
            <w:r w:rsidRPr="00BC17A8">
              <w:rPr>
                <w:color w:val="C00000"/>
                <w:sz w:val="15"/>
                <w:szCs w:val="15"/>
              </w:rPr>
              <w:t xml:space="preserve"> </w:t>
            </w:r>
            <w:proofErr w:type="spellStart"/>
            <w:r w:rsidRPr="00BC17A8">
              <w:rPr>
                <w:color w:val="C00000"/>
                <w:sz w:val="15"/>
                <w:szCs w:val="15"/>
              </w:rPr>
              <w:t>vereist</w:t>
            </w:r>
            <w:proofErr w:type="spellEnd"/>
            <w:r w:rsidRPr="00BC17A8">
              <w:rPr>
                <w:color w:val="C00000"/>
                <w:sz w:val="15"/>
                <w:szCs w:val="15"/>
              </w:rPr>
              <w:t>.</w:t>
            </w:r>
          </w:p>
        </w:tc>
      </w:tr>
      <w:tr w:rsidR="00FF366C" w:rsidTr="00FF366C" w14:paraId="4453A022" w14:textId="77777777">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567" w:type="dxa"/>
            <w:vAlign w:val="center"/>
          </w:tcPr>
          <w:p w:rsidRPr="00BC17A8" w:rsidR="00FF366C" w:rsidP="00FF366C" w:rsidRDefault="00FF366C" w14:paraId="0DC3FF30" w14:textId="77777777">
            <w:pPr>
              <w:spacing w:after="160" w:line="259" w:lineRule="auto"/>
              <w:jc w:val="center"/>
              <w:rPr>
                <w:sz w:val="16"/>
                <w:szCs w:val="16"/>
              </w:rPr>
            </w:pPr>
            <w:r w:rsidRPr="00BC17A8">
              <w:rPr>
                <w:sz w:val="16"/>
                <w:szCs w:val="16"/>
              </w:rPr>
              <w:t>3</w:t>
            </w:r>
          </w:p>
        </w:tc>
        <w:tc>
          <w:tcPr>
            <w:tcW w:w="785" w:type="dxa"/>
            <w:vAlign w:val="center"/>
          </w:tcPr>
          <w:p w:rsidRPr="00FF366C" w:rsidR="00FF366C" w:rsidP="00FF366C" w:rsidRDefault="00FF366C" w14:paraId="332191CE"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-688</w:t>
            </w:r>
          </w:p>
        </w:tc>
        <w:tc>
          <w:tcPr>
            <w:tcW w:w="785" w:type="dxa"/>
            <w:vAlign w:val="center"/>
          </w:tcPr>
          <w:p w:rsidRPr="00FF366C" w:rsidR="00FF366C" w:rsidP="00FF366C" w:rsidRDefault="00FF366C" w14:paraId="29E35C9C"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-583</w:t>
            </w:r>
          </w:p>
        </w:tc>
        <w:tc>
          <w:tcPr>
            <w:tcW w:w="785" w:type="dxa"/>
            <w:vAlign w:val="center"/>
          </w:tcPr>
          <w:p w:rsidRPr="00FF366C" w:rsidR="00FF366C" w:rsidP="00FF366C" w:rsidRDefault="00FF366C" w14:paraId="12649F2C"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-530</w:t>
            </w:r>
          </w:p>
        </w:tc>
        <w:tc>
          <w:tcPr>
            <w:tcW w:w="785" w:type="dxa"/>
            <w:vAlign w:val="center"/>
          </w:tcPr>
          <w:p w:rsidRPr="00FF366C" w:rsidR="00FF366C" w:rsidP="00FF366C" w:rsidRDefault="00FF366C" w14:paraId="393B0DF0"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-511</w:t>
            </w:r>
          </w:p>
        </w:tc>
        <w:tc>
          <w:tcPr>
            <w:tcW w:w="785" w:type="dxa"/>
            <w:vAlign w:val="center"/>
          </w:tcPr>
          <w:p w:rsidRPr="00FF366C" w:rsidR="00FF366C" w:rsidP="00FF366C" w:rsidRDefault="00FF366C" w14:paraId="29927772"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-585</w:t>
            </w:r>
          </w:p>
        </w:tc>
        <w:tc>
          <w:tcPr>
            <w:tcW w:w="785" w:type="dxa"/>
            <w:vAlign w:val="center"/>
          </w:tcPr>
          <w:p w:rsidRPr="00FF366C" w:rsidR="00FF366C" w:rsidP="00FF366C" w:rsidRDefault="00FF366C" w14:paraId="72FD2049"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-691</w:t>
            </w:r>
          </w:p>
        </w:tc>
        <w:tc>
          <w:tcPr>
            <w:tcW w:w="786" w:type="dxa"/>
            <w:vAlign w:val="center"/>
          </w:tcPr>
          <w:p w:rsidRPr="00FF366C" w:rsidR="00FF366C" w:rsidP="00FF366C" w:rsidRDefault="00FF366C" w14:paraId="73CC827C"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-756</w:t>
            </w:r>
          </w:p>
        </w:tc>
        <w:tc>
          <w:tcPr>
            <w:tcW w:w="785" w:type="dxa"/>
            <w:vAlign w:val="center"/>
          </w:tcPr>
          <w:p w:rsidRPr="00FF366C" w:rsidR="00FF366C" w:rsidP="00FF366C" w:rsidRDefault="00FF366C" w14:paraId="07B6B388"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-800</w:t>
            </w:r>
          </w:p>
        </w:tc>
        <w:tc>
          <w:tcPr>
            <w:tcW w:w="785" w:type="dxa"/>
            <w:vAlign w:val="center"/>
          </w:tcPr>
          <w:p w:rsidRPr="00FF366C" w:rsidR="00FF366C" w:rsidP="00FF366C" w:rsidRDefault="00FF366C" w14:paraId="07120BDA"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-782</w:t>
            </w:r>
          </w:p>
        </w:tc>
        <w:tc>
          <w:tcPr>
            <w:tcW w:w="785" w:type="dxa"/>
            <w:vAlign w:val="center"/>
          </w:tcPr>
          <w:p w:rsidRPr="00FF366C" w:rsidR="00FF366C" w:rsidP="00FF366C" w:rsidRDefault="00FF366C" w14:paraId="5A5D5A73"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-756</w:t>
            </w:r>
          </w:p>
        </w:tc>
        <w:tc>
          <w:tcPr>
            <w:tcW w:w="785" w:type="dxa"/>
            <w:vAlign w:val="center"/>
          </w:tcPr>
          <w:p w:rsidRPr="00FF366C" w:rsidR="00FF366C" w:rsidP="00FF366C" w:rsidRDefault="00FF366C" w14:paraId="4A63C6B8"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-731</w:t>
            </w:r>
          </w:p>
        </w:tc>
        <w:tc>
          <w:tcPr>
            <w:tcW w:w="721" w:type="dxa"/>
            <w:vAlign w:val="center"/>
          </w:tcPr>
          <w:p w:rsidRPr="00FF366C" w:rsidR="00FF366C" w:rsidP="00FF366C" w:rsidRDefault="00FF366C" w14:paraId="70CB4B9F"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FF366C">
              <w:rPr>
                <w:color w:val="C00000"/>
                <w:sz w:val="15"/>
                <w:szCs w:val="15"/>
              </w:rPr>
              <w:t>-733</w:t>
            </w:r>
          </w:p>
        </w:tc>
        <w:tc>
          <w:tcPr>
            <w:tcW w:w="850" w:type="dxa"/>
            <w:vAlign w:val="center"/>
          </w:tcPr>
          <w:p w:rsidRPr="00BC17A8" w:rsidR="00FF366C" w:rsidP="00FF366C" w:rsidRDefault="00FF366C" w14:paraId="4220F73E"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color w:val="C00000"/>
                <w:sz w:val="15"/>
                <w:szCs w:val="15"/>
              </w:rPr>
            </w:pPr>
            <w:r w:rsidRPr="00BC17A8">
              <w:rPr>
                <w:color w:val="C00000"/>
                <w:sz w:val="15"/>
                <w:szCs w:val="15"/>
              </w:rPr>
              <w:t>-</w:t>
            </w:r>
            <w:r>
              <w:rPr>
                <w:color w:val="C00000"/>
                <w:sz w:val="15"/>
                <w:szCs w:val="15"/>
              </w:rPr>
              <w:t>8</w:t>
            </w:r>
            <w:r w:rsidRPr="00BC17A8">
              <w:rPr>
                <w:color w:val="C00000"/>
                <w:sz w:val="15"/>
                <w:szCs w:val="15"/>
              </w:rPr>
              <w:t>.1</w:t>
            </w:r>
            <w:r>
              <w:rPr>
                <w:color w:val="C00000"/>
                <w:sz w:val="15"/>
                <w:szCs w:val="15"/>
              </w:rPr>
              <w:t>47</w:t>
            </w:r>
          </w:p>
        </w:tc>
        <w:tc>
          <w:tcPr>
            <w:tcW w:w="1134" w:type="dxa"/>
            <w:vAlign w:val="center"/>
          </w:tcPr>
          <w:p w:rsidRPr="00BC17A8" w:rsidR="00FF366C" w:rsidP="00FF366C" w:rsidRDefault="00FF366C" w14:paraId="05B9CF55" w14:textId="77777777">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15"/>
                <w:szCs w:val="15"/>
              </w:rPr>
            </w:pPr>
            <w:r w:rsidRPr="00BC17A8">
              <w:rPr>
                <w:sz w:val="15"/>
                <w:szCs w:val="15"/>
              </w:rPr>
              <w:t>0</w:t>
            </w:r>
          </w:p>
        </w:tc>
      </w:tr>
    </w:tbl>
    <w:p w:rsidR="00EB4148" w:rsidP="00EB4148" w:rsidRDefault="00EB4148" w14:paraId="5733114A" w14:textId="77777777">
      <w:pPr>
        <w:autoSpaceDN/>
        <w:spacing w:after="160" w:line="259" w:lineRule="auto"/>
        <w:textAlignment w:val="auto"/>
      </w:pPr>
    </w:p>
    <w:p w:rsidR="001C4D8B" w:rsidP="001C4D8B" w:rsidRDefault="001C4D8B" w14:paraId="5D2B3506" w14:textId="77777777">
      <w:pPr>
        <w:autoSpaceDN/>
        <w:spacing w:after="160" w:line="259" w:lineRule="auto"/>
        <w:textAlignment w:val="auto"/>
      </w:pPr>
    </w:p>
    <w:p w:rsidRPr="006C2F5F" w:rsidR="006C2F5F" w:rsidP="006C2F5F" w:rsidRDefault="006C2F5F" w14:paraId="5D9E0BA8" w14:textId="77777777">
      <w:pPr>
        <w:numPr>
          <w:ilvl w:val="0"/>
          <w:numId w:val="19"/>
        </w:numPr>
        <w:autoSpaceDN/>
        <w:spacing w:after="160" w:line="259" w:lineRule="auto"/>
        <w:textAlignment w:val="auto"/>
      </w:pPr>
      <w:r w:rsidRPr="006C2F5F">
        <w:t xml:space="preserve">De budgettaire gevolgen van de overgangsregelingen zijn afhankelijk van </w:t>
      </w:r>
      <w:r w:rsidRPr="006C2F5F" w:rsidR="00857B4B">
        <w:t xml:space="preserve">de </w:t>
      </w:r>
      <w:r w:rsidR="00857B4B">
        <w:t>mate</w:t>
      </w:r>
      <w:r w:rsidR="0032289F">
        <w:t xml:space="preserve"> waarin </w:t>
      </w:r>
      <w:r w:rsidRPr="006C2F5F">
        <w:t xml:space="preserve">belastingplichtigen </w:t>
      </w:r>
      <w:r w:rsidR="0032289F">
        <w:t xml:space="preserve">daarvoor kiezen. </w:t>
      </w:r>
      <w:r w:rsidR="00207C95">
        <w:t xml:space="preserve">Op basis van de resterende looptijd van de hypotheek en de (historische) rentestand is een inschatting gemaakt van de gedragseffecten. </w:t>
      </w:r>
      <w:r w:rsidR="00AC5114">
        <w:t xml:space="preserve">Daarnaast zullen de keuzes </w:t>
      </w:r>
      <w:r w:rsidR="008F1AA6">
        <w:t xml:space="preserve">en het handelingsperspectief </w:t>
      </w:r>
      <w:r w:rsidR="00AC5114">
        <w:t xml:space="preserve">van belastingplichtigen afhankelijk zijn van </w:t>
      </w:r>
      <w:r w:rsidR="00F72737">
        <w:t>in hoeverre</w:t>
      </w:r>
      <w:r w:rsidR="00AC5114">
        <w:t xml:space="preserve"> </w:t>
      </w:r>
      <w:r w:rsidR="00F72737">
        <w:t>kredietaanbieders hun klanten zullen faciliteren in het oversluiten van de hypotheek door</w:t>
      </w:r>
      <w:r w:rsidR="008F1AA6">
        <w:t xml:space="preserve"> </w:t>
      </w:r>
      <w:r w:rsidR="00F72737">
        <w:t>middel van bijvoorbeeld soepele processen en (verkort) advies</w:t>
      </w:r>
      <w:r w:rsidR="00AC5114">
        <w:t>.</w:t>
      </w:r>
    </w:p>
    <w:p w:rsidRPr="006C2F5F" w:rsidR="006C2F5F" w:rsidP="006C2F5F" w:rsidRDefault="0032289F" w14:paraId="13321C21" w14:textId="77777777">
      <w:pPr>
        <w:numPr>
          <w:ilvl w:val="0"/>
          <w:numId w:val="19"/>
        </w:numPr>
        <w:autoSpaceDN/>
        <w:spacing w:after="160" w:line="259" w:lineRule="auto"/>
        <w:textAlignment w:val="auto"/>
      </w:pPr>
      <w:r>
        <w:lastRenderedPageBreak/>
        <w:t>De o</w:t>
      </w:r>
      <w:r w:rsidRPr="006C2F5F" w:rsidR="006C2F5F">
        <w:t>plossingsrichting</w:t>
      </w:r>
      <w:r>
        <w:t xml:space="preserve">en kunnen eventueel gecombineerd </w:t>
      </w:r>
      <w:r w:rsidRPr="006C2F5F" w:rsidR="006C2F5F">
        <w:t xml:space="preserve">worden </w:t>
      </w:r>
      <w:r>
        <w:t>met</w:t>
      </w:r>
      <w:r w:rsidRPr="006C2F5F" w:rsidR="006C2F5F">
        <w:t xml:space="preserve"> aanvullend beleid, bijvoorbeeld maatwerkoplossingen </w:t>
      </w:r>
      <w:r w:rsidR="008F1AA6">
        <w:t>(</w:t>
      </w:r>
      <w:r w:rsidR="00FA26AA">
        <w:t>buiten de fiscaliteit</w:t>
      </w:r>
      <w:r w:rsidR="008F1AA6">
        <w:t>)</w:t>
      </w:r>
      <w:r w:rsidR="00FA26AA">
        <w:t xml:space="preserve"> </w:t>
      </w:r>
      <w:r w:rsidRPr="006C2F5F" w:rsidR="006C2F5F">
        <w:t xml:space="preserve">voor mensen </w:t>
      </w:r>
      <w:r>
        <w:t xml:space="preserve">die </w:t>
      </w:r>
      <w:r w:rsidR="00207C95">
        <w:t xml:space="preserve">onbedoeld en onvoorzien </w:t>
      </w:r>
      <w:r>
        <w:t>in de problemen komen</w:t>
      </w:r>
      <w:r w:rsidRPr="006C2F5F" w:rsidR="006C2F5F">
        <w:t xml:space="preserve">. </w:t>
      </w:r>
    </w:p>
    <w:p w:rsidRPr="006C2F5F" w:rsidR="00F13D71" w:rsidP="00F13D71" w:rsidRDefault="00A10A1F" w14:paraId="046DC747" w14:textId="77777777">
      <w:pPr>
        <w:numPr>
          <w:ilvl w:val="0"/>
          <w:numId w:val="19"/>
        </w:numPr>
        <w:autoSpaceDN/>
        <w:spacing w:after="160" w:line="259" w:lineRule="auto"/>
        <w:textAlignment w:val="auto"/>
      </w:pPr>
      <w:r>
        <w:t>Op basis van de huidige wettelijke regeling</w:t>
      </w:r>
      <w:r w:rsidR="00F13D71">
        <w:t xml:space="preserve"> vallen schulden waarover geen HRA meer mogelijk is in box 1 straks in</w:t>
      </w:r>
      <w:r w:rsidRPr="006C2F5F" w:rsidR="00F13D71">
        <w:t xml:space="preserve"> box 3</w:t>
      </w:r>
      <w:r w:rsidR="00F13D71">
        <w:t xml:space="preserve"> en komen daar in aanmerking voor renteaftrek.</w:t>
      </w:r>
      <w:r w:rsidR="004217A8">
        <w:t xml:space="preserve"> Het merendeel van de belastingplichtigen heeft niet voldoende vermogen in box 3 om de renteaftrek daar (volledig) te kunnen verzilveren.</w:t>
      </w:r>
      <w:r w:rsidR="00F13D71">
        <w:t xml:space="preserve"> </w:t>
      </w:r>
      <w:r w:rsidR="00E55D2E">
        <w:t xml:space="preserve">Enkel vermogende belastingplichtigen zullen </w:t>
      </w:r>
      <w:r>
        <w:t xml:space="preserve">op dit moment </w:t>
      </w:r>
      <w:r w:rsidR="00E55D2E">
        <w:t>renteaftrek in box 3 kunnen verzilveren en daarme</w:t>
      </w:r>
      <w:r w:rsidR="006A173C">
        <w:t>e</w:t>
      </w:r>
      <w:r w:rsidR="00E55D2E">
        <w:t xml:space="preserve"> de facto langer dan 30 jaar rente kunnen aftrekken.</w:t>
      </w:r>
    </w:p>
    <w:p w:rsidR="006C2F5F" w:rsidP="006C2F5F" w:rsidRDefault="006C2F5F" w14:paraId="0282A57F" w14:textId="77777777">
      <w:pPr>
        <w:numPr>
          <w:ilvl w:val="0"/>
          <w:numId w:val="19"/>
        </w:numPr>
        <w:autoSpaceDN/>
        <w:spacing w:after="160" w:line="259" w:lineRule="auto"/>
        <w:textAlignment w:val="auto"/>
      </w:pPr>
      <w:r w:rsidRPr="006C2F5F">
        <w:t xml:space="preserve">Over het algemeen heeft de groep met BEWS geen extra inkomensondersteuning nodig. </w:t>
      </w:r>
    </w:p>
    <w:p w:rsidR="00AC5114" w:rsidP="006C2F5F" w:rsidRDefault="00AC5114" w14:paraId="69139D2D" w14:textId="77777777">
      <w:pPr>
        <w:numPr>
          <w:ilvl w:val="0"/>
          <w:numId w:val="19"/>
        </w:numPr>
        <w:autoSpaceDN/>
        <w:spacing w:after="160" w:line="259" w:lineRule="auto"/>
        <w:textAlignment w:val="auto"/>
      </w:pPr>
      <w:r>
        <w:t xml:space="preserve">Het is mogelijk om </w:t>
      </w:r>
      <w:r w:rsidR="002B591A">
        <w:t xml:space="preserve">de oplossingsrichtingen in een ander </w:t>
      </w:r>
      <w:r>
        <w:t xml:space="preserve">jaar te </w:t>
      </w:r>
      <w:r w:rsidR="002B591A">
        <w:t>laten ingaan</w:t>
      </w:r>
      <w:r>
        <w:t xml:space="preserve"> tussen 2031 (zoals in 1A) en 2043 (zoals in 2A) om de cumulatieve budgettaire gevolgen neutra(a)l(er) te maken. Bijlage 3 geeft een indicatie van de cumulatieve budgettaire gevolgen over de periode 2031-2042 voor varianten met een tussenliggend jaartal. Aan deze hybride varianten kleven echter alle nadelen van oplossingsrichting 1A én 2A.</w:t>
      </w:r>
      <w:r w:rsidR="003543D1">
        <w:t xml:space="preserve"> Ook kan in fiche 3 gekozen worden voor een ander </w:t>
      </w:r>
      <w:proofErr w:type="spellStart"/>
      <w:r w:rsidR="003543D1">
        <w:t>afbouwpad</w:t>
      </w:r>
      <w:proofErr w:type="spellEnd"/>
      <w:r w:rsidR="003543D1">
        <w:t xml:space="preserve"> waardoor deze budgettair neu</w:t>
      </w:r>
      <w:r w:rsidR="008F1AA6">
        <w:t>tr</w:t>
      </w:r>
      <w:r w:rsidR="003543D1">
        <w:t>aler uitpakt.</w:t>
      </w:r>
    </w:p>
    <w:p w:rsidRPr="006C2F5F" w:rsidR="00DB045A" w:rsidP="00DB045A" w:rsidRDefault="00DB045A" w14:paraId="3081AF5A" w14:textId="77777777">
      <w:pPr>
        <w:autoSpaceDN/>
        <w:spacing w:after="160" w:line="259" w:lineRule="auto"/>
        <w:ind w:left="720"/>
        <w:textAlignment w:val="auto"/>
      </w:pPr>
    </w:p>
    <w:p w:rsidR="00BA0987" w:rsidP="00BA0987" w:rsidRDefault="00BA0987" w14:paraId="7A30DEAB" w14:textId="77777777">
      <w:pPr>
        <w:pStyle w:val="Kop3"/>
      </w:pPr>
      <w:bookmarkStart w:name="_Toc222756888" w:id="54"/>
      <w:bookmarkStart w:name="_Toc226640272" w:id="55"/>
      <w:proofErr w:type="spellStart"/>
      <w:r>
        <w:t>Doenvermogen</w:t>
      </w:r>
      <w:proofErr w:type="spellEnd"/>
      <w:r>
        <w:t xml:space="preserve"> en administratieve lasten</w:t>
      </w:r>
      <w:bookmarkEnd w:id="54"/>
      <w:bookmarkEnd w:id="55"/>
    </w:p>
    <w:p w:rsidR="009761D0" w:rsidP="009761D0" w:rsidRDefault="00BA0987" w14:paraId="3FDB3132" w14:textId="77777777">
      <w:pPr>
        <w:numPr>
          <w:ilvl w:val="0"/>
          <w:numId w:val="21"/>
        </w:numPr>
        <w:autoSpaceDN/>
        <w:spacing w:after="160" w:line="259" w:lineRule="auto"/>
        <w:textAlignment w:val="auto"/>
      </w:pPr>
      <w:r w:rsidRPr="00BA0987">
        <w:t xml:space="preserve">De voorgestelde oplossingen verbeteren de duidelijkheid voor belastingplichtigen, wat leidt tot een positieve score op de </w:t>
      </w:r>
      <w:proofErr w:type="spellStart"/>
      <w:r w:rsidRPr="00BA0987">
        <w:t>doenvermogensscan</w:t>
      </w:r>
      <w:proofErr w:type="spellEnd"/>
      <w:r w:rsidR="00CE1BD7">
        <w:rPr>
          <w:rStyle w:val="Voetnootmarkering"/>
        </w:rPr>
        <w:footnoteReference w:id="43"/>
      </w:r>
      <w:r w:rsidR="006A173C">
        <w:t>.</w:t>
      </w:r>
      <w:r w:rsidRPr="00BA0987">
        <w:t xml:space="preserve"> De grootste winst zit in het eenmalig vaststellen of een schuld </w:t>
      </w:r>
      <w:r>
        <w:t>voldoet aan de gestelde voorwaarden</w:t>
      </w:r>
      <w:r w:rsidRPr="00BA0987">
        <w:t xml:space="preserve">, waardoor </w:t>
      </w:r>
      <w:r w:rsidR="00357785">
        <w:t>belastingplichtigen</w:t>
      </w:r>
      <w:r w:rsidR="00EB4148">
        <w:t xml:space="preserve"> </w:t>
      </w:r>
      <w:r w:rsidRPr="00357785" w:rsidR="00357785">
        <w:t xml:space="preserve">niet meer in onzekerheid verkeren over tot wanneer ze gebruik zullen kunnen maken van </w:t>
      </w:r>
      <w:r w:rsidR="00EB4148">
        <w:t>HRA</w:t>
      </w:r>
      <w:r w:rsidRPr="00BA0987">
        <w:t>.</w:t>
      </w:r>
      <w:r w:rsidR="0027040A">
        <w:t xml:space="preserve"> Tegelijkertijd geeft het afbouwen van de HRA een negatieve inkomensschok met </w:t>
      </w:r>
      <w:r w:rsidR="00DD7440">
        <w:t xml:space="preserve">voor een klein deel van de populatie </w:t>
      </w:r>
      <w:r w:rsidR="0027040A">
        <w:t xml:space="preserve">mogelijk financiële stress tot gevolg. Dat werkt negatief door op het </w:t>
      </w:r>
      <w:proofErr w:type="spellStart"/>
      <w:r w:rsidR="0027040A">
        <w:t>doenvermogen</w:t>
      </w:r>
      <w:proofErr w:type="spellEnd"/>
      <w:r w:rsidR="0027040A">
        <w:t xml:space="preserve">. Per saldo weegt de toename in </w:t>
      </w:r>
      <w:proofErr w:type="spellStart"/>
      <w:r w:rsidR="0027040A">
        <w:t>doenlijkheid</w:t>
      </w:r>
      <w:proofErr w:type="spellEnd"/>
      <w:r w:rsidR="0027040A">
        <w:t xml:space="preserve"> en begrijpelijkheid sterker dan de (beperkte) negatieve inkomenseffecten waardoor de </w:t>
      </w:r>
      <w:proofErr w:type="spellStart"/>
      <w:r w:rsidR="0027040A">
        <w:t>doenvermogensscore</w:t>
      </w:r>
      <w:proofErr w:type="spellEnd"/>
      <w:r w:rsidR="0027040A">
        <w:t xml:space="preserve"> positief is in alle oplossingsrichtingen.</w:t>
      </w:r>
      <w:r w:rsidRPr="00BA0987">
        <w:t xml:space="preserve"> De positieve effecten zijn iets kleiner in fiches met overgangsregelingen (1B, 1C</w:t>
      </w:r>
      <w:r w:rsidR="00DF4406">
        <w:t>, 1D, 2B</w:t>
      </w:r>
      <w:r w:rsidRPr="00BA0987">
        <w:t xml:space="preserve">) omdat </w:t>
      </w:r>
      <w:r w:rsidR="00F37B93">
        <w:t xml:space="preserve">bij gebruik daarvan de betreffende belastingplichtigen hun hypotheek moeten oversluiten wat het nodige vraagt </w:t>
      </w:r>
      <w:r w:rsidRPr="00BA0987">
        <w:t xml:space="preserve">van het </w:t>
      </w:r>
      <w:proofErr w:type="spellStart"/>
      <w:r w:rsidRPr="00BA0987">
        <w:t>doenvermogen</w:t>
      </w:r>
      <w:proofErr w:type="spellEnd"/>
      <w:r w:rsidRPr="00BA0987">
        <w:t xml:space="preserve"> van belastingplichtigen.</w:t>
      </w:r>
      <w:r w:rsidR="0027040A">
        <w:t xml:space="preserve"> De positieve effecten zijn iets groter in fiche</w:t>
      </w:r>
      <w:r w:rsidR="008F1AA6">
        <w:t>s</w:t>
      </w:r>
      <w:r w:rsidR="0027040A">
        <w:t xml:space="preserve"> 2</w:t>
      </w:r>
      <w:r w:rsidR="00DF4406">
        <w:t>A</w:t>
      </w:r>
      <w:r w:rsidR="008F1AA6">
        <w:t>, 2B</w:t>
      </w:r>
      <w:r w:rsidR="0027040A">
        <w:t xml:space="preserve"> en 3 doordat de</w:t>
      </w:r>
      <w:r w:rsidR="00511A94">
        <w:t xml:space="preserve"> negatieve inkomensschok wordt gedempt door de HRA geleidelijk af te bouwen of pas af te schaffen per 2043</w:t>
      </w:r>
      <w:r w:rsidR="0027040A">
        <w:t>.</w:t>
      </w:r>
      <w:r w:rsidRPr="00BA0987">
        <w:t xml:space="preserve"> Het systeem wordt hiermee eenvoudiger voor de meeste betrokkenen, ondanks het aanvaarden van enige onzekerheid over </w:t>
      </w:r>
      <w:r w:rsidR="00DF4406">
        <w:t xml:space="preserve">de </w:t>
      </w:r>
      <w:r w:rsidRPr="00BA0987">
        <w:t>juiste informatieverstrekking door belastingplichtigen</w:t>
      </w:r>
      <w:r w:rsidR="008C7641">
        <w:t>.</w:t>
      </w:r>
    </w:p>
    <w:p w:rsidR="009761D0" w:rsidP="009761D0" w:rsidRDefault="009761D0" w14:paraId="56FB145E" w14:textId="77777777">
      <w:pPr>
        <w:pStyle w:val="Kop3"/>
      </w:pPr>
      <w:bookmarkStart w:name="_Toc222756889" w:id="56"/>
      <w:bookmarkStart w:name="_Toc226640273" w:id="57"/>
      <w:r>
        <w:t>Uitvoeringsaspecten</w:t>
      </w:r>
      <w:bookmarkEnd w:id="56"/>
      <w:bookmarkEnd w:id="57"/>
    </w:p>
    <w:p w:rsidRPr="009761D0" w:rsidR="009761D0" w:rsidP="009761D0" w:rsidRDefault="009761D0" w14:paraId="794945BE" w14:textId="77777777">
      <w:pPr>
        <w:numPr>
          <w:ilvl w:val="0"/>
          <w:numId w:val="23"/>
        </w:numPr>
        <w:autoSpaceDN/>
        <w:spacing w:after="160" w:line="259" w:lineRule="auto"/>
        <w:textAlignment w:val="auto"/>
      </w:pPr>
      <w:r w:rsidRPr="009761D0">
        <w:lastRenderedPageBreak/>
        <w:t xml:space="preserve">Het bepalen </w:t>
      </w:r>
      <w:r w:rsidR="00DF4406">
        <w:t>of</w:t>
      </w:r>
      <w:r w:rsidRPr="009761D0">
        <w:t xml:space="preserve"> leningen </w:t>
      </w:r>
      <w:r w:rsidR="00DF4406">
        <w:t>kwalificeren</w:t>
      </w:r>
      <w:r w:rsidRPr="009761D0">
        <w:t xml:space="preserve"> als BEWS op </w:t>
      </w:r>
      <w:r w:rsidR="00DF4406">
        <w:t>éé</w:t>
      </w:r>
      <w:r w:rsidRPr="009761D0">
        <w:t>n</w:t>
      </w:r>
      <w:r w:rsidR="00DF4406">
        <w:t xml:space="preserve"> vast</w:t>
      </w:r>
      <w:r w:rsidRPr="009761D0">
        <w:t xml:space="preserve"> peilmoment</w:t>
      </w:r>
      <w:r w:rsidR="00F72737">
        <w:t>, noodzakelijk voor 1A en 1B,</w:t>
      </w:r>
      <w:r w:rsidRPr="009761D0">
        <w:t xml:space="preserve"> zorgt voor vereenvoudiging en duidelijkheid bij </w:t>
      </w:r>
      <w:r w:rsidR="00237833">
        <w:t>de B</w:t>
      </w:r>
      <w:r w:rsidRPr="009761D0">
        <w:t xml:space="preserve">elastingdienst en belastingplichtigen. </w:t>
      </w:r>
      <w:r w:rsidR="00DF4406">
        <w:t>E</w:t>
      </w:r>
      <w:r w:rsidR="008F23F4">
        <w:t>e</w:t>
      </w:r>
      <w:r w:rsidR="00DF4406">
        <w:t>n</w:t>
      </w:r>
      <w:r w:rsidR="008F23F4">
        <w:t xml:space="preserve"> eenmalige uitvraag bij belastingplichtigen is </w:t>
      </w:r>
      <w:r w:rsidR="00EA7F2B">
        <w:t xml:space="preserve">risicovol en </w:t>
      </w:r>
      <w:r w:rsidR="008F23F4">
        <w:t>mogelijk foutgevoelig</w:t>
      </w:r>
      <w:r w:rsidR="00EA7F2B">
        <w:t xml:space="preserve"> omdat de informatie niet goed te controleren is</w:t>
      </w:r>
      <w:r w:rsidR="008F23F4">
        <w:t xml:space="preserve">. </w:t>
      </w:r>
      <w:r w:rsidRPr="009761D0">
        <w:t>Dit moet uiterlijk 2031 geïmplementeerd zijn.</w:t>
      </w:r>
    </w:p>
    <w:p w:rsidRPr="009761D0" w:rsidR="009761D0" w:rsidP="009761D0" w:rsidRDefault="009761D0" w14:paraId="0B0583EF" w14:textId="77777777">
      <w:pPr>
        <w:numPr>
          <w:ilvl w:val="0"/>
          <w:numId w:val="23"/>
        </w:numPr>
        <w:autoSpaceDN/>
        <w:spacing w:after="160" w:line="259" w:lineRule="auto"/>
        <w:textAlignment w:val="auto"/>
      </w:pPr>
      <w:r w:rsidRPr="009761D0">
        <w:t xml:space="preserve">Bij de </w:t>
      </w:r>
      <w:r w:rsidR="00A84A8B">
        <w:t>oplossingsrichtingen</w:t>
      </w:r>
      <w:r w:rsidRPr="009761D0">
        <w:t xml:space="preserve"> 1A, 1B, 1C, 2A</w:t>
      </w:r>
      <w:r>
        <w:t xml:space="preserve"> en 3</w:t>
      </w:r>
      <w:r w:rsidRPr="009761D0">
        <w:t xml:space="preserve"> moet een box 3-EWL door de Belastingdienst vastgesteld worden. Anders is het eenvoudig mogelijk om na een periode </w:t>
      </w:r>
      <w:r w:rsidR="00DF4406">
        <w:t xml:space="preserve">dat de lening </w:t>
      </w:r>
      <w:r w:rsidRPr="009761D0">
        <w:t xml:space="preserve">in box 3 </w:t>
      </w:r>
      <w:r w:rsidR="00DF4406">
        <w:t>is aangegeven, vervolgens</w:t>
      </w:r>
      <w:r w:rsidRPr="009761D0">
        <w:t xml:space="preserve"> weer HRA te claimen</w:t>
      </w:r>
      <w:r w:rsidR="00DF4406">
        <w:t xml:space="preserve"> </w:t>
      </w:r>
      <w:r w:rsidR="00EA7F2B">
        <w:t>in box 1.</w:t>
      </w:r>
    </w:p>
    <w:p w:rsidRPr="009761D0" w:rsidR="009761D0" w:rsidP="009761D0" w:rsidRDefault="009761D0" w14:paraId="6DA32FAE" w14:textId="77777777">
      <w:pPr>
        <w:numPr>
          <w:ilvl w:val="0"/>
          <w:numId w:val="23"/>
        </w:numPr>
        <w:autoSpaceDN/>
        <w:spacing w:after="160" w:line="259" w:lineRule="auto"/>
        <w:textAlignment w:val="auto"/>
      </w:pPr>
      <w:r w:rsidRPr="009761D0">
        <w:t xml:space="preserve">De </w:t>
      </w:r>
      <w:r w:rsidR="00A84A8B">
        <w:t>oplossingsrichtinge</w:t>
      </w:r>
      <w:r w:rsidRPr="009761D0">
        <w:t xml:space="preserve">n </w:t>
      </w:r>
      <w:r w:rsidR="00237833">
        <w:t>met verdergaande complexiteitsreductie</w:t>
      </w:r>
      <w:r w:rsidRPr="009761D0">
        <w:t xml:space="preserve"> (1D en 2B) vereenvoudigen de uitvoering aanzienlijk en maken handhaving en controle </w:t>
      </w:r>
      <w:r w:rsidR="00F72737">
        <w:t>door de Belastingdienst</w:t>
      </w:r>
      <w:r w:rsidRPr="009761D0">
        <w:t xml:space="preserve"> eenvoudiger, omdat bij verhuizen automatisch een nieuwe 30-jaarstermijn start</w:t>
      </w:r>
      <w:r w:rsidR="00237833">
        <w:t xml:space="preserve"> en dus slecht</w:t>
      </w:r>
      <w:r w:rsidR="00857B4B">
        <w:t>s</w:t>
      </w:r>
      <w:r w:rsidR="00237833">
        <w:t xml:space="preserve"> lopende </w:t>
      </w:r>
      <w:r w:rsidR="00EA7F2B">
        <w:t>lening overeenkomsten</w:t>
      </w:r>
      <w:r w:rsidR="00237833">
        <w:t xml:space="preserve"> van belang zijn voor het </w:t>
      </w:r>
      <w:r w:rsidR="00DF4406">
        <w:t xml:space="preserve">vaststellen of een belastingplichtige </w:t>
      </w:r>
      <w:r w:rsidR="00237833">
        <w:t>recht</w:t>
      </w:r>
      <w:r w:rsidR="00DF4406">
        <w:t xml:space="preserve"> heeft</w:t>
      </w:r>
      <w:r w:rsidR="00237833">
        <w:t xml:space="preserve"> op HRA.</w:t>
      </w:r>
      <w:r w:rsidR="00F72737">
        <w:t xml:space="preserve"> </w:t>
      </w:r>
    </w:p>
    <w:p w:rsidRPr="00C357AB" w:rsidR="009761D0" w:rsidP="009761D0" w:rsidRDefault="009761D0" w14:paraId="28690778" w14:textId="77777777">
      <w:pPr>
        <w:numPr>
          <w:ilvl w:val="0"/>
          <w:numId w:val="23"/>
        </w:numPr>
        <w:autoSpaceDN/>
        <w:spacing w:after="160" w:line="259" w:lineRule="auto"/>
        <w:textAlignment w:val="auto"/>
      </w:pPr>
      <w:r w:rsidRPr="009761D0">
        <w:t xml:space="preserve">De overgangsregeling in fiche 1C is beter uitvoerbaar dan in fiche 1B </w:t>
      </w:r>
      <w:r w:rsidRPr="00C357AB">
        <w:t xml:space="preserve">doordat deze aansluit bij de al bekende </w:t>
      </w:r>
      <w:r w:rsidRPr="00C357AB" w:rsidR="00237833">
        <w:t>aflossingseis</w:t>
      </w:r>
      <w:r w:rsidR="00DF4406">
        <w:t>, waardoor de betreffende leningen afgelost zijn na 360 maanden</w:t>
      </w:r>
      <w:r w:rsidRPr="00C357AB" w:rsidR="00237833">
        <w:t xml:space="preserve"> </w:t>
      </w:r>
      <w:r w:rsidRPr="00C357AB">
        <w:t xml:space="preserve">en de HRA </w:t>
      </w:r>
      <w:r w:rsidRPr="00C357AB" w:rsidR="00237833">
        <w:t xml:space="preserve">niet per definitie </w:t>
      </w:r>
      <w:r w:rsidRPr="00C357AB">
        <w:t>stopt na 1 januari 2043.</w:t>
      </w:r>
      <w:r w:rsidR="00DF4406">
        <w:t xml:space="preserve"> </w:t>
      </w:r>
      <w:r w:rsidR="00A10A1F">
        <w:t xml:space="preserve">In fiche 1B moet voor </w:t>
      </w:r>
      <w:r w:rsidR="00DF4406">
        <w:t>deze leningen op dat moment een box 3-EWL vastgesteld moet worden.</w:t>
      </w:r>
    </w:p>
    <w:p w:rsidRPr="00C357AB" w:rsidR="001812BA" w:rsidP="009761D0" w:rsidRDefault="001812BA" w14:paraId="605057BD" w14:textId="77777777">
      <w:pPr>
        <w:numPr>
          <w:ilvl w:val="0"/>
          <w:numId w:val="23"/>
        </w:numPr>
        <w:autoSpaceDN/>
        <w:spacing w:after="160" w:line="259" w:lineRule="auto"/>
        <w:textAlignment w:val="auto"/>
      </w:pPr>
      <w:r w:rsidRPr="00C357AB">
        <w:t xml:space="preserve">De Belastingdienst werkt momenteel aan Tax 3.0. Dat is een moderniseringsprogramma gericht op het vernieuwen van verouderde ICT-systemen en het verbeteren van processen rondom belastingheffing en invordering. Belangrijke aspecten daarbij zijn minder administratieve lasten voor belastingplichtigen en </w:t>
      </w:r>
      <w:r w:rsidR="00175A9F">
        <w:t xml:space="preserve">het </w:t>
      </w:r>
      <w:r w:rsidRPr="00C357AB">
        <w:t xml:space="preserve">verbeteren van de gegevenskwaliteit en gegevensuitwisseling. In dat kader ligt het voor de hand om in overleg met bijvoorbeeld banken te kijken naar een verbetering van de gegevenspositie van de Belastingdienst. Deze gegevens kunnen ook worden gebruikt in de </w:t>
      </w:r>
      <w:r w:rsidRPr="00C357AB" w:rsidR="006A173C">
        <w:t>voor ingevulde</w:t>
      </w:r>
      <w:r w:rsidRPr="00C357AB">
        <w:t xml:space="preserve"> aangifte van de Belastingdienst.</w:t>
      </w:r>
    </w:p>
    <w:p w:rsidR="003424AA" w:rsidP="003424AA" w:rsidRDefault="003424AA" w14:paraId="0542E300" w14:textId="77777777">
      <w:pPr>
        <w:pStyle w:val="Kop3"/>
      </w:pPr>
      <w:bookmarkStart w:name="_Toc222756890" w:id="58"/>
      <w:bookmarkStart w:name="_Toc226640274" w:id="59"/>
      <w:r>
        <w:t>Overig</w:t>
      </w:r>
      <w:bookmarkEnd w:id="58"/>
      <w:bookmarkEnd w:id="59"/>
    </w:p>
    <w:p w:rsidRPr="003424AA" w:rsidR="003424AA" w:rsidP="003424AA" w:rsidRDefault="003424AA" w14:paraId="720B3BB5" w14:textId="77777777">
      <w:pPr>
        <w:numPr>
          <w:ilvl w:val="0"/>
          <w:numId w:val="25"/>
        </w:numPr>
        <w:autoSpaceDN/>
        <w:spacing w:after="160" w:line="259" w:lineRule="auto"/>
        <w:textAlignment w:val="auto"/>
      </w:pPr>
      <w:r w:rsidRPr="003424AA">
        <w:t xml:space="preserve">De oorspronkelijke beleidsdoelstelling van de 30-jaarstermijn, namelijk het binnen een gangbare periode aflossen van de hypotheekschuld, is nog steeds relevant. </w:t>
      </w:r>
    </w:p>
    <w:p w:rsidR="003424AA" w:rsidP="003424AA" w:rsidRDefault="003424AA" w14:paraId="33FE7E40" w14:textId="77777777">
      <w:pPr>
        <w:numPr>
          <w:ilvl w:val="0"/>
          <w:numId w:val="25"/>
        </w:numPr>
        <w:autoSpaceDN/>
        <w:spacing w:after="160" w:line="259" w:lineRule="auto"/>
        <w:textAlignment w:val="auto"/>
      </w:pPr>
      <w:r w:rsidRPr="003424AA">
        <w:t xml:space="preserve">In oplossingsrichting </w:t>
      </w:r>
      <w:r>
        <w:t>3</w:t>
      </w:r>
      <w:r w:rsidRPr="003424AA">
        <w:t xml:space="preserve"> wordt het recht op HRA voor BEWS geleidelijk afgebouwd via een jaarlijkse beperking van 5% op de grondslag; een steiler, </w:t>
      </w:r>
      <w:r w:rsidR="00237833">
        <w:t xml:space="preserve">minder steil of </w:t>
      </w:r>
      <w:r w:rsidRPr="003424AA">
        <w:t xml:space="preserve">budgetneutraal </w:t>
      </w:r>
      <w:proofErr w:type="spellStart"/>
      <w:r w:rsidRPr="003424AA" w:rsidR="00A73821">
        <w:t>afbouwpad</w:t>
      </w:r>
      <w:proofErr w:type="spellEnd"/>
      <w:r w:rsidRPr="003424AA">
        <w:t xml:space="preserve"> kan overwogen worden. </w:t>
      </w:r>
    </w:p>
    <w:p w:rsidRPr="003424AA" w:rsidR="003424AA" w:rsidP="00BF378C" w:rsidRDefault="003424AA" w14:paraId="453E1B84" w14:textId="77777777">
      <w:pPr>
        <w:numPr>
          <w:ilvl w:val="0"/>
          <w:numId w:val="25"/>
        </w:numPr>
        <w:autoSpaceDN/>
        <w:spacing w:after="160" w:line="259" w:lineRule="auto"/>
        <w:textAlignment w:val="auto"/>
      </w:pPr>
      <w:r>
        <w:t xml:space="preserve">In oplossingsrichting 3 blijven BEWS die in het </w:t>
      </w:r>
      <w:proofErr w:type="spellStart"/>
      <w:r>
        <w:t>basispad</w:t>
      </w:r>
      <w:proofErr w:type="spellEnd"/>
      <w:r>
        <w:t xml:space="preserve"> ergens tussen 2031-2042 hun recht op HRA verliezen als gevolg van het verstrijken van de 30-jaarstermijn verplicht t/m 2042 in box 1. Dit</w:t>
      </w:r>
      <w:r w:rsidRPr="003424AA">
        <w:t xml:space="preserve"> kan een </w:t>
      </w:r>
      <w:r>
        <w:t>nadeel</w:t>
      </w:r>
      <w:r w:rsidRPr="003424AA">
        <w:t xml:space="preserve"> zijn voor </w:t>
      </w:r>
      <w:r>
        <w:t>belastingplichtige</w:t>
      </w:r>
      <w:r w:rsidRPr="003424AA">
        <w:t xml:space="preserve">n </w:t>
      </w:r>
      <w:r>
        <w:t xml:space="preserve">met vermogen in box 3 die </w:t>
      </w:r>
      <w:r w:rsidRPr="003424AA">
        <w:t>juist graag naar box 3 willen</w:t>
      </w:r>
      <w:r>
        <w:t xml:space="preserve"> om daar renteaftrek te kunnen verzilveren.</w:t>
      </w:r>
    </w:p>
    <w:p w:rsidR="00640F7A" w:rsidP="00F840A3" w:rsidRDefault="003424AA" w14:paraId="7AB26E9E" w14:textId="77777777">
      <w:pPr>
        <w:numPr>
          <w:ilvl w:val="0"/>
          <w:numId w:val="25"/>
        </w:numPr>
        <w:autoSpaceDN/>
        <w:spacing w:after="160" w:line="259" w:lineRule="auto"/>
        <w:textAlignment w:val="auto"/>
      </w:pPr>
      <w:r w:rsidRPr="003424AA">
        <w:t>Bij de oplossingen waarbij een BEWS vastgesteld moet worden</w:t>
      </w:r>
      <w:r w:rsidR="006328BE">
        <w:t>,</w:t>
      </w:r>
      <w:r w:rsidRPr="003424AA">
        <w:t xml:space="preserve"> blijft onzekerheid bestaan over de juistheid van verstrekte informatie door belastingplichtigen. Dit is wel een forse vereenvoudiging ten opzichte van het </w:t>
      </w:r>
      <w:r>
        <w:t xml:space="preserve">moeten </w:t>
      </w:r>
      <w:r w:rsidRPr="003424AA">
        <w:t>bijhouden van</w:t>
      </w:r>
      <w:r>
        <w:t xml:space="preserve"> een</w:t>
      </w:r>
      <w:r w:rsidRPr="003424AA">
        <w:t xml:space="preserve"> exact hypotheekverleden.</w:t>
      </w:r>
    </w:p>
    <w:p w:rsidR="00640F7A" w:rsidP="00640F7A" w:rsidRDefault="00640F7A" w14:paraId="2A4A912C" w14:textId="77777777">
      <w:pPr>
        <w:autoSpaceDN/>
        <w:spacing w:after="160" w:line="259" w:lineRule="auto"/>
        <w:textAlignment w:val="auto"/>
        <w:sectPr w:rsidR="00640F7A" w:rsidSect="00CD62EC">
          <w:pgSz w:w="11905" w:h="16837"/>
          <w:pgMar w:top="2641" w:right="963" w:bottom="1077" w:left="3231" w:header="0" w:footer="0" w:gutter="0"/>
          <w:cols w:space="708"/>
        </w:sectPr>
      </w:pPr>
    </w:p>
    <w:p w:rsidR="006C2F5F" w:rsidP="006C2F5F" w:rsidRDefault="006C2F5F" w14:paraId="09AFFC83" w14:textId="77777777">
      <w:pPr>
        <w:pStyle w:val="Kop1"/>
      </w:pPr>
      <w:bookmarkStart w:name="_Toc222756891" w:id="60"/>
      <w:bookmarkStart w:name="_Toc223516979" w:id="61"/>
      <w:bookmarkStart w:name="_Toc223517866" w:id="62"/>
      <w:bookmarkStart w:name="_Toc226640275" w:id="63"/>
      <w:r>
        <w:lastRenderedPageBreak/>
        <w:t>B</w:t>
      </w:r>
      <w:r w:rsidR="00B067FD">
        <w:t xml:space="preserve">ijlage </w:t>
      </w:r>
      <w:r w:rsidR="001C4D8B">
        <w:t xml:space="preserve">1 </w:t>
      </w:r>
      <w:r w:rsidR="00B067FD">
        <w:t>Fichebundel</w:t>
      </w:r>
      <w:bookmarkEnd w:id="60"/>
      <w:bookmarkEnd w:id="61"/>
      <w:bookmarkEnd w:id="62"/>
      <w:bookmarkEnd w:id="63"/>
    </w:p>
    <w:tbl>
      <w:tblPr>
        <w:tblStyle w:val="Tabelraster"/>
        <w:tblW w:w="0" w:type="auto"/>
        <w:tblInd w:w="0" w:type="dxa"/>
        <w:tblLook w:val="04A0" w:firstRow="1" w:lastRow="0" w:firstColumn="1" w:lastColumn="0" w:noHBand="0" w:noVBand="1"/>
      </w:tblPr>
      <w:tblGrid>
        <w:gridCol w:w="2387"/>
        <w:gridCol w:w="5314"/>
      </w:tblGrid>
      <w:tr w:rsidR="00637B02" w:rsidTr="00690DAD" w14:paraId="4C52159E" w14:textId="77777777">
        <w:tc>
          <w:tcPr>
            <w:tcW w:w="7701" w:type="dxa"/>
            <w:gridSpan w:val="2"/>
            <w:shd w:val="clear" w:color="auto" w:fill="A5C9EB" w:themeFill="text2" w:themeFillTint="40"/>
          </w:tcPr>
          <w:p w:rsidRPr="00637B02" w:rsidR="00637B02" w:rsidP="00FF3304" w:rsidRDefault="00637B02" w14:paraId="3F76D18E" w14:textId="77777777">
            <w:pPr>
              <w:rPr>
                <w:b/>
                <w:bCs/>
              </w:rPr>
            </w:pPr>
            <w:r w:rsidRPr="00637B02">
              <w:rPr>
                <w:b/>
                <w:bCs/>
              </w:rPr>
              <w:t xml:space="preserve">Fiche 1A: 30-jaarstermijn vervalt en afschaffing </w:t>
            </w:r>
            <w:r w:rsidR="004A710E">
              <w:rPr>
                <w:b/>
                <w:bCs/>
              </w:rPr>
              <w:t>HRA</w:t>
            </w:r>
            <w:r w:rsidRPr="00637B02" w:rsidR="004A710E">
              <w:rPr>
                <w:b/>
                <w:bCs/>
              </w:rPr>
              <w:t xml:space="preserve"> </w:t>
            </w:r>
            <w:r w:rsidRPr="00637B02">
              <w:rPr>
                <w:b/>
                <w:bCs/>
              </w:rPr>
              <w:t>voor BEWS per 2031 zonder overgangsregeling</w:t>
            </w:r>
          </w:p>
        </w:tc>
      </w:tr>
      <w:tr w:rsidR="00637B02" w:rsidTr="00BF378C" w14:paraId="2B90B41C" w14:textId="77777777">
        <w:tc>
          <w:tcPr>
            <w:tcW w:w="7701" w:type="dxa"/>
            <w:gridSpan w:val="2"/>
          </w:tcPr>
          <w:p w:rsidR="00637B02" w:rsidP="00FF3304" w:rsidRDefault="00637B02" w14:paraId="041430DC" w14:textId="77777777">
            <w:pPr>
              <w:rPr>
                <w:b/>
                <w:bCs/>
              </w:rPr>
            </w:pPr>
            <w:r w:rsidRPr="00637B02">
              <w:rPr>
                <w:b/>
                <w:bCs/>
              </w:rPr>
              <w:t>Omschrijving van de maatregel</w:t>
            </w:r>
          </w:p>
          <w:p w:rsidR="00637B02" w:rsidP="00637B02" w:rsidRDefault="00637B02" w14:paraId="15A30EF6" w14:textId="77777777">
            <w:pPr>
              <w:numPr>
                <w:ilvl w:val="0"/>
                <w:numId w:val="27"/>
              </w:numPr>
              <w:spacing w:after="255" w:line="240" w:lineRule="atLeast"/>
              <w:contextualSpacing/>
            </w:pPr>
            <w:r>
              <w:t xml:space="preserve">De 30-jaarstermijn </w:t>
            </w:r>
            <w:r w:rsidR="004A710E">
              <w:t xml:space="preserve">voor lopende BEWS </w:t>
            </w:r>
            <w:r>
              <w:t xml:space="preserve">wordt afgeschaft. </w:t>
            </w:r>
            <w:r w:rsidR="00FA26AA">
              <w:t>De doorwerking van de verstreken looptijd van eerdere BEWS naar schulden die aan de aflossingseis moeten voldoen, vervalt ook.</w:t>
            </w:r>
            <w:r>
              <w:t xml:space="preserve"> Verder vervalt </w:t>
            </w:r>
            <w:r w:rsidRPr="0095423E">
              <w:t xml:space="preserve">de </w:t>
            </w:r>
            <w:r w:rsidR="00EB4148">
              <w:t>HRA</w:t>
            </w:r>
            <w:r>
              <w:t xml:space="preserve"> over</w:t>
            </w:r>
            <w:r w:rsidR="004A710E">
              <w:t xml:space="preserve"> deze</w:t>
            </w:r>
            <w:r w:rsidRPr="00622858">
              <w:t xml:space="preserve"> </w:t>
            </w:r>
            <w:proofErr w:type="gramStart"/>
            <w:r w:rsidRPr="00622858">
              <w:t>leningen  per</w:t>
            </w:r>
            <w:proofErr w:type="gramEnd"/>
            <w:r w:rsidRPr="00622858">
              <w:t xml:space="preserve"> 1 januari 2031</w:t>
            </w:r>
            <w:r w:rsidRPr="0095423E">
              <w:t xml:space="preserve">. Dit betekent dat </w:t>
            </w:r>
            <w:r>
              <w:t>met ingang van 1 januari 2031 HRA</w:t>
            </w:r>
            <w:r w:rsidRPr="0095423E">
              <w:t xml:space="preserve"> voor</w:t>
            </w:r>
            <w:r>
              <w:t xml:space="preserve"> BEWS</w:t>
            </w:r>
            <w:r>
              <w:rPr>
                <w:rStyle w:val="Voetnootmarkering"/>
              </w:rPr>
              <w:footnoteReference w:id="44"/>
            </w:r>
            <w:r w:rsidRPr="0095423E">
              <w:t xml:space="preserve"> in box 1 </w:t>
            </w:r>
            <w:r>
              <w:t>niet langer is toegestaan</w:t>
            </w:r>
            <w:r w:rsidRPr="0095423E">
              <w:t xml:space="preserve">. Ook </w:t>
            </w:r>
            <w:r>
              <w:t xml:space="preserve">niet </w:t>
            </w:r>
            <w:r w:rsidRPr="0095423E">
              <w:t xml:space="preserve">als voor deze </w:t>
            </w:r>
            <w:r>
              <w:t>BEWS nog geen</w:t>
            </w:r>
            <w:r w:rsidRPr="0095423E">
              <w:t xml:space="preserve"> 30 jaar aftrek is genoten</w:t>
            </w:r>
            <w:r>
              <w:t xml:space="preserve"> omdat de lening bijvoorbeeld pas in 2012 is </w:t>
            </w:r>
            <w:r w:rsidRPr="00622858">
              <w:t>afgesloten</w:t>
            </w:r>
            <w:r>
              <w:t xml:space="preserve">, </w:t>
            </w:r>
            <w:r w:rsidRPr="00622858">
              <w:t>een aflossingsvrije lening inmiddels is overgesloten in een annuïtaire lening</w:t>
            </w:r>
            <w:r>
              <w:t xml:space="preserve"> of er sprake is van een </w:t>
            </w:r>
            <w:r w:rsidR="00EE606A">
              <w:t>spaar-, beleggings- of levenshypotheek</w:t>
            </w:r>
            <w:r w:rsidRPr="00622858">
              <w:t xml:space="preserve">. De lening gaat op 1 januari 2031 over naar box 3 en daarna </w:t>
            </w:r>
            <w:r w:rsidR="00FA26AA">
              <w:t xml:space="preserve">komt deze lening </w:t>
            </w:r>
            <w:r w:rsidRPr="00622858">
              <w:t xml:space="preserve">nooit meer voor HRA in box 1 in aanmerking (box 3-EWL). </w:t>
            </w:r>
          </w:p>
          <w:p w:rsidRPr="00637B02" w:rsidR="00637B02" w:rsidP="00EA7F2B" w:rsidRDefault="00637B02" w14:paraId="2B81BF32" w14:textId="77777777">
            <w:pPr>
              <w:spacing w:after="255" w:line="240" w:lineRule="atLeast"/>
              <w:ind w:left="720"/>
              <w:contextualSpacing/>
            </w:pPr>
          </w:p>
        </w:tc>
      </w:tr>
      <w:tr w:rsidR="00637B02" w:rsidTr="00690DAD" w14:paraId="591ACF47" w14:textId="77777777">
        <w:tc>
          <w:tcPr>
            <w:tcW w:w="7701" w:type="dxa"/>
            <w:gridSpan w:val="2"/>
            <w:shd w:val="clear" w:color="auto" w:fill="DAE9F7" w:themeFill="text2" w:themeFillTint="1A"/>
          </w:tcPr>
          <w:p w:rsidR="00637B02" w:rsidP="00FF3304" w:rsidRDefault="00637B02" w14:paraId="695A72EE" w14:textId="77777777">
            <w:pPr>
              <w:rPr>
                <w:b/>
                <w:bCs/>
              </w:rPr>
            </w:pPr>
            <w:r>
              <w:rPr>
                <w:b/>
                <w:bCs/>
              </w:rPr>
              <w:t>Achtergrond/rationale</w:t>
            </w:r>
          </w:p>
          <w:p w:rsidRPr="00637B02" w:rsidR="00637B02" w:rsidP="00637B02" w:rsidRDefault="00637B02" w14:paraId="4DF80FB8" w14:textId="77777777">
            <w:pPr>
              <w:numPr>
                <w:ilvl w:val="0"/>
                <w:numId w:val="27"/>
              </w:numPr>
              <w:autoSpaceDE w:val="0"/>
              <w:adjustRightInd w:val="0"/>
              <w:spacing w:after="255" w:line="240" w:lineRule="atLeast"/>
              <w:contextualSpacing/>
              <w:rPr>
                <w:b/>
                <w:bCs/>
              </w:rPr>
            </w:pPr>
            <w:r>
              <w:t xml:space="preserve">Met deze maatregel worden alle BEWS-leningen gelijk behandeld en naar box 3 verplaatst. Ongeacht of de lening aflossingsvrij is of inmiddels door middel van een </w:t>
            </w:r>
            <w:r w:rsidR="004A710E">
              <w:t xml:space="preserve">ten minste </w:t>
            </w:r>
            <w:r>
              <w:t>annuïtair schema wordt afgelost.</w:t>
            </w:r>
          </w:p>
          <w:p w:rsidRPr="00AE7344" w:rsidR="00637B02" w:rsidP="00637B02" w:rsidRDefault="00637B02" w14:paraId="407FD7F7" w14:textId="77777777">
            <w:pPr>
              <w:autoSpaceDE w:val="0"/>
              <w:adjustRightInd w:val="0"/>
              <w:spacing w:after="255" w:line="240" w:lineRule="atLeast"/>
              <w:ind w:left="720"/>
              <w:contextualSpacing/>
              <w:rPr>
                <w:b/>
                <w:bCs/>
              </w:rPr>
            </w:pPr>
          </w:p>
          <w:p w:rsidRPr="00637B02" w:rsidR="00637B02" w:rsidP="00637B02" w:rsidRDefault="00637B02" w14:paraId="038CFB92" w14:textId="77777777">
            <w:pPr>
              <w:numPr>
                <w:ilvl w:val="0"/>
                <w:numId w:val="27"/>
              </w:numPr>
              <w:autoSpaceDE w:val="0"/>
              <w:adjustRightInd w:val="0"/>
              <w:spacing w:after="255" w:line="240" w:lineRule="atLeast"/>
              <w:contextualSpacing/>
              <w:rPr>
                <w:b/>
                <w:bCs/>
              </w:rPr>
            </w:pPr>
            <w:r w:rsidRPr="00BF531C">
              <w:t>Dit lost het handhavingsprobleem van de Belastingdienst per 1 januari 2031 op</w:t>
            </w:r>
            <w:r>
              <w:t xml:space="preserve"> en maakt de eigenwoningregeling voor burgers begrijpelijker</w:t>
            </w:r>
            <w:r w:rsidRPr="00BF531C">
              <w:t>. Er hoeft door de Belastingdienst</w:t>
            </w:r>
            <w:r>
              <w:t xml:space="preserve"> en burgers</w:t>
            </w:r>
            <w:r w:rsidRPr="00BF531C">
              <w:t xml:space="preserve"> niet meer gekeken te worden</w:t>
            </w:r>
            <w:r w:rsidRPr="00622858">
              <w:t xml:space="preserve"> </w:t>
            </w:r>
            <w:r>
              <w:t>naar het moment van afsluiten van</w:t>
            </w:r>
            <w:r w:rsidRPr="00BF531C">
              <w:t xml:space="preserve"> een </w:t>
            </w:r>
            <w:r w:rsidRPr="006F6F74">
              <w:t xml:space="preserve">aflossingsvrije </w:t>
            </w:r>
            <w:proofErr w:type="gramStart"/>
            <w:r w:rsidRPr="006F6F74">
              <w:t>hypotheek</w:t>
            </w:r>
            <w:r w:rsidR="004A710E">
              <w:t>(</w:t>
            </w:r>
            <w:proofErr w:type="gramEnd"/>
            <w:r w:rsidR="004A710E">
              <w:t>delen</w:t>
            </w:r>
            <w:r w:rsidR="00FA26AA">
              <w:t xml:space="preserve"> </w:t>
            </w:r>
            <w:r>
              <w:t xml:space="preserve">. </w:t>
            </w:r>
          </w:p>
          <w:p w:rsidRPr="00691277" w:rsidR="00637B02" w:rsidP="00637B02" w:rsidRDefault="00637B02" w14:paraId="529BC589" w14:textId="77777777">
            <w:pPr>
              <w:autoSpaceDE w:val="0"/>
              <w:adjustRightInd w:val="0"/>
              <w:spacing w:after="255" w:line="240" w:lineRule="atLeast"/>
              <w:contextualSpacing/>
              <w:rPr>
                <w:b/>
                <w:bCs/>
              </w:rPr>
            </w:pPr>
          </w:p>
          <w:p w:rsidRPr="00691277" w:rsidR="00637B02" w:rsidP="00637B02" w:rsidRDefault="00637B02" w14:paraId="3CF60D22" w14:textId="77777777">
            <w:pPr>
              <w:numPr>
                <w:ilvl w:val="0"/>
                <w:numId w:val="27"/>
              </w:numPr>
              <w:autoSpaceDE w:val="0"/>
              <w:adjustRightInd w:val="0"/>
              <w:spacing w:after="255" w:line="240" w:lineRule="atLeast"/>
              <w:contextualSpacing/>
              <w:rPr>
                <w:b/>
                <w:bCs/>
              </w:rPr>
            </w:pPr>
            <w:r w:rsidRPr="00065E4D">
              <w:t xml:space="preserve">Wel zal de Belastingdienst per </w:t>
            </w:r>
            <w:proofErr w:type="spellStart"/>
            <w:r w:rsidRPr="00065E4D">
              <w:t>leningdeel</w:t>
            </w:r>
            <w:proofErr w:type="spellEnd"/>
            <w:r w:rsidRPr="00065E4D">
              <w:t xml:space="preserve"> moeten vaststellen of dit een BEWS</w:t>
            </w:r>
            <w:r>
              <w:t xml:space="preserve"> (afgesloten voor óf na 1-1-2013)</w:t>
            </w:r>
            <w:r w:rsidRPr="00065E4D">
              <w:t xml:space="preserve"> is</w:t>
            </w:r>
            <w:r w:rsidRPr="00622858">
              <w:t xml:space="preserve"> </w:t>
            </w:r>
            <w:r>
              <w:t xml:space="preserve">door dit uit te vragen bij belastingplichtigen in de aangifte inkomstenbelasting. </w:t>
            </w:r>
            <w:r w:rsidRPr="00622858">
              <w:t>Ook</w:t>
            </w:r>
            <w:r w:rsidRPr="00E27A13">
              <w:t xml:space="preserve"> </w:t>
            </w:r>
            <w:r>
              <w:t>zal de Belastingdienst moeten vaststellen</w:t>
            </w:r>
            <w:r w:rsidRPr="00622858">
              <w:t xml:space="preserve"> </w:t>
            </w:r>
            <w:r>
              <w:t>en bijhouden voor welke lening(de(e)</w:t>
            </w:r>
            <w:r w:rsidR="00A73821">
              <w:t>l) en</w:t>
            </w:r>
            <w:r>
              <w:t xml:space="preserve"> belastingplichtigen een box 3-EWL hebben.</w:t>
            </w:r>
            <w:r>
              <w:br/>
              <w:t xml:space="preserve"> </w:t>
            </w:r>
            <w:r w:rsidRPr="00691277">
              <w:rPr>
                <w:kern w:val="2"/>
                <w14:ligatures w14:val="standardContextual"/>
              </w:rPr>
              <w:t xml:space="preserve"> </w:t>
            </w:r>
          </w:p>
          <w:p w:rsidRPr="00622858" w:rsidR="00637B02" w:rsidP="00637B02" w:rsidRDefault="00637B02" w14:paraId="4662AE90" w14:textId="77777777">
            <w:pPr>
              <w:numPr>
                <w:ilvl w:val="0"/>
                <w:numId w:val="27"/>
              </w:numPr>
              <w:autoSpaceDE w:val="0"/>
              <w:adjustRightInd w:val="0"/>
              <w:spacing w:after="255" w:line="240" w:lineRule="atLeast"/>
              <w:contextualSpacing/>
            </w:pPr>
            <w:r>
              <w:t xml:space="preserve">Een box 3-EWL is noodzakelijk om bij te houden welke </w:t>
            </w:r>
            <w:proofErr w:type="spellStart"/>
            <w:r>
              <w:t>leningdelen</w:t>
            </w:r>
            <w:proofErr w:type="spellEnd"/>
            <w:r>
              <w:t xml:space="preserve"> nooit meer voor </w:t>
            </w:r>
            <w:r w:rsidR="00EB4148">
              <w:t>HRA</w:t>
            </w:r>
            <w:r>
              <w:t xml:space="preserve"> in box 1 in aanmerking komen.</w:t>
            </w:r>
          </w:p>
          <w:p w:rsidRPr="00C63123" w:rsidR="00637B02" w:rsidP="00637B02" w:rsidRDefault="00637B02" w14:paraId="52CFA2A7" w14:textId="77777777">
            <w:pPr>
              <w:autoSpaceDE w:val="0"/>
              <w:adjustRightInd w:val="0"/>
              <w:spacing w:line="240" w:lineRule="atLeast"/>
            </w:pPr>
          </w:p>
          <w:p w:rsidRPr="00792AB6" w:rsidR="00637B02" w:rsidP="00637B02" w:rsidRDefault="00637B02" w14:paraId="029FC06E" w14:textId="77777777">
            <w:pPr>
              <w:pStyle w:val="Lijstalinea"/>
              <w:numPr>
                <w:ilvl w:val="0"/>
                <w:numId w:val="27"/>
              </w:numPr>
              <w:autoSpaceDE w:val="0"/>
              <w:adjustRightInd w:val="0"/>
              <w:spacing w:line="240" w:lineRule="atLeast"/>
              <w:rPr>
                <w:b/>
                <w:bCs/>
              </w:rPr>
            </w:pPr>
            <w:r>
              <w:t xml:space="preserve">Voor iets minder dan de helft van de mensen met een BEWS geldt dat zij </w:t>
            </w:r>
            <w:r w:rsidR="00C63CA7">
              <w:t xml:space="preserve">in 2031 </w:t>
            </w:r>
            <w:r>
              <w:t>30 jaar HRA</w:t>
            </w:r>
            <w:r w:rsidR="00C63CA7">
              <w:t xml:space="preserve"> hebben genoten</w:t>
            </w:r>
            <w:r>
              <w:t xml:space="preserve"> en voor iets meer dan de helft geldt dat zij </w:t>
            </w:r>
            <w:r w:rsidR="00C63CA7">
              <w:t>in 2031</w:t>
            </w:r>
            <w:r>
              <w:t xml:space="preserve"> korter dan 30 jaar HRA hebben genoten (tussen de 18 en 29 jaar, gemiddeld 24 jaar).</w:t>
            </w:r>
            <w:r w:rsidRPr="00C63123">
              <w:t xml:space="preserve"> </w:t>
            </w:r>
          </w:p>
          <w:p w:rsidRPr="003125A5" w:rsidR="00637B02" w:rsidP="00637B02" w:rsidRDefault="00637B02" w14:paraId="45A5F4AE" w14:textId="77777777">
            <w:pPr>
              <w:spacing w:line="240" w:lineRule="atLeast"/>
              <w:ind w:left="360"/>
              <w:rPr>
                <w:b/>
                <w:bCs/>
              </w:rPr>
            </w:pPr>
          </w:p>
          <w:p w:rsidRPr="00EA7F2B" w:rsidR="00637B02" w:rsidP="00637B02" w:rsidRDefault="00637B02" w14:paraId="0AA8A450" w14:textId="77777777">
            <w:pPr>
              <w:pStyle w:val="Lijstalinea"/>
              <w:numPr>
                <w:ilvl w:val="0"/>
                <w:numId w:val="27"/>
              </w:numPr>
              <w:rPr>
                <w:b/>
                <w:bCs/>
              </w:rPr>
            </w:pPr>
            <w:r>
              <w:rPr>
                <w:rFonts w:eastAsia="Verdana" w:cs="Verdana"/>
              </w:rPr>
              <w:t>In veel gevallen zal de woning die als onderpand dient voor de BEWS in waarde (vanaf 2013) zijn gestegen. Daarnaast stijgen inkomens doorgaans ieder jaar terwijl de schuld nominaal gelijk blijft</w:t>
            </w:r>
            <w:r w:rsidR="004A710E">
              <w:rPr>
                <w:rFonts w:eastAsia="Verdana" w:cs="Verdana"/>
              </w:rPr>
              <w:t>.</w:t>
            </w:r>
          </w:p>
          <w:p w:rsidRPr="00544700" w:rsidR="00637B02" w:rsidP="00EA7F2B" w:rsidRDefault="00637B02" w14:paraId="02B4472A" w14:textId="77777777">
            <w:pPr>
              <w:rPr>
                <w:b/>
              </w:rPr>
            </w:pPr>
          </w:p>
        </w:tc>
      </w:tr>
      <w:tr w:rsidR="00637B02" w:rsidTr="00BF378C" w14:paraId="226B7066" w14:textId="77777777">
        <w:tc>
          <w:tcPr>
            <w:tcW w:w="7701" w:type="dxa"/>
            <w:gridSpan w:val="2"/>
          </w:tcPr>
          <w:p w:rsidRPr="00637B02" w:rsidR="00637B02" w:rsidP="00FF3304" w:rsidRDefault="00637B02" w14:paraId="748EB966" w14:textId="77777777">
            <w:pPr>
              <w:rPr>
                <w:b/>
                <w:bCs/>
              </w:rPr>
            </w:pPr>
            <w:r w:rsidRPr="00637B02">
              <w:rPr>
                <w:b/>
                <w:bCs/>
              </w:rPr>
              <w:t>Effecten</w:t>
            </w:r>
          </w:p>
        </w:tc>
      </w:tr>
      <w:tr w:rsidR="00637B02" w:rsidTr="00C52798" w14:paraId="2DFFA5EE" w14:textId="77777777">
        <w:tc>
          <w:tcPr>
            <w:tcW w:w="2387" w:type="dxa"/>
            <w:shd w:val="clear" w:color="auto" w:fill="DAE9F7" w:themeFill="text2" w:themeFillTint="1A"/>
          </w:tcPr>
          <w:p w:rsidRPr="00637B02" w:rsidR="00637B02" w:rsidP="00FF3304" w:rsidRDefault="00637B02" w14:paraId="0EC3B3BA" w14:textId="77777777">
            <w:pPr>
              <w:rPr>
                <w:b/>
                <w:bCs/>
              </w:rPr>
            </w:pPr>
            <w:r w:rsidRPr="00637B02">
              <w:rPr>
                <w:b/>
                <w:bCs/>
              </w:rPr>
              <w:lastRenderedPageBreak/>
              <w:t>(Macro)economische gevolgen</w:t>
            </w:r>
          </w:p>
        </w:tc>
        <w:tc>
          <w:tcPr>
            <w:tcW w:w="5314" w:type="dxa"/>
          </w:tcPr>
          <w:p w:rsidRPr="00792AB6" w:rsidR="00637B02" w:rsidP="00637B02" w:rsidRDefault="00637B02" w14:paraId="04D2A2AB" w14:textId="77777777">
            <w:pPr>
              <w:numPr>
                <w:ilvl w:val="0"/>
                <w:numId w:val="29"/>
              </w:numPr>
              <w:spacing w:line="259" w:lineRule="auto"/>
            </w:pPr>
            <w:bookmarkStart w:name="_Hlk218698070" w:id="64"/>
            <w:r w:rsidRPr="00792AB6">
              <w:t xml:space="preserve">Door het wegvallen van de </w:t>
            </w:r>
            <w:r>
              <w:t>HRA</w:t>
            </w:r>
            <w:r w:rsidRPr="00792AB6">
              <w:t xml:space="preserve"> wordt de leencapaciteit </w:t>
            </w:r>
            <w:r>
              <w:t xml:space="preserve">van </w:t>
            </w:r>
            <w:r w:rsidR="00690DAD">
              <w:t>een groep huishoudens iets lager.</w:t>
            </w:r>
          </w:p>
          <w:bookmarkEnd w:id="64"/>
          <w:p w:rsidRPr="0004333C" w:rsidR="00637B02" w:rsidP="00637B02" w:rsidRDefault="00637B02" w14:paraId="1FB72129" w14:textId="77777777">
            <w:pPr>
              <w:rPr>
                <w:rFonts w:cs="Verdana"/>
              </w:rPr>
            </w:pPr>
            <w:r w:rsidRPr="00147990">
              <w:t> </w:t>
            </w:r>
          </w:p>
          <w:p w:rsidR="00637B02" w:rsidP="00637B02" w:rsidRDefault="00637B02" w14:paraId="4F7FEDB9" w14:textId="77777777">
            <w:pPr>
              <w:pStyle w:val="Lijstalinea"/>
              <w:numPr>
                <w:ilvl w:val="0"/>
                <w:numId w:val="28"/>
              </w:numPr>
            </w:pPr>
            <w:r w:rsidRPr="72AF643E">
              <w:t xml:space="preserve">Met deze optie worden aflossingsvrije hypotheken per 1 januari 2031 niet verder gestimuleerd. Dit komt tegemoet aan kritiek van </w:t>
            </w:r>
            <w:r>
              <w:t>onder meer</w:t>
            </w:r>
            <w:r w:rsidRPr="72AF643E">
              <w:t xml:space="preserve"> </w:t>
            </w:r>
            <w:r>
              <w:t>het</w:t>
            </w:r>
            <w:r w:rsidRPr="72AF643E">
              <w:t xml:space="preserve"> IMF en </w:t>
            </w:r>
            <w:r>
              <w:t xml:space="preserve">toezichthouders </w:t>
            </w:r>
            <w:r w:rsidRPr="72AF643E">
              <w:t>ECB</w:t>
            </w:r>
            <w:r w:rsidR="0048497C">
              <w:t xml:space="preserve"> en </w:t>
            </w:r>
            <w:r>
              <w:t>DNB</w:t>
            </w:r>
            <w:r w:rsidRPr="72AF643E">
              <w:t>.</w:t>
            </w:r>
            <w:r>
              <w:t xml:space="preserve"> Zij hebben al lange tijd zorgen over de grote voorraad aflossingsvrije hypotheken in Nederland die een risico vormen voor huishoudens, kredietaanbieders en de economie</w:t>
            </w:r>
            <w:r w:rsidRPr="72AF643E">
              <w:t>.</w:t>
            </w:r>
          </w:p>
          <w:p w:rsidR="00637B02" w:rsidP="00EA7F2B" w:rsidRDefault="00637B02" w14:paraId="79CFA526" w14:textId="77777777">
            <w:pPr>
              <w:pStyle w:val="Lijstalinea"/>
            </w:pPr>
          </w:p>
        </w:tc>
      </w:tr>
      <w:tr w:rsidR="00637B02" w:rsidTr="00C52798" w14:paraId="3958A83E" w14:textId="77777777">
        <w:tc>
          <w:tcPr>
            <w:tcW w:w="2387" w:type="dxa"/>
          </w:tcPr>
          <w:p w:rsidRPr="00637B02" w:rsidR="00637B02" w:rsidP="00FF3304" w:rsidRDefault="00637B02" w14:paraId="438D7081" w14:textId="77777777">
            <w:pPr>
              <w:rPr>
                <w:b/>
                <w:bCs/>
              </w:rPr>
            </w:pPr>
            <w:r w:rsidRPr="00637B02">
              <w:rPr>
                <w:b/>
                <w:bCs/>
              </w:rPr>
              <w:t>Inkomenseffecten</w:t>
            </w:r>
          </w:p>
        </w:tc>
        <w:tc>
          <w:tcPr>
            <w:tcW w:w="5314" w:type="dxa"/>
          </w:tcPr>
          <w:p w:rsidR="00637B02" w:rsidP="00637B02" w:rsidRDefault="00637B02" w14:paraId="2421E4EC" w14:textId="77777777">
            <w:pPr>
              <w:numPr>
                <w:ilvl w:val="0"/>
                <w:numId w:val="29"/>
              </w:numPr>
              <w:spacing w:line="259" w:lineRule="auto"/>
            </w:pPr>
            <w:r w:rsidRPr="00792AB6">
              <w:t xml:space="preserve">Deze variant </w:t>
            </w:r>
            <w:r>
              <w:t>veroorzaakt</w:t>
            </w:r>
            <w:r w:rsidRPr="00792AB6">
              <w:t xml:space="preserve"> </w:t>
            </w:r>
            <w:r w:rsidR="00FE72C6">
              <w:t>(forse)</w:t>
            </w:r>
            <w:r w:rsidR="00781FEA">
              <w:t xml:space="preserve"> </w:t>
            </w:r>
            <w:r w:rsidRPr="00792AB6">
              <w:t xml:space="preserve">inkomenseffecten voor huishoudens met een </w:t>
            </w:r>
            <w:r w:rsidR="00FE72C6">
              <w:t>(</w:t>
            </w:r>
            <w:r w:rsidRPr="00792AB6">
              <w:t>hoge</w:t>
            </w:r>
            <w:r w:rsidR="00FE72C6">
              <w:t>)</w:t>
            </w:r>
            <w:r w:rsidRPr="00792AB6">
              <w:t xml:space="preserve"> </w:t>
            </w:r>
            <w:r>
              <w:t>BEWS</w:t>
            </w:r>
            <w:r w:rsidRPr="00792AB6">
              <w:t xml:space="preserve">. Door inkomensstijgingen in de afgelopen jaren zal de meerderheid van de huishoudens dit goed op kunnen vangen. </w:t>
            </w:r>
            <w:r>
              <w:t>De inschatting is</w:t>
            </w:r>
            <w:r w:rsidRPr="00792AB6">
              <w:t xml:space="preserve"> dat slechts een beperkte groep</w:t>
            </w:r>
            <w:r>
              <w:t xml:space="preserve"> huiseigenaren</w:t>
            </w:r>
            <w:r w:rsidRPr="00792AB6">
              <w:t xml:space="preserve"> (mogelijk) </w:t>
            </w:r>
            <w:r>
              <w:t>in de problemen komt. De tabel</w:t>
            </w:r>
            <w:r w:rsidR="00771E6F">
              <w:rPr>
                <w:rStyle w:val="Voetnootmarkering"/>
              </w:rPr>
              <w:footnoteReference w:id="45"/>
            </w:r>
            <w:r>
              <w:t xml:space="preserve"> geeft het aantal huishoudens dat boven de gehanteerde grens komt voor het financieringslastpercentage:</w:t>
            </w:r>
          </w:p>
          <w:p w:rsidR="00637B02" w:rsidP="00637B02" w:rsidRDefault="00637B02" w14:paraId="43580654" w14:textId="77777777">
            <w:pPr>
              <w:pStyle w:val="Lijstalinea"/>
            </w:pPr>
          </w:p>
          <w:tbl>
            <w:tblPr>
              <w:tblStyle w:val="Onopgemaaktetabel2"/>
              <w:tblW w:w="0" w:type="auto"/>
              <w:tblLook w:val="04A0" w:firstRow="1" w:lastRow="0" w:firstColumn="1" w:lastColumn="0" w:noHBand="0" w:noVBand="1"/>
            </w:tblPr>
            <w:tblGrid>
              <w:gridCol w:w="1615"/>
              <w:gridCol w:w="1565"/>
              <w:gridCol w:w="1565"/>
            </w:tblGrid>
            <w:tr w:rsidRPr="007766FB" w:rsidR="00637B02" w:rsidTr="00BF378C" w14:paraId="3BC302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Pr="00846FCD" w:rsidR="00637B02" w:rsidP="00637B02" w:rsidRDefault="00637B02" w14:paraId="22F7A121" w14:textId="77777777">
                  <w:pPr>
                    <w:rPr>
                      <w:lang w:val="nl-NL"/>
                    </w:rPr>
                  </w:pPr>
                </w:p>
              </w:tc>
              <w:tc>
                <w:tcPr>
                  <w:tcW w:w="1565" w:type="dxa"/>
                </w:tcPr>
                <w:p w:rsidRPr="007766FB" w:rsidR="00637B02" w:rsidP="00637B02" w:rsidRDefault="00637B02" w14:paraId="10ED35F3" w14:textId="77777777">
                  <w:pPr>
                    <w:cnfStyle w:val="100000000000" w:firstRow="1" w:lastRow="0" w:firstColumn="0" w:lastColumn="0" w:oddVBand="0" w:evenVBand="0" w:oddHBand="0" w:evenHBand="0" w:firstRowFirstColumn="0" w:firstRowLastColumn="0" w:lastRowFirstColumn="0" w:lastRowLastColumn="0"/>
                  </w:pPr>
                  <w:r w:rsidRPr="007766FB">
                    <w:t>&gt;25%</w:t>
                  </w:r>
                  <w:r>
                    <w:rPr>
                      <w:rStyle w:val="Voetnootmarkering"/>
                    </w:rPr>
                    <w:footnoteReference w:id="46"/>
                  </w:r>
                  <w:r w:rsidRPr="007766FB">
                    <w:t xml:space="preserve"> </w:t>
                  </w:r>
                </w:p>
              </w:tc>
              <w:tc>
                <w:tcPr>
                  <w:tcW w:w="1565" w:type="dxa"/>
                </w:tcPr>
                <w:p w:rsidRPr="007766FB" w:rsidR="00637B02" w:rsidP="00637B02" w:rsidRDefault="00637B02" w14:paraId="773B5F46" w14:textId="77777777">
                  <w:pPr>
                    <w:cnfStyle w:val="100000000000" w:firstRow="1" w:lastRow="0" w:firstColumn="0" w:lastColumn="0" w:oddVBand="0" w:evenVBand="0" w:oddHBand="0" w:evenHBand="0" w:firstRowFirstColumn="0" w:firstRowLastColumn="0" w:lastRowFirstColumn="0" w:lastRowLastColumn="0"/>
                  </w:pPr>
                  <w:r w:rsidRPr="007766FB">
                    <w:t>&gt;35%</w:t>
                  </w:r>
                  <w:r>
                    <w:rPr>
                      <w:rStyle w:val="Voetnootmarkering"/>
                    </w:rPr>
                    <w:footnoteReference w:id="47"/>
                  </w:r>
                </w:p>
              </w:tc>
            </w:tr>
            <w:tr w:rsidR="00637B02" w:rsidTr="00BF378C" w14:paraId="3F2E8E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Pr="007766FB" w:rsidR="00637B02" w:rsidP="00637B02" w:rsidRDefault="00637B02" w14:paraId="435254B8" w14:textId="77777777">
                  <w:proofErr w:type="spellStart"/>
                  <w:r w:rsidRPr="007766FB">
                    <w:t>Basispad</w:t>
                  </w:r>
                  <w:proofErr w:type="spellEnd"/>
                </w:p>
              </w:tc>
              <w:tc>
                <w:tcPr>
                  <w:tcW w:w="1565" w:type="dxa"/>
                </w:tcPr>
                <w:p w:rsidR="00637B02" w:rsidP="00637B02" w:rsidRDefault="00637B02" w14:paraId="4888EEA9" w14:textId="77777777">
                  <w:pPr>
                    <w:cnfStyle w:val="000000100000" w:firstRow="0" w:lastRow="0" w:firstColumn="0" w:lastColumn="0" w:oddVBand="0" w:evenVBand="0" w:oddHBand="1" w:evenHBand="0" w:firstRowFirstColumn="0" w:firstRowLastColumn="0" w:lastRowFirstColumn="0" w:lastRowLastColumn="0"/>
                  </w:pPr>
                  <w:r>
                    <w:t>23.500</w:t>
                  </w:r>
                </w:p>
              </w:tc>
              <w:tc>
                <w:tcPr>
                  <w:tcW w:w="1565" w:type="dxa"/>
                </w:tcPr>
                <w:p w:rsidR="00637B02" w:rsidP="00637B02" w:rsidRDefault="00637B02" w14:paraId="48389EBD" w14:textId="77777777">
                  <w:pPr>
                    <w:cnfStyle w:val="000000100000" w:firstRow="0" w:lastRow="0" w:firstColumn="0" w:lastColumn="0" w:oddVBand="0" w:evenVBand="0" w:oddHBand="1" w:evenHBand="0" w:firstRowFirstColumn="0" w:firstRowLastColumn="0" w:lastRowFirstColumn="0" w:lastRowLastColumn="0"/>
                  </w:pPr>
                  <w:r>
                    <w:t>4.500</w:t>
                  </w:r>
                </w:p>
              </w:tc>
            </w:tr>
            <w:tr w:rsidR="00637B02" w:rsidTr="00BF378C" w14:paraId="087B752B" w14:textId="77777777">
              <w:tc>
                <w:tcPr>
                  <w:cnfStyle w:val="001000000000" w:firstRow="0" w:lastRow="0" w:firstColumn="1" w:lastColumn="0" w:oddVBand="0" w:evenVBand="0" w:oddHBand="0" w:evenHBand="0" w:firstRowFirstColumn="0" w:firstRowLastColumn="0" w:lastRowFirstColumn="0" w:lastRowLastColumn="0"/>
                  <w:tcW w:w="1615" w:type="dxa"/>
                </w:tcPr>
                <w:p w:rsidRPr="007766FB" w:rsidR="00637B02" w:rsidP="00637B02" w:rsidRDefault="00637B02" w14:paraId="7813318A" w14:textId="77777777">
                  <w:r w:rsidRPr="007766FB">
                    <w:t>Fiche 1A</w:t>
                  </w:r>
                </w:p>
              </w:tc>
              <w:tc>
                <w:tcPr>
                  <w:tcW w:w="1565" w:type="dxa"/>
                </w:tcPr>
                <w:p w:rsidR="00637B02" w:rsidP="00637B02" w:rsidRDefault="00637B02" w14:paraId="13607F9C" w14:textId="77777777">
                  <w:pPr>
                    <w:cnfStyle w:val="000000000000" w:firstRow="0" w:lastRow="0" w:firstColumn="0" w:lastColumn="0" w:oddVBand="0" w:evenVBand="0" w:oddHBand="0" w:evenHBand="0" w:firstRowFirstColumn="0" w:firstRowLastColumn="0" w:lastRowFirstColumn="0" w:lastRowLastColumn="0"/>
                  </w:pPr>
                  <w:r>
                    <w:t>57.000</w:t>
                  </w:r>
                </w:p>
              </w:tc>
              <w:tc>
                <w:tcPr>
                  <w:tcW w:w="1565" w:type="dxa"/>
                </w:tcPr>
                <w:p w:rsidR="00637B02" w:rsidP="00637B02" w:rsidRDefault="00637B02" w14:paraId="780C3C8A" w14:textId="77777777">
                  <w:pPr>
                    <w:cnfStyle w:val="000000000000" w:firstRow="0" w:lastRow="0" w:firstColumn="0" w:lastColumn="0" w:oddVBand="0" w:evenVBand="0" w:oddHBand="0" w:evenHBand="0" w:firstRowFirstColumn="0" w:firstRowLastColumn="0" w:lastRowFirstColumn="0" w:lastRowLastColumn="0"/>
                  </w:pPr>
                  <w:r>
                    <w:t>11.500</w:t>
                  </w:r>
                </w:p>
              </w:tc>
            </w:tr>
            <w:tr w:rsidR="00637B02" w:rsidTr="00690DAD" w14:paraId="7E5A73DA" w14:textId="7777777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615" w:type="dxa"/>
                </w:tcPr>
                <w:p w:rsidRPr="007766FB" w:rsidR="00637B02" w:rsidP="00637B02" w:rsidRDefault="00637B02" w14:paraId="034AAFFE" w14:textId="77777777">
                  <w:proofErr w:type="spellStart"/>
                  <w:r w:rsidRPr="007766FB">
                    <w:t>Toename</w:t>
                  </w:r>
                  <w:proofErr w:type="spellEnd"/>
                </w:p>
              </w:tc>
              <w:tc>
                <w:tcPr>
                  <w:tcW w:w="1565" w:type="dxa"/>
                </w:tcPr>
                <w:p w:rsidR="00637B02" w:rsidP="00637B02" w:rsidRDefault="00637B02" w14:paraId="634E4DAE" w14:textId="77777777">
                  <w:pPr>
                    <w:cnfStyle w:val="000000100000" w:firstRow="0" w:lastRow="0" w:firstColumn="0" w:lastColumn="0" w:oddVBand="0" w:evenVBand="0" w:oddHBand="1" w:evenHBand="0" w:firstRowFirstColumn="0" w:firstRowLastColumn="0" w:lastRowFirstColumn="0" w:lastRowLastColumn="0"/>
                  </w:pPr>
                  <w:r>
                    <w:t>+ 33.500</w:t>
                  </w:r>
                </w:p>
              </w:tc>
              <w:tc>
                <w:tcPr>
                  <w:tcW w:w="1565" w:type="dxa"/>
                </w:tcPr>
                <w:p w:rsidR="00637B02" w:rsidP="00637B02" w:rsidRDefault="00637B02" w14:paraId="4E070512" w14:textId="77777777">
                  <w:pPr>
                    <w:cnfStyle w:val="000000100000" w:firstRow="0" w:lastRow="0" w:firstColumn="0" w:lastColumn="0" w:oddVBand="0" w:evenVBand="0" w:oddHBand="1" w:evenHBand="0" w:firstRowFirstColumn="0" w:firstRowLastColumn="0" w:lastRowFirstColumn="0" w:lastRowLastColumn="0"/>
                  </w:pPr>
                  <w:r>
                    <w:t>+7.000</w:t>
                  </w:r>
                </w:p>
              </w:tc>
            </w:tr>
          </w:tbl>
          <w:p w:rsidR="00637B02" w:rsidP="00637B02" w:rsidRDefault="00637B02" w14:paraId="6F1B7D1C" w14:textId="77777777">
            <w:pPr>
              <w:pStyle w:val="Lijstalinea"/>
            </w:pPr>
          </w:p>
          <w:p w:rsidR="00637B02" w:rsidP="00637B02" w:rsidRDefault="00637B02" w14:paraId="0C9B9263" w14:textId="77777777">
            <w:pPr>
              <w:pStyle w:val="Lijstalinea"/>
              <w:numPr>
                <w:ilvl w:val="0"/>
                <w:numId w:val="28"/>
              </w:numPr>
            </w:pPr>
            <w:r>
              <w:t>Voor een groep belastingplichtigen met een spaarhypotheek vallen de best renderende jaren weg. Dat leidt mogelijk tot aanzienlijk hogere maandlasten voor deze groep.</w:t>
            </w:r>
          </w:p>
          <w:p w:rsidR="00637B02" w:rsidP="00637B02" w:rsidRDefault="00637B02" w14:paraId="474B9324" w14:textId="77777777">
            <w:pPr>
              <w:pStyle w:val="Lijstalinea"/>
            </w:pPr>
          </w:p>
        </w:tc>
      </w:tr>
      <w:tr w:rsidR="00637B02" w:rsidTr="00C52798" w14:paraId="3404749C" w14:textId="77777777">
        <w:tc>
          <w:tcPr>
            <w:tcW w:w="2387" w:type="dxa"/>
            <w:shd w:val="clear" w:color="auto" w:fill="DAE9F7" w:themeFill="text2" w:themeFillTint="1A"/>
          </w:tcPr>
          <w:p w:rsidRPr="00637B02" w:rsidR="00637B02" w:rsidP="00FF3304" w:rsidRDefault="00637B02" w14:paraId="193B1609" w14:textId="77777777">
            <w:pPr>
              <w:rPr>
                <w:b/>
                <w:bCs/>
              </w:rPr>
            </w:pPr>
            <w:r w:rsidRPr="00637B02">
              <w:rPr>
                <w:b/>
                <w:bCs/>
              </w:rPr>
              <w:t>Budgettair</w:t>
            </w:r>
          </w:p>
        </w:tc>
        <w:tc>
          <w:tcPr>
            <w:tcW w:w="5314" w:type="dxa"/>
          </w:tcPr>
          <w:p w:rsidR="00637B02" w:rsidP="00637B02" w:rsidRDefault="00637B02" w14:paraId="0AC92400" w14:textId="77777777">
            <w:pPr>
              <w:pStyle w:val="Lijstalinea"/>
              <w:numPr>
                <w:ilvl w:val="0"/>
                <w:numId w:val="28"/>
              </w:numPr>
              <w:spacing w:line="240" w:lineRule="atLeast"/>
            </w:pPr>
            <w:r>
              <w:t xml:space="preserve">Deze maatregel leidt tot een jaarlijkse budgettaire opbrengst ten opzichte van het </w:t>
            </w:r>
            <w:proofErr w:type="spellStart"/>
            <w:r>
              <w:t>basispad</w:t>
            </w:r>
            <w:proofErr w:type="spellEnd"/>
            <w:r>
              <w:t xml:space="preserve">. </w:t>
            </w:r>
            <w:r w:rsidRPr="00656014">
              <w:t xml:space="preserve">Door </w:t>
            </w:r>
            <w:r>
              <w:t>ingang van de maatregel per</w:t>
            </w:r>
            <w:r w:rsidRPr="00656014">
              <w:t xml:space="preserve"> 2031 kunnen </w:t>
            </w:r>
            <w:r>
              <w:t>BEWS-leningen</w:t>
            </w:r>
            <w:r w:rsidRPr="00656014">
              <w:t xml:space="preserve"> afgesloten in de periode 2001-2012 geen 30 jaar profiteren van </w:t>
            </w:r>
            <w:r>
              <w:t>HRA</w:t>
            </w:r>
            <w:r w:rsidRPr="00656014">
              <w:t>.</w:t>
            </w:r>
            <w:r>
              <w:t xml:space="preserve"> De opbrengst bedraagt 3,8 miljard in 2031 en neemt geleidelijk af tot het structurele niveau van 0 euro wordt bereikt in 2043. Vanaf dat moment zou ook in het </w:t>
            </w:r>
            <w:proofErr w:type="spellStart"/>
            <w:r>
              <w:t>basispad</w:t>
            </w:r>
            <w:proofErr w:type="spellEnd"/>
            <w:r>
              <w:t xml:space="preserve"> de 30-jaarstermijn zijn verstreken voor alle BEWS.</w:t>
            </w:r>
          </w:p>
          <w:p w:rsidR="00637B02" w:rsidP="00690DAD" w:rsidRDefault="00637B02" w14:paraId="6176C779" w14:textId="77777777">
            <w:pPr>
              <w:pStyle w:val="Lijstalinea"/>
            </w:pPr>
          </w:p>
          <w:p w:rsidRPr="00E46673" w:rsidR="00690DAD" w:rsidP="00690DAD" w:rsidRDefault="00690DAD" w14:paraId="24CF64FE" w14:textId="77777777">
            <w:pPr>
              <w:spacing w:after="255" w:line="240" w:lineRule="atLeast"/>
              <w:contextualSpacing/>
              <w:rPr>
                <w:b/>
                <w:bCs/>
                <w:sz w:val="16"/>
                <w:szCs w:val="16"/>
              </w:rPr>
            </w:pPr>
            <w:r w:rsidRPr="00E46673">
              <w:rPr>
                <w:b/>
                <w:bCs/>
                <w:sz w:val="16"/>
                <w:szCs w:val="16"/>
              </w:rPr>
              <w:t>Budgettair effect maatregel (x miljoen</w:t>
            </w:r>
            <w:r>
              <w:rPr>
                <w:b/>
                <w:bCs/>
                <w:sz w:val="16"/>
                <w:szCs w:val="16"/>
              </w:rPr>
              <w:t xml:space="preserve"> euro</w:t>
            </w:r>
            <w:r w:rsidRPr="00E46673">
              <w:rPr>
                <w:b/>
                <w:bCs/>
                <w:sz w:val="16"/>
                <w:szCs w:val="16"/>
              </w:rPr>
              <w:t>)</w:t>
            </w:r>
            <w:r w:rsidR="00771E6F">
              <w:rPr>
                <w:rStyle w:val="Voetnootmarkering"/>
                <w:b/>
                <w:bCs/>
                <w:sz w:val="16"/>
                <w:szCs w:val="16"/>
              </w:rPr>
              <w:footnoteReference w:id="48"/>
            </w:r>
          </w:p>
          <w:tbl>
            <w:tblPr>
              <w:tblStyle w:val="Onopgemaaktetabel2"/>
              <w:tblW w:w="0" w:type="auto"/>
              <w:tblLook w:val="04A0" w:firstRow="1" w:lastRow="0" w:firstColumn="1" w:lastColumn="0" w:noHBand="0" w:noVBand="1"/>
            </w:tblPr>
            <w:tblGrid>
              <w:gridCol w:w="775"/>
              <w:gridCol w:w="742"/>
              <w:gridCol w:w="742"/>
              <w:gridCol w:w="742"/>
              <w:gridCol w:w="742"/>
              <w:gridCol w:w="748"/>
              <w:gridCol w:w="813"/>
            </w:tblGrid>
            <w:tr w:rsidRPr="00E46673" w:rsidR="00690DAD" w:rsidTr="001D71AF" w14:paraId="234C2B40" w14:textId="777777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75" w:type="dxa"/>
                </w:tcPr>
                <w:p w:rsidRPr="00D6070F" w:rsidR="00690DAD" w:rsidP="00690DAD" w:rsidRDefault="00690DAD" w14:paraId="43623DAA" w14:textId="77777777">
                  <w:pPr>
                    <w:spacing w:after="255" w:line="240" w:lineRule="atLeast"/>
                    <w:contextualSpacing/>
                    <w:jc w:val="center"/>
                    <w:rPr>
                      <w:sz w:val="16"/>
                      <w:szCs w:val="16"/>
                      <w:lang w:val="fr-FR"/>
                    </w:rPr>
                  </w:pPr>
                  <w:r w:rsidRPr="00D6070F">
                    <w:rPr>
                      <w:sz w:val="16"/>
                      <w:szCs w:val="16"/>
                      <w:lang w:val="fr-FR"/>
                    </w:rPr>
                    <w:t>2031</w:t>
                  </w:r>
                </w:p>
              </w:tc>
              <w:tc>
                <w:tcPr>
                  <w:tcW w:w="742" w:type="dxa"/>
                </w:tcPr>
                <w:p w:rsidRPr="00D6070F" w:rsidR="00690DAD" w:rsidP="00690DAD" w:rsidRDefault="00690DAD" w14:paraId="2AE470FC"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2032</w:t>
                  </w:r>
                </w:p>
              </w:tc>
              <w:tc>
                <w:tcPr>
                  <w:tcW w:w="742" w:type="dxa"/>
                </w:tcPr>
                <w:p w:rsidRPr="00D6070F" w:rsidR="00690DAD" w:rsidP="00690DAD" w:rsidRDefault="00690DAD" w14:paraId="18CF3F4D"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2033</w:t>
                  </w:r>
                </w:p>
              </w:tc>
              <w:tc>
                <w:tcPr>
                  <w:tcW w:w="742" w:type="dxa"/>
                </w:tcPr>
                <w:p w:rsidRPr="00D6070F" w:rsidR="00690DAD" w:rsidP="00690DAD" w:rsidRDefault="00690DAD" w14:paraId="61BC38F3"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2034</w:t>
                  </w:r>
                </w:p>
              </w:tc>
              <w:tc>
                <w:tcPr>
                  <w:tcW w:w="742" w:type="dxa"/>
                </w:tcPr>
                <w:p w:rsidRPr="00D6070F" w:rsidR="00690DAD" w:rsidP="00690DAD" w:rsidRDefault="00690DAD" w14:paraId="0CE1A32A"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2035</w:t>
                  </w:r>
                </w:p>
              </w:tc>
              <w:tc>
                <w:tcPr>
                  <w:tcW w:w="748" w:type="dxa"/>
                </w:tcPr>
                <w:p w:rsidRPr="00D6070F" w:rsidR="00690DAD" w:rsidP="00690DAD" w:rsidRDefault="00690DAD" w14:paraId="473D306A"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2036</w:t>
                  </w:r>
                </w:p>
              </w:tc>
              <w:tc>
                <w:tcPr>
                  <w:tcW w:w="813" w:type="dxa"/>
                </w:tcPr>
                <w:p w:rsidRPr="00D6070F" w:rsidR="00690DAD" w:rsidP="00690DAD" w:rsidRDefault="00690DAD" w14:paraId="11772827"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2037</w:t>
                  </w:r>
                </w:p>
              </w:tc>
            </w:tr>
            <w:tr w:rsidRPr="00E46673" w:rsidR="001D71AF" w:rsidTr="001D71AF" w14:paraId="100123CF"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75" w:type="dxa"/>
                </w:tcPr>
                <w:p w:rsidRPr="001D71AF" w:rsidR="001D71AF" w:rsidP="001D71AF" w:rsidRDefault="001D71AF" w14:paraId="3C23E9E0" w14:textId="77777777">
                  <w:pPr>
                    <w:spacing w:after="255" w:line="240" w:lineRule="atLeast"/>
                    <w:contextualSpacing/>
                    <w:jc w:val="center"/>
                    <w:rPr>
                      <w:b w:val="0"/>
                      <w:bCs w:val="0"/>
                      <w:sz w:val="16"/>
                      <w:szCs w:val="16"/>
                      <w:lang w:val="fr-FR"/>
                    </w:rPr>
                  </w:pPr>
                  <w:r w:rsidRPr="001D71AF">
                    <w:rPr>
                      <w:b w:val="0"/>
                      <w:bCs w:val="0"/>
                      <w:sz w:val="16"/>
                      <w:szCs w:val="16"/>
                    </w:rPr>
                    <w:lastRenderedPageBreak/>
                    <w:t xml:space="preserve">3.402 </w:t>
                  </w:r>
                </w:p>
              </w:tc>
              <w:tc>
                <w:tcPr>
                  <w:tcW w:w="742" w:type="dxa"/>
                </w:tcPr>
                <w:p w:rsidRPr="001D71AF" w:rsidR="001D71AF" w:rsidP="001D71AF" w:rsidRDefault="001D71AF" w14:paraId="48D015FC"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2.449 </w:t>
                  </w:r>
                </w:p>
              </w:tc>
              <w:tc>
                <w:tcPr>
                  <w:tcW w:w="742" w:type="dxa"/>
                </w:tcPr>
                <w:p w:rsidRPr="001D71AF" w:rsidR="001D71AF" w:rsidP="001D71AF" w:rsidRDefault="001D71AF" w14:paraId="71E835B1"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2.250 </w:t>
                  </w:r>
                </w:p>
              </w:tc>
              <w:tc>
                <w:tcPr>
                  <w:tcW w:w="742" w:type="dxa"/>
                </w:tcPr>
                <w:p w:rsidRPr="001D71AF" w:rsidR="001D71AF" w:rsidP="001D71AF" w:rsidRDefault="001D71AF" w14:paraId="7460BCA3"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2.020 </w:t>
                  </w:r>
                </w:p>
              </w:tc>
              <w:tc>
                <w:tcPr>
                  <w:tcW w:w="742" w:type="dxa"/>
                </w:tcPr>
                <w:p w:rsidRPr="001D71AF" w:rsidR="001D71AF" w:rsidP="001D71AF" w:rsidRDefault="001D71AF" w14:paraId="3E31A470"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1.775 </w:t>
                  </w:r>
                </w:p>
              </w:tc>
              <w:tc>
                <w:tcPr>
                  <w:tcW w:w="748" w:type="dxa"/>
                </w:tcPr>
                <w:p w:rsidRPr="001D71AF" w:rsidR="001D71AF" w:rsidP="001D71AF" w:rsidRDefault="001D71AF" w14:paraId="117E33D5"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1.456 </w:t>
                  </w:r>
                </w:p>
              </w:tc>
              <w:tc>
                <w:tcPr>
                  <w:tcW w:w="813" w:type="dxa"/>
                </w:tcPr>
                <w:p w:rsidRPr="001D71AF" w:rsidR="001D71AF" w:rsidP="001D71AF" w:rsidRDefault="001D71AF" w14:paraId="31972F5F"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1.124 </w:t>
                  </w:r>
                </w:p>
              </w:tc>
            </w:tr>
            <w:tr w:rsidRPr="00E46673" w:rsidR="00690DAD" w:rsidTr="001D71AF" w14:paraId="425AF7BA" w14:textId="77777777">
              <w:trPr>
                <w:trHeight w:val="284"/>
              </w:trPr>
              <w:tc>
                <w:tcPr>
                  <w:cnfStyle w:val="001000000000" w:firstRow="0" w:lastRow="0" w:firstColumn="1" w:lastColumn="0" w:oddVBand="0" w:evenVBand="0" w:oddHBand="0" w:evenHBand="0" w:firstRowFirstColumn="0" w:firstRowLastColumn="0" w:lastRowFirstColumn="0" w:lastRowLastColumn="0"/>
                  <w:tcW w:w="775" w:type="dxa"/>
                </w:tcPr>
                <w:p w:rsidRPr="00D6070F" w:rsidR="00690DAD" w:rsidP="00690DAD" w:rsidRDefault="00690DAD" w14:paraId="16C77CF1" w14:textId="77777777">
                  <w:pPr>
                    <w:spacing w:after="255" w:line="240" w:lineRule="atLeast"/>
                    <w:contextualSpacing/>
                    <w:jc w:val="center"/>
                    <w:rPr>
                      <w:sz w:val="16"/>
                      <w:szCs w:val="16"/>
                      <w:lang w:val="fr-FR"/>
                    </w:rPr>
                  </w:pPr>
                  <w:r w:rsidRPr="00D6070F">
                    <w:rPr>
                      <w:sz w:val="16"/>
                      <w:szCs w:val="16"/>
                      <w:lang w:val="fr-FR"/>
                    </w:rPr>
                    <w:t>2038</w:t>
                  </w:r>
                </w:p>
              </w:tc>
              <w:tc>
                <w:tcPr>
                  <w:tcW w:w="742" w:type="dxa"/>
                </w:tcPr>
                <w:p w:rsidRPr="00D6070F" w:rsidR="00690DAD" w:rsidP="00690DAD" w:rsidRDefault="00690DAD" w14:paraId="7E10DAA0"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2039</w:t>
                  </w:r>
                </w:p>
              </w:tc>
              <w:tc>
                <w:tcPr>
                  <w:tcW w:w="742" w:type="dxa"/>
                </w:tcPr>
                <w:p w:rsidRPr="00D6070F" w:rsidR="00690DAD" w:rsidP="00690DAD" w:rsidRDefault="00690DAD" w14:paraId="67A02B5A"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2040</w:t>
                  </w:r>
                </w:p>
              </w:tc>
              <w:tc>
                <w:tcPr>
                  <w:tcW w:w="742" w:type="dxa"/>
                </w:tcPr>
                <w:p w:rsidRPr="00D6070F" w:rsidR="00690DAD" w:rsidP="00690DAD" w:rsidRDefault="00690DAD" w14:paraId="06AC0606"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2041</w:t>
                  </w:r>
                </w:p>
              </w:tc>
              <w:tc>
                <w:tcPr>
                  <w:tcW w:w="742" w:type="dxa"/>
                </w:tcPr>
                <w:p w:rsidRPr="00D6070F" w:rsidR="00690DAD" w:rsidP="00690DAD" w:rsidRDefault="00690DAD" w14:paraId="106FBDFE"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2042</w:t>
                  </w:r>
                </w:p>
              </w:tc>
              <w:tc>
                <w:tcPr>
                  <w:tcW w:w="748" w:type="dxa"/>
                </w:tcPr>
                <w:p w:rsidRPr="00D6070F" w:rsidR="00690DAD" w:rsidP="00690DAD" w:rsidRDefault="00690DAD" w14:paraId="29D87A63"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proofErr w:type="spellStart"/>
                  <w:r w:rsidRPr="00D6070F">
                    <w:rPr>
                      <w:b/>
                      <w:bCs/>
                      <w:sz w:val="16"/>
                      <w:szCs w:val="16"/>
                      <w:lang w:val="fr-FR"/>
                    </w:rPr>
                    <w:t>Struc</w:t>
                  </w:r>
                  <w:proofErr w:type="spellEnd"/>
                </w:p>
              </w:tc>
              <w:tc>
                <w:tcPr>
                  <w:tcW w:w="813" w:type="dxa"/>
                </w:tcPr>
                <w:p w:rsidRPr="00D6070F" w:rsidR="00690DAD" w:rsidP="00690DAD" w:rsidRDefault="00690DAD" w14:paraId="70DBFBE2"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Cum</w:t>
                  </w:r>
                </w:p>
              </w:tc>
            </w:tr>
            <w:tr w:rsidRPr="00E46673" w:rsidR="001D71AF" w:rsidTr="001D71AF" w14:paraId="713319A0"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75" w:type="dxa"/>
                </w:tcPr>
                <w:p w:rsidRPr="001D71AF" w:rsidR="001D71AF" w:rsidP="001D71AF" w:rsidRDefault="001D71AF" w14:paraId="36DE6054" w14:textId="77777777">
                  <w:pPr>
                    <w:spacing w:after="255" w:line="240" w:lineRule="atLeast"/>
                    <w:contextualSpacing/>
                    <w:jc w:val="center"/>
                    <w:rPr>
                      <w:b w:val="0"/>
                      <w:bCs w:val="0"/>
                      <w:sz w:val="16"/>
                      <w:szCs w:val="16"/>
                      <w:lang w:val="fr-FR"/>
                    </w:rPr>
                  </w:pPr>
                  <w:r w:rsidRPr="001D71AF">
                    <w:rPr>
                      <w:b w:val="0"/>
                      <w:bCs w:val="0"/>
                      <w:sz w:val="16"/>
                      <w:szCs w:val="16"/>
                    </w:rPr>
                    <w:t xml:space="preserve">847 </w:t>
                  </w:r>
                </w:p>
              </w:tc>
              <w:tc>
                <w:tcPr>
                  <w:tcW w:w="742" w:type="dxa"/>
                </w:tcPr>
                <w:p w:rsidRPr="001D71AF" w:rsidR="001D71AF" w:rsidP="001D71AF" w:rsidRDefault="001D71AF" w14:paraId="0C22547B"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604 </w:t>
                  </w:r>
                </w:p>
              </w:tc>
              <w:tc>
                <w:tcPr>
                  <w:tcW w:w="742" w:type="dxa"/>
                </w:tcPr>
                <w:p w:rsidRPr="001D71AF" w:rsidR="001D71AF" w:rsidP="001D71AF" w:rsidRDefault="001D71AF" w14:paraId="1C0F9D9F"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434 </w:t>
                  </w:r>
                </w:p>
              </w:tc>
              <w:tc>
                <w:tcPr>
                  <w:tcW w:w="742" w:type="dxa"/>
                </w:tcPr>
                <w:p w:rsidRPr="001D71AF" w:rsidR="001D71AF" w:rsidP="001D71AF" w:rsidRDefault="001D71AF" w14:paraId="1E1E9350"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285 </w:t>
                  </w:r>
                </w:p>
              </w:tc>
              <w:tc>
                <w:tcPr>
                  <w:tcW w:w="742" w:type="dxa"/>
                </w:tcPr>
                <w:p w:rsidRPr="001D71AF" w:rsidR="001D71AF" w:rsidP="001D71AF" w:rsidRDefault="001D71AF" w14:paraId="16062088"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149 </w:t>
                  </w:r>
                </w:p>
              </w:tc>
              <w:tc>
                <w:tcPr>
                  <w:tcW w:w="748" w:type="dxa"/>
                </w:tcPr>
                <w:p w:rsidRPr="00D6070F" w:rsidR="001D71AF" w:rsidP="001D71AF" w:rsidRDefault="001D71AF" w14:paraId="041ACB4A"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D6070F">
                    <w:rPr>
                      <w:sz w:val="16"/>
                      <w:szCs w:val="16"/>
                      <w:lang w:val="fr-FR"/>
                    </w:rPr>
                    <w:t>0</w:t>
                  </w:r>
                </w:p>
              </w:tc>
              <w:tc>
                <w:tcPr>
                  <w:tcW w:w="813" w:type="dxa"/>
                </w:tcPr>
                <w:p w:rsidRPr="00D6070F" w:rsidR="001D71AF" w:rsidP="001D71AF" w:rsidRDefault="001D71AF" w14:paraId="12F58D1C"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D6070F">
                    <w:rPr>
                      <w:sz w:val="16"/>
                      <w:szCs w:val="16"/>
                      <w:lang w:val="fr-FR"/>
                    </w:rPr>
                    <w:t>1</w:t>
                  </w:r>
                  <w:r>
                    <w:rPr>
                      <w:sz w:val="16"/>
                      <w:szCs w:val="16"/>
                      <w:lang w:val="fr-FR"/>
                    </w:rPr>
                    <w:t>6</w:t>
                  </w:r>
                  <w:r w:rsidRPr="00D6070F">
                    <w:rPr>
                      <w:sz w:val="16"/>
                      <w:szCs w:val="16"/>
                      <w:lang w:val="fr-FR"/>
                    </w:rPr>
                    <w:t>.7</w:t>
                  </w:r>
                  <w:r>
                    <w:rPr>
                      <w:sz w:val="16"/>
                      <w:szCs w:val="16"/>
                      <w:lang w:val="fr-FR"/>
                    </w:rPr>
                    <w:t>95</w:t>
                  </w:r>
                </w:p>
              </w:tc>
            </w:tr>
          </w:tbl>
          <w:p w:rsidR="00690DAD" w:rsidP="00690DAD" w:rsidRDefault="00690DAD" w14:paraId="506B00A4" w14:textId="77777777"/>
        </w:tc>
      </w:tr>
      <w:tr w:rsidR="00637B02" w:rsidTr="00C52798" w14:paraId="1D87B686" w14:textId="77777777">
        <w:tc>
          <w:tcPr>
            <w:tcW w:w="2387" w:type="dxa"/>
          </w:tcPr>
          <w:p w:rsidRPr="00637B02" w:rsidR="00637B02" w:rsidP="00FF3304" w:rsidRDefault="00637B02" w14:paraId="29FA6721" w14:textId="77777777">
            <w:pPr>
              <w:rPr>
                <w:b/>
                <w:bCs/>
              </w:rPr>
            </w:pPr>
            <w:proofErr w:type="spellStart"/>
            <w:r w:rsidRPr="00637B02">
              <w:rPr>
                <w:b/>
                <w:bCs/>
              </w:rPr>
              <w:lastRenderedPageBreak/>
              <w:t>Doenvermogen</w:t>
            </w:r>
            <w:proofErr w:type="spellEnd"/>
            <w:r w:rsidRPr="00637B02">
              <w:rPr>
                <w:b/>
                <w:bCs/>
              </w:rPr>
              <w:t xml:space="preserve"> en administratieve lasten</w:t>
            </w:r>
          </w:p>
        </w:tc>
        <w:tc>
          <w:tcPr>
            <w:tcW w:w="5314" w:type="dxa"/>
          </w:tcPr>
          <w:p w:rsidR="00690DAD" w:rsidP="00690DAD" w:rsidRDefault="00690DAD" w14:paraId="06532A65" w14:textId="77777777">
            <w:pPr>
              <w:pStyle w:val="Lijstalinea"/>
              <w:numPr>
                <w:ilvl w:val="0"/>
                <w:numId w:val="30"/>
              </w:numPr>
              <w:spacing w:line="240" w:lineRule="atLeast"/>
            </w:pPr>
            <w:r w:rsidRPr="72AF643E">
              <w:t xml:space="preserve">Afschaffen van </w:t>
            </w:r>
            <w:r>
              <w:t>HRA</w:t>
            </w:r>
            <w:r w:rsidRPr="72AF643E">
              <w:t xml:space="preserve"> op</w:t>
            </w:r>
            <w:r>
              <w:t xml:space="preserve"> BEWS</w:t>
            </w:r>
            <w:r w:rsidRPr="72AF643E">
              <w:t xml:space="preserve"> per 2031 zorgt voor duidelijkheid bij burgers. </w:t>
            </w:r>
            <w:r>
              <w:t xml:space="preserve">Dit is een verbetering ten opzichte van het </w:t>
            </w:r>
            <w:proofErr w:type="spellStart"/>
            <w:r>
              <w:t>basispad</w:t>
            </w:r>
            <w:proofErr w:type="spellEnd"/>
            <w:r>
              <w:t>.</w:t>
            </w:r>
            <w:r w:rsidRPr="00065E4D">
              <w:t xml:space="preserve"> Wel moet </w:t>
            </w:r>
            <w:r>
              <w:t xml:space="preserve">de belastingplichtige </w:t>
            </w:r>
            <w:r w:rsidRPr="0034634B">
              <w:t xml:space="preserve">per </w:t>
            </w:r>
            <w:proofErr w:type="spellStart"/>
            <w:r w:rsidRPr="0034634B">
              <w:t>leningdeel</w:t>
            </w:r>
            <w:proofErr w:type="spellEnd"/>
            <w:r w:rsidRPr="0034634B">
              <w:t xml:space="preserve"> </w:t>
            </w:r>
            <w:r>
              <w:t xml:space="preserve">in de belastingaangifte aangeven </w:t>
            </w:r>
            <w:r w:rsidRPr="0034634B">
              <w:t>of dit een BEWS</w:t>
            </w:r>
            <w:r>
              <w:t xml:space="preserve"> is of niet. Dit kan mogelijk leiden tot fouten</w:t>
            </w:r>
            <w:r w:rsidR="00A73821">
              <w:t>.</w:t>
            </w:r>
          </w:p>
          <w:p w:rsidR="00690DAD" w:rsidP="00690DAD" w:rsidRDefault="00690DAD" w14:paraId="3F8E0A28" w14:textId="77777777">
            <w:pPr>
              <w:pStyle w:val="Lijstalinea"/>
              <w:spacing w:line="240" w:lineRule="atLeast"/>
            </w:pPr>
          </w:p>
          <w:p w:rsidR="00690DAD" w:rsidP="00690DAD" w:rsidRDefault="00690DAD" w14:paraId="4728737A" w14:textId="77777777">
            <w:pPr>
              <w:pStyle w:val="Lijstalinea"/>
              <w:numPr>
                <w:ilvl w:val="0"/>
                <w:numId w:val="30"/>
              </w:numPr>
              <w:spacing w:line="240" w:lineRule="atLeast"/>
            </w:pPr>
            <w:r w:rsidRPr="005D0A75">
              <w:t xml:space="preserve">Uit de </w:t>
            </w:r>
            <w:proofErr w:type="spellStart"/>
            <w:r w:rsidRPr="005D0A75">
              <w:t>doenvermogensscan</w:t>
            </w:r>
            <w:proofErr w:type="spellEnd"/>
            <w:r w:rsidRPr="005D0A75">
              <w:t xml:space="preserve"> volgt dat het </w:t>
            </w:r>
            <w:proofErr w:type="spellStart"/>
            <w:r w:rsidRPr="005D0A75">
              <w:t>doenvermogen</w:t>
            </w:r>
            <w:proofErr w:type="spellEnd"/>
            <w:r w:rsidRPr="005D0A75">
              <w:t xml:space="preserve"> verbeter</w:t>
            </w:r>
            <w:r>
              <w:t>t</w:t>
            </w:r>
            <w:r w:rsidRPr="005D0A75">
              <w:t xml:space="preserve"> ten opzichte van het </w:t>
            </w:r>
            <w:proofErr w:type="spellStart"/>
            <w:r w:rsidRPr="005D0A75">
              <w:t>basispad</w:t>
            </w:r>
            <w:proofErr w:type="spellEnd"/>
            <w:r w:rsidRPr="005D0A75">
              <w:t>. De score is +0.1</w:t>
            </w:r>
            <w:r w:rsidR="0027040A">
              <w:t>9</w:t>
            </w:r>
            <w:r w:rsidRPr="005D0A75">
              <w:t>.</w:t>
            </w:r>
            <w:r>
              <w:t xml:space="preserve"> </w:t>
            </w:r>
          </w:p>
          <w:p w:rsidR="00637B02" w:rsidP="00690DAD" w:rsidRDefault="00637B02" w14:paraId="75E2EC14" w14:textId="77777777">
            <w:pPr>
              <w:pStyle w:val="Lijstalinea"/>
            </w:pPr>
          </w:p>
        </w:tc>
      </w:tr>
      <w:tr w:rsidR="00637B02" w:rsidTr="00C52798" w14:paraId="7C67BDE9" w14:textId="77777777">
        <w:tc>
          <w:tcPr>
            <w:tcW w:w="2387" w:type="dxa"/>
            <w:shd w:val="clear" w:color="auto" w:fill="DAE9F7" w:themeFill="text2" w:themeFillTint="1A"/>
          </w:tcPr>
          <w:p w:rsidRPr="00637B02" w:rsidR="00637B02" w:rsidP="00FF3304" w:rsidRDefault="00637B02" w14:paraId="7A7204DF" w14:textId="77777777">
            <w:pPr>
              <w:rPr>
                <w:b/>
                <w:bCs/>
              </w:rPr>
            </w:pPr>
            <w:r w:rsidRPr="00637B02">
              <w:rPr>
                <w:b/>
                <w:bCs/>
              </w:rPr>
              <w:t>Uitvoeringsaspecten</w:t>
            </w:r>
          </w:p>
        </w:tc>
        <w:tc>
          <w:tcPr>
            <w:tcW w:w="5314" w:type="dxa"/>
          </w:tcPr>
          <w:p w:rsidRPr="00690DAD" w:rsidR="00690DAD" w:rsidP="00690DAD" w:rsidRDefault="00690DAD" w14:paraId="0331E92F" w14:textId="77777777">
            <w:pPr>
              <w:pStyle w:val="Lijstalinea"/>
              <w:numPr>
                <w:ilvl w:val="0"/>
                <w:numId w:val="32"/>
              </w:numPr>
              <w:spacing w:line="240" w:lineRule="atLeast"/>
              <w:rPr>
                <w:b/>
                <w:bCs/>
              </w:rPr>
            </w:pPr>
            <w:r w:rsidRPr="00E54C7E">
              <w:rPr>
                <w:rFonts w:eastAsia="SymbolMT" w:cs="Verdana"/>
              </w:rPr>
              <w:t xml:space="preserve">Bij de </w:t>
            </w:r>
            <w:r>
              <w:rPr>
                <w:rFonts w:eastAsia="SymbolMT" w:cs="Verdana"/>
              </w:rPr>
              <w:t>B</w:t>
            </w:r>
            <w:r w:rsidRPr="00E54C7E">
              <w:rPr>
                <w:rFonts w:eastAsia="SymbolMT" w:cs="Verdana"/>
              </w:rPr>
              <w:t xml:space="preserve">elastingdienst is niet bekend wanneer sprake is van </w:t>
            </w:r>
            <w:r>
              <w:rPr>
                <w:rFonts w:eastAsia="SymbolMT" w:cs="Verdana"/>
              </w:rPr>
              <w:t xml:space="preserve">een </w:t>
            </w:r>
            <w:r w:rsidRPr="00E54C7E">
              <w:rPr>
                <w:rFonts w:eastAsia="SymbolMT" w:cs="Verdana"/>
              </w:rPr>
              <w:t xml:space="preserve">BEWS. De </w:t>
            </w:r>
            <w:r>
              <w:rPr>
                <w:rFonts w:eastAsia="SymbolMT" w:cs="Verdana"/>
              </w:rPr>
              <w:t>B</w:t>
            </w:r>
            <w:r w:rsidRPr="00E54C7E">
              <w:rPr>
                <w:rFonts w:eastAsia="SymbolMT" w:cs="Verdana"/>
              </w:rPr>
              <w:t>elastingdienst legt deze gegevens</w:t>
            </w:r>
            <w:r>
              <w:rPr>
                <w:rFonts w:eastAsia="SymbolMT" w:cs="Verdana"/>
              </w:rPr>
              <w:t xml:space="preserve"> op dit moment</w:t>
            </w:r>
            <w:r w:rsidRPr="00E54C7E">
              <w:rPr>
                <w:rFonts w:eastAsia="SymbolMT" w:cs="Verdana"/>
              </w:rPr>
              <w:t xml:space="preserve"> niet vast en beschikt dus ook niet over deze informatie. De uitvraag in de aangifte zal moet</w:t>
            </w:r>
            <w:r>
              <w:rPr>
                <w:rFonts w:eastAsia="SymbolMT" w:cs="Verdana"/>
              </w:rPr>
              <w:t>en</w:t>
            </w:r>
            <w:r w:rsidRPr="00E54C7E">
              <w:rPr>
                <w:rFonts w:eastAsia="SymbolMT" w:cs="Verdana"/>
              </w:rPr>
              <w:t xml:space="preserve"> worden aangepast om te zorgen dat het wel inzichtelijk wordt. Dit is een structuurwijziging. </w:t>
            </w:r>
            <w:r>
              <w:rPr>
                <w:rFonts w:eastAsia="SymbolMT" w:cs="Verdana"/>
              </w:rPr>
              <w:t>D</w:t>
            </w:r>
            <w:r w:rsidRPr="00065E4D">
              <w:t xml:space="preserve">e Belastingdienst </w:t>
            </w:r>
            <w:r>
              <w:t xml:space="preserve">zal </w:t>
            </w:r>
            <w:r w:rsidRPr="00065E4D">
              <w:t xml:space="preserve">per </w:t>
            </w:r>
            <w:proofErr w:type="spellStart"/>
            <w:r w:rsidRPr="00065E4D">
              <w:t>leningdeel</w:t>
            </w:r>
            <w:proofErr w:type="spellEnd"/>
            <w:r w:rsidRPr="00065E4D">
              <w:t xml:space="preserve"> moeten vaststellen of dit een BEWS is</w:t>
            </w:r>
            <w:r w:rsidRPr="00622858">
              <w:t xml:space="preserve"> </w:t>
            </w:r>
            <w:r>
              <w:t>door dit uit te vragen bij belastingplichtigen in de aangifte inkomstenbelasting</w:t>
            </w:r>
            <w:r w:rsidRPr="00622858">
              <w:t>.</w:t>
            </w:r>
            <w:r>
              <w:rPr>
                <w:b/>
                <w:bCs/>
              </w:rPr>
              <w:t xml:space="preserve"> </w:t>
            </w:r>
            <w:r w:rsidRPr="00C76957">
              <w:t>Uit het rapport blijkt dat dit inzicht in het eigen hypotheekverleden voor veel belastingplichtigen problematisch is. Daarom is deze uitvraag in de aangifte ingewikkeld en foutgevoelig</w:t>
            </w:r>
            <w:r>
              <w:rPr>
                <w:b/>
                <w:bCs/>
              </w:rPr>
              <w:t>.</w:t>
            </w:r>
            <w:r w:rsidRPr="00691277">
              <w:rPr>
                <w:kern w:val="2"/>
                <w14:ligatures w14:val="standardContextual"/>
              </w:rPr>
              <w:t xml:space="preserve"> </w:t>
            </w:r>
            <w:r w:rsidRPr="00622858">
              <w:t>Ook</w:t>
            </w:r>
            <w:r w:rsidRPr="00E27A13">
              <w:t xml:space="preserve"> </w:t>
            </w:r>
            <w:r>
              <w:t>zal de Belastingdienst moeten vaststellen</w:t>
            </w:r>
            <w:r w:rsidRPr="00622858">
              <w:t xml:space="preserve"> </w:t>
            </w:r>
            <w:r>
              <w:t xml:space="preserve">en bijhouden voor welke </w:t>
            </w:r>
            <w:proofErr w:type="spellStart"/>
            <w:r>
              <w:t>lening</w:t>
            </w:r>
            <w:r w:rsidR="00A73821">
              <w:t>delen</w:t>
            </w:r>
            <w:proofErr w:type="spellEnd"/>
            <w:r>
              <w:t xml:space="preserve"> belastingplichtigen een box 3-EWL hebben. </w:t>
            </w:r>
          </w:p>
          <w:p w:rsidRPr="00691277" w:rsidR="00690DAD" w:rsidP="00690DAD" w:rsidRDefault="00690DAD" w14:paraId="2CCB6174" w14:textId="77777777">
            <w:pPr>
              <w:pStyle w:val="Lijstalinea"/>
              <w:spacing w:line="240" w:lineRule="atLeast"/>
              <w:rPr>
                <w:b/>
                <w:bCs/>
              </w:rPr>
            </w:pPr>
          </w:p>
          <w:p w:rsidRPr="00622858" w:rsidR="00690DAD" w:rsidP="00690DAD" w:rsidRDefault="00690DAD" w14:paraId="11666D85" w14:textId="77777777">
            <w:pPr>
              <w:numPr>
                <w:ilvl w:val="0"/>
                <w:numId w:val="32"/>
              </w:numPr>
              <w:autoSpaceDE w:val="0"/>
              <w:adjustRightInd w:val="0"/>
              <w:spacing w:after="255" w:line="240" w:lineRule="atLeast"/>
              <w:contextualSpacing/>
            </w:pPr>
            <w:r>
              <w:t xml:space="preserve">Een box 3-EWL is noodzakelijk om te voorkomen dat </w:t>
            </w:r>
            <w:r w:rsidR="00FA26AA">
              <w:t xml:space="preserve">voor dat </w:t>
            </w:r>
            <w:proofErr w:type="spellStart"/>
            <w:r w:rsidR="00FA26AA">
              <w:t>leningdeel</w:t>
            </w:r>
            <w:proofErr w:type="spellEnd"/>
            <w:r>
              <w:t xml:space="preserve"> later weer </w:t>
            </w:r>
            <w:r w:rsidR="00EB4148">
              <w:t>HRA</w:t>
            </w:r>
            <w:r>
              <w:t xml:space="preserve"> in box 1 genoten kan worden.</w:t>
            </w:r>
          </w:p>
          <w:p w:rsidR="00637B02" w:rsidP="00690DAD" w:rsidRDefault="00690DAD" w14:paraId="218451A6" w14:textId="77777777">
            <w:pPr>
              <w:pStyle w:val="Lijstalinea"/>
              <w:numPr>
                <w:ilvl w:val="0"/>
                <w:numId w:val="32"/>
              </w:numPr>
              <w:spacing w:line="240" w:lineRule="atLeast"/>
              <w:rPr>
                <w:rFonts w:eastAsia="SymbolMT" w:cs="Verdana"/>
              </w:rPr>
            </w:pPr>
            <w:r>
              <w:rPr>
                <w:rFonts w:eastAsia="SymbolMT" w:cs="Verdana"/>
              </w:rPr>
              <w:t xml:space="preserve">De maatregel is op z’n vroegst uitvoerbaar per belastingjaar 2030. Een </w:t>
            </w:r>
            <w:r w:rsidR="00A73821">
              <w:rPr>
                <w:rFonts w:eastAsia="SymbolMT" w:cs="Verdana"/>
              </w:rPr>
              <w:t>Uitvoeringstoets</w:t>
            </w:r>
            <w:r>
              <w:rPr>
                <w:rFonts w:eastAsia="SymbolMT" w:cs="Verdana"/>
              </w:rPr>
              <w:t xml:space="preserve"> zal moeten uitwijzen wanneer deze wijziging precies uitvoerbaar is omdat het ook afhankelijk is van prioritering van andere wetswijzigingen.</w:t>
            </w:r>
          </w:p>
          <w:p w:rsidRPr="00690DAD" w:rsidR="00637B02" w:rsidP="00EA7F2B" w:rsidRDefault="00637B02" w14:paraId="6C3D07F9" w14:textId="77777777">
            <w:pPr>
              <w:pStyle w:val="Lijstalinea"/>
              <w:spacing w:line="240" w:lineRule="atLeast"/>
              <w:rPr>
                <w:rFonts w:eastAsia="SymbolMT" w:cs="Verdana"/>
              </w:rPr>
            </w:pPr>
          </w:p>
        </w:tc>
      </w:tr>
      <w:tr w:rsidR="00637B02" w:rsidTr="00C52798" w14:paraId="6A973DF8" w14:textId="77777777">
        <w:tc>
          <w:tcPr>
            <w:tcW w:w="2387" w:type="dxa"/>
          </w:tcPr>
          <w:p w:rsidRPr="00637B02" w:rsidR="00637B02" w:rsidP="00FF3304" w:rsidRDefault="00637B02" w14:paraId="32ED878F" w14:textId="77777777">
            <w:pPr>
              <w:rPr>
                <w:b/>
                <w:bCs/>
              </w:rPr>
            </w:pPr>
            <w:r w:rsidRPr="00637B02">
              <w:rPr>
                <w:b/>
                <w:bCs/>
              </w:rPr>
              <w:t>Overig</w:t>
            </w:r>
          </w:p>
        </w:tc>
        <w:tc>
          <w:tcPr>
            <w:tcW w:w="5314" w:type="dxa"/>
          </w:tcPr>
          <w:p w:rsidR="00690DAD" w:rsidP="00690DAD" w:rsidRDefault="00690DAD" w14:paraId="5D7652C9" w14:textId="77777777">
            <w:pPr>
              <w:pStyle w:val="Lijstalinea"/>
              <w:numPr>
                <w:ilvl w:val="0"/>
                <w:numId w:val="34"/>
              </w:numPr>
              <w:spacing w:line="256" w:lineRule="auto"/>
            </w:pPr>
            <w:r w:rsidRPr="00E54C7E">
              <w:t xml:space="preserve">Met </w:t>
            </w:r>
            <w:r>
              <w:t>de overgang naar box 3</w:t>
            </w:r>
            <w:r w:rsidRPr="00E54C7E">
              <w:t xml:space="preserve"> op 1 januari 2031 behoudt de </w:t>
            </w:r>
            <w:r>
              <w:t>BEWS</w:t>
            </w:r>
            <w:r w:rsidRPr="00E54C7E">
              <w:t xml:space="preserve"> een bijzonder karakter. Op dat moment moet worden vastgesteld voor leningen die naar box 3 gaan dat </w:t>
            </w:r>
            <w:r>
              <w:t>de resterende</w:t>
            </w:r>
            <w:r w:rsidRPr="00E54C7E">
              <w:t xml:space="preserve"> </w:t>
            </w:r>
            <w:r>
              <w:t>schuld</w:t>
            </w:r>
            <w:r w:rsidRPr="00E54C7E">
              <w:t xml:space="preserve"> nooit meer naar box 1 kan.</w:t>
            </w:r>
          </w:p>
          <w:p w:rsidR="004A710E" w:rsidP="00CF1ABF" w:rsidRDefault="004A710E" w14:paraId="1F52E10F" w14:textId="77777777">
            <w:pPr>
              <w:pStyle w:val="Lijstalinea"/>
              <w:spacing w:line="256" w:lineRule="auto"/>
            </w:pPr>
          </w:p>
          <w:p w:rsidR="00690DAD" w:rsidP="00690DAD" w:rsidRDefault="00690DAD" w14:paraId="4990AF7A" w14:textId="77777777">
            <w:pPr>
              <w:pStyle w:val="Lijstalinea"/>
              <w:numPr>
                <w:ilvl w:val="0"/>
                <w:numId w:val="34"/>
              </w:numPr>
              <w:spacing w:line="256" w:lineRule="auto"/>
            </w:pPr>
            <w:r>
              <w:t>Met deze optie worden ook de BEWS naar box 3 verplaatst</w:t>
            </w:r>
            <w:r w:rsidR="00C63CA7">
              <w:t xml:space="preserve"> die nog geen 30 jaar aftrek hebben gehad en die (inmiddels) </w:t>
            </w:r>
            <w:r>
              <w:t xml:space="preserve">voldoen aan een annuïtair aflossingsschema of die na de looptijd van 30 jaar wel afgelost worden door middel van een spaar- of beleggingsproduct. Als een burger </w:t>
            </w:r>
            <w:r>
              <w:lastRenderedPageBreak/>
              <w:t xml:space="preserve">in zo’n geval de </w:t>
            </w:r>
            <w:r w:rsidR="00EB4148">
              <w:t>HRA</w:t>
            </w:r>
            <w:r>
              <w:t xml:space="preserve"> in box 3 niet kan verzilveren, zal dit als onrechtvaardig voelen. In de volgende fiches worden verschillende overgangsregelingen gepresenteerd. </w:t>
            </w:r>
          </w:p>
          <w:p w:rsidR="004A710E" w:rsidP="00CF1ABF" w:rsidRDefault="004A710E" w14:paraId="4EA8A98B" w14:textId="77777777">
            <w:pPr>
              <w:pStyle w:val="Lijstalinea"/>
              <w:spacing w:line="256" w:lineRule="auto"/>
            </w:pPr>
          </w:p>
          <w:p w:rsidR="00690DAD" w:rsidP="00690DAD" w:rsidRDefault="00690DAD" w14:paraId="377D2B9D" w14:textId="77777777">
            <w:pPr>
              <w:pStyle w:val="Lijstalinea"/>
              <w:numPr>
                <w:ilvl w:val="0"/>
                <w:numId w:val="34"/>
              </w:numPr>
              <w:spacing w:line="256" w:lineRule="auto"/>
            </w:pPr>
            <w:r>
              <w:t xml:space="preserve">Voor belastingplichtigen boven de AOW-gerechtigde leeftijd met vermogen in box 3 kan dit fiche mogelijk gunstiger uitpakken. Dit geldt in situaties waarin </w:t>
            </w:r>
            <w:r w:rsidR="004A710E">
              <w:t>het tarief waartegen</w:t>
            </w:r>
            <w:r>
              <w:t xml:space="preserve"> de </w:t>
            </w:r>
            <w:r w:rsidR="004A710E">
              <w:t>rente</w:t>
            </w:r>
            <w:r>
              <w:t>aftrek</w:t>
            </w:r>
            <w:r w:rsidR="004A710E">
              <w:t xml:space="preserve"> wordt genoten</w:t>
            </w:r>
            <w:r>
              <w:t xml:space="preserve"> in box 3 voor deze groep hoger </w:t>
            </w:r>
            <w:r w:rsidR="004A710E">
              <w:t xml:space="preserve">kan uitvallen </w:t>
            </w:r>
            <w:r>
              <w:t>dan</w:t>
            </w:r>
            <w:r w:rsidR="004A710E">
              <w:t xml:space="preserve"> het tarief </w:t>
            </w:r>
            <w:r>
              <w:t>in box 1.</w:t>
            </w:r>
          </w:p>
          <w:p w:rsidR="00637B02" w:rsidP="00690DAD" w:rsidRDefault="00637B02" w14:paraId="57FEF203" w14:textId="77777777">
            <w:pPr>
              <w:pStyle w:val="Lijstalinea"/>
            </w:pPr>
          </w:p>
        </w:tc>
      </w:tr>
      <w:tr w:rsidR="007F2E38" w:rsidTr="00C52798" w14:paraId="323AB14F" w14:textId="77777777">
        <w:tc>
          <w:tcPr>
            <w:tcW w:w="2387" w:type="dxa"/>
          </w:tcPr>
          <w:p w:rsidRPr="00637B02" w:rsidR="007F2E38" w:rsidP="00FF3304" w:rsidRDefault="007F2E38" w14:paraId="47314DFA" w14:textId="77777777">
            <w:pPr>
              <w:rPr>
                <w:b/>
                <w:bCs/>
              </w:rPr>
            </w:pPr>
          </w:p>
        </w:tc>
        <w:tc>
          <w:tcPr>
            <w:tcW w:w="5314" w:type="dxa"/>
          </w:tcPr>
          <w:p w:rsidRPr="00E54C7E" w:rsidR="007F2E38" w:rsidP="007F2E38" w:rsidRDefault="007F2E38" w14:paraId="49894577" w14:textId="77777777">
            <w:pPr>
              <w:pStyle w:val="Lijstalinea"/>
              <w:spacing w:line="256" w:lineRule="auto"/>
            </w:pPr>
          </w:p>
        </w:tc>
      </w:tr>
      <w:tr w:rsidRPr="00637B02" w:rsidR="00690DAD" w:rsidTr="00BF378C" w14:paraId="7101288B" w14:textId="77777777">
        <w:tc>
          <w:tcPr>
            <w:tcW w:w="7701" w:type="dxa"/>
            <w:gridSpan w:val="2"/>
            <w:shd w:val="clear" w:color="auto" w:fill="A5C9EB" w:themeFill="text2" w:themeFillTint="40"/>
          </w:tcPr>
          <w:p w:rsidRPr="00637B02" w:rsidR="00690DAD" w:rsidP="00BF378C" w:rsidRDefault="00690DAD" w14:paraId="10B0FDB1" w14:textId="77777777">
            <w:pPr>
              <w:rPr>
                <w:b/>
                <w:bCs/>
              </w:rPr>
            </w:pPr>
            <w:r w:rsidRPr="00637B02">
              <w:rPr>
                <w:b/>
                <w:bCs/>
              </w:rPr>
              <w:t>Fiche 1</w:t>
            </w:r>
            <w:r>
              <w:rPr>
                <w:b/>
                <w:bCs/>
              </w:rPr>
              <w:t>B</w:t>
            </w:r>
            <w:r w:rsidRPr="00637B02">
              <w:rPr>
                <w:b/>
                <w:bCs/>
              </w:rPr>
              <w:t xml:space="preserve">: </w:t>
            </w:r>
            <w:r w:rsidRPr="004604AF">
              <w:rPr>
                <w:b/>
              </w:rPr>
              <w:t xml:space="preserve">zoals 1A, maar met overgangsbepaling. Bij oversluiten naar annuïtair aflosschema geldt behoud van HRA </w:t>
            </w:r>
            <w:r w:rsidRPr="004604AF">
              <w:rPr>
                <w:b/>
                <w:i/>
                <w:iCs/>
              </w:rPr>
              <w:t>tot en met 2042</w:t>
            </w:r>
          </w:p>
        </w:tc>
      </w:tr>
      <w:tr w:rsidRPr="00637B02" w:rsidR="00690DAD" w:rsidTr="00BF378C" w14:paraId="1760B6B8" w14:textId="77777777">
        <w:tc>
          <w:tcPr>
            <w:tcW w:w="7701" w:type="dxa"/>
            <w:gridSpan w:val="2"/>
          </w:tcPr>
          <w:p w:rsidR="00690DAD" w:rsidP="00BF378C" w:rsidRDefault="00690DAD" w14:paraId="547D5401" w14:textId="77777777">
            <w:pPr>
              <w:rPr>
                <w:b/>
                <w:bCs/>
              </w:rPr>
            </w:pPr>
            <w:r w:rsidRPr="00637B02">
              <w:rPr>
                <w:b/>
                <w:bCs/>
              </w:rPr>
              <w:t>Omschrijving van de maatregel</w:t>
            </w:r>
          </w:p>
          <w:p w:rsidRPr="0095423E" w:rsidR="00690DAD" w:rsidP="00690DAD" w:rsidRDefault="00690DAD" w14:paraId="670C9FC6" w14:textId="77777777">
            <w:pPr>
              <w:numPr>
                <w:ilvl w:val="0"/>
                <w:numId w:val="27"/>
              </w:numPr>
              <w:spacing w:after="255" w:line="240" w:lineRule="atLeast"/>
              <w:contextualSpacing/>
            </w:pPr>
            <w:r w:rsidRPr="0095423E">
              <w:t>De voorgestelde maatregel is het afschaffen van de</w:t>
            </w:r>
            <w:r>
              <w:t xml:space="preserve"> 30-jaarstermijn </w:t>
            </w:r>
            <w:r w:rsidR="00FA26AA">
              <w:t>(inclusief doorwerking)</w:t>
            </w:r>
            <w:r>
              <w:t xml:space="preserve"> en het afschaffen van</w:t>
            </w:r>
            <w:r w:rsidRPr="0095423E">
              <w:t xml:space="preserve"> </w:t>
            </w:r>
            <w:r>
              <w:t>HRA voor BEWS-leningen per 1 januari 2031 (Fiche 1A), met mogelijkheid tot gebruikmaking van een overgangsregeling</w:t>
            </w:r>
            <w:r w:rsidRPr="0095423E">
              <w:t xml:space="preserve">. </w:t>
            </w:r>
          </w:p>
          <w:p w:rsidRPr="00E13148" w:rsidR="00690DAD" w:rsidP="00690DAD" w:rsidRDefault="00690DAD" w14:paraId="6A5A60F8" w14:textId="77777777">
            <w:pPr>
              <w:spacing w:after="255" w:line="240" w:lineRule="atLeast"/>
              <w:contextualSpacing/>
              <w:rPr>
                <w:b/>
                <w:bCs/>
              </w:rPr>
            </w:pPr>
          </w:p>
          <w:p w:rsidR="00690DAD" w:rsidP="00690DAD" w:rsidRDefault="00690DAD" w14:paraId="2846F578" w14:textId="77777777">
            <w:pPr>
              <w:numPr>
                <w:ilvl w:val="0"/>
                <w:numId w:val="27"/>
              </w:numPr>
              <w:spacing w:after="255" w:line="240" w:lineRule="atLeast"/>
              <w:contextualSpacing/>
            </w:pPr>
            <w:r w:rsidRPr="00690DAD">
              <w:rPr>
                <w:b/>
                <w:bCs/>
              </w:rPr>
              <w:t>Overgangsregeling</w:t>
            </w:r>
            <w:r w:rsidRPr="00E13148">
              <w:t xml:space="preserve">: belastingplichtigen kunnen ervoor kiezen hun BEWS in box 1 vóór 1 januari 2031 om te zetten in een lening die ten minste annuïtair in ten hoogste 360 maanden moet worden afgelost. </w:t>
            </w:r>
            <w:r w:rsidR="004A710E">
              <w:t>Dan behouden ze hun recht op HRA tot en met 2042.</w:t>
            </w:r>
            <w:r w:rsidRPr="00E13148">
              <w:t xml:space="preserve"> </w:t>
            </w:r>
            <w:r w:rsidR="004A710E">
              <w:t>Dit geldt o</w:t>
            </w:r>
            <w:r w:rsidRPr="00E13148">
              <w:t>ok</w:t>
            </w:r>
            <w:r w:rsidR="004A710E">
              <w:t xml:space="preserve"> voor</w:t>
            </w:r>
            <w:r w:rsidRPr="00E13148">
              <w:t xml:space="preserve"> BEWS die al zijn omgezet in leningen die vallen onder de aflossingseis</w:t>
            </w:r>
            <w:r>
              <w:t>. Voor</w:t>
            </w:r>
            <w:r w:rsidRPr="00E13148">
              <w:t xml:space="preserve"> nog lopende </w:t>
            </w:r>
            <w:r w:rsidRPr="00240EE0">
              <w:t>spaar</w:t>
            </w:r>
            <w:r>
              <w:t>-</w:t>
            </w:r>
            <w:r w:rsidRPr="00EA7F2B" w:rsidR="004A710E">
              <w:t>,</w:t>
            </w:r>
            <w:r w:rsidRPr="00EA7F2B">
              <w:t xml:space="preserve"> </w:t>
            </w:r>
            <w:r>
              <w:t>beleggings</w:t>
            </w:r>
            <w:r w:rsidR="004A710E">
              <w:t>- en leven</w:t>
            </w:r>
            <w:r w:rsidR="007410CA">
              <w:t>s</w:t>
            </w:r>
            <w:r w:rsidRPr="00E13148">
              <w:t xml:space="preserve">hypotheken </w:t>
            </w:r>
            <w:r>
              <w:t>geldt ook</w:t>
            </w:r>
            <w:r w:rsidRPr="00E13148">
              <w:t xml:space="preserve"> overgangsre</w:t>
            </w:r>
            <w:r>
              <w:t xml:space="preserve">cht. Zij behouden recht op HRA tot de einddatum van </w:t>
            </w:r>
            <w:r w:rsidR="004A710E">
              <w:t xml:space="preserve">het </w:t>
            </w:r>
            <w:r>
              <w:t>product (uiterlijk 30 jaar na de ingangsdatum)</w:t>
            </w:r>
            <w:r w:rsidRPr="00E13148">
              <w:t>.</w:t>
            </w:r>
            <w:r w:rsidRPr="72AF643E">
              <w:t xml:space="preserve"> </w:t>
            </w:r>
            <w:r w:rsidR="004A710E">
              <w:t>Per 2043</w:t>
            </w:r>
            <w:r>
              <w:t xml:space="preserve"> gaan de </w:t>
            </w:r>
            <w:r w:rsidR="00FA26AA">
              <w:t xml:space="preserve">lopende </w:t>
            </w:r>
            <w:r>
              <w:t xml:space="preserve">leningen </w:t>
            </w:r>
            <w:r w:rsidR="004A710E">
              <w:t>over</w:t>
            </w:r>
            <w:r>
              <w:t xml:space="preserve"> naar box 3 (box 3-EWL) en komen nooit meer in aanmerking voor HRA in box 1</w:t>
            </w:r>
            <w:r w:rsidR="004A710E">
              <w:t>.</w:t>
            </w:r>
          </w:p>
          <w:p w:rsidR="004A710E" w:rsidP="00EA7F2B" w:rsidRDefault="004A710E" w14:paraId="4543BB3C" w14:textId="77777777">
            <w:pPr>
              <w:pStyle w:val="Lijstalinea"/>
            </w:pPr>
          </w:p>
          <w:p w:rsidRPr="00637B02" w:rsidR="00690DAD" w:rsidP="00EA7F2B" w:rsidRDefault="00690DAD" w14:paraId="5272C0F1" w14:textId="77777777">
            <w:pPr>
              <w:spacing w:after="255" w:line="240" w:lineRule="atLeast"/>
              <w:ind w:left="720"/>
              <w:contextualSpacing/>
            </w:pPr>
          </w:p>
        </w:tc>
      </w:tr>
      <w:tr w:rsidRPr="00637B02" w:rsidR="00690DAD" w:rsidTr="00BF378C" w14:paraId="1AC5D984" w14:textId="77777777">
        <w:tc>
          <w:tcPr>
            <w:tcW w:w="7701" w:type="dxa"/>
            <w:gridSpan w:val="2"/>
            <w:shd w:val="clear" w:color="auto" w:fill="DAE9F7" w:themeFill="text2" w:themeFillTint="1A"/>
          </w:tcPr>
          <w:p w:rsidR="00690DAD" w:rsidP="00BF378C" w:rsidRDefault="00690DAD" w14:paraId="744E6A29" w14:textId="77777777">
            <w:pPr>
              <w:rPr>
                <w:b/>
                <w:bCs/>
              </w:rPr>
            </w:pPr>
            <w:r>
              <w:rPr>
                <w:b/>
                <w:bCs/>
              </w:rPr>
              <w:t>Achtergrond/rationale</w:t>
            </w:r>
          </w:p>
          <w:p w:rsidRPr="00544700" w:rsidR="00690DAD" w:rsidP="00690DAD" w:rsidRDefault="00690DAD" w14:paraId="7F4BA55F" w14:textId="77777777">
            <w:pPr>
              <w:numPr>
                <w:ilvl w:val="0"/>
                <w:numId w:val="27"/>
              </w:numPr>
              <w:autoSpaceDE w:val="0"/>
              <w:adjustRightInd w:val="0"/>
              <w:spacing w:after="255" w:line="240" w:lineRule="atLeast"/>
              <w:contextualSpacing/>
              <w:rPr>
                <w:b/>
              </w:rPr>
            </w:pPr>
            <w:r>
              <w:t xml:space="preserve">De overgangsregeling leidt ertoe dat </w:t>
            </w:r>
            <w:r w:rsidR="004A710E">
              <w:t xml:space="preserve">het recht op </w:t>
            </w:r>
            <w:r>
              <w:t xml:space="preserve">HRA behouden blijft voor leningen, waarover structureel en contractueel wordt afgelost. Alleen leningen die per 1 januari 2031 aflossingsvrij </w:t>
            </w:r>
            <w:r w:rsidR="00EA7F2B">
              <w:t>zijn</w:t>
            </w:r>
            <w:r w:rsidR="006328BE">
              <w:t>,</w:t>
            </w:r>
            <w:r w:rsidR="00EA7F2B">
              <w:t xml:space="preserve"> </w:t>
            </w:r>
            <w:r w:rsidR="004A710E">
              <w:t>gaan over</w:t>
            </w:r>
            <w:r>
              <w:t xml:space="preserve"> naar box 3</w:t>
            </w:r>
            <w:r w:rsidR="00C63CA7">
              <w:t xml:space="preserve"> (box 3-EWL)</w:t>
            </w:r>
            <w:r>
              <w:t xml:space="preserve">. Deze overgangsregeling zorgt ervoor dat burgers toch minimaal 30 jaar </w:t>
            </w:r>
            <w:r w:rsidR="00EB4148">
              <w:t>HRA</w:t>
            </w:r>
            <w:r>
              <w:t xml:space="preserve"> kunnen krijgen als hun eigenwoningleningen structureel en contractueel worden afgelost. De datum van 1 januari 2043 sluit aan op het moment dat er voor alle BEWS geen aftrek meer mogelijk is in het </w:t>
            </w:r>
            <w:proofErr w:type="spellStart"/>
            <w:r>
              <w:t>basispad</w:t>
            </w:r>
            <w:proofErr w:type="spellEnd"/>
            <w:r>
              <w:t>. Ten opzichte van fiche 1A is d</w:t>
            </w:r>
            <w:r w:rsidRPr="00D1642C">
              <w:t xml:space="preserve">it een voordeel </w:t>
            </w:r>
            <w:r>
              <w:t>voor</w:t>
            </w:r>
            <w:r w:rsidRPr="00D1642C">
              <w:t xml:space="preserve"> </w:t>
            </w:r>
            <w:r>
              <w:t xml:space="preserve">alle </w:t>
            </w:r>
            <w:r w:rsidRPr="00D1642C">
              <w:t xml:space="preserve">belastingplichtigen </w:t>
            </w:r>
            <w:r>
              <w:t>met een BEWS, zij kunnen ten minste 30 jaar HRA in box 1 behouden. Voor het grootste deel van de huishoudens met een BEWS geldt dat zij in totaal veel meer dan 30 jaar voor HRA in box 1 in aanmerking komen.</w:t>
            </w:r>
          </w:p>
          <w:p w:rsidRPr="001C4D8B" w:rsidR="004A710E" w:rsidP="00EA7F2B" w:rsidRDefault="004A710E" w14:paraId="14141EBB" w14:textId="77777777">
            <w:pPr>
              <w:autoSpaceDE w:val="0"/>
              <w:adjustRightInd w:val="0"/>
              <w:spacing w:after="255" w:line="240" w:lineRule="atLeast"/>
              <w:ind w:left="720"/>
              <w:contextualSpacing/>
              <w:rPr>
                <w:b/>
                <w:bCs/>
              </w:rPr>
            </w:pPr>
          </w:p>
          <w:p w:rsidRPr="00CF1ABF" w:rsidR="00C63CA7" w:rsidP="00690DAD" w:rsidRDefault="00C63CA7" w14:paraId="62EBB117" w14:textId="77777777">
            <w:pPr>
              <w:numPr>
                <w:ilvl w:val="0"/>
                <w:numId w:val="27"/>
              </w:numPr>
              <w:autoSpaceDE w:val="0"/>
              <w:adjustRightInd w:val="0"/>
              <w:spacing w:after="255" w:line="240" w:lineRule="atLeast"/>
              <w:contextualSpacing/>
              <w:rPr>
                <w:b/>
                <w:bCs/>
              </w:rPr>
            </w:pPr>
            <w:r>
              <w:t xml:space="preserve">Deze optie leidt ertoe dat belastingplichtigen afhankelijk van hun (financiële) situatie </w:t>
            </w:r>
            <w:r w:rsidR="004A710E">
              <w:t xml:space="preserve">per 2031 </w:t>
            </w:r>
            <w:r>
              <w:t>kunnen kiezen om de hypotheekrente af te trekken in box 1 of in box 3</w:t>
            </w:r>
            <w:r w:rsidR="00FA26AA">
              <w:t xml:space="preserve"> door de wijze waarop zij hun lening vormgeven</w:t>
            </w:r>
            <w:r>
              <w:t>.</w:t>
            </w:r>
          </w:p>
          <w:p w:rsidRPr="00690DAD" w:rsidR="00C63CA7" w:rsidP="00EA7F2B" w:rsidRDefault="00C63CA7" w14:paraId="06F5B24D" w14:textId="77777777">
            <w:pPr>
              <w:autoSpaceDE w:val="0"/>
              <w:adjustRightInd w:val="0"/>
              <w:spacing w:after="255" w:line="240" w:lineRule="atLeast"/>
              <w:ind w:left="720"/>
              <w:contextualSpacing/>
              <w:rPr>
                <w:b/>
                <w:bCs/>
              </w:rPr>
            </w:pPr>
          </w:p>
        </w:tc>
      </w:tr>
      <w:tr w:rsidRPr="00637B02" w:rsidR="00690DAD" w:rsidTr="00BF378C" w14:paraId="45BB3D81" w14:textId="77777777">
        <w:tc>
          <w:tcPr>
            <w:tcW w:w="7701" w:type="dxa"/>
            <w:gridSpan w:val="2"/>
          </w:tcPr>
          <w:p w:rsidRPr="00637B02" w:rsidR="00690DAD" w:rsidP="00BF378C" w:rsidRDefault="00690DAD" w14:paraId="33365081" w14:textId="77777777">
            <w:pPr>
              <w:rPr>
                <w:b/>
                <w:bCs/>
              </w:rPr>
            </w:pPr>
            <w:r w:rsidRPr="00637B02">
              <w:rPr>
                <w:b/>
                <w:bCs/>
              </w:rPr>
              <w:t>Effecten</w:t>
            </w:r>
          </w:p>
        </w:tc>
      </w:tr>
      <w:tr w:rsidR="00690DAD" w:rsidTr="00C52798" w14:paraId="0ADF75C0" w14:textId="77777777">
        <w:tc>
          <w:tcPr>
            <w:tcW w:w="2387" w:type="dxa"/>
            <w:shd w:val="clear" w:color="auto" w:fill="DAE9F7" w:themeFill="text2" w:themeFillTint="1A"/>
          </w:tcPr>
          <w:p w:rsidRPr="00637B02" w:rsidR="00690DAD" w:rsidP="00BF378C" w:rsidRDefault="00690DAD" w14:paraId="3B335322" w14:textId="77777777">
            <w:pPr>
              <w:rPr>
                <w:b/>
                <w:bCs/>
              </w:rPr>
            </w:pPr>
            <w:r w:rsidRPr="00637B02">
              <w:rPr>
                <w:b/>
                <w:bCs/>
              </w:rPr>
              <w:t>(Macro)economische gevolgen</w:t>
            </w:r>
          </w:p>
        </w:tc>
        <w:tc>
          <w:tcPr>
            <w:tcW w:w="5314" w:type="dxa"/>
          </w:tcPr>
          <w:p w:rsidRPr="00147990" w:rsidR="00690DAD" w:rsidP="00690DAD" w:rsidRDefault="00690DAD" w14:paraId="3B090DF4" w14:textId="77777777">
            <w:r w:rsidRPr="00147990">
              <w:t> </w:t>
            </w:r>
          </w:p>
          <w:p w:rsidR="00690DAD" w:rsidP="00690DAD" w:rsidRDefault="00690DAD" w14:paraId="656911DF" w14:textId="77777777">
            <w:pPr>
              <w:pStyle w:val="Lijstalinea"/>
              <w:numPr>
                <w:ilvl w:val="0"/>
                <w:numId w:val="28"/>
              </w:numPr>
            </w:pPr>
            <w:r>
              <w:t>Als in 1A.</w:t>
            </w:r>
          </w:p>
        </w:tc>
      </w:tr>
      <w:tr w:rsidR="00690DAD" w:rsidTr="00C52798" w14:paraId="6E2A604C" w14:textId="77777777">
        <w:tc>
          <w:tcPr>
            <w:tcW w:w="2387" w:type="dxa"/>
          </w:tcPr>
          <w:p w:rsidRPr="00637B02" w:rsidR="00690DAD" w:rsidP="00BF378C" w:rsidRDefault="00690DAD" w14:paraId="39B50325" w14:textId="77777777">
            <w:pPr>
              <w:rPr>
                <w:b/>
                <w:bCs/>
              </w:rPr>
            </w:pPr>
            <w:r w:rsidRPr="00637B02">
              <w:rPr>
                <w:b/>
                <w:bCs/>
              </w:rPr>
              <w:lastRenderedPageBreak/>
              <w:t>Inkomenseffecten</w:t>
            </w:r>
          </w:p>
        </w:tc>
        <w:tc>
          <w:tcPr>
            <w:tcW w:w="5314" w:type="dxa"/>
          </w:tcPr>
          <w:p w:rsidR="00690DAD" w:rsidP="00BF378C" w:rsidRDefault="00690DAD" w14:paraId="7046655A" w14:textId="77777777">
            <w:pPr>
              <w:pStyle w:val="Lijstalinea"/>
            </w:pPr>
          </w:p>
          <w:p w:rsidRPr="00792AB6" w:rsidR="00690DAD" w:rsidP="00690DAD" w:rsidRDefault="00690DAD" w14:paraId="57AB0F67" w14:textId="77777777">
            <w:pPr>
              <w:numPr>
                <w:ilvl w:val="0"/>
                <w:numId w:val="35"/>
              </w:numPr>
              <w:spacing w:line="259" w:lineRule="auto"/>
            </w:pPr>
            <w:r>
              <w:t xml:space="preserve">Belastingplichtigen hebben de mogelijkheid om </w:t>
            </w:r>
            <w:r w:rsidR="004A710E">
              <w:t xml:space="preserve">hun recht op HRA </w:t>
            </w:r>
            <w:r>
              <w:t xml:space="preserve">tot en met 2042 te </w:t>
            </w:r>
            <w:r w:rsidR="004A710E">
              <w:t>behouden</w:t>
            </w:r>
            <w:r>
              <w:t xml:space="preserve"> als aan de voorwaarden wordt voldaan. De inschatting is dat hierdoor een veel kleinere</w:t>
            </w:r>
            <w:r w:rsidRPr="00792AB6">
              <w:t xml:space="preserve"> groep </w:t>
            </w:r>
            <w:r>
              <w:t xml:space="preserve">dan bij optie 1A </w:t>
            </w:r>
            <w:r w:rsidRPr="00792AB6">
              <w:t xml:space="preserve">(mogelijk) in de problemen </w:t>
            </w:r>
            <w:r>
              <w:t>komt</w:t>
            </w:r>
            <w:r w:rsidRPr="00792AB6">
              <w:t xml:space="preserve">. </w:t>
            </w:r>
            <w:r>
              <w:t>De tabel</w:t>
            </w:r>
            <w:r w:rsidR="00771E6F">
              <w:rPr>
                <w:rStyle w:val="Voetnootmarkering"/>
              </w:rPr>
              <w:footnoteReference w:id="49"/>
            </w:r>
            <w:r>
              <w:t xml:space="preserve"> geeft het aantal huishoudens dat boven de gehanteerde grens komt voor het financieringslastpercentage:</w:t>
            </w:r>
          </w:p>
          <w:p w:rsidR="00690DAD" w:rsidP="00BF378C" w:rsidRDefault="00690DAD" w14:paraId="587AB6DC" w14:textId="77777777">
            <w:pPr>
              <w:pStyle w:val="Lijstalinea"/>
            </w:pPr>
          </w:p>
          <w:p w:rsidR="008B67D5" w:rsidP="00BF378C" w:rsidRDefault="008B67D5" w14:paraId="76C60AF5" w14:textId="77777777">
            <w:pPr>
              <w:pStyle w:val="Lijstalinea"/>
            </w:pPr>
          </w:p>
          <w:tbl>
            <w:tblPr>
              <w:tblStyle w:val="Onopgemaaktetabel2"/>
              <w:tblW w:w="0" w:type="auto"/>
              <w:tblLook w:val="04A0" w:firstRow="1" w:lastRow="0" w:firstColumn="1" w:lastColumn="0" w:noHBand="0" w:noVBand="1"/>
            </w:tblPr>
            <w:tblGrid>
              <w:gridCol w:w="1615"/>
              <w:gridCol w:w="1565"/>
              <w:gridCol w:w="1565"/>
            </w:tblGrid>
            <w:tr w:rsidRPr="007766FB" w:rsidR="00690DAD" w:rsidTr="00BF378C" w14:paraId="319C4E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Pr="00846FCD" w:rsidR="00690DAD" w:rsidP="00BF378C" w:rsidRDefault="00690DAD" w14:paraId="269F4E91" w14:textId="77777777">
                  <w:pPr>
                    <w:rPr>
                      <w:lang w:val="nl-NL"/>
                    </w:rPr>
                  </w:pPr>
                </w:p>
              </w:tc>
              <w:tc>
                <w:tcPr>
                  <w:tcW w:w="1565" w:type="dxa"/>
                </w:tcPr>
                <w:p w:rsidRPr="007766FB" w:rsidR="00690DAD" w:rsidP="00BF378C" w:rsidRDefault="00690DAD" w14:paraId="4895EA5D" w14:textId="77777777">
                  <w:pPr>
                    <w:cnfStyle w:val="100000000000" w:firstRow="1" w:lastRow="0" w:firstColumn="0" w:lastColumn="0" w:oddVBand="0" w:evenVBand="0" w:oddHBand="0" w:evenHBand="0" w:firstRowFirstColumn="0" w:firstRowLastColumn="0" w:lastRowFirstColumn="0" w:lastRowLastColumn="0"/>
                  </w:pPr>
                  <w:r w:rsidRPr="007766FB">
                    <w:t>&gt;25%</w:t>
                  </w:r>
                  <w:r>
                    <w:rPr>
                      <w:rStyle w:val="Voetnootmarkering"/>
                    </w:rPr>
                    <w:footnoteReference w:id="50"/>
                  </w:r>
                  <w:r w:rsidRPr="007766FB">
                    <w:t xml:space="preserve"> </w:t>
                  </w:r>
                </w:p>
              </w:tc>
              <w:tc>
                <w:tcPr>
                  <w:tcW w:w="1565" w:type="dxa"/>
                </w:tcPr>
                <w:p w:rsidRPr="007766FB" w:rsidR="00690DAD" w:rsidP="00BF378C" w:rsidRDefault="00690DAD" w14:paraId="3A4CDBE2" w14:textId="77777777">
                  <w:pPr>
                    <w:cnfStyle w:val="100000000000" w:firstRow="1" w:lastRow="0" w:firstColumn="0" w:lastColumn="0" w:oddVBand="0" w:evenVBand="0" w:oddHBand="0" w:evenHBand="0" w:firstRowFirstColumn="0" w:firstRowLastColumn="0" w:lastRowFirstColumn="0" w:lastRowLastColumn="0"/>
                  </w:pPr>
                  <w:r w:rsidRPr="007766FB">
                    <w:t>&gt;35%</w:t>
                  </w:r>
                  <w:r>
                    <w:rPr>
                      <w:rStyle w:val="Voetnootmarkering"/>
                    </w:rPr>
                    <w:footnoteReference w:id="51"/>
                  </w:r>
                </w:p>
              </w:tc>
            </w:tr>
            <w:tr w:rsidR="00690DAD" w:rsidTr="00BF378C" w14:paraId="216CAE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Pr="007766FB" w:rsidR="00690DAD" w:rsidP="00BF378C" w:rsidRDefault="00690DAD" w14:paraId="54854FC6" w14:textId="77777777">
                  <w:proofErr w:type="spellStart"/>
                  <w:r w:rsidRPr="007766FB">
                    <w:t>Basispad</w:t>
                  </w:r>
                  <w:proofErr w:type="spellEnd"/>
                </w:p>
              </w:tc>
              <w:tc>
                <w:tcPr>
                  <w:tcW w:w="1565" w:type="dxa"/>
                </w:tcPr>
                <w:p w:rsidR="00690DAD" w:rsidP="00BF378C" w:rsidRDefault="00690DAD" w14:paraId="195231BA" w14:textId="77777777">
                  <w:pPr>
                    <w:cnfStyle w:val="000000100000" w:firstRow="0" w:lastRow="0" w:firstColumn="0" w:lastColumn="0" w:oddVBand="0" w:evenVBand="0" w:oddHBand="1" w:evenHBand="0" w:firstRowFirstColumn="0" w:firstRowLastColumn="0" w:lastRowFirstColumn="0" w:lastRowLastColumn="0"/>
                  </w:pPr>
                  <w:r>
                    <w:t>23.500</w:t>
                  </w:r>
                </w:p>
              </w:tc>
              <w:tc>
                <w:tcPr>
                  <w:tcW w:w="1565" w:type="dxa"/>
                </w:tcPr>
                <w:p w:rsidR="00690DAD" w:rsidP="00BF378C" w:rsidRDefault="00690DAD" w14:paraId="014A7B66" w14:textId="77777777">
                  <w:pPr>
                    <w:cnfStyle w:val="000000100000" w:firstRow="0" w:lastRow="0" w:firstColumn="0" w:lastColumn="0" w:oddVBand="0" w:evenVBand="0" w:oddHBand="1" w:evenHBand="0" w:firstRowFirstColumn="0" w:firstRowLastColumn="0" w:lastRowFirstColumn="0" w:lastRowLastColumn="0"/>
                  </w:pPr>
                  <w:r>
                    <w:t>4.500</w:t>
                  </w:r>
                </w:p>
              </w:tc>
            </w:tr>
            <w:tr w:rsidR="00690DAD" w:rsidTr="00BF378C" w14:paraId="5AEF031E" w14:textId="77777777">
              <w:tc>
                <w:tcPr>
                  <w:cnfStyle w:val="001000000000" w:firstRow="0" w:lastRow="0" w:firstColumn="1" w:lastColumn="0" w:oddVBand="0" w:evenVBand="0" w:oddHBand="0" w:evenHBand="0" w:firstRowFirstColumn="0" w:firstRowLastColumn="0" w:lastRowFirstColumn="0" w:lastRowLastColumn="0"/>
                  <w:tcW w:w="1615" w:type="dxa"/>
                </w:tcPr>
                <w:p w:rsidRPr="007766FB" w:rsidR="00690DAD" w:rsidP="00BF378C" w:rsidRDefault="00690DAD" w14:paraId="617BCC63" w14:textId="77777777">
                  <w:r w:rsidRPr="007766FB">
                    <w:t>Fiche 1</w:t>
                  </w:r>
                  <w:r>
                    <w:t>B</w:t>
                  </w:r>
                </w:p>
              </w:tc>
              <w:tc>
                <w:tcPr>
                  <w:tcW w:w="1565" w:type="dxa"/>
                </w:tcPr>
                <w:p w:rsidR="00690DAD" w:rsidP="00BF378C" w:rsidRDefault="00690DAD" w14:paraId="655CE158" w14:textId="77777777">
                  <w:pPr>
                    <w:cnfStyle w:val="000000000000" w:firstRow="0" w:lastRow="0" w:firstColumn="0" w:lastColumn="0" w:oddVBand="0" w:evenVBand="0" w:oddHBand="0" w:evenHBand="0" w:firstRowFirstColumn="0" w:firstRowLastColumn="0" w:lastRowFirstColumn="0" w:lastRowLastColumn="0"/>
                  </w:pPr>
                  <w:r>
                    <w:t>30.000</w:t>
                  </w:r>
                </w:p>
              </w:tc>
              <w:tc>
                <w:tcPr>
                  <w:tcW w:w="1565" w:type="dxa"/>
                </w:tcPr>
                <w:p w:rsidR="00690DAD" w:rsidP="00BF378C" w:rsidRDefault="00690DAD" w14:paraId="373DDA5D" w14:textId="77777777">
                  <w:pPr>
                    <w:cnfStyle w:val="000000000000" w:firstRow="0" w:lastRow="0" w:firstColumn="0" w:lastColumn="0" w:oddVBand="0" w:evenVBand="0" w:oddHBand="0" w:evenHBand="0" w:firstRowFirstColumn="0" w:firstRowLastColumn="0" w:lastRowFirstColumn="0" w:lastRowLastColumn="0"/>
                  </w:pPr>
                  <w:r>
                    <w:t>8.000</w:t>
                  </w:r>
                </w:p>
              </w:tc>
            </w:tr>
            <w:tr w:rsidR="00690DAD" w:rsidTr="00BF378C" w14:paraId="5F813D39" w14:textId="7777777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615" w:type="dxa"/>
                </w:tcPr>
                <w:p w:rsidRPr="007766FB" w:rsidR="00690DAD" w:rsidP="00BF378C" w:rsidRDefault="00690DAD" w14:paraId="1E576DDE" w14:textId="77777777">
                  <w:proofErr w:type="spellStart"/>
                  <w:r w:rsidRPr="007766FB">
                    <w:t>Toename</w:t>
                  </w:r>
                  <w:proofErr w:type="spellEnd"/>
                </w:p>
              </w:tc>
              <w:tc>
                <w:tcPr>
                  <w:tcW w:w="1565" w:type="dxa"/>
                </w:tcPr>
                <w:p w:rsidR="00690DAD" w:rsidP="00BF378C" w:rsidRDefault="00690DAD" w14:paraId="1B1E9A91" w14:textId="77777777">
                  <w:pPr>
                    <w:cnfStyle w:val="000000100000" w:firstRow="0" w:lastRow="0" w:firstColumn="0" w:lastColumn="0" w:oddVBand="0" w:evenVBand="0" w:oddHBand="1" w:evenHBand="0" w:firstRowFirstColumn="0" w:firstRowLastColumn="0" w:lastRowFirstColumn="0" w:lastRowLastColumn="0"/>
                  </w:pPr>
                  <w:r>
                    <w:t>+ 6.500</w:t>
                  </w:r>
                </w:p>
              </w:tc>
              <w:tc>
                <w:tcPr>
                  <w:tcW w:w="1565" w:type="dxa"/>
                </w:tcPr>
                <w:p w:rsidR="00690DAD" w:rsidP="00BF378C" w:rsidRDefault="00690DAD" w14:paraId="001C7A02" w14:textId="77777777">
                  <w:pPr>
                    <w:cnfStyle w:val="000000100000" w:firstRow="0" w:lastRow="0" w:firstColumn="0" w:lastColumn="0" w:oddVBand="0" w:evenVBand="0" w:oddHBand="1" w:evenHBand="0" w:firstRowFirstColumn="0" w:firstRowLastColumn="0" w:lastRowFirstColumn="0" w:lastRowLastColumn="0"/>
                  </w:pPr>
                  <w:r>
                    <w:t>+3.500</w:t>
                  </w:r>
                </w:p>
              </w:tc>
            </w:tr>
          </w:tbl>
          <w:p w:rsidR="00690DAD" w:rsidP="00BF378C" w:rsidRDefault="00690DAD" w14:paraId="7C168AC6" w14:textId="77777777">
            <w:pPr>
              <w:pStyle w:val="Lijstalinea"/>
            </w:pPr>
          </w:p>
          <w:p w:rsidRPr="00C63123" w:rsidR="00690DAD" w:rsidP="00690DAD" w:rsidRDefault="00690DAD" w14:paraId="07D6B8B5" w14:textId="77777777">
            <w:pPr>
              <w:numPr>
                <w:ilvl w:val="0"/>
                <w:numId w:val="35"/>
              </w:numPr>
              <w:autoSpaceDE w:val="0"/>
              <w:adjustRightInd w:val="0"/>
              <w:spacing w:line="240" w:lineRule="atLeast"/>
              <w:contextualSpacing/>
              <w:rPr>
                <w:b/>
                <w:bCs/>
              </w:rPr>
            </w:pPr>
            <w:r>
              <w:t>Als</w:t>
            </w:r>
            <w:r w:rsidRPr="22E3078D">
              <w:t xml:space="preserve"> </w:t>
            </w:r>
            <w:r>
              <w:t xml:space="preserve">belastingplichtigen ervoor kiezen om aflossingsvrije </w:t>
            </w:r>
            <w:proofErr w:type="spellStart"/>
            <w:r>
              <w:t>leningdelen</w:t>
            </w:r>
            <w:proofErr w:type="spellEnd"/>
            <w:r w:rsidRPr="22E3078D">
              <w:t xml:space="preserve"> over</w:t>
            </w:r>
            <w:r>
              <w:t xml:space="preserve"> te s</w:t>
            </w:r>
            <w:r w:rsidRPr="22E3078D">
              <w:t>luiten naar een lening met een ten minste annuïtair aflossingsschema van ten hoogste 360 maanden blijft</w:t>
            </w:r>
            <w:r>
              <w:t xml:space="preserve"> tot en met 2042 </w:t>
            </w:r>
            <w:r w:rsidRPr="22E3078D">
              <w:t xml:space="preserve">recht bestaan op </w:t>
            </w:r>
            <w:r>
              <w:t>HRA</w:t>
            </w:r>
            <w:r w:rsidRPr="22E3078D">
              <w:t xml:space="preserve">. Hier </w:t>
            </w:r>
            <w:r>
              <w:t xml:space="preserve">kunnen echter </w:t>
            </w:r>
            <w:r w:rsidRPr="22E3078D">
              <w:t>financieringskosten aan verbonden</w:t>
            </w:r>
            <w:r>
              <w:t xml:space="preserve"> zijn (voor aanpassing en eventueel advies). Daarnaast zal dit, ondanks het behoud van HRA, vaak leiden tot hogere maandlasten omdat maandelijks op de lening moet worden afgelost</w:t>
            </w:r>
            <w:r w:rsidRPr="22E3078D">
              <w:t>.</w:t>
            </w:r>
            <w:r>
              <w:t xml:space="preserve"> </w:t>
            </w:r>
          </w:p>
          <w:p w:rsidRPr="00E54C7E" w:rsidR="00690DAD" w:rsidP="00690DAD" w:rsidRDefault="00690DAD" w14:paraId="5378A516" w14:textId="77777777">
            <w:pPr>
              <w:autoSpaceDE w:val="0"/>
              <w:adjustRightInd w:val="0"/>
              <w:spacing w:line="240" w:lineRule="atLeast"/>
              <w:ind w:left="720"/>
              <w:contextualSpacing/>
              <w:rPr>
                <w:b/>
                <w:bCs/>
              </w:rPr>
            </w:pPr>
          </w:p>
          <w:p w:rsidRPr="00A10A1F" w:rsidR="00690DAD" w:rsidP="00690DAD" w:rsidRDefault="00690DAD" w14:paraId="566212B6" w14:textId="77777777">
            <w:pPr>
              <w:numPr>
                <w:ilvl w:val="0"/>
                <w:numId w:val="35"/>
              </w:numPr>
              <w:autoSpaceDE w:val="0"/>
              <w:adjustRightInd w:val="0"/>
              <w:spacing w:line="240" w:lineRule="atLeast"/>
              <w:contextualSpacing/>
              <w:rPr>
                <w:b/>
                <w:bCs/>
              </w:rPr>
            </w:pPr>
            <w:r>
              <w:t>Hierdoor zal voor een aanzienlijk deel van de belastingplichtigen gelden dat zij niet zullen opteren voor de optie om over te sluiten. Belastingplichtigen met een hoge rente op hun aflossingsvrije lening en/of mensen met een voorkeur voor het afbouwen van de schuldpositie zullen eerder geneigd zijn om gebruik te maken van de overgangsregeling. Voor deze groep zal het besteedbaar inkomen naar verwachting licht dalen, maar niet tot een problematisch niveau. Mensen met een kleine schuld zullen de lening niet omzetten omdat zij de eenmalige kosten simpelweg niet kunnen terugverdienen. Er zijn geen inkomenseffecten bij burgers met een spaar-</w:t>
            </w:r>
            <w:r w:rsidR="004A710E">
              <w:t>,</w:t>
            </w:r>
            <w:r>
              <w:t xml:space="preserve"> beleggings</w:t>
            </w:r>
            <w:r w:rsidR="004A710E">
              <w:t>- of leven</w:t>
            </w:r>
            <w:r w:rsidR="007410CA">
              <w:t>s</w:t>
            </w:r>
            <w:r>
              <w:t>hypotheek, omdat hun recht op HRA ongewijzigd blijft.</w:t>
            </w:r>
          </w:p>
          <w:p w:rsidR="00932669" w:rsidP="00A10A1F" w:rsidRDefault="00932669" w14:paraId="0B74A22B" w14:textId="77777777">
            <w:pPr>
              <w:pStyle w:val="Lijstalinea"/>
              <w:rPr>
                <w:b/>
                <w:bCs/>
              </w:rPr>
            </w:pPr>
          </w:p>
          <w:p w:rsidRPr="00A10A1F" w:rsidR="00932669" w:rsidP="00690DAD" w:rsidRDefault="00932669" w14:paraId="147DFB21" w14:textId="77777777">
            <w:pPr>
              <w:numPr>
                <w:ilvl w:val="0"/>
                <w:numId w:val="35"/>
              </w:numPr>
              <w:autoSpaceDE w:val="0"/>
              <w:adjustRightInd w:val="0"/>
              <w:spacing w:line="240" w:lineRule="atLeast"/>
              <w:contextualSpacing/>
            </w:pPr>
            <w:r w:rsidRPr="00A10A1F">
              <w:t xml:space="preserve">Voor belastingplichtigen die voor 2001 een aflossingsvrije hypotheek hebben afgesloten leidt deze optie tot de mogelijkheid om meer dan 30 jaar recht te hebben op HRA. Voor </w:t>
            </w:r>
            <w:r w:rsidRPr="00A10A1F">
              <w:lastRenderedPageBreak/>
              <w:t xml:space="preserve">belastingplichtigen die tussen 2001-2012 een eerste aflossingsvrije hypotheek hebben afgesloten leidt deze optie enerzijds tot een verruiming (ten minste 30 jaar recht op HRA en vaak meer), maar anderzijds tot een </w:t>
            </w:r>
            <w:proofErr w:type="spellStart"/>
            <w:r w:rsidRPr="00A10A1F">
              <w:t>verkrapping</w:t>
            </w:r>
            <w:proofErr w:type="spellEnd"/>
            <w:r w:rsidRPr="00A10A1F">
              <w:t xml:space="preserve"> (verplichte aflossing en </w:t>
            </w:r>
            <w:proofErr w:type="spellStart"/>
            <w:r w:rsidRPr="00A10A1F">
              <w:t>daarme</w:t>
            </w:r>
            <w:proofErr w:type="spellEnd"/>
            <w:r w:rsidRPr="00A10A1F">
              <w:t xml:space="preserve"> hogere maandlasten).</w:t>
            </w:r>
          </w:p>
          <w:p w:rsidR="00690DAD" w:rsidP="00690DAD" w:rsidRDefault="00690DAD" w14:paraId="4017DA9C" w14:textId="77777777">
            <w:pPr>
              <w:pStyle w:val="Lijstalinea"/>
            </w:pPr>
          </w:p>
        </w:tc>
      </w:tr>
      <w:tr w:rsidR="00690DAD" w:rsidTr="00C52798" w14:paraId="680CD0B8" w14:textId="77777777">
        <w:tc>
          <w:tcPr>
            <w:tcW w:w="2387" w:type="dxa"/>
            <w:shd w:val="clear" w:color="auto" w:fill="DAE9F7" w:themeFill="text2" w:themeFillTint="1A"/>
          </w:tcPr>
          <w:p w:rsidRPr="00637B02" w:rsidR="00690DAD" w:rsidP="00BF378C" w:rsidRDefault="00690DAD" w14:paraId="6ABD2457" w14:textId="77777777">
            <w:pPr>
              <w:rPr>
                <w:b/>
                <w:bCs/>
              </w:rPr>
            </w:pPr>
            <w:r w:rsidRPr="00637B02">
              <w:rPr>
                <w:b/>
                <w:bCs/>
              </w:rPr>
              <w:lastRenderedPageBreak/>
              <w:t>Budgettair</w:t>
            </w:r>
          </w:p>
        </w:tc>
        <w:tc>
          <w:tcPr>
            <w:tcW w:w="5314" w:type="dxa"/>
          </w:tcPr>
          <w:p w:rsidR="00D6070F" w:rsidP="00111645" w:rsidRDefault="00690DAD" w14:paraId="75280AA0" w14:textId="77777777">
            <w:r w:rsidRPr="007F3B48">
              <w:t>Aflossingsvrije leningen die aftrekrecht zouden verliezen in de periode 2031-204</w:t>
            </w:r>
            <w:r>
              <w:t>2</w:t>
            </w:r>
            <w:r w:rsidRPr="007F3B48">
              <w:t xml:space="preserve"> krijgen voor de</w:t>
            </w:r>
            <w:r>
              <w:t>ze</w:t>
            </w:r>
            <w:r w:rsidRPr="007F3B48">
              <w:t xml:space="preserve"> volledige periode recht op aftrek </w:t>
            </w:r>
            <w:r>
              <w:t xml:space="preserve">als </w:t>
            </w:r>
            <w:r w:rsidRPr="007F3B48">
              <w:t>de lening wordt omgezet</w:t>
            </w:r>
            <w:r>
              <w:t xml:space="preserve"> in een lening die voldoet aan de aflossingseis</w:t>
            </w:r>
            <w:r w:rsidRPr="007F3B48">
              <w:t>.</w:t>
            </w:r>
            <w:r w:rsidRPr="00690DAD">
              <w:rPr>
                <w:kern w:val="2"/>
                <w14:ligatures w14:val="standardContextual"/>
              </w:rPr>
              <w:t xml:space="preserve"> </w:t>
            </w:r>
            <w:r w:rsidRPr="00B37F03">
              <w:t>Door de</w:t>
            </w:r>
            <w:r>
              <w:t>ze</w:t>
            </w:r>
            <w:r w:rsidRPr="00B37F03">
              <w:t xml:space="preserve"> overgangsregeling is de budgettaire opbrengst lager dan bij fiche 1A</w:t>
            </w:r>
            <w:r>
              <w:t xml:space="preserve">. </w:t>
            </w:r>
            <w:r w:rsidRPr="007F3B48">
              <w:t xml:space="preserve">De verwachting is dat voor het overgrote deel van de </w:t>
            </w:r>
            <w:r>
              <w:t>belastingplichtige</w:t>
            </w:r>
            <w:r w:rsidRPr="007F3B48">
              <w:t xml:space="preserve">n geldt dat zij niet zullen kiezen voor omzetting in </w:t>
            </w:r>
            <w:r>
              <w:t>een lening die voldoet aan de aflossingseis</w:t>
            </w:r>
            <w:r w:rsidRPr="007F3B48">
              <w:t xml:space="preserve"> in verband met de hogere maandlasten</w:t>
            </w:r>
            <w:r>
              <w:t>, net zoals bij fiche 1A.</w:t>
            </w:r>
          </w:p>
          <w:p w:rsidRPr="007F3B48" w:rsidR="00D6070F" w:rsidP="00D6070F" w:rsidRDefault="00D6070F" w14:paraId="1C2C80FB" w14:textId="77777777"/>
          <w:p w:rsidR="00690DAD" w:rsidP="00690DAD" w:rsidRDefault="00690DAD" w14:paraId="725CE38A" w14:textId="77777777">
            <w:pPr>
              <w:pStyle w:val="Lijstalinea"/>
            </w:pPr>
          </w:p>
          <w:p w:rsidRPr="00E46673" w:rsidR="00690DAD" w:rsidP="00BF378C" w:rsidRDefault="00690DAD" w14:paraId="70921479" w14:textId="77777777">
            <w:pPr>
              <w:spacing w:after="255" w:line="240" w:lineRule="atLeast"/>
              <w:contextualSpacing/>
              <w:rPr>
                <w:b/>
                <w:bCs/>
                <w:sz w:val="16"/>
                <w:szCs w:val="16"/>
              </w:rPr>
            </w:pPr>
            <w:r w:rsidRPr="00E46673">
              <w:rPr>
                <w:b/>
                <w:bCs/>
                <w:sz w:val="16"/>
                <w:szCs w:val="16"/>
              </w:rPr>
              <w:t>Budgettair effect maatregel (x miljoen</w:t>
            </w:r>
            <w:r>
              <w:rPr>
                <w:b/>
                <w:bCs/>
                <w:sz w:val="16"/>
                <w:szCs w:val="16"/>
              </w:rPr>
              <w:t xml:space="preserve"> euro</w:t>
            </w:r>
            <w:r w:rsidRPr="00E46673">
              <w:rPr>
                <w:b/>
                <w:bCs/>
                <w:sz w:val="16"/>
                <w:szCs w:val="16"/>
              </w:rPr>
              <w:t>)</w:t>
            </w:r>
            <w:r w:rsidR="00771E6F">
              <w:rPr>
                <w:rStyle w:val="Voetnootmarkering"/>
                <w:b/>
                <w:bCs/>
                <w:sz w:val="16"/>
                <w:szCs w:val="16"/>
              </w:rPr>
              <w:footnoteReference w:id="52"/>
            </w:r>
          </w:p>
          <w:tbl>
            <w:tblPr>
              <w:tblStyle w:val="Onopgemaaktetabel2"/>
              <w:tblW w:w="0" w:type="auto"/>
              <w:tblLook w:val="04A0" w:firstRow="1" w:lastRow="0" w:firstColumn="1" w:lastColumn="0" w:noHBand="0" w:noVBand="1"/>
            </w:tblPr>
            <w:tblGrid>
              <w:gridCol w:w="740"/>
              <w:gridCol w:w="740"/>
              <w:gridCol w:w="740"/>
              <w:gridCol w:w="740"/>
              <w:gridCol w:w="740"/>
              <w:gridCol w:w="750"/>
              <w:gridCol w:w="854"/>
            </w:tblGrid>
            <w:tr w:rsidRPr="00E46673" w:rsidR="00690DAD" w:rsidTr="00690DAD" w14:paraId="19354134" w14:textId="777777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40" w:type="dxa"/>
                </w:tcPr>
                <w:p w:rsidRPr="00D6070F" w:rsidR="00690DAD" w:rsidP="00690DAD" w:rsidRDefault="00690DAD" w14:paraId="2F28632A" w14:textId="77777777">
                  <w:pPr>
                    <w:spacing w:after="255" w:line="240" w:lineRule="atLeast"/>
                    <w:contextualSpacing/>
                    <w:jc w:val="center"/>
                    <w:rPr>
                      <w:sz w:val="16"/>
                      <w:szCs w:val="16"/>
                      <w:lang w:val="fr-FR"/>
                    </w:rPr>
                  </w:pPr>
                  <w:r w:rsidRPr="00D6070F">
                    <w:rPr>
                      <w:sz w:val="16"/>
                      <w:szCs w:val="16"/>
                      <w:lang w:val="fr-FR"/>
                    </w:rPr>
                    <w:t>2031</w:t>
                  </w:r>
                </w:p>
              </w:tc>
              <w:tc>
                <w:tcPr>
                  <w:tcW w:w="740" w:type="dxa"/>
                </w:tcPr>
                <w:p w:rsidRPr="00D6070F" w:rsidR="00690DAD" w:rsidP="00690DAD" w:rsidRDefault="00690DAD" w14:paraId="3B7109D1"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2032</w:t>
                  </w:r>
                </w:p>
              </w:tc>
              <w:tc>
                <w:tcPr>
                  <w:tcW w:w="740" w:type="dxa"/>
                </w:tcPr>
                <w:p w:rsidRPr="00D6070F" w:rsidR="00690DAD" w:rsidP="00690DAD" w:rsidRDefault="00690DAD" w14:paraId="7A925C4E"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2033</w:t>
                  </w:r>
                </w:p>
              </w:tc>
              <w:tc>
                <w:tcPr>
                  <w:tcW w:w="740" w:type="dxa"/>
                </w:tcPr>
                <w:p w:rsidRPr="00D6070F" w:rsidR="00690DAD" w:rsidP="00690DAD" w:rsidRDefault="00690DAD" w14:paraId="5BEC242E"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2034</w:t>
                  </w:r>
                </w:p>
              </w:tc>
              <w:tc>
                <w:tcPr>
                  <w:tcW w:w="740" w:type="dxa"/>
                </w:tcPr>
                <w:p w:rsidRPr="00D6070F" w:rsidR="00690DAD" w:rsidP="00690DAD" w:rsidRDefault="00690DAD" w14:paraId="0D34DEB1"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2035</w:t>
                  </w:r>
                </w:p>
              </w:tc>
              <w:tc>
                <w:tcPr>
                  <w:tcW w:w="750" w:type="dxa"/>
                </w:tcPr>
                <w:p w:rsidRPr="00D6070F" w:rsidR="00690DAD" w:rsidP="00690DAD" w:rsidRDefault="00690DAD" w14:paraId="404FE7F2"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2036</w:t>
                  </w:r>
                </w:p>
              </w:tc>
              <w:tc>
                <w:tcPr>
                  <w:tcW w:w="854" w:type="dxa"/>
                </w:tcPr>
                <w:p w:rsidRPr="00D6070F" w:rsidR="00690DAD" w:rsidP="00690DAD" w:rsidRDefault="00690DAD" w14:paraId="5481F8DE"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2037</w:t>
                  </w:r>
                </w:p>
              </w:tc>
            </w:tr>
            <w:tr w:rsidRPr="00E46673" w:rsidR="001D71AF" w:rsidTr="00690DAD" w14:paraId="5ED4DE20"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40" w:type="dxa"/>
                </w:tcPr>
                <w:p w:rsidRPr="001D71AF" w:rsidR="001D71AF" w:rsidP="001D71AF" w:rsidRDefault="001D71AF" w14:paraId="2B133897" w14:textId="77777777">
                  <w:pPr>
                    <w:spacing w:after="255" w:line="240" w:lineRule="atLeast"/>
                    <w:contextualSpacing/>
                    <w:jc w:val="center"/>
                    <w:rPr>
                      <w:b w:val="0"/>
                      <w:bCs w:val="0"/>
                      <w:sz w:val="16"/>
                      <w:szCs w:val="16"/>
                      <w:lang w:val="fr-FR"/>
                    </w:rPr>
                  </w:pPr>
                  <w:r w:rsidRPr="001D71AF">
                    <w:rPr>
                      <w:b w:val="0"/>
                      <w:bCs w:val="0"/>
                      <w:sz w:val="16"/>
                      <w:szCs w:val="16"/>
                    </w:rPr>
                    <w:t xml:space="preserve"> 3.212 </w:t>
                  </w:r>
                </w:p>
              </w:tc>
              <w:tc>
                <w:tcPr>
                  <w:tcW w:w="740" w:type="dxa"/>
                </w:tcPr>
                <w:p w:rsidRPr="001D71AF" w:rsidR="001D71AF" w:rsidP="001D71AF" w:rsidRDefault="001D71AF" w14:paraId="1B6EC463"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2.274 </w:t>
                  </w:r>
                </w:p>
              </w:tc>
              <w:tc>
                <w:tcPr>
                  <w:tcW w:w="740" w:type="dxa"/>
                </w:tcPr>
                <w:p w:rsidRPr="001D71AF" w:rsidR="001D71AF" w:rsidP="001D71AF" w:rsidRDefault="001D71AF" w14:paraId="0370C10B"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2.086 </w:t>
                  </w:r>
                </w:p>
              </w:tc>
              <w:tc>
                <w:tcPr>
                  <w:tcW w:w="740" w:type="dxa"/>
                </w:tcPr>
                <w:p w:rsidRPr="001D71AF" w:rsidR="001D71AF" w:rsidP="001D71AF" w:rsidRDefault="001D71AF" w14:paraId="17AA6385"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1.867 </w:t>
                  </w:r>
                </w:p>
              </w:tc>
              <w:tc>
                <w:tcPr>
                  <w:tcW w:w="740" w:type="dxa"/>
                </w:tcPr>
                <w:p w:rsidRPr="001D71AF" w:rsidR="001D71AF" w:rsidP="001D71AF" w:rsidRDefault="001D71AF" w14:paraId="7EB89258"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1.631 </w:t>
                  </w:r>
                </w:p>
              </w:tc>
              <w:tc>
                <w:tcPr>
                  <w:tcW w:w="750" w:type="dxa"/>
                </w:tcPr>
                <w:p w:rsidRPr="001D71AF" w:rsidR="001D71AF" w:rsidP="001D71AF" w:rsidRDefault="001D71AF" w14:paraId="09D3408B"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1.323 </w:t>
                  </w:r>
                </w:p>
              </w:tc>
              <w:tc>
                <w:tcPr>
                  <w:tcW w:w="854" w:type="dxa"/>
                </w:tcPr>
                <w:p w:rsidRPr="001D71AF" w:rsidR="001D71AF" w:rsidP="001D71AF" w:rsidRDefault="001D71AF" w14:paraId="085FD0AB"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1.001 </w:t>
                  </w:r>
                </w:p>
              </w:tc>
            </w:tr>
            <w:tr w:rsidRPr="00E46673" w:rsidR="00690DAD" w:rsidTr="00690DAD" w14:paraId="66AA787A" w14:textId="77777777">
              <w:trPr>
                <w:trHeight w:val="284"/>
              </w:trPr>
              <w:tc>
                <w:tcPr>
                  <w:cnfStyle w:val="001000000000" w:firstRow="0" w:lastRow="0" w:firstColumn="1" w:lastColumn="0" w:oddVBand="0" w:evenVBand="0" w:oddHBand="0" w:evenHBand="0" w:firstRowFirstColumn="0" w:firstRowLastColumn="0" w:lastRowFirstColumn="0" w:lastRowLastColumn="0"/>
                  <w:tcW w:w="740" w:type="dxa"/>
                </w:tcPr>
                <w:p w:rsidRPr="00D6070F" w:rsidR="00690DAD" w:rsidP="00690DAD" w:rsidRDefault="00690DAD" w14:paraId="275A5FB2" w14:textId="77777777">
                  <w:pPr>
                    <w:spacing w:after="255" w:line="240" w:lineRule="atLeast"/>
                    <w:contextualSpacing/>
                    <w:jc w:val="center"/>
                    <w:rPr>
                      <w:sz w:val="16"/>
                      <w:szCs w:val="16"/>
                      <w:lang w:val="fr-FR"/>
                    </w:rPr>
                  </w:pPr>
                  <w:r w:rsidRPr="00D6070F">
                    <w:rPr>
                      <w:sz w:val="16"/>
                      <w:szCs w:val="16"/>
                      <w:lang w:val="fr-FR"/>
                    </w:rPr>
                    <w:t>2038</w:t>
                  </w:r>
                </w:p>
              </w:tc>
              <w:tc>
                <w:tcPr>
                  <w:tcW w:w="740" w:type="dxa"/>
                </w:tcPr>
                <w:p w:rsidRPr="00D6070F" w:rsidR="00690DAD" w:rsidP="00690DAD" w:rsidRDefault="00690DAD" w14:paraId="511602FC"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2039</w:t>
                  </w:r>
                </w:p>
              </w:tc>
              <w:tc>
                <w:tcPr>
                  <w:tcW w:w="740" w:type="dxa"/>
                </w:tcPr>
                <w:p w:rsidRPr="00D6070F" w:rsidR="00690DAD" w:rsidP="00690DAD" w:rsidRDefault="00690DAD" w14:paraId="547D56C9"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2040</w:t>
                  </w:r>
                </w:p>
              </w:tc>
              <w:tc>
                <w:tcPr>
                  <w:tcW w:w="740" w:type="dxa"/>
                </w:tcPr>
                <w:p w:rsidRPr="00D6070F" w:rsidR="00690DAD" w:rsidP="00690DAD" w:rsidRDefault="00690DAD" w14:paraId="677743AB"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2041</w:t>
                  </w:r>
                </w:p>
              </w:tc>
              <w:tc>
                <w:tcPr>
                  <w:tcW w:w="740" w:type="dxa"/>
                </w:tcPr>
                <w:p w:rsidRPr="00D6070F" w:rsidR="00690DAD" w:rsidP="00690DAD" w:rsidRDefault="00690DAD" w14:paraId="656BF17A"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2042</w:t>
                  </w:r>
                </w:p>
              </w:tc>
              <w:tc>
                <w:tcPr>
                  <w:tcW w:w="750" w:type="dxa"/>
                </w:tcPr>
                <w:p w:rsidRPr="00D6070F" w:rsidR="00690DAD" w:rsidP="00690DAD" w:rsidRDefault="00690DAD" w14:paraId="791BC6E9"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proofErr w:type="spellStart"/>
                  <w:r w:rsidRPr="00D6070F">
                    <w:rPr>
                      <w:b/>
                      <w:bCs/>
                      <w:sz w:val="16"/>
                      <w:szCs w:val="16"/>
                      <w:lang w:val="fr-FR"/>
                    </w:rPr>
                    <w:t>Struc</w:t>
                  </w:r>
                  <w:proofErr w:type="spellEnd"/>
                </w:p>
              </w:tc>
              <w:tc>
                <w:tcPr>
                  <w:tcW w:w="854" w:type="dxa"/>
                </w:tcPr>
                <w:p w:rsidRPr="00D6070F" w:rsidR="00690DAD" w:rsidP="00690DAD" w:rsidRDefault="00690DAD" w14:paraId="39AAC092"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Cum</w:t>
                  </w:r>
                </w:p>
              </w:tc>
            </w:tr>
            <w:tr w:rsidRPr="00E46673" w:rsidR="001D71AF" w:rsidTr="00690DAD" w14:paraId="45D87AAD"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40" w:type="dxa"/>
                </w:tcPr>
                <w:p w:rsidRPr="001D71AF" w:rsidR="001D71AF" w:rsidP="001D71AF" w:rsidRDefault="001D71AF" w14:paraId="34DCDF8D" w14:textId="77777777">
                  <w:pPr>
                    <w:spacing w:after="255" w:line="240" w:lineRule="atLeast"/>
                    <w:contextualSpacing/>
                    <w:jc w:val="center"/>
                    <w:rPr>
                      <w:b w:val="0"/>
                      <w:bCs w:val="0"/>
                      <w:sz w:val="16"/>
                      <w:szCs w:val="16"/>
                      <w:lang w:val="fr-FR"/>
                    </w:rPr>
                  </w:pPr>
                  <w:r w:rsidRPr="001D71AF">
                    <w:rPr>
                      <w:b w:val="0"/>
                      <w:bCs w:val="0"/>
                      <w:sz w:val="16"/>
                      <w:szCs w:val="16"/>
                    </w:rPr>
                    <w:t xml:space="preserve"> 733 </w:t>
                  </w:r>
                </w:p>
              </w:tc>
              <w:tc>
                <w:tcPr>
                  <w:tcW w:w="740" w:type="dxa"/>
                </w:tcPr>
                <w:p w:rsidRPr="001D71AF" w:rsidR="001D71AF" w:rsidP="001D71AF" w:rsidRDefault="001D71AF" w14:paraId="1878E809"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499 </w:t>
                  </w:r>
                </w:p>
              </w:tc>
              <w:tc>
                <w:tcPr>
                  <w:tcW w:w="740" w:type="dxa"/>
                </w:tcPr>
                <w:p w:rsidRPr="001D71AF" w:rsidR="001D71AF" w:rsidP="001D71AF" w:rsidRDefault="001D71AF" w14:paraId="716A6381"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339 </w:t>
                  </w:r>
                </w:p>
              </w:tc>
              <w:tc>
                <w:tcPr>
                  <w:tcW w:w="740" w:type="dxa"/>
                </w:tcPr>
                <w:p w:rsidRPr="001D71AF" w:rsidR="001D71AF" w:rsidP="001D71AF" w:rsidRDefault="001D71AF" w14:paraId="19783B96"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199 </w:t>
                  </w:r>
                </w:p>
              </w:tc>
              <w:tc>
                <w:tcPr>
                  <w:tcW w:w="740" w:type="dxa"/>
                </w:tcPr>
                <w:p w:rsidRPr="001D71AF" w:rsidR="001D71AF" w:rsidP="001D71AF" w:rsidRDefault="001D71AF" w14:paraId="34929660"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72 </w:t>
                  </w:r>
                </w:p>
              </w:tc>
              <w:tc>
                <w:tcPr>
                  <w:tcW w:w="750" w:type="dxa"/>
                </w:tcPr>
                <w:p w:rsidRPr="00D6070F" w:rsidR="001D71AF" w:rsidP="001D71AF" w:rsidRDefault="001D71AF" w14:paraId="769FB325"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D6070F">
                    <w:rPr>
                      <w:sz w:val="16"/>
                      <w:szCs w:val="16"/>
                      <w:lang w:val="fr-FR"/>
                    </w:rPr>
                    <w:t>0</w:t>
                  </w:r>
                </w:p>
              </w:tc>
              <w:tc>
                <w:tcPr>
                  <w:tcW w:w="854" w:type="dxa"/>
                </w:tcPr>
                <w:p w:rsidRPr="00D6070F" w:rsidR="001D71AF" w:rsidP="001D71AF" w:rsidRDefault="001D71AF" w14:paraId="67A87D36"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D6070F">
                    <w:rPr>
                      <w:sz w:val="16"/>
                      <w:szCs w:val="16"/>
                      <w:lang w:val="fr-FR"/>
                    </w:rPr>
                    <w:t>1</w:t>
                  </w:r>
                  <w:r>
                    <w:rPr>
                      <w:sz w:val="16"/>
                      <w:szCs w:val="16"/>
                      <w:lang w:val="fr-FR"/>
                    </w:rPr>
                    <w:t>5</w:t>
                  </w:r>
                  <w:r w:rsidRPr="00D6070F">
                    <w:rPr>
                      <w:sz w:val="16"/>
                      <w:szCs w:val="16"/>
                      <w:lang w:val="fr-FR"/>
                    </w:rPr>
                    <w:t>.</w:t>
                  </w:r>
                  <w:r>
                    <w:rPr>
                      <w:sz w:val="16"/>
                      <w:szCs w:val="16"/>
                      <w:lang w:val="fr-FR"/>
                    </w:rPr>
                    <w:t>236</w:t>
                  </w:r>
                </w:p>
              </w:tc>
            </w:tr>
          </w:tbl>
          <w:p w:rsidR="00690DAD" w:rsidP="00BF378C" w:rsidRDefault="00690DAD" w14:paraId="1CE71491" w14:textId="77777777"/>
        </w:tc>
      </w:tr>
      <w:tr w:rsidR="00690DAD" w:rsidTr="00C52798" w14:paraId="10F4F478" w14:textId="77777777">
        <w:tc>
          <w:tcPr>
            <w:tcW w:w="2387" w:type="dxa"/>
          </w:tcPr>
          <w:p w:rsidRPr="00637B02" w:rsidR="00690DAD" w:rsidP="00BF378C" w:rsidRDefault="00690DAD" w14:paraId="4EB01F13" w14:textId="77777777">
            <w:pPr>
              <w:rPr>
                <w:b/>
                <w:bCs/>
              </w:rPr>
            </w:pPr>
            <w:proofErr w:type="spellStart"/>
            <w:r w:rsidRPr="00637B02">
              <w:rPr>
                <w:b/>
                <w:bCs/>
              </w:rPr>
              <w:t>Doenvermogen</w:t>
            </w:r>
            <w:proofErr w:type="spellEnd"/>
            <w:r w:rsidRPr="00637B02">
              <w:rPr>
                <w:b/>
                <w:bCs/>
              </w:rPr>
              <w:t xml:space="preserve"> en administratieve lasten</w:t>
            </w:r>
          </w:p>
        </w:tc>
        <w:tc>
          <w:tcPr>
            <w:tcW w:w="5314" w:type="dxa"/>
          </w:tcPr>
          <w:p w:rsidRPr="00F052A7" w:rsidR="00690DAD" w:rsidP="00690DAD" w:rsidRDefault="00690DAD" w14:paraId="55A4FBE2" w14:textId="77777777">
            <w:pPr>
              <w:pStyle w:val="Lijstalinea"/>
              <w:numPr>
                <w:ilvl w:val="0"/>
                <w:numId w:val="30"/>
              </w:numPr>
              <w:spacing w:line="240" w:lineRule="atLeast"/>
            </w:pPr>
            <w:r w:rsidRPr="72AF643E">
              <w:t xml:space="preserve">Afschaffen van </w:t>
            </w:r>
            <w:r>
              <w:t>HRA</w:t>
            </w:r>
            <w:r w:rsidRPr="72AF643E">
              <w:t xml:space="preserve"> op </w:t>
            </w:r>
            <w:r>
              <w:t>BEWS</w:t>
            </w:r>
            <w:r w:rsidRPr="72AF643E">
              <w:t xml:space="preserve"> per 2031 zorgt voor duidelijkheid </w:t>
            </w:r>
            <w:r>
              <w:t>voor</w:t>
            </w:r>
            <w:r w:rsidRPr="72AF643E">
              <w:t xml:space="preserve"> burgers. </w:t>
            </w:r>
            <w:r>
              <w:t xml:space="preserve">Dit is een verbetering ten opzichte van het </w:t>
            </w:r>
            <w:proofErr w:type="spellStart"/>
            <w:r>
              <w:t>basispad</w:t>
            </w:r>
            <w:proofErr w:type="spellEnd"/>
            <w:r>
              <w:t>.</w:t>
            </w:r>
          </w:p>
          <w:p w:rsidR="00690DAD" w:rsidP="00690DAD" w:rsidRDefault="00690DAD" w14:paraId="35600117" w14:textId="77777777">
            <w:pPr>
              <w:pStyle w:val="Lijstalinea"/>
              <w:spacing w:line="240" w:lineRule="atLeast"/>
            </w:pPr>
          </w:p>
          <w:p w:rsidRPr="005D0A75" w:rsidR="00690DAD" w:rsidP="00690DAD" w:rsidRDefault="00690DAD" w14:paraId="3F16B017" w14:textId="77777777">
            <w:pPr>
              <w:pStyle w:val="Lijstalinea"/>
              <w:numPr>
                <w:ilvl w:val="0"/>
                <w:numId w:val="30"/>
              </w:numPr>
              <w:spacing w:line="240" w:lineRule="atLeast"/>
            </w:pPr>
            <w:r w:rsidRPr="005D0A75">
              <w:t xml:space="preserve">Uit de </w:t>
            </w:r>
            <w:proofErr w:type="spellStart"/>
            <w:r w:rsidRPr="005D0A75">
              <w:t>doenvermogensscan</w:t>
            </w:r>
            <w:proofErr w:type="spellEnd"/>
            <w:r w:rsidRPr="005D0A75">
              <w:t xml:space="preserve"> volgt dat het </w:t>
            </w:r>
            <w:proofErr w:type="spellStart"/>
            <w:r w:rsidRPr="005D0A75">
              <w:t>doenvermogen</w:t>
            </w:r>
            <w:proofErr w:type="spellEnd"/>
            <w:r w:rsidRPr="005D0A75">
              <w:t xml:space="preserve"> verbeter</w:t>
            </w:r>
            <w:r>
              <w:t>t</w:t>
            </w:r>
            <w:r w:rsidRPr="005D0A75">
              <w:t xml:space="preserve"> ten opzichte van het </w:t>
            </w:r>
            <w:proofErr w:type="spellStart"/>
            <w:r w:rsidRPr="005D0A75">
              <w:t>basispad</w:t>
            </w:r>
            <w:proofErr w:type="spellEnd"/>
            <w:r w:rsidRPr="005D0A75">
              <w:t>. De score is +0.1</w:t>
            </w:r>
            <w:r w:rsidR="0027040A">
              <w:t>7</w:t>
            </w:r>
            <w:r w:rsidRPr="005D0A75">
              <w:t>.</w:t>
            </w:r>
          </w:p>
          <w:p w:rsidR="00690DAD" w:rsidP="00690DAD" w:rsidRDefault="00690DAD" w14:paraId="646E28F0" w14:textId="77777777">
            <w:pPr>
              <w:pStyle w:val="Lijstalinea"/>
              <w:spacing w:line="240" w:lineRule="atLeast"/>
            </w:pPr>
          </w:p>
          <w:p w:rsidR="00690DAD" w:rsidP="00690DAD" w:rsidRDefault="00690DAD" w14:paraId="71255D12" w14:textId="77777777">
            <w:pPr>
              <w:pStyle w:val="Lijstalinea"/>
              <w:numPr>
                <w:ilvl w:val="0"/>
                <w:numId w:val="30"/>
              </w:numPr>
              <w:spacing w:line="240" w:lineRule="atLeast"/>
            </w:pPr>
            <w:r w:rsidRPr="72AF643E">
              <w:t xml:space="preserve">Voor de </w:t>
            </w:r>
            <w:r>
              <w:t xml:space="preserve">overgangsregeling </w:t>
            </w:r>
            <w:r w:rsidRPr="72AF643E">
              <w:t xml:space="preserve">geldt dat burgers zelf handelingen moeten verrichten om in een voor hen passende situatie te komen. Dit doet een beroep op het </w:t>
            </w:r>
            <w:proofErr w:type="spellStart"/>
            <w:r w:rsidRPr="72AF643E">
              <w:t>doenvermogen</w:t>
            </w:r>
            <w:proofErr w:type="spellEnd"/>
            <w:r w:rsidRPr="72AF643E">
              <w:t xml:space="preserve"> van burgers.</w:t>
            </w:r>
            <w:r>
              <w:t xml:space="preserve"> Ook </w:t>
            </w:r>
            <w:r w:rsidRPr="00065E4D">
              <w:t xml:space="preserve">moet </w:t>
            </w:r>
            <w:r>
              <w:t xml:space="preserve">de belastingplichtige </w:t>
            </w:r>
            <w:r w:rsidRPr="0034634B">
              <w:t xml:space="preserve">per </w:t>
            </w:r>
            <w:proofErr w:type="spellStart"/>
            <w:r w:rsidRPr="0034634B">
              <w:t>leningdeel</w:t>
            </w:r>
            <w:proofErr w:type="spellEnd"/>
            <w:r w:rsidRPr="0034634B">
              <w:t xml:space="preserve"> </w:t>
            </w:r>
            <w:r>
              <w:t xml:space="preserve">in de belastingaangifte aangegeven </w:t>
            </w:r>
            <w:r w:rsidRPr="0034634B">
              <w:t>of dit een BEWS</w:t>
            </w:r>
            <w:r>
              <w:t xml:space="preserve"> is of niet. Dit kan mogelijk leiden tot fouten. Dit komt tot uiting in de iets lagere score op de </w:t>
            </w:r>
            <w:proofErr w:type="spellStart"/>
            <w:r>
              <w:t>doenvermogensscan</w:t>
            </w:r>
            <w:proofErr w:type="spellEnd"/>
            <w:r>
              <w:t xml:space="preserve"> ten opzichte van fiche 1A.</w:t>
            </w:r>
            <w:r w:rsidRPr="72AF643E">
              <w:t xml:space="preserve"> </w:t>
            </w:r>
          </w:p>
          <w:p w:rsidR="00690DAD" w:rsidP="00690DAD" w:rsidRDefault="00690DAD" w14:paraId="41706C3B" w14:textId="77777777">
            <w:pPr>
              <w:spacing w:line="240" w:lineRule="atLeast"/>
            </w:pPr>
          </w:p>
        </w:tc>
      </w:tr>
      <w:tr w:rsidRPr="00690DAD" w:rsidR="00690DAD" w:rsidTr="00C52798" w14:paraId="5BD1F245" w14:textId="77777777">
        <w:tc>
          <w:tcPr>
            <w:tcW w:w="2387" w:type="dxa"/>
            <w:shd w:val="clear" w:color="auto" w:fill="DAE9F7" w:themeFill="text2" w:themeFillTint="1A"/>
          </w:tcPr>
          <w:p w:rsidRPr="00637B02" w:rsidR="00690DAD" w:rsidP="00BF378C" w:rsidRDefault="00690DAD" w14:paraId="20535BB0" w14:textId="77777777">
            <w:pPr>
              <w:rPr>
                <w:b/>
                <w:bCs/>
              </w:rPr>
            </w:pPr>
            <w:r w:rsidRPr="00637B02">
              <w:rPr>
                <w:b/>
                <w:bCs/>
              </w:rPr>
              <w:t>Uitvoeringsaspecten</w:t>
            </w:r>
          </w:p>
        </w:tc>
        <w:tc>
          <w:tcPr>
            <w:tcW w:w="5314" w:type="dxa"/>
          </w:tcPr>
          <w:p w:rsidRPr="00007281" w:rsidR="00690DAD" w:rsidP="00690DAD" w:rsidRDefault="00690DAD" w14:paraId="38F13C57" w14:textId="77777777">
            <w:pPr>
              <w:pStyle w:val="Lijstalinea"/>
              <w:numPr>
                <w:ilvl w:val="0"/>
                <w:numId w:val="32"/>
              </w:numPr>
              <w:spacing w:line="240" w:lineRule="atLeast"/>
              <w:rPr>
                <w:rFonts w:eastAsia="SymbolMT" w:cs="Verdana"/>
              </w:rPr>
            </w:pPr>
            <w:r w:rsidRPr="00007281">
              <w:rPr>
                <w:rFonts w:eastAsia="SymbolMT" w:cs="Verdana"/>
              </w:rPr>
              <w:t xml:space="preserve">Als in fiche 1A, alleen geldt bij dit fiche dat omgezette BEWS wel in aanmerking kunnen komen voor HRA in box 1. In tegenstelling tot bij fiche 1A zijn niet alle BEWS </w:t>
            </w:r>
            <w:r w:rsidRPr="00007281" w:rsidR="007F2E38">
              <w:rPr>
                <w:rFonts w:eastAsia="SymbolMT" w:cs="Verdana"/>
              </w:rPr>
              <w:t xml:space="preserve">automatisch een </w:t>
            </w:r>
            <w:r w:rsidRPr="00007281">
              <w:rPr>
                <w:rFonts w:eastAsia="SymbolMT" w:cs="Verdana"/>
              </w:rPr>
              <w:t>box</w:t>
            </w:r>
            <w:r w:rsidR="004A710E">
              <w:rPr>
                <w:rFonts w:eastAsia="SymbolMT" w:cs="Verdana"/>
              </w:rPr>
              <w:t> </w:t>
            </w:r>
            <w:r w:rsidRPr="00007281">
              <w:rPr>
                <w:rFonts w:eastAsia="SymbolMT" w:cs="Verdana"/>
              </w:rPr>
              <w:t>3-EWL</w:t>
            </w:r>
            <w:r w:rsidR="00007281">
              <w:rPr>
                <w:rFonts w:eastAsia="SymbolMT" w:cs="Verdana"/>
              </w:rPr>
              <w:t xml:space="preserve"> per 2031</w:t>
            </w:r>
            <w:r w:rsidRPr="00007281">
              <w:rPr>
                <w:rFonts w:eastAsia="SymbolMT" w:cs="Verdana"/>
              </w:rPr>
              <w:t>. Bij dit fiche is aanvullende vastlegging van de situatie van de keuze van belastingplichtigen (box 1 of box 3) per 1-1-2031 daarom noodzakelijk.</w:t>
            </w:r>
          </w:p>
          <w:p w:rsidRPr="00007281" w:rsidR="00690DAD" w:rsidP="00690DAD" w:rsidRDefault="00690DAD" w14:paraId="19A4A170" w14:textId="77777777">
            <w:pPr>
              <w:spacing w:line="240" w:lineRule="atLeast"/>
              <w:rPr>
                <w:rFonts w:eastAsia="SymbolMT" w:cs="Verdana"/>
              </w:rPr>
            </w:pPr>
          </w:p>
        </w:tc>
      </w:tr>
      <w:tr w:rsidR="00690DAD" w:rsidTr="00007281" w14:paraId="5A733A0A" w14:textId="77777777">
        <w:trPr>
          <w:trHeight w:val="238"/>
        </w:trPr>
        <w:tc>
          <w:tcPr>
            <w:tcW w:w="2387" w:type="dxa"/>
          </w:tcPr>
          <w:p w:rsidRPr="00637B02" w:rsidR="00690DAD" w:rsidP="00BF378C" w:rsidRDefault="00690DAD" w14:paraId="20481DD4" w14:textId="77777777">
            <w:pPr>
              <w:rPr>
                <w:b/>
                <w:bCs/>
              </w:rPr>
            </w:pPr>
            <w:r w:rsidRPr="00637B02">
              <w:rPr>
                <w:b/>
                <w:bCs/>
              </w:rPr>
              <w:lastRenderedPageBreak/>
              <w:t>Overig</w:t>
            </w:r>
          </w:p>
        </w:tc>
        <w:tc>
          <w:tcPr>
            <w:tcW w:w="5314" w:type="dxa"/>
          </w:tcPr>
          <w:p w:rsidRPr="00EA7F2B" w:rsidR="00690DAD" w:rsidP="00690DAD" w:rsidRDefault="00690DAD" w14:paraId="09AD22EA" w14:textId="77777777">
            <w:pPr>
              <w:pStyle w:val="Lijstalinea"/>
              <w:numPr>
                <w:ilvl w:val="0"/>
                <w:numId w:val="34"/>
              </w:numPr>
              <w:spacing w:line="256" w:lineRule="auto"/>
            </w:pPr>
            <w:r w:rsidRPr="00007281">
              <w:rPr>
                <w:rFonts w:eastAsia="Calibri" w:cs="Times New Roman"/>
                <w:color w:val="auto"/>
                <w:kern w:val="2"/>
                <w:lang w:eastAsia="en-US"/>
                <w14:ligatures w14:val="standardContextual"/>
              </w:rPr>
              <w:t>Als in fiche 1A. Aanvullend moeten belastingplichtigen die opteren voor de overgangsregeling tijdig een keuze maken en kredietverstrekkers moeten voldoende tijd hebben om leningen om te zetten.</w:t>
            </w:r>
          </w:p>
          <w:p w:rsidRPr="00007281" w:rsidR="00690DAD" w:rsidP="00EA7F2B" w:rsidRDefault="00690DAD" w14:paraId="522116C4" w14:textId="77777777">
            <w:pPr>
              <w:pStyle w:val="Lijstalinea"/>
              <w:spacing w:line="256" w:lineRule="auto"/>
            </w:pPr>
          </w:p>
        </w:tc>
      </w:tr>
    </w:tbl>
    <w:p w:rsidR="00690DAD" w:rsidP="00FF3304" w:rsidRDefault="00690DAD" w14:paraId="11866D80" w14:textId="77777777"/>
    <w:tbl>
      <w:tblPr>
        <w:tblStyle w:val="Tabelraster"/>
        <w:tblW w:w="0" w:type="auto"/>
        <w:tblInd w:w="0" w:type="dxa"/>
        <w:tblLook w:val="04A0" w:firstRow="1" w:lastRow="0" w:firstColumn="1" w:lastColumn="0" w:noHBand="0" w:noVBand="1"/>
      </w:tblPr>
      <w:tblGrid>
        <w:gridCol w:w="2919"/>
        <w:gridCol w:w="4782"/>
      </w:tblGrid>
      <w:tr w:rsidRPr="00637B02" w:rsidR="00690DAD" w:rsidTr="00BF378C" w14:paraId="036B6EEE" w14:textId="77777777">
        <w:tc>
          <w:tcPr>
            <w:tcW w:w="7701" w:type="dxa"/>
            <w:gridSpan w:val="2"/>
            <w:shd w:val="clear" w:color="auto" w:fill="A5C9EB" w:themeFill="text2" w:themeFillTint="40"/>
          </w:tcPr>
          <w:p w:rsidRPr="00637B02" w:rsidR="00690DAD" w:rsidP="00BF378C" w:rsidRDefault="00690DAD" w14:paraId="6D236F22" w14:textId="77777777">
            <w:pPr>
              <w:rPr>
                <w:b/>
                <w:bCs/>
              </w:rPr>
            </w:pPr>
            <w:r w:rsidRPr="00637B02">
              <w:rPr>
                <w:b/>
                <w:bCs/>
              </w:rPr>
              <w:t>Fiche 1</w:t>
            </w:r>
            <w:r>
              <w:rPr>
                <w:b/>
                <w:bCs/>
              </w:rPr>
              <w:t>C</w:t>
            </w:r>
            <w:r w:rsidRPr="00637B02">
              <w:rPr>
                <w:b/>
                <w:bCs/>
              </w:rPr>
              <w:t xml:space="preserve">: </w:t>
            </w:r>
            <w:r w:rsidRPr="004604AF">
              <w:rPr>
                <w:b/>
              </w:rPr>
              <w:t xml:space="preserve">zoals 1A, maar met overgangsbepaling. Bij oversluiten naar annuïtair aflosschema geldt behoud van HRA </w:t>
            </w:r>
            <w:r w:rsidRPr="004604AF">
              <w:rPr>
                <w:b/>
                <w:i/>
                <w:iCs/>
              </w:rPr>
              <w:t>tot einde looptijd lening</w:t>
            </w:r>
          </w:p>
        </w:tc>
      </w:tr>
      <w:tr w:rsidRPr="00637B02" w:rsidR="00690DAD" w:rsidTr="00BF378C" w14:paraId="56531B3B" w14:textId="77777777">
        <w:tc>
          <w:tcPr>
            <w:tcW w:w="7701" w:type="dxa"/>
            <w:gridSpan w:val="2"/>
          </w:tcPr>
          <w:p w:rsidR="00690DAD" w:rsidP="00BF378C" w:rsidRDefault="00690DAD" w14:paraId="4B8B5270" w14:textId="77777777">
            <w:pPr>
              <w:rPr>
                <w:b/>
                <w:bCs/>
              </w:rPr>
            </w:pPr>
            <w:r w:rsidRPr="00637B02">
              <w:rPr>
                <w:b/>
                <w:bCs/>
              </w:rPr>
              <w:t>Omschrijving van de maatregel</w:t>
            </w:r>
          </w:p>
          <w:p w:rsidR="00690DAD" w:rsidP="00690DAD" w:rsidRDefault="00690DAD" w14:paraId="3AE67272" w14:textId="77777777">
            <w:pPr>
              <w:numPr>
                <w:ilvl w:val="0"/>
                <w:numId w:val="27"/>
              </w:numPr>
              <w:spacing w:after="255" w:line="240" w:lineRule="atLeast"/>
              <w:contextualSpacing/>
            </w:pPr>
            <w:r w:rsidRPr="0095423E">
              <w:t xml:space="preserve">De voorgestelde maatregel is het afschaffen van de </w:t>
            </w:r>
            <w:r>
              <w:t>HRA voor BEWS per 1 januari 2031 (Fiche 1A), met mogelijkheid tot gebruikmaking van een overgangsregeling</w:t>
            </w:r>
            <w:r w:rsidRPr="0095423E">
              <w:t xml:space="preserve">. </w:t>
            </w:r>
          </w:p>
          <w:p w:rsidRPr="00637B02" w:rsidR="00690DAD" w:rsidP="00690DAD" w:rsidRDefault="00690DAD" w14:paraId="35C15E80" w14:textId="77777777">
            <w:pPr>
              <w:pStyle w:val="Lijstalinea"/>
              <w:numPr>
                <w:ilvl w:val="0"/>
                <w:numId w:val="27"/>
              </w:numPr>
              <w:spacing w:after="255" w:line="240" w:lineRule="atLeast"/>
            </w:pPr>
            <w:r w:rsidRPr="00690DAD">
              <w:rPr>
                <w:b/>
                <w:bCs/>
              </w:rPr>
              <w:t>Overgangsregeling</w:t>
            </w:r>
            <w:r w:rsidRPr="009F4659">
              <w:t>:</w:t>
            </w:r>
            <w:r>
              <w:t xml:space="preserve"> als fiche 1B, alleen zonder einddatum. Leningen die zijn omgezet</w:t>
            </w:r>
            <w:r w:rsidRPr="72AF643E">
              <w:t xml:space="preserve"> </w:t>
            </w:r>
            <w:r>
              <w:t xml:space="preserve">worden </w:t>
            </w:r>
            <w:r w:rsidRPr="72AF643E">
              <w:t>in ten hoogste 360 maanden afgelost</w:t>
            </w:r>
            <w:r>
              <w:t>, zodat dan automatisch de HRA stopt</w:t>
            </w:r>
            <w:r w:rsidRPr="72AF643E">
              <w:t>.</w:t>
            </w:r>
            <w:r>
              <w:t xml:space="preserve"> </w:t>
            </w:r>
          </w:p>
        </w:tc>
      </w:tr>
      <w:tr w:rsidRPr="00637B02" w:rsidR="00690DAD" w:rsidTr="00BF378C" w14:paraId="1401A5E9" w14:textId="77777777">
        <w:tc>
          <w:tcPr>
            <w:tcW w:w="7701" w:type="dxa"/>
            <w:gridSpan w:val="2"/>
            <w:shd w:val="clear" w:color="auto" w:fill="DAE9F7" w:themeFill="text2" w:themeFillTint="1A"/>
          </w:tcPr>
          <w:p w:rsidR="00690DAD" w:rsidP="00BF378C" w:rsidRDefault="00690DAD" w14:paraId="4D489241" w14:textId="77777777">
            <w:pPr>
              <w:rPr>
                <w:b/>
                <w:bCs/>
              </w:rPr>
            </w:pPr>
            <w:r>
              <w:rPr>
                <w:b/>
                <w:bCs/>
              </w:rPr>
              <w:t>Achtergrond/rationale</w:t>
            </w:r>
          </w:p>
          <w:p w:rsidRPr="00111645" w:rsidR="00CE01EB" w:rsidP="00CE01EB" w:rsidRDefault="00CE01EB" w14:paraId="741FB00F" w14:textId="77777777">
            <w:pPr>
              <w:pStyle w:val="Lijstalinea"/>
              <w:numPr>
                <w:ilvl w:val="0"/>
                <w:numId w:val="27"/>
              </w:numPr>
              <w:autoSpaceDE w:val="0"/>
              <w:adjustRightInd w:val="0"/>
              <w:spacing w:line="240" w:lineRule="atLeast"/>
              <w:rPr>
                <w:rFonts w:ascii="Calibri" w:hAnsi="Calibri"/>
                <w:b/>
                <w:color w:val="auto"/>
                <w:sz w:val="22"/>
              </w:rPr>
            </w:pPr>
            <w:r w:rsidRPr="009F4659">
              <w:t xml:space="preserve">De overgangsregeling leidt ertoe dat HRA behouden blijft voor leningen, waarover structureel en contractueel wordt afgelost. Alleen leningen die per 1 januari 2031 aflossingsvrij </w:t>
            </w:r>
            <w:r w:rsidR="00EA7F2B">
              <w:t xml:space="preserve">zijn </w:t>
            </w:r>
            <w:r w:rsidR="004A710E">
              <w:t>gaan over</w:t>
            </w:r>
            <w:r w:rsidRPr="009F4659">
              <w:t xml:space="preserve"> naar box 3. Deze overgangsregeling zorgt ervoor dat burgers </w:t>
            </w:r>
            <w:r>
              <w:t>altijd</w:t>
            </w:r>
            <w:r w:rsidRPr="009F4659">
              <w:t xml:space="preserve"> minimaal 30 jaar </w:t>
            </w:r>
            <w:r w:rsidR="004A710E">
              <w:t xml:space="preserve">recht op </w:t>
            </w:r>
            <w:r w:rsidR="00EB4148">
              <w:t>HRA</w:t>
            </w:r>
            <w:r w:rsidRPr="009F4659">
              <w:t xml:space="preserve"> kunnen </w:t>
            </w:r>
            <w:r w:rsidR="004A710E">
              <w:t>behouden</w:t>
            </w:r>
            <w:r w:rsidRPr="009F4659">
              <w:t xml:space="preserve"> als hun eigenwoningleningen structureel en contractueel worden afgelost. Deze maatregel is </w:t>
            </w:r>
            <w:r>
              <w:t>gunstiger</w:t>
            </w:r>
            <w:r w:rsidRPr="009F4659">
              <w:t xml:space="preserve"> </w:t>
            </w:r>
            <w:r w:rsidR="004A710E">
              <w:t xml:space="preserve">voor belastingplichtigen met een BEWS </w:t>
            </w:r>
            <w:r>
              <w:t>da</w:t>
            </w:r>
            <w:r w:rsidRPr="009F4659">
              <w:t xml:space="preserve">n fiche 1B. Er </w:t>
            </w:r>
            <w:r>
              <w:t>bestaat</w:t>
            </w:r>
            <w:r w:rsidRPr="009F4659">
              <w:t xml:space="preserve"> namelijk</w:t>
            </w:r>
            <w:r>
              <w:t xml:space="preserve"> na oversluiten</w:t>
            </w:r>
            <w:r w:rsidRPr="009F4659">
              <w:t xml:space="preserve"> </w:t>
            </w:r>
            <w:r>
              <w:t xml:space="preserve">voor </w:t>
            </w:r>
            <w:r w:rsidRPr="009F4659">
              <w:t xml:space="preserve">de volledige </w:t>
            </w:r>
            <w:r>
              <w:t>looptijd van de lening</w:t>
            </w:r>
            <w:r w:rsidRPr="009F4659">
              <w:t xml:space="preserve"> recht op HRA.</w:t>
            </w:r>
            <w:r>
              <w:t xml:space="preserve"> Hierdoor is een overgang van </w:t>
            </w:r>
            <w:r w:rsidR="004A710E">
              <w:t xml:space="preserve">omgezette </w:t>
            </w:r>
            <w:r>
              <w:t xml:space="preserve">BEWS van box 1 naar box 3 per 1-1-2043 niet nodig. </w:t>
            </w:r>
          </w:p>
          <w:p w:rsidRPr="00CE01EB" w:rsidR="004A710E" w:rsidP="00EA7F2B" w:rsidRDefault="004A710E" w14:paraId="7EB23797" w14:textId="77777777">
            <w:pPr>
              <w:pStyle w:val="Lijstalinea"/>
              <w:autoSpaceDE w:val="0"/>
              <w:adjustRightInd w:val="0"/>
              <w:spacing w:line="240" w:lineRule="atLeast"/>
              <w:rPr>
                <w:rFonts w:ascii="Calibri" w:hAnsi="Calibri" w:eastAsia="Calibri" w:cs="Times New Roman"/>
                <w:b/>
                <w:bCs/>
                <w:color w:val="auto"/>
                <w:sz w:val="22"/>
                <w:szCs w:val="22"/>
              </w:rPr>
            </w:pPr>
          </w:p>
          <w:p w:rsidRPr="00CE01EB" w:rsidR="00CE01EB" w:rsidP="00CE01EB" w:rsidRDefault="00CE01EB" w14:paraId="160B9DB6" w14:textId="77777777">
            <w:pPr>
              <w:pStyle w:val="Lijstalinea"/>
              <w:numPr>
                <w:ilvl w:val="0"/>
                <w:numId w:val="27"/>
              </w:numPr>
              <w:autoSpaceDE w:val="0"/>
              <w:adjustRightInd w:val="0"/>
              <w:spacing w:line="240" w:lineRule="atLeast"/>
            </w:pPr>
            <w:r w:rsidRPr="00CE01EB">
              <w:t xml:space="preserve">Door aan te sluiten bij de status van de lening per 1 januari 2031 wordt de benodigde uitvraag in de aangifte inkomstenbelasting voor de belastingplichtige eenvoudiger. Het is niet meer relevant of een lening(deel) een BEWS is, enkel wat de huidige status en looptijd van het </w:t>
            </w:r>
            <w:proofErr w:type="spellStart"/>
            <w:r w:rsidRPr="00CE01EB">
              <w:t>leningdeel</w:t>
            </w:r>
            <w:proofErr w:type="spellEnd"/>
            <w:r w:rsidRPr="00CE01EB">
              <w:t xml:space="preserve"> is.</w:t>
            </w:r>
          </w:p>
          <w:p w:rsidRPr="00CE01EB" w:rsidR="004A710E" w:rsidP="00EA7F2B" w:rsidRDefault="004A710E" w14:paraId="56ADFA5A" w14:textId="77777777">
            <w:pPr>
              <w:pStyle w:val="Lijstalinea"/>
              <w:autoSpaceDE w:val="0"/>
              <w:adjustRightInd w:val="0"/>
              <w:spacing w:line="240" w:lineRule="atLeast"/>
            </w:pPr>
          </w:p>
          <w:p w:rsidRPr="00CE01EB" w:rsidR="00CE01EB" w:rsidP="00CE01EB" w:rsidRDefault="00CE01EB" w14:paraId="6B6A211D" w14:textId="77777777">
            <w:pPr>
              <w:pStyle w:val="Lijstalinea"/>
              <w:numPr>
                <w:ilvl w:val="0"/>
                <w:numId w:val="27"/>
              </w:numPr>
              <w:autoSpaceDE w:val="0"/>
              <w:adjustRightInd w:val="0"/>
              <w:spacing w:line="240" w:lineRule="atLeast"/>
            </w:pPr>
            <w:r w:rsidRPr="00CE01EB">
              <w:t>De Belastingdienst zal ook na 2031 box 3-EWL moeten blijven vastleggen</w:t>
            </w:r>
            <w:r>
              <w:t xml:space="preserve"> voor leningen die per 1 januari 2031 niet ten minste annuïtair en in ten hoogste 360 maanden worden afgelost.</w:t>
            </w:r>
          </w:p>
          <w:p w:rsidRPr="00CE01EB" w:rsidR="004A710E" w:rsidP="00EA7F2B" w:rsidRDefault="004A710E" w14:paraId="61854E3E" w14:textId="77777777">
            <w:pPr>
              <w:pStyle w:val="Lijstalinea"/>
              <w:autoSpaceDE w:val="0"/>
              <w:adjustRightInd w:val="0"/>
              <w:spacing w:line="240" w:lineRule="atLeast"/>
            </w:pPr>
          </w:p>
          <w:p w:rsidRPr="00EA7F2B" w:rsidR="00690DAD" w:rsidP="00BF378C" w:rsidRDefault="00C63CA7" w14:paraId="52179257" w14:textId="77777777">
            <w:pPr>
              <w:pStyle w:val="Lijstalinea"/>
              <w:numPr>
                <w:ilvl w:val="0"/>
                <w:numId w:val="27"/>
              </w:numPr>
              <w:rPr>
                <w:b/>
                <w:bCs/>
              </w:rPr>
            </w:pPr>
            <w:r w:rsidRPr="00F86826">
              <w:t>Deze optie leidt ertoe dat belastingplichtigen afhankelijk van hun (financiële) situatie kunnen kiezen om de hypotheekrente af te trekken in box 1 of in box 3</w:t>
            </w:r>
            <w:r w:rsidR="00FA26AA">
              <w:t xml:space="preserve"> door de wijze waarop zij hun lening vormgeven</w:t>
            </w:r>
            <w:r w:rsidRPr="00F86826">
              <w:t>.</w:t>
            </w:r>
          </w:p>
          <w:p w:rsidRPr="00637B02" w:rsidR="00690DAD" w:rsidP="00EA7F2B" w:rsidRDefault="00690DAD" w14:paraId="6D55EA12" w14:textId="77777777">
            <w:pPr>
              <w:pStyle w:val="Lijstalinea"/>
              <w:rPr>
                <w:b/>
                <w:bCs/>
              </w:rPr>
            </w:pPr>
          </w:p>
        </w:tc>
      </w:tr>
      <w:tr w:rsidRPr="00637B02" w:rsidR="00690DAD" w:rsidTr="00BF378C" w14:paraId="12EAB593" w14:textId="77777777">
        <w:tc>
          <w:tcPr>
            <w:tcW w:w="7701" w:type="dxa"/>
            <w:gridSpan w:val="2"/>
          </w:tcPr>
          <w:p w:rsidRPr="00637B02" w:rsidR="00690DAD" w:rsidP="00BF378C" w:rsidRDefault="00690DAD" w14:paraId="1E468861" w14:textId="77777777">
            <w:pPr>
              <w:rPr>
                <w:b/>
                <w:bCs/>
              </w:rPr>
            </w:pPr>
            <w:r w:rsidRPr="00637B02">
              <w:rPr>
                <w:b/>
                <w:bCs/>
              </w:rPr>
              <w:t>Effecten</w:t>
            </w:r>
          </w:p>
        </w:tc>
      </w:tr>
      <w:tr w:rsidR="00690DAD" w:rsidTr="00BF378C" w14:paraId="4258E8CC" w14:textId="77777777">
        <w:tc>
          <w:tcPr>
            <w:tcW w:w="3850" w:type="dxa"/>
            <w:shd w:val="clear" w:color="auto" w:fill="DAE9F7" w:themeFill="text2" w:themeFillTint="1A"/>
          </w:tcPr>
          <w:p w:rsidRPr="00637B02" w:rsidR="00690DAD" w:rsidP="00BF378C" w:rsidRDefault="00690DAD" w14:paraId="5144950E" w14:textId="77777777">
            <w:pPr>
              <w:rPr>
                <w:b/>
                <w:bCs/>
              </w:rPr>
            </w:pPr>
            <w:r w:rsidRPr="00637B02">
              <w:rPr>
                <w:b/>
                <w:bCs/>
              </w:rPr>
              <w:t>(Macro)economische gevolgen</w:t>
            </w:r>
          </w:p>
        </w:tc>
        <w:tc>
          <w:tcPr>
            <w:tcW w:w="3851" w:type="dxa"/>
          </w:tcPr>
          <w:p w:rsidR="00690DAD" w:rsidP="00BF378C" w:rsidRDefault="00CE01EB" w14:paraId="4F170CF5" w14:textId="77777777">
            <w:pPr>
              <w:pStyle w:val="Lijstalinea"/>
              <w:numPr>
                <w:ilvl w:val="0"/>
                <w:numId w:val="28"/>
              </w:numPr>
            </w:pPr>
            <w:r>
              <w:t>Als in fiche 1B</w:t>
            </w:r>
          </w:p>
        </w:tc>
      </w:tr>
      <w:tr w:rsidR="00690DAD" w:rsidTr="00BF378C" w14:paraId="734B251D" w14:textId="77777777">
        <w:tc>
          <w:tcPr>
            <w:tcW w:w="3850" w:type="dxa"/>
          </w:tcPr>
          <w:p w:rsidRPr="00637B02" w:rsidR="00690DAD" w:rsidP="00BF378C" w:rsidRDefault="00690DAD" w14:paraId="67E7B31F" w14:textId="77777777">
            <w:pPr>
              <w:rPr>
                <w:b/>
                <w:bCs/>
              </w:rPr>
            </w:pPr>
            <w:r w:rsidRPr="00637B02">
              <w:rPr>
                <w:b/>
                <w:bCs/>
              </w:rPr>
              <w:t>Inkomenseffecten</w:t>
            </w:r>
          </w:p>
        </w:tc>
        <w:tc>
          <w:tcPr>
            <w:tcW w:w="3851" w:type="dxa"/>
          </w:tcPr>
          <w:p w:rsidRPr="00CE01EB" w:rsidR="00CE01EB" w:rsidP="00CE01EB" w:rsidRDefault="00CE01EB" w14:paraId="3ECFA45F" w14:textId="77777777">
            <w:pPr>
              <w:pStyle w:val="Lijstalinea"/>
              <w:numPr>
                <w:ilvl w:val="0"/>
                <w:numId w:val="28"/>
              </w:numPr>
            </w:pPr>
            <w:r w:rsidRPr="00CE01EB">
              <w:t>Hier gelden dezelfde inkomenseffecten als bij 1B. Alleen omdat dit een fiscaal gunstigere regeling is zullen iets meer huishoudens geneigd zijn gebruik te maken van de overgangsregeling. De groep huishoudens die (mogelijk) in de problemen komt is gelijk aan de groep in fiche 1B.</w:t>
            </w:r>
          </w:p>
          <w:p w:rsidR="00690DAD" w:rsidP="00CE01EB" w:rsidRDefault="00690DAD" w14:paraId="3EE1B0DF" w14:textId="77777777">
            <w:pPr>
              <w:pStyle w:val="Lijstalinea"/>
            </w:pPr>
          </w:p>
        </w:tc>
      </w:tr>
      <w:tr w:rsidR="00690DAD" w:rsidTr="00BF378C" w14:paraId="3A482A7F" w14:textId="77777777">
        <w:tc>
          <w:tcPr>
            <w:tcW w:w="3850" w:type="dxa"/>
            <w:shd w:val="clear" w:color="auto" w:fill="DAE9F7" w:themeFill="text2" w:themeFillTint="1A"/>
          </w:tcPr>
          <w:p w:rsidRPr="00637B02" w:rsidR="00690DAD" w:rsidP="00BF378C" w:rsidRDefault="00690DAD" w14:paraId="24DBBC07" w14:textId="77777777">
            <w:pPr>
              <w:rPr>
                <w:b/>
                <w:bCs/>
              </w:rPr>
            </w:pPr>
            <w:r w:rsidRPr="00637B02">
              <w:rPr>
                <w:b/>
                <w:bCs/>
              </w:rPr>
              <w:lastRenderedPageBreak/>
              <w:t>Budgettair</w:t>
            </w:r>
          </w:p>
        </w:tc>
        <w:tc>
          <w:tcPr>
            <w:tcW w:w="3851" w:type="dxa"/>
          </w:tcPr>
          <w:p w:rsidR="00690DAD" w:rsidP="00D6070F" w:rsidRDefault="00CE01EB" w14:paraId="1CC92100" w14:textId="77777777">
            <w:pPr>
              <w:pStyle w:val="Lijstalinea"/>
              <w:numPr>
                <w:ilvl w:val="0"/>
                <w:numId w:val="38"/>
              </w:numPr>
              <w:spacing w:line="276" w:lineRule="auto"/>
            </w:pPr>
            <w:r w:rsidRPr="008B3B5A">
              <w:t xml:space="preserve">Deze maatregel leidt tot een jaarlijkse budgettaire opbrengst ten opzichte van het </w:t>
            </w:r>
            <w:proofErr w:type="spellStart"/>
            <w:r w:rsidRPr="008B3B5A">
              <w:t>basispad</w:t>
            </w:r>
            <w:proofErr w:type="spellEnd"/>
            <w:r w:rsidRPr="008B3B5A">
              <w:t xml:space="preserve"> in de periode t/m 2042. Door </w:t>
            </w:r>
            <w:r>
              <w:t>verlies van HRA</w:t>
            </w:r>
            <w:r w:rsidRPr="008B3B5A">
              <w:t xml:space="preserve"> </w:t>
            </w:r>
            <w:r>
              <w:t>per</w:t>
            </w:r>
            <w:r w:rsidRPr="008B3B5A">
              <w:t xml:space="preserve"> 2031 kunnen aflossingsvrije leningen afgesloten in de periode 2001-2012 namelijk geen 30 jaar profiteren van </w:t>
            </w:r>
            <w:r>
              <w:t>HRA</w:t>
            </w:r>
            <w:r w:rsidRPr="008B3B5A">
              <w:t xml:space="preserve">. Aflossingsvrije leningen die aftrekrecht zouden verliezen in de periode 2031-2042 krijgen voor de volledige </w:t>
            </w:r>
            <w:r>
              <w:t>nieuwe looptijd</w:t>
            </w:r>
            <w:r w:rsidRPr="008B3B5A">
              <w:t xml:space="preserve"> recht op </w:t>
            </w:r>
            <w:r>
              <w:t>HRA als</w:t>
            </w:r>
            <w:r w:rsidRPr="008B3B5A">
              <w:t xml:space="preserve"> de lening wordt omgezet. De verwachting is dat voor het overgrote deel van de belastingplichtigen geldt dat zij niet zullen kiezen voor omzetting in een annuïtaire lening in verband met de hogere maandlasten. De budgettaire opbrengst is een fractie lager dan in fiche 1B omdat naar verwachting iets meer </w:t>
            </w:r>
            <w:r>
              <w:t>belastingplichtige</w:t>
            </w:r>
            <w:r w:rsidRPr="008B3B5A">
              <w:t xml:space="preserve">n zullen opteren voor de geboden overgangsregeling door de langere doorloop van de </w:t>
            </w:r>
            <w:r>
              <w:t>HRA</w:t>
            </w:r>
            <w:r w:rsidRPr="008B3B5A">
              <w:t xml:space="preserve"> (30 jaar versus 12 jaar). Hier staat een derving tegenover in de jaren vanaf 2043 omdat</w:t>
            </w:r>
            <w:r w:rsidR="002E56DE">
              <w:t xml:space="preserve"> onder de overgangsregeling een hernieuwd aftrekrecht voor 30 jaar geldt</w:t>
            </w:r>
            <w:r w:rsidRPr="008B3B5A">
              <w:t>.</w:t>
            </w:r>
          </w:p>
          <w:p w:rsidR="00D6070F" w:rsidP="00D6070F" w:rsidRDefault="00D6070F" w14:paraId="6B03C946" w14:textId="77777777">
            <w:pPr>
              <w:spacing w:line="276" w:lineRule="auto"/>
            </w:pPr>
          </w:p>
          <w:p w:rsidR="00D6070F" w:rsidP="00D6070F" w:rsidRDefault="00D6070F" w14:paraId="0B4D7F30" w14:textId="77777777">
            <w:pPr>
              <w:spacing w:line="276" w:lineRule="auto"/>
            </w:pPr>
          </w:p>
          <w:p w:rsidRPr="00E46673" w:rsidR="00690DAD" w:rsidP="00BF378C" w:rsidRDefault="00690DAD" w14:paraId="3715188C" w14:textId="77777777">
            <w:pPr>
              <w:spacing w:after="255" w:line="240" w:lineRule="atLeast"/>
              <w:contextualSpacing/>
              <w:rPr>
                <w:b/>
                <w:bCs/>
                <w:sz w:val="16"/>
                <w:szCs w:val="16"/>
              </w:rPr>
            </w:pPr>
            <w:r w:rsidRPr="00E46673">
              <w:rPr>
                <w:b/>
                <w:bCs/>
                <w:sz w:val="16"/>
                <w:szCs w:val="16"/>
              </w:rPr>
              <w:t>Budgettair effect maatregel (x miljoen</w:t>
            </w:r>
            <w:r>
              <w:rPr>
                <w:b/>
                <w:bCs/>
                <w:sz w:val="16"/>
                <w:szCs w:val="16"/>
              </w:rPr>
              <w:t xml:space="preserve"> euro</w:t>
            </w:r>
            <w:r w:rsidRPr="00E46673">
              <w:rPr>
                <w:b/>
                <w:bCs/>
                <w:sz w:val="16"/>
                <w:szCs w:val="16"/>
              </w:rPr>
              <w:t>)</w:t>
            </w:r>
            <w:r w:rsidR="00771E6F">
              <w:rPr>
                <w:rStyle w:val="Voetnootmarkering"/>
                <w:b/>
                <w:bCs/>
                <w:sz w:val="16"/>
                <w:szCs w:val="16"/>
              </w:rPr>
              <w:footnoteReference w:id="53"/>
            </w:r>
          </w:p>
          <w:tbl>
            <w:tblPr>
              <w:tblStyle w:val="Onopgemaaktetabel2"/>
              <w:tblW w:w="0" w:type="auto"/>
              <w:tblLook w:val="04A0" w:firstRow="1" w:lastRow="0" w:firstColumn="1" w:lastColumn="0" w:noHBand="0" w:noVBand="1"/>
            </w:tblPr>
            <w:tblGrid>
              <w:gridCol w:w="682"/>
              <w:gridCol w:w="682"/>
              <w:gridCol w:w="691"/>
              <w:gridCol w:w="682"/>
              <w:gridCol w:w="682"/>
              <w:gridCol w:w="682"/>
              <w:gridCol w:w="671"/>
            </w:tblGrid>
            <w:tr w:rsidRPr="00E46673" w:rsidR="002E56DE" w:rsidTr="001D71AF" w14:paraId="07DB75DC" w14:textId="777777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82" w:type="dxa"/>
                </w:tcPr>
                <w:p w:rsidRPr="00D6070F" w:rsidR="002E56DE" w:rsidP="002E56DE" w:rsidRDefault="002E56DE" w14:paraId="3F5B90F8" w14:textId="77777777">
                  <w:pPr>
                    <w:spacing w:after="255" w:line="240" w:lineRule="atLeast"/>
                    <w:contextualSpacing/>
                    <w:jc w:val="center"/>
                    <w:rPr>
                      <w:sz w:val="16"/>
                      <w:szCs w:val="16"/>
                      <w:lang w:val="fr-FR"/>
                    </w:rPr>
                  </w:pPr>
                  <w:r w:rsidRPr="00D6070F">
                    <w:rPr>
                      <w:sz w:val="16"/>
                      <w:szCs w:val="16"/>
                      <w:lang w:val="fr-FR"/>
                    </w:rPr>
                    <w:t>2031</w:t>
                  </w:r>
                </w:p>
              </w:tc>
              <w:tc>
                <w:tcPr>
                  <w:tcW w:w="682" w:type="dxa"/>
                </w:tcPr>
                <w:p w:rsidRPr="00D6070F" w:rsidR="002E56DE" w:rsidP="002E56DE" w:rsidRDefault="002E56DE" w14:paraId="36D55954"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2032</w:t>
                  </w:r>
                </w:p>
              </w:tc>
              <w:tc>
                <w:tcPr>
                  <w:tcW w:w="691" w:type="dxa"/>
                </w:tcPr>
                <w:p w:rsidRPr="00D6070F" w:rsidR="002E56DE" w:rsidP="002E56DE" w:rsidRDefault="002E56DE" w14:paraId="31D0C030"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2033</w:t>
                  </w:r>
                </w:p>
              </w:tc>
              <w:tc>
                <w:tcPr>
                  <w:tcW w:w="682" w:type="dxa"/>
                </w:tcPr>
                <w:p w:rsidRPr="00D6070F" w:rsidR="002E56DE" w:rsidP="002E56DE" w:rsidRDefault="002E56DE" w14:paraId="3069AEA8"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2034</w:t>
                  </w:r>
                </w:p>
              </w:tc>
              <w:tc>
                <w:tcPr>
                  <w:tcW w:w="682" w:type="dxa"/>
                </w:tcPr>
                <w:p w:rsidRPr="00D6070F" w:rsidR="002E56DE" w:rsidP="002E56DE" w:rsidRDefault="002E56DE" w14:paraId="615E25DE"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2035</w:t>
                  </w:r>
                </w:p>
              </w:tc>
              <w:tc>
                <w:tcPr>
                  <w:tcW w:w="682" w:type="dxa"/>
                </w:tcPr>
                <w:p w:rsidRPr="00D6070F" w:rsidR="002E56DE" w:rsidP="002E56DE" w:rsidRDefault="002E56DE" w14:paraId="73DF9062"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2036</w:t>
                  </w:r>
                </w:p>
              </w:tc>
              <w:tc>
                <w:tcPr>
                  <w:tcW w:w="671" w:type="dxa"/>
                </w:tcPr>
                <w:p w:rsidRPr="00D6070F" w:rsidR="002E56DE" w:rsidP="002E56DE" w:rsidRDefault="002E56DE" w14:paraId="62B2FE87"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6"/>
                      <w:szCs w:val="16"/>
                      <w:lang w:val="fr-FR"/>
                    </w:rPr>
                  </w:pPr>
                  <w:r w:rsidRPr="00D6070F">
                    <w:rPr>
                      <w:sz w:val="16"/>
                      <w:szCs w:val="16"/>
                      <w:lang w:val="fr-FR"/>
                    </w:rPr>
                    <w:t>2037</w:t>
                  </w:r>
                </w:p>
              </w:tc>
            </w:tr>
            <w:tr w:rsidRPr="00E46673" w:rsidR="001D71AF" w:rsidTr="001D71AF" w14:paraId="12F20BE1"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82" w:type="dxa"/>
                  <w:vAlign w:val="center"/>
                </w:tcPr>
                <w:p w:rsidRPr="001D71AF" w:rsidR="001D71AF" w:rsidP="001D71AF" w:rsidRDefault="001D71AF" w14:paraId="09453338" w14:textId="77777777">
                  <w:pPr>
                    <w:spacing w:after="255" w:line="240" w:lineRule="atLeast"/>
                    <w:contextualSpacing/>
                    <w:jc w:val="center"/>
                    <w:rPr>
                      <w:b w:val="0"/>
                      <w:bCs w:val="0"/>
                      <w:sz w:val="16"/>
                      <w:szCs w:val="16"/>
                      <w:lang w:val="fr-FR"/>
                    </w:rPr>
                  </w:pPr>
                  <w:r w:rsidRPr="001D71AF">
                    <w:rPr>
                      <w:b w:val="0"/>
                      <w:bCs w:val="0"/>
                      <w:sz w:val="16"/>
                      <w:szCs w:val="16"/>
                    </w:rPr>
                    <w:t>3.098</w:t>
                  </w:r>
                </w:p>
              </w:tc>
              <w:tc>
                <w:tcPr>
                  <w:tcW w:w="682" w:type="dxa"/>
                  <w:vAlign w:val="center"/>
                </w:tcPr>
                <w:p w:rsidRPr="001D71AF" w:rsidR="001D71AF" w:rsidP="001D71AF" w:rsidRDefault="001D71AF" w14:paraId="3ECAAAF5"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2.167</w:t>
                  </w:r>
                </w:p>
              </w:tc>
              <w:tc>
                <w:tcPr>
                  <w:tcW w:w="691" w:type="dxa"/>
                  <w:vAlign w:val="center"/>
                </w:tcPr>
                <w:p w:rsidRPr="001D71AF" w:rsidR="001D71AF" w:rsidP="001D71AF" w:rsidRDefault="001D71AF" w14:paraId="000D5B04"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1.987</w:t>
                  </w:r>
                </w:p>
              </w:tc>
              <w:tc>
                <w:tcPr>
                  <w:tcW w:w="682" w:type="dxa"/>
                  <w:vAlign w:val="center"/>
                </w:tcPr>
                <w:p w:rsidRPr="001D71AF" w:rsidR="001D71AF" w:rsidP="001D71AF" w:rsidRDefault="001D71AF" w14:paraId="1B694C0C"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1.774</w:t>
                  </w:r>
                </w:p>
              </w:tc>
              <w:tc>
                <w:tcPr>
                  <w:tcW w:w="682" w:type="dxa"/>
                  <w:vAlign w:val="center"/>
                </w:tcPr>
                <w:p w:rsidRPr="001D71AF" w:rsidR="001D71AF" w:rsidP="001D71AF" w:rsidRDefault="001D71AF" w14:paraId="3197268D"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1.545</w:t>
                  </w:r>
                </w:p>
              </w:tc>
              <w:tc>
                <w:tcPr>
                  <w:tcW w:w="682" w:type="dxa"/>
                  <w:vAlign w:val="center"/>
                </w:tcPr>
                <w:p w:rsidRPr="001D71AF" w:rsidR="001D71AF" w:rsidP="001D71AF" w:rsidRDefault="001D71AF" w14:paraId="0EAECD90"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1.243</w:t>
                  </w:r>
                </w:p>
              </w:tc>
              <w:tc>
                <w:tcPr>
                  <w:tcW w:w="671" w:type="dxa"/>
                  <w:vAlign w:val="center"/>
                </w:tcPr>
                <w:p w:rsidRPr="001D71AF" w:rsidR="001D71AF" w:rsidP="001D71AF" w:rsidRDefault="001D71AF" w14:paraId="6310B4B9"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928</w:t>
                  </w:r>
                </w:p>
              </w:tc>
            </w:tr>
            <w:tr w:rsidRPr="00E46673" w:rsidR="002E56DE" w:rsidTr="001D71AF" w14:paraId="0B27CB34" w14:textId="77777777">
              <w:trPr>
                <w:trHeight w:val="284"/>
              </w:trPr>
              <w:tc>
                <w:tcPr>
                  <w:cnfStyle w:val="001000000000" w:firstRow="0" w:lastRow="0" w:firstColumn="1" w:lastColumn="0" w:oddVBand="0" w:evenVBand="0" w:oddHBand="0" w:evenHBand="0" w:firstRowFirstColumn="0" w:firstRowLastColumn="0" w:lastRowFirstColumn="0" w:lastRowLastColumn="0"/>
                  <w:tcW w:w="682" w:type="dxa"/>
                </w:tcPr>
                <w:p w:rsidRPr="00D6070F" w:rsidR="002E56DE" w:rsidP="002E56DE" w:rsidRDefault="002E56DE" w14:paraId="6ABE7514" w14:textId="77777777">
                  <w:pPr>
                    <w:spacing w:after="255" w:line="240" w:lineRule="atLeast"/>
                    <w:contextualSpacing/>
                    <w:jc w:val="center"/>
                    <w:rPr>
                      <w:sz w:val="16"/>
                      <w:szCs w:val="16"/>
                      <w:lang w:val="fr-FR"/>
                    </w:rPr>
                  </w:pPr>
                  <w:r w:rsidRPr="00D6070F">
                    <w:rPr>
                      <w:sz w:val="16"/>
                      <w:szCs w:val="16"/>
                      <w:lang w:val="fr-FR"/>
                    </w:rPr>
                    <w:t>2038</w:t>
                  </w:r>
                </w:p>
              </w:tc>
              <w:tc>
                <w:tcPr>
                  <w:tcW w:w="682" w:type="dxa"/>
                </w:tcPr>
                <w:p w:rsidRPr="00D6070F" w:rsidR="002E56DE" w:rsidP="002E56DE" w:rsidRDefault="002E56DE" w14:paraId="279E5EE7"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2039</w:t>
                  </w:r>
                </w:p>
              </w:tc>
              <w:tc>
                <w:tcPr>
                  <w:tcW w:w="691" w:type="dxa"/>
                </w:tcPr>
                <w:p w:rsidRPr="00D6070F" w:rsidR="002E56DE" w:rsidP="002E56DE" w:rsidRDefault="002E56DE" w14:paraId="01AB8735"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2040</w:t>
                  </w:r>
                </w:p>
              </w:tc>
              <w:tc>
                <w:tcPr>
                  <w:tcW w:w="682" w:type="dxa"/>
                </w:tcPr>
                <w:p w:rsidRPr="00D6070F" w:rsidR="002E56DE" w:rsidP="002E56DE" w:rsidRDefault="002E56DE" w14:paraId="2C6EB414"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2041</w:t>
                  </w:r>
                </w:p>
              </w:tc>
              <w:tc>
                <w:tcPr>
                  <w:tcW w:w="682" w:type="dxa"/>
                </w:tcPr>
                <w:p w:rsidRPr="00D6070F" w:rsidR="002E56DE" w:rsidP="002E56DE" w:rsidRDefault="002E56DE" w14:paraId="2DFF231C"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2042</w:t>
                  </w:r>
                </w:p>
              </w:tc>
              <w:tc>
                <w:tcPr>
                  <w:tcW w:w="682" w:type="dxa"/>
                </w:tcPr>
                <w:p w:rsidRPr="00D6070F" w:rsidR="002E56DE" w:rsidP="002E56DE" w:rsidRDefault="002E56DE" w14:paraId="2FF2AA5C"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2043</w:t>
                  </w:r>
                </w:p>
              </w:tc>
              <w:tc>
                <w:tcPr>
                  <w:tcW w:w="671" w:type="dxa"/>
                </w:tcPr>
                <w:p w:rsidRPr="00D6070F" w:rsidR="002E56DE" w:rsidP="002E56DE" w:rsidRDefault="002E56DE" w14:paraId="0B7E6650"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6"/>
                      <w:szCs w:val="16"/>
                      <w:lang w:val="fr-FR"/>
                    </w:rPr>
                  </w:pPr>
                  <w:r w:rsidRPr="00D6070F">
                    <w:rPr>
                      <w:b/>
                      <w:bCs/>
                      <w:sz w:val="16"/>
                      <w:szCs w:val="16"/>
                      <w:lang w:val="fr-FR"/>
                    </w:rPr>
                    <w:t>2044</w:t>
                  </w:r>
                </w:p>
              </w:tc>
            </w:tr>
            <w:tr w:rsidRPr="00E46673" w:rsidR="001D71AF" w:rsidTr="001D71AF" w14:paraId="041BBD0D"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82" w:type="dxa"/>
                </w:tcPr>
                <w:p w:rsidRPr="001D71AF" w:rsidR="001D71AF" w:rsidP="001D71AF" w:rsidRDefault="001D71AF" w14:paraId="10AB4FF4" w14:textId="77777777">
                  <w:pPr>
                    <w:spacing w:after="255" w:line="240" w:lineRule="atLeast"/>
                    <w:contextualSpacing/>
                    <w:jc w:val="center"/>
                    <w:rPr>
                      <w:b w:val="0"/>
                      <w:bCs w:val="0"/>
                      <w:sz w:val="16"/>
                      <w:szCs w:val="16"/>
                      <w:lang w:val="fr-FR"/>
                    </w:rPr>
                  </w:pPr>
                  <w:r w:rsidRPr="001D71AF">
                    <w:rPr>
                      <w:b w:val="0"/>
                      <w:bCs w:val="0"/>
                      <w:sz w:val="16"/>
                      <w:szCs w:val="16"/>
                    </w:rPr>
                    <w:t xml:space="preserve"> 665 </w:t>
                  </w:r>
                </w:p>
              </w:tc>
              <w:tc>
                <w:tcPr>
                  <w:tcW w:w="682" w:type="dxa"/>
                </w:tcPr>
                <w:p w:rsidRPr="001D71AF" w:rsidR="001D71AF" w:rsidP="001D71AF" w:rsidRDefault="001D71AF" w14:paraId="1726F0C0"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438 </w:t>
                  </w:r>
                </w:p>
              </w:tc>
              <w:tc>
                <w:tcPr>
                  <w:tcW w:w="691" w:type="dxa"/>
                </w:tcPr>
                <w:p w:rsidRPr="001D71AF" w:rsidR="001D71AF" w:rsidP="001D71AF" w:rsidRDefault="001D71AF" w14:paraId="4BEEB690"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283 </w:t>
                  </w:r>
                </w:p>
              </w:tc>
              <w:tc>
                <w:tcPr>
                  <w:tcW w:w="682" w:type="dxa"/>
                </w:tcPr>
                <w:p w:rsidRPr="001D71AF" w:rsidR="001D71AF" w:rsidP="001D71AF" w:rsidRDefault="001D71AF" w14:paraId="1FDE90B9"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148 </w:t>
                  </w:r>
                </w:p>
              </w:tc>
              <w:tc>
                <w:tcPr>
                  <w:tcW w:w="682" w:type="dxa"/>
                </w:tcPr>
                <w:p w:rsidRPr="001D71AF" w:rsidR="001D71AF" w:rsidP="001D71AF" w:rsidRDefault="001D71AF" w14:paraId="3862DDF4"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 26 </w:t>
                  </w:r>
                </w:p>
              </w:tc>
              <w:tc>
                <w:tcPr>
                  <w:tcW w:w="682" w:type="dxa"/>
                </w:tcPr>
                <w:p w:rsidRPr="001D71AF" w:rsidR="001D71AF" w:rsidP="001D71AF" w:rsidRDefault="001D71AF" w14:paraId="43E99DD3"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-55 </w:t>
                  </w:r>
                </w:p>
              </w:tc>
              <w:tc>
                <w:tcPr>
                  <w:tcW w:w="671" w:type="dxa"/>
                </w:tcPr>
                <w:p w:rsidRPr="001D71AF" w:rsidR="001D71AF" w:rsidP="001D71AF" w:rsidRDefault="001D71AF" w14:paraId="74588CBA"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-48 </w:t>
                  </w:r>
                </w:p>
              </w:tc>
            </w:tr>
            <w:tr w:rsidRPr="00E46673" w:rsidR="002E56DE" w:rsidTr="001D71AF" w14:paraId="38329867" w14:textId="77777777">
              <w:trPr>
                <w:trHeight w:val="284"/>
              </w:trPr>
              <w:tc>
                <w:tcPr>
                  <w:cnfStyle w:val="001000000000" w:firstRow="0" w:lastRow="0" w:firstColumn="1" w:lastColumn="0" w:oddVBand="0" w:evenVBand="0" w:oddHBand="0" w:evenHBand="0" w:firstRowFirstColumn="0" w:firstRowLastColumn="0" w:lastRowFirstColumn="0" w:lastRowLastColumn="0"/>
                  <w:tcW w:w="682" w:type="dxa"/>
                </w:tcPr>
                <w:p w:rsidRPr="00D6070F" w:rsidR="002E56DE" w:rsidP="002E56DE" w:rsidRDefault="002E56DE" w14:paraId="37304A67" w14:textId="77777777">
                  <w:pPr>
                    <w:spacing w:after="255" w:line="240" w:lineRule="atLeast"/>
                    <w:contextualSpacing/>
                    <w:jc w:val="center"/>
                    <w:rPr>
                      <w:sz w:val="16"/>
                      <w:szCs w:val="16"/>
                      <w:lang w:val="fr-FR"/>
                    </w:rPr>
                  </w:pPr>
                  <w:r w:rsidRPr="00D6070F">
                    <w:rPr>
                      <w:sz w:val="16"/>
                      <w:szCs w:val="16"/>
                      <w:lang w:val="fr-FR"/>
                    </w:rPr>
                    <w:t>2045</w:t>
                  </w:r>
                </w:p>
              </w:tc>
              <w:tc>
                <w:tcPr>
                  <w:tcW w:w="682" w:type="dxa"/>
                </w:tcPr>
                <w:p w:rsidRPr="00D6070F" w:rsidR="002E56DE" w:rsidP="002E56DE" w:rsidRDefault="002E56DE" w14:paraId="52A3317A"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2046</w:t>
                  </w:r>
                </w:p>
              </w:tc>
              <w:tc>
                <w:tcPr>
                  <w:tcW w:w="691" w:type="dxa"/>
                </w:tcPr>
                <w:p w:rsidRPr="00D6070F" w:rsidR="002E56DE" w:rsidP="002E56DE" w:rsidRDefault="002E56DE" w14:paraId="59ADE9EA"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2047</w:t>
                  </w:r>
                </w:p>
              </w:tc>
              <w:tc>
                <w:tcPr>
                  <w:tcW w:w="682" w:type="dxa"/>
                </w:tcPr>
                <w:p w:rsidRPr="00D6070F" w:rsidR="002E56DE" w:rsidP="002E56DE" w:rsidRDefault="002E56DE" w14:paraId="7FF3929E"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2048</w:t>
                  </w:r>
                </w:p>
              </w:tc>
              <w:tc>
                <w:tcPr>
                  <w:tcW w:w="682" w:type="dxa"/>
                </w:tcPr>
                <w:p w:rsidRPr="00D6070F" w:rsidR="002E56DE" w:rsidP="002E56DE" w:rsidRDefault="002E56DE" w14:paraId="3E4CA4B8"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2049</w:t>
                  </w:r>
                </w:p>
              </w:tc>
              <w:tc>
                <w:tcPr>
                  <w:tcW w:w="682" w:type="dxa"/>
                </w:tcPr>
                <w:p w:rsidRPr="00D6070F" w:rsidR="002E56DE" w:rsidP="002E56DE" w:rsidRDefault="002E56DE" w14:paraId="1D580149"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2050</w:t>
                  </w:r>
                </w:p>
              </w:tc>
              <w:tc>
                <w:tcPr>
                  <w:tcW w:w="671" w:type="dxa"/>
                </w:tcPr>
                <w:p w:rsidRPr="00D6070F" w:rsidR="002E56DE" w:rsidP="002E56DE" w:rsidRDefault="002E56DE" w14:paraId="54360A36"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2051</w:t>
                  </w:r>
                </w:p>
              </w:tc>
            </w:tr>
            <w:tr w:rsidRPr="00E46673" w:rsidR="001D71AF" w:rsidTr="001D71AF" w14:paraId="28E477AA"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82" w:type="dxa"/>
                </w:tcPr>
                <w:p w:rsidRPr="001D71AF" w:rsidR="001D71AF" w:rsidP="001D71AF" w:rsidRDefault="001D71AF" w14:paraId="080D78A5" w14:textId="77777777">
                  <w:pPr>
                    <w:spacing w:after="255" w:line="240" w:lineRule="atLeast"/>
                    <w:contextualSpacing/>
                    <w:jc w:val="center"/>
                    <w:rPr>
                      <w:b w:val="0"/>
                      <w:bCs w:val="0"/>
                      <w:sz w:val="16"/>
                      <w:szCs w:val="16"/>
                      <w:lang w:val="fr-FR"/>
                    </w:rPr>
                  </w:pPr>
                  <w:r w:rsidRPr="001D71AF">
                    <w:rPr>
                      <w:b w:val="0"/>
                      <w:bCs w:val="0"/>
                      <w:sz w:val="16"/>
                      <w:szCs w:val="16"/>
                    </w:rPr>
                    <w:t xml:space="preserve">-42 </w:t>
                  </w:r>
                </w:p>
              </w:tc>
              <w:tc>
                <w:tcPr>
                  <w:tcW w:w="682" w:type="dxa"/>
                </w:tcPr>
                <w:p w:rsidRPr="001D71AF" w:rsidR="001D71AF" w:rsidP="001D71AF" w:rsidRDefault="001D71AF" w14:paraId="07DA0186"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-36 </w:t>
                  </w:r>
                </w:p>
              </w:tc>
              <w:tc>
                <w:tcPr>
                  <w:tcW w:w="691" w:type="dxa"/>
                </w:tcPr>
                <w:p w:rsidRPr="001D71AF" w:rsidR="001D71AF" w:rsidP="001D71AF" w:rsidRDefault="001D71AF" w14:paraId="51793244"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-31 </w:t>
                  </w:r>
                </w:p>
              </w:tc>
              <w:tc>
                <w:tcPr>
                  <w:tcW w:w="682" w:type="dxa"/>
                </w:tcPr>
                <w:p w:rsidRPr="001D71AF" w:rsidR="001D71AF" w:rsidP="001D71AF" w:rsidRDefault="001D71AF" w14:paraId="318A4A93"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-26 </w:t>
                  </w:r>
                </w:p>
              </w:tc>
              <w:tc>
                <w:tcPr>
                  <w:tcW w:w="682" w:type="dxa"/>
                </w:tcPr>
                <w:p w:rsidRPr="001D71AF" w:rsidR="001D71AF" w:rsidP="001D71AF" w:rsidRDefault="001D71AF" w14:paraId="215BA426"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-22 </w:t>
                  </w:r>
                </w:p>
              </w:tc>
              <w:tc>
                <w:tcPr>
                  <w:tcW w:w="682" w:type="dxa"/>
                </w:tcPr>
                <w:p w:rsidRPr="001D71AF" w:rsidR="001D71AF" w:rsidP="001D71AF" w:rsidRDefault="001D71AF" w14:paraId="53B508DD"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-18 </w:t>
                  </w:r>
                </w:p>
              </w:tc>
              <w:tc>
                <w:tcPr>
                  <w:tcW w:w="671" w:type="dxa"/>
                </w:tcPr>
                <w:p w:rsidRPr="001D71AF" w:rsidR="001D71AF" w:rsidP="001D71AF" w:rsidRDefault="001D71AF" w14:paraId="6321F5ED"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-14 </w:t>
                  </w:r>
                </w:p>
              </w:tc>
            </w:tr>
            <w:tr w:rsidRPr="00E46673" w:rsidR="002E56DE" w:rsidTr="001D71AF" w14:paraId="4EF532CB" w14:textId="77777777">
              <w:trPr>
                <w:trHeight w:val="284"/>
              </w:trPr>
              <w:tc>
                <w:tcPr>
                  <w:cnfStyle w:val="001000000000" w:firstRow="0" w:lastRow="0" w:firstColumn="1" w:lastColumn="0" w:oddVBand="0" w:evenVBand="0" w:oddHBand="0" w:evenHBand="0" w:firstRowFirstColumn="0" w:firstRowLastColumn="0" w:lastRowFirstColumn="0" w:lastRowLastColumn="0"/>
                  <w:tcW w:w="682" w:type="dxa"/>
                </w:tcPr>
                <w:p w:rsidRPr="00D6070F" w:rsidR="002E56DE" w:rsidP="002E56DE" w:rsidRDefault="002E56DE" w14:paraId="5FCF842E" w14:textId="77777777">
                  <w:pPr>
                    <w:spacing w:after="255" w:line="240" w:lineRule="atLeast"/>
                    <w:contextualSpacing/>
                    <w:jc w:val="center"/>
                    <w:rPr>
                      <w:sz w:val="16"/>
                      <w:szCs w:val="16"/>
                      <w:lang w:val="fr-FR"/>
                    </w:rPr>
                  </w:pPr>
                  <w:r w:rsidRPr="00D6070F">
                    <w:rPr>
                      <w:sz w:val="16"/>
                      <w:szCs w:val="16"/>
                      <w:lang w:val="fr-FR"/>
                    </w:rPr>
                    <w:t>2052</w:t>
                  </w:r>
                </w:p>
              </w:tc>
              <w:tc>
                <w:tcPr>
                  <w:tcW w:w="682" w:type="dxa"/>
                </w:tcPr>
                <w:p w:rsidRPr="00D6070F" w:rsidR="002E56DE" w:rsidP="002E56DE" w:rsidRDefault="002E56DE" w14:paraId="370EC73B"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2053</w:t>
                  </w:r>
                </w:p>
              </w:tc>
              <w:tc>
                <w:tcPr>
                  <w:tcW w:w="691" w:type="dxa"/>
                </w:tcPr>
                <w:p w:rsidRPr="00D6070F" w:rsidR="002E56DE" w:rsidP="002E56DE" w:rsidRDefault="002E56DE" w14:paraId="4CFDF933"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2054</w:t>
                  </w:r>
                </w:p>
              </w:tc>
              <w:tc>
                <w:tcPr>
                  <w:tcW w:w="682" w:type="dxa"/>
                </w:tcPr>
                <w:p w:rsidRPr="00D6070F" w:rsidR="002E56DE" w:rsidP="002E56DE" w:rsidRDefault="002E56DE" w14:paraId="464E0067"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2055</w:t>
                  </w:r>
                </w:p>
              </w:tc>
              <w:tc>
                <w:tcPr>
                  <w:tcW w:w="682" w:type="dxa"/>
                </w:tcPr>
                <w:p w:rsidRPr="00D6070F" w:rsidR="002E56DE" w:rsidP="002E56DE" w:rsidRDefault="002E56DE" w14:paraId="39725851"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2056</w:t>
                  </w:r>
                </w:p>
              </w:tc>
              <w:tc>
                <w:tcPr>
                  <w:tcW w:w="682" w:type="dxa"/>
                </w:tcPr>
                <w:p w:rsidRPr="00D6070F" w:rsidR="002E56DE" w:rsidP="002E56DE" w:rsidRDefault="002E56DE" w14:paraId="72B300A7"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2057</w:t>
                  </w:r>
                </w:p>
              </w:tc>
              <w:tc>
                <w:tcPr>
                  <w:tcW w:w="671" w:type="dxa"/>
                </w:tcPr>
                <w:p w:rsidRPr="00D6070F" w:rsidR="002E56DE" w:rsidP="002E56DE" w:rsidRDefault="002E56DE" w14:paraId="582CEFB7"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2058</w:t>
                  </w:r>
                </w:p>
              </w:tc>
            </w:tr>
            <w:tr w:rsidRPr="00E46673" w:rsidR="001D71AF" w:rsidTr="001D71AF" w14:paraId="7DBC6488"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82" w:type="dxa"/>
                </w:tcPr>
                <w:p w:rsidRPr="001D71AF" w:rsidR="001D71AF" w:rsidP="001D71AF" w:rsidRDefault="001D71AF" w14:paraId="2FAA847E" w14:textId="77777777">
                  <w:pPr>
                    <w:spacing w:after="255" w:line="240" w:lineRule="atLeast"/>
                    <w:contextualSpacing/>
                    <w:jc w:val="center"/>
                    <w:rPr>
                      <w:b w:val="0"/>
                      <w:bCs w:val="0"/>
                      <w:sz w:val="16"/>
                      <w:szCs w:val="16"/>
                      <w:lang w:val="fr-FR"/>
                    </w:rPr>
                  </w:pPr>
                  <w:r w:rsidRPr="001D71AF">
                    <w:rPr>
                      <w:b w:val="0"/>
                      <w:bCs w:val="0"/>
                      <w:sz w:val="16"/>
                      <w:szCs w:val="16"/>
                    </w:rPr>
                    <w:t xml:space="preserve">-11 </w:t>
                  </w:r>
                </w:p>
              </w:tc>
              <w:tc>
                <w:tcPr>
                  <w:tcW w:w="682" w:type="dxa"/>
                </w:tcPr>
                <w:p w:rsidRPr="001D71AF" w:rsidR="001D71AF" w:rsidP="001D71AF" w:rsidRDefault="001D71AF" w14:paraId="3BA99B15"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-8 </w:t>
                  </w:r>
                </w:p>
              </w:tc>
              <w:tc>
                <w:tcPr>
                  <w:tcW w:w="691" w:type="dxa"/>
                </w:tcPr>
                <w:p w:rsidRPr="001D71AF" w:rsidR="001D71AF" w:rsidP="001D71AF" w:rsidRDefault="001D71AF" w14:paraId="74AF4F24"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-6 </w:t>
                  </w:r>
                </w:p>
              </w:tc>
              <w:tc>
                <w:tcPr>
                  <w:tcW w:w="682" w:type="dxa"/>
                </w:tcPr>
                <w:p w:rsidRPr="001D71AF" w:rsidR="001D71AF" w:rsidP="001D71AF" w:rsidRDefault="001D71AF" w14:paraId="047C021B"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-4 </w:t>
                  </w:r>
                </w:p>
              </w:tc>
              <w:tc>
                <w:tcPr>
                  <w:tcW w:w="682" w:type="dxa"/>
                </w:tcPr>
                <w:p w:rsidRPr="001D71AF" w:rsidR="001D71AF" w:rsidP="001D71AF" w:rsidRDefault="001D71AF" w14:paraId="24697A2F"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-3 </w:t>
                  </w:r>
                </w:p>
              </w:tc>
              <w:tc>
                <w:tcPr>
                  <w:tcW w:w="682" w:type="dxa"/>
                </w:tcPr>
                <w:p w:rsidRPr="001D71AF" w:rsidR="001D71AF" w:rsidP="001D71AF" w:rsidRDefault="001D71AF" w14:paraId="7D8135A3"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-2 </w:t>
                  </w:r>
                </w:p>
              </w:tc>
              <w:tc>
                <w:tcPr>
                  <w:tcW w:w="671" w:type="dxa"/>
                </w:tcPr>
                <w:p w:rsidRPr="001D71AF" w:rsidR="001D71AF" w:rsidP="001D71AF" w:rsidRDefault="001D71AF" w14:paraId="60F3A2E0"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1D71AF">
                    <w:rPr>
                      <w:sz w:val="16"/>
                      <w:szCs w:val="16"/>
                    </w:rPr>
                    <w:t xml:space="preserve">-1 </w:t>
                  </w:r>
                </w:p>
              </w:tc>
            </w:tr>
            <w:tr w:rsidRPr="00E46673" w:rsidR="002E56DE" w:rsidTr="001D71AF" w14:paraId="2CE73B2E" w14:textId="77777777">
              <w:trPr>
                <w:trHeight w:val="284"/>
              </w:trPr>
              <w:tc>
                <w:tcPr>
                  <w:cnfStyle w:val="001000000000" w:firstRow="0" w:lastRow="0" w:firstColumn="1" w:lastColumn="0" w:oddVBand="0" w:evenVBand="0" w:oddHBand="0" w:evenHBand="0" w:firstRowFirstColumn="0" w:firstRowLastColumn="0" w:lastRowFirstColumn="0" w:lastRowLastColumn="0"/>
                  <w:tcW w:w="682" w:type="dxa"/>
                  <w:vAlign w:val="center"/>
                </w:tcPr>
                <w:p w:rsidRPr="00D6070F" w:rsidR="002E56DE" w:rsidP="002E56DE" w:rsidRDefault="002E56DE" w14:paraId="3F69AA98" w14:textId="77777777">
                  <w:pPr>
                    <w:spacing w:after="255" w:line="240" w:lineRule="atLeast"/>
                    <w:contextualSpacing/>
                    <w:jc w:val="center"/>
                    <w:rPr>
                      <w:sz w:val="16"/>
                      <w:szCs w:val="16"/>
                      <w:lang w:val="fr-FR"/>
                    </w:rPr>
                  </w:pPr>
                  <w:r w:rsidRPr="00D6070F">
                    <w:rPr>
                      <w:sz w:val="16"/>
                      <w:szCs w:val="16"/>
                      <w:lang w:val="fr-FR"/>
                    </w:rPr>
                    <w:t>2059</w:t>
                  </w:r>
                </w:p>
              </w:tc>
              <w:tc>
                <w:tcPr>
                  <w:tcW w:w="682" w:type="dxa"/>
                  <w:vAlign w:val="center"/>
                </w:tcPr>
                <w:p w:rsidRPr="00D6070F" w:rsidR="002E56DE" w:rsidP="002E56DE" w:rsidRDefault="002E56DE" w14:paraId="53C2665B"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2060</w:t>
                  </w:r>
                </w:p>
              </w:tc>
              <w:tc>
                <w:tcPr>
                  <w:tcW w:w="691" w:type="dxa"/>
                  <w:vAlign w:val="center"/>
                </w:tcPr>
                <w:p w:rsidRPr="00D6070F" w:rsidR="002E56DE" w:rsidP="002E56DE" w:rsidRDefault="002E56DE" w14:paraId="63DD826E"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proofErr w:type="spellStart"/>
                  <w:r w:rsidRPr="00D6070F">
                    <w:rPr>
                      <w:b/>
                      <w:bCs/>
                      <w:sz w:val="16"/>
                      <w:szCs w:val="16"/>
                      <w:lang w:val="fr-FR"/>
                    </w:rPr>
                    <w:t>Struc</w:t>
                  </w:r>
                  <w:proofErr w:type="spellEnd"/>
                </w:p>
              </w:tc>
              <w:tc>
                <w:tcPr>
                  <w:tcW w:w="1364" w:type="dxa"/>
                  <w:gridSpan w:val="2"/>
                  <w:vAlign w:val="center"/>
                </w:tcPr>
                <w:p w:rsidRPr="00D6070F" w:rsidR="002E56DE" w:rsidP="002E56DE" w:rsidRDefault="002E56DE" w14:paraId="43E199D7"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Cum ‘31-‘42</w:t>
                  </w:r>
                </w:p>
              </w:tc>
              <w:tc>
                <w:tcPr>
                  <w:tcW w:w="1353" w:type="dxa"/>
                  <w:gridSpan w:val="2"/>
                </w:tcPr>
                <w:p w:rsidRPr="00D6070F" w:rsidR="002E56DE" w:rsidP="002E56DE" w:rsidRDefault="002E56DE" w14:paraId="40D7ABD1"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sz w:val="16"/>
                      <w:szCs w:val="16"/>
                      <w:lang w:val="fr-FR"/>
                    </w:rPr>
                  </w:pPr>
                  <w:r w:rsidRPr="00D6070F">
                    <w:rPr>
                      <w:b/>
                      <w:bCs/>
                      <w:sz w:val="16"/>
                      <w:szCs w:val="16"/>
                      <w:lang w:val="fr-FR"/>
                    </w:rPr>
                    <w:t>Cum ‘43-‘60</w:t>
                  </w:r>
                </w:p>
              </w:tc>
            </w:tr>
            <w:tr w:rsidRPr="00E46673" w:rsidR="002E56DE" w:rsidTr="001D71AF" w14:paraId="323F4B7B"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82" w:type="dxa"/>
                </w:tcPr>
                <w:p w:rsidRPr="001D71AF" w:rsidR="002E56DE" w:rsidP="002E56DE" w:rsidRDefault="002E56DE" w14:paraId="3DD62DC6" w14:textId="77777777">
                  <w:pPr>
                    <w:spacing w:after="255" w:line="240" w:lineRule="atLeast"/>
                    <w:contextualSpacing/>
                    <w:jc w:val="center"/>
                    <w:rPr>
                      <w:b w:val="0"/>
                      <w:bCs w:val="0"/>
                      <w:sz w:val="16"/>
                      <w:szCs w:val="16"/>
                      <w:lang w:val="fr-FR"/>
                    </w:rPr>
                  </w:pPr>
                  <w:r w:rsidRPr="001D71AF">
                    <w:rPr>
                      <w:b w:val="0"/>
                      <w:bCs w:val="0"/>
                      <w:sz w:val="16"/>
                      <w:lang w:val="fr-FR"/>
                    </w:rPr>
                    <w:t>0</w:t>
                  </w:r>
                </w:p>
              </w:tc>
              <w:tc>
                <w:tcPr>
                  <w:tcW w:w="682" w:type="dxa"/>
                </w:tcPr>
                <w:p w:rsidRPr="00D6070F" w:rsidR="002E56DE" w:rsidP="002E56DE" w:rsidRDefault="002E56DE" w14:paraId="5CA6EB81"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D6070F">
                    <w:rPr>
                      <w:sz w:val="16"/>
                      <w:szCs w:val="16"/>
                      <w:lang w:val="fr-FR"/>
                    </w:rPr>
                    <w:t>0</w:t>
                  </w:r>
                </w:p>
              </w:tc>
              <w:tc>
                <w:tcPr>
                  <w:tcW w:w="691" w:type="dxa"/>
                </w:tcPr>
                <w:p w:rsidRPr="00D6070F" w:rsidR="002E56DE" w:rsidP="002E56DE" w:rsidRDefault="002E56DE" w14:paraId="0AA5A742"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D6070F">
                    <w:rPr>
                      <w:sz w:val="16"/>
                      <w:szCs w:val="16"/>
                      <w:lang w:val="fr-FR"/>
                    </w:rPr>
                    <w:t>0</w:t>
                  </w:r>
                </w:p>
              </w:tc>
              <w:tc>
                <w:tcPr>
                  <w:tcW w:w="1364" w:type="dxa"/>
                  <w:gridSpan w:val="2"/>
                </w:tcPr>
                <w:p w:rsidRPr="00D6070F" w:rsidR="002E56DE" w:rsidP="002E56DE" w:rsidRDefault="002E56DE" w14:paraId="100E37F7"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D6070F">
                    <w:rPr>
                      <w:sz w:val="16"/>
                      <w:szCs w:val="16"/>
                      <w:lang w:val="fr-FR"/>
                    </w:rPr>
                    <w:t>1</w:t>
                  </w:r>
                  <w:r w:rsidR="001D71AF">
                    <w:rPr>
                      <w:sz w:val="16"/>
                      <w:szCs w:val="16"/>
                      <w:lang w:val="fr-FR"/>
                    </w:rPr>
                    <w:t>4</w:t>
                  </w:r>
                  <w:r w:rsidRPr="00D6070F">
                    <w:rPr>
                      <w:sz w:val="16"/>
                      <w:szCs w:val="16"/>
                      <w:lang w:val="fr-FR"/>
                    </w:rPr>
                    <w:t>.</w:t>
                  </w:r>
                  <w:r w:rsidR="001D71AF">
                    <w:rPr>
                      <w:sz w:val="16"/>
                      <w:szCs w:val="16"/>
                      <w:lang w:val="fr-FR"/>
                    </w:rPr>
                    <w:t>303</w:t>
                  </w:r>
                </w:p>
              </w:tc>
              <w:tc>
                <w:tcPr>
                  <w:tcW w:w="1353" w:type="dxa"/>
                  <w:gridSpan w:val="2"/>
                </w:tcPr>
                <w:p w:rsidR="002E56DE" w:rsidP="002E56DE" w:rsidRDefault="002E56DE" w14:paraId="0C85BFEC"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r w:rsidRPr="00D6070F">
                    <w:rPr>
                      <w:sz w:val="16"/>
                      <w:szCs w:val="16"/>
                      <w:lang w:val="fr-FR"/>
                    </w:rPr>
                    <w:t>-3</w:t>
                  </w:r>
                  <w:r w:rsidR="001D71AF">
                    <w:rPr>
                      <w:sz w:val="16"/>
                      <w:szCs w:val="16"/>
                      <w:lang w:val="fr-FR"/>
                    </w:rPr>
                    <w:t>25</w:t>
                  </w:r>
                </w:p>
                <w:p w:rsidRPr="00D6070F" w:rsidR="002E56DE" w:rsidP="002E56DE" w:rsidRDefault="002E56DE" w14:paraId="02207543"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6"/>
                      <w:szCs w:val="16"/>
                      <w:lang w:val="fr-FR"/>
                    </w:rPr>
                  </w:pPr>
                </w:p>
              </w:tc>
            </w:tr>
          </w:tbl>
          <w:p w:rsidR="00690DAD" w:rsidP="00BF378C" w:rsidRDefault="00690DAD" w14:paraId="413F73BF" w14:textId="77777777"/>
        </w:tc>
      </w:tr>
      <w:tr w:rsidR="00690DAD" w:rsidTr="00BF378C" w14:paraId="538E4BD5" w14:textId="77777777">
        <w:tc>
          <w:tcPr>
            <w:tcW w:w="3850" w:type="dxa"/>
          </w:tcPr>
          <w:p w:rsidRPr="00637B02" w:rsidR="00690DAD" w:rsidP="00BF378C" w:rsidRDefault="00690DAD" w14:paraId="7D93283E" w14:textId="77777777">
            <w:pPr>
              <w:rPr>
                <w:b/>
                <w:bCs/>
              </w:rPr>
            </w:pPr>
            <w:proofErr w:type="spellStart"/>
            <w:r w:rsidRPr="00637B02">
              <w:rPr>
                <w:b/>
                <w:bCs/>
              </w:rPr>
              <w:t>Doenvermogen</w:t>
            </w:r>
            <w:proofErr w:type="spellEnd"/>
            <w:r w:rsidRPr="00637B02">
              <w:rPr>
                <w:b/>
                <w:bCs/>
              </w:rPr>
              <w:t xml:space="preserve"> en administratieve lasten</w:t>
            </w:r>
          </w:p>
        </w:tc>
        <w:tc>
          <w:tcPr>
            <w:tcW w:w="3851" w:type="dxa"/>
          </w:tcPr>
          <w:p w:rsidRPr="00F052A7" w:rsidR="002E56DE" w:rsidP="002E56DE" w:rsidRDefault="002E56DE" w14:paraId="117BD820" w14:textId="77777777">
            <w:pPr>
              <w:pStyle w:val="Lijstalinea"/>
              <w:numPr>
                <w:ilvl w:val="0"/>
                <w:numId w:val="30"/>
              </w:numPr>
              <w:spacing w:line="240" w:lineRule="atLeast"/>
            </w:pPr>
            <w:r>
              <w:t xml:space="preserve">Ten opzichte van fiche 1B zorgt deze maatregel voor een verdere verbetering van het </w:t>
            </w:r>
            <w:proofErr w:type="spellStart"/>
            <w:r>
              <w:t>doenvermogen</w:t>
            </w:r>
            <w:proofErr w:type="spellEnd"/>
            <w:r>
              <w:t xml:space="preserve"> omdat de facto wordt aangesloten bij de huidige status van de lening(delen). Burgers hoeven niet meer aan te geven of hun box 1-lening een BEWS  is. Enkel of de lening(delen) die ze hebben voldoen aan de voorwaarden voor HRA.</w:t>
            </w:r>
          </w:p>
          <w:p w:rsidR="002E56DE" w:rsidP="002E56DE" w:rsidRDefault="002E56DE" w14:paraId="571EF201" w14:textId="77777777">
            <w:pPr>
              <w:pStyle w:val="Lijstalinea"/>
              <w:spacing w:line="240" w:lineRule="atLeast"/>
            </w:pPr>
          </w:p>
          <w:p w:rsidR="00690DAD" w:rsidP="002E56DE" w:rsidRDefault="002E56DE" w14:paraId="5936FAE9" w14:textId="77777777">
            <w:pPr>
              <w:pStyle w:val="Lijstalinea"/>
              <w:numPr>
                <w:ilvl w:val="0"/>
                <w:numId w:val="30"/>
              </w:numPr>
              <w:spacing w:line="240" w:lineRule="atLeast"/>
            </w:pPr>
            <w:r w:rsidRPr="005D0A75">
              <w:lastRenderedPageBreak/>
              <w:t xml:space="preserve">Uit de </w:t>
            </w:r>
            <w:proofErr w:type="spellStart"/>
            <w:r w:rsidRPr="005D0A75">
              <w:t>doenvermogensscan</w:t>
            </w:r>
            <w:proofErr w:type="spellEnd"/>
            <w:r w:rsidRPr="005D0A75">
              <w:t xml:space="preserve"> volgt dat het </w:t>
            </w:r>
            <w:proofErr w:type="spellStart"/>
            <w:r w:rsidRPr="005D0A75">
              <w:t>doenvermogen</w:t>
            </w:r>
            <w:proofErr w:type="spellEnd"/>
            <w:r w:rsidRPr="005D0A75">
              <w:t xml:space="preserve"> verbeter</w:t>
            </w:r>
            <w:r>
              <w:t>t</w:t>
            </w:r>
            <w:r w:rsidRPr="005D0A75">
              <w:t xml:space="preserve"> ten opzichte van het </w:t>
            </w:r>
            <w:proofErr w:type="spellStart"/>
            <w:r w:rsidRPr="005D0A75">
              <w:t>basispad</w:t>
            </w:r>
            <w:proofErr w:type="spellEnd"/>
            <w:r w:rsidRPr="005D0A75">
              <w:t>. De score is +</w:t>
            </w:r>
            <w:r w:rsidR="00EA7F2B">
              <w:t>0</w:t>
            </w:r>
            <w:r w:rsidR="0027040A">
              <w:t>.</w:t>
            </w:r>
            <w:r w:rsidRPr="005D0A75">
              <w:t>1</w:t>
            </w:r>
            <w:r w:rsidR="003D3ABC">
              <w:t>7</w:t>
            </w:r>
            <w:r w:rsidR="0027040A">
              <w:t>.</w:t>
            </w:r>
          </w:p>
          <w:p w:rsidR="0027040A" w:rsidP="0027040A" w:rsidRDefault="0027040A" w14:paraId="2D44A1B9" w14:textId="77777777">
            <w:pPr>
              <w:pStyle w:val="Lijstalinea"/>
            </w:pPr>
          </w:p>
          <w:p w:rsidR="0027040A" w:rsidP="0027040A" w:rsidRDefault="0027040A" w14:paraId="3CFD1152" w14:textId="77777777">
            <w:pPr>
              <w:spacing w:line="240" w:lineRule="atLeast"/>
            </w:pPr>
          </w:p>
        </w:tc>
      </w:tr>
      <w:tr w:rsidRPr="00690DAD" w:rsidR="00690DAD" w:rsidTr="00BF378C" w14:paraId="50301C0B" w14:textId="77777777">
        <w:tc>
          <w:tcPr>
            <w:tcW w:w="3850" w:type="dxa"/>
            <w:shd w:val="clear" w:color="auto" w:fill="DAE9F7" w:themeFill="text2" w:themeFillTint="1A"/>
          </w:tcPr>
          <w:p w:rsidRPr="00637B02" w:rsidR="00690DAD" w:rsidP="00BF378C" w:rsidRDefault="00690DAD" w14:paraId="15000A71" w14:textId="77777777">
            <w:pPr>
              <w:rPr>
                <w:b/>
                <w:bCs/>
              </w:rPr>
            </w:pPr>
            <w:r w:rsidRPr="00637B02">
              <w:rPr>
                <w:b/>
                <w:bCs/>
              </w:rPr>
              <w:lastRenderedPageBreak/>
              <w:t>Uitvoeringsaspecten</w:t>
            </w:r>
          </w:p>
        </w:tc>
        <w:tc>
          <w:tcPr>
            <w:tcW w:w="3851" w:type="dxa"/>
          </w:tcPr>
          <w:p w:rsidRPr="00691277" w:rsidR="002E56DE" w:rsidP="002E56DE" w:rsidRDefault="002E56DE" w14:paraId="3D9D3F48" w14:textId="77777777">
            <w:pPr>
              <w:pStyle w:val="Lijstalinea"/>
              <w:numPr>
                <w:ilvl w:val="0"/>
                <w:numId w:val="32"/>
              </w:numPr>
              <w:spacing w:line="240" w:lineRule="atLeast"/>
              <w:rPr>
                <w:b/>
                <w:bCs/>
              </w:rPr>
            </w:pPr>
            <w:r w:rsidRPr="00C76957">
              <w:t>Deze uitvraag</w:t>
            </w:r>
            <w:r>
              <w:t xml:space="preserve"> is</w:t>
            </w:r>
            <w:r w:rsidRPr="00C76957">
              <w:t xml:space="preserve"> een vereenvoudiging ten opzicht</w:t>
            </w:r>
            <w:r>
              <w:t>e</w:t>
            </w:r>
            <w:r w:rsidRPr="00C76957">
              <w:t xml:space="preserve"> van de benodigde uitvraag in fiche 1B omdat enkel de huidige status van de </w:t>
            </w:r>
            <w:r>
              <w:t>box 1-</w:t>
            </w:r>
            <w:r w:rsidRPr="00C76957">
              <w:t>lening(delen) relevant is</w:t>
            </w:r>
            <w:r>
              <w:t>. Bij fiche 1B gaan omgezette BEWS per 2043 over naar box 3, dat is bij dit fiche niet het geval. Voor leningen in box 1 is het dus niet van belang of het BEWS zijn of niet.</w:t>
            </w:r>
            <w:r w:rsidRPr="00691277">
              <w:rPr>
                <w:kern w:val="2"/>
                <w14:ligatures w14:val="standardContextual"/>
              </w:rPr>
              <w:t xml:space="preserve"> </w:t>
            </w:r>
            <w:r>
              <w:t>Wel geldt net als in fiche 1A en 1B dat de Belastingdienst moet vaststellen</w:t>
            </w:r>
            <w:r w:rsidRPr="00622858">
              <w:t xml:space="preserve"> </w:t>
            </w:r>
            <w:r>
              <w:t xml:space="preserve">en bijhouden voor welke </w:t>
            </w:r>
            <w:proofErr w:type="spellStart"/>
            <w:r>
              <w:t>leningdelen</w:t>
            </w:r>
            <w:proofErr w:type="spellEnd"/>
            <w:r>
              <w:t xml:space="preserve"> belastingplichtigen een box 3-EWL hebben.</w:t>
            </w:r>
            <w:r>
              <w:br/>
              <w:t xml:space="preserve"> </w:t>
            </w:r>
          </w:p>
          <w:p w:rsidR="00690DAD" w:rsidP="002E56DE" w:rsidRDefault="002E56DE" w14:paraId="549189C4" w14:textId="77777777">
            <w:pPr>
              <w:pStyle w:val="Lijstalinea"/>
              <w:numPr>
                <w:ilvl w:val="0"/>
                <w:numId w:val="32"/>
              </w:numPr>
              <w:spacing w:line="240" w:lineRule="auto"/>
              <w:rPr>
                <w:rFonts w:eastAsia="SymbolMT" w:cs="Verdana"/>
              </w:rPr>
            </w:pPr>
            <w:r w:rsidRPr="006328BE">
              <w:t xml:space="preserve">De maatregel is op z’n vroegst uitvoerbaar per belastingjaar 2030. Een </w:t>
            </w:r>
            <w:r w:rsidRPr="006328BE" w:rsidR="00A73821">
              <w:t>Uitvoeringstoets</w:t>
            </w:r>
            <w:r w:rsidRPr="006328BE">
              <w:t xml:space="preserve"> zal moeten uitwijzen wanneer deze wijziging precies uitvoerbaar is omdat dat het ook afhankelijk is van prioritering van andere wetswijzigingen</w:t>
            </w:r>
            <w:r w:rsidRPr="00EA7F2B" w:rsidR="006328BE">
              <w:t>.</w:t>
            </w:r>
            <w:r w:rsidR="006328BE">
              <w:rPr>
                <w:rFonts w:eastAsia="SymbolMT" w:cs="Verdana"/>
              </w:rPr>
              <w:t xml:space="preserve"> </w:t>
            </w:r>
          </w:p>
          <w:p w:rsidRPr="002E56DE" w:rsidR="00690DAD" w:rsidP="00EA7F2B" w:rsidRDefault="00690DAD" w14:paraId="6E5F1185" w14:textId="77777777">
            <w:pPr>
              <w:pStyle w:val="Lijstalinea"/>
              <w:spacing w:line="240" w:lineRule="auto"/>
              <w:rPr>
                <w:rFonts w:eastAsia="SymbolMT" w:cs="Verdana"/>
              </w:rPr>
            </w:pPr>
          </w:p>
        </w:tc>
      </w:tr>
      <w:tr w:rsidR="00690DAD" w:rsidTr="00BF378C" w14:paraId="5ADFB266" w14:textId="77777777">
        <w:tc>
          <w:tcPr>
            <w:tcW w:w="3850" w:type="dxa"/>
          </w:tcPr>
          <w:p w:rsidRPr="00637B02" w:rsidR="00690DAD" w:rsidP="00BF378C" w:rsidRDefault="00690DAD" w14:paraId="60B0AE3B" w14:textId="77777777">
            <w:pPr>
              <w:rPr>
                <w:b/>
                <w:bCs/>
              </w:rPr>
            </w:pPr>
            <w:r w:rsidRPr="00637B02">
              <w:rPr>
                <w:b/>
                <w:bCs/>
              </w:rPr>
              <w:t>Overig</w:t>
            </w:r>
          </w:p>
        </w:tc>
        <w:tc>
          <w:tcPr>
            <w:tcW w:w="3851" w:type="dxa"/>
          </w:tcPr>
          <w:p w:rsidR="00690DAD" w:rsidP="00BF378C" w:rsidRDefault="002E56DE" w14:paraId="7518FE46" w14:textId="77777777">
            <w:pPr>
              <w:pStyle w:val="Lijstalinea"/>
              <w:numPr>
                <w:ilvl w:val="0"/>
                <w:numId w:val="34"/>
              </w:numPr>
              <w:spacing w:line="256" w:lineRule="auto"/>
            </w:pPr>
            <w:r>
              <w:t>Als in fiche 1B</w:t>
            </w:r>
          </w:p>
        </w:tc>
      </w:tr>
    </w:tbl>
    <w:p w:rsidR="00690DAD" w:rsidP="00FF3304" w:rsidRDefault="00690DAD" w14:paraId="52CBCD58" w14:textId="77777777"/>
    <w:p w:rsidR="008B67D5" w:rsidP="00FF3304" w:rsidRDefault="008B67D5" w14:paraId="6F917E16" w14:textId="77777777"/>
    <w:tbl>
      <w:tblPr>
        <w:tblStyle w:val="Tabelraster"/>
        <w:tblW w:w="0" w:type="auto"/>
        <w:tblInd w:w="0" w:type="dxa"/>
        <w:tblLook w:val="04A0" w:firstRow="1" w:lastRow="0" w:firstColumn="1" w:lastColumn="0" w:noHBand="0" w:noVBand="1"/>
      </w:tblPr>
      <w:tblGrid>
        <w:gridCol w:w="3850"/>
        <w:gridCol w:w="3851"/>
      </w:tblGrid>
      <w:tr w:rsidRPr="00637B02" w:rsidR="00690DAD" w:rsidTr="00BF378C" w14:paraId="5CC4055D" w14:textId="77777777">
        <w:tc>
          <w:tcPr>
            <w:tcW w:w="7701" w:type="dxa"/>
            <w:gridSpan w:val="2"/>
            <w:shd w:val="clear" w:color="auto" w:fill="A5C9EB" w:themeFill="text2" w:themeFillTint="40"/>
          </w:tcPr>
          <w:p w:rsidRPr="00637B02" w:rsidR="00690DAD" w:rsidP="00BF378C" w:rsidRDefault="00690DAD" w14:paraId="3B9EF905" w14:textId="77777777">
            <w:pPr>
              <w:rPr>
                <w:b/>
                <w:bCs/>
              </w:rPr>
            </w:pPr>
            <w:r w:rsidRPr="00637B02">
              <w:rPr>
                <w:b/>
                <w:bCs/>
              </w:rPr>
              <w:t>Fiche 1</w:t>
            </w:r>
            <w:r>
              <w:rPr>
                <w:b/>
                <w:bCs/>
              </w:rPr>
              <w:t>D</w:t>
            </w:r>
            <w:r w:rsidRPr="00637B02">
              <w:rPr>
                <w:b/>
                <w:bCs/>
              </w:rPr>
              <w:t xml:space="preserve">: </w:t>
            </w:r>
            <w:r w:rsidRPr="004604AF">
              <w:rPr>
                <w:b/>
              </w:rPr>
              <w:t>zoals 1C, maar met uitbreiding voor leningen van na 1-1-2013</w:t>
            </w:r>
          </w:p>
        </w:tc>
      </w:tr>
      <w:tr w:rsidRPr="00637B02" w:rsidR="00690DAD" w:rsidTr="00BF378C" w14:paraId="661BE3A6" w14:textId="77777777">
        <w:tc>
          <w:tcPr>
            <w:tcW w:w="7701" w:type="dxa"/>
            <w:gridSpan w:val="2"/>
          </w:tcPr>
          <w:p w:rsidR="00690DAD" w:rsidP="00BF378C" w:rsidRDefault="00690DAD" w14:paraId="670EA4BD" w14:textId="77777777">
            <w:pPr>
              <w:rPr>
                <w:b/>
                <w:bCs/>
              </w:rPr>
            </w:pPr>
            <w:r w:rsidRPr="00637B02">
              <w:rPr>
                <w:b/>
                <w:bCs/>
              </w:rPr>
              <w:t>Omschrijving van de maatregel</w:t>
            </w:r>
          </w:p>
          <w:p w:rsidR="002E56DE" w:rsidP="002E56DE" w:rsidRDefault="002E56DE" w14:paraId="37D2CC57" w14:textId="77777777">
            <w:pPr>
              <w:numPr>
                <w:ilvl w:val="0"/>
                <w:numId w:val="27"/>
              </w:numPr>
              <w:spacing w:after="255" w:line="240" w:lineRule="atLeast"/>
              <w:contextualSpacing/>
            </w:pPr>
            <w:r>
              <w:t xml:space="preserve">Als in fiche 1C met een uitbreiding van de overgangsregeling voor alle eigenwoningleningen, dus ook leningen die na 2013 zijn afgesloten. </w:t>
            </w:r>
          </w:p>
          <w:p w:rsidRPr="00E73878" w:rsidR="002E56DE" w:rsidP="002E56DE" w:rsidRDefault="002E56DE" w14:paraId="2CF5EBBD" w14:textId="77777777">
            <w:pPr>
              <w:spacing w:after="255" w:line="240" w:lineRule="atLeast"/>
              <w:contextualSpacing/>
              <w:rPr>
                <w:b/>
                <w:bCs/>
              </w:rPr>
            </w:pPr>
          </w:p>
          <w:p w:rsidRPr="003D5E43" w:rsidR="002E56DE" w:rsidP="002E56DE" w:rsidRDefault="002E56DE" w14:paraId="71618C19" w14:textId="77777777">
            <w:pPr>
              <w:numPr>
                <w:ilvl w:val="0"/>
                <w:numId w:val="27"/>
              </w:numPr>
              <w:spacing w:after="255" w:line="240" w:lineRule="atLeast"/>
              <w:contextualSpacing/>
            </w:pPr>
            <w:r>
              <w:t>E</w:t>
            </w:r>
            <w:r w:rsidRPr="72AF643E">
              <w:t>lke nieuwe eigenwoninglening</w:t>
            </w:r>
            <w:r>
              <w:t xml:space="preserve">, waaronder </w:t>
            </w:r>
            <w:r w:rsidR="00ED09CC">
              <w:t xml:space="preserve">een overgesloten lening </w:t>
            </w:r>
            <w:r>
              <w:t>bij verhuizen,</w:t>
            </w:r>
            <w:r w:rsidRPr="72AF643E">
              <w:t xml:space="preserve"> </w:t>
            </w:r>
            <w:r>
              <w:t xml:space="preserve">die ten minste annuïtair in ten hoogste 360 maanden wordt afgelost mag </w:t>
            </w:r>
            <w:r w:rsidRPr="72AF643E">
              <w:t xml:space="preserve">(opnieuw) voor </w:t>
            </w:r>
            <w:r>
              <w:t xml:space="preserve">de volledige looptijd </w:t>
            </w:r>
            <w:r w:rsidRPr="72AF643E">
              <w:t>in aftrek worden gebracht in box 1</w:t>
            </w:r>
            <w:r w:rsidRPr="00E9030C">
              <w:t>.</w:t>
            </w:r>
            <w:r>
              <w:t xml:space="preserve"> Dit geldt o</w:t>
            </w:r>
            <w:r w:rsidRPr="00E9030C">
              <w:t>ok</w:t>
            </w:r>
            <w:r>
              <w:t xml:space="preserve"> voor een</w:t>
            </w:r>
            <w:r w:rsidRPr="00E9030C">
              <w:t xml:space="preserve"> </w:t>
            </w:r>
            <w:r>
              <w:t>BEWS die na 2031 wordt omgezet in een lening die voldoet aan de aflossingseis.</w:t>
            </w:r>
            <w:r w:rsidRPr="008E6F1C">
              <w:rPr>
                <w:kern w:val="2"/>
                <w14:ligatures w14:val="standardContextual"/>
              </w:rPr>
              <w:t xml:space="preserve"> </w:t>
            </w:r>
            <w:r w:rsidRPr="00934B8D">
              <w:rPr>
                <w:kern w:val="2"/>
                <w14:ligatures w14:val="standardContextual"/>
              </w:rPr>
              <w:t>Deze regeling geldt alleen voor nieuwe eigenwoningleningen</w:t>
            </w:r>
            <w:r>
              <w:rPr>
                <w:kern w:val="2"/>
                <w14:ligatures w14:val="standardContextual"/>
              </w:rPr>
              <w:t xml:space="preserve">, waaronder </w:t>
            </w:r>
            <w:r w:rsidR="00ED09CC">
              <w:rPr>
                <w:kern w:val="2"/>
                <w14:ligatures w14:val="standardContextual"/>
              </w:rPr>
              <w:t xml:space="preserve">de overgesloten lening </w:t>
            </w:r>
            <w:r>
              <w:rPr>
                <w:kern w:val="2"/>
                <w14:ligatures w14:val="standardContextual"/>
              </w:rPr>
              <w:t>bij verhuizen,</w:t>
            </w:r>
            <w:r w:rsidRPr="00934B8D">
              <w:rPr>
                <w:kern w:val="2"/>
                <w14:ligatures w14:val="standardContextual"/>
              </w:rPr>
              <w:t xml:space="preserve"> en niet voor leningen, waarbij bestaande aflossingsschema’s worden overgesloten</w:t>
            </w:r>
            <w:r>
              <w:rPr>
                <w:kern w:val="2"/>
                <w14:ligatures w14:val="standardContextual"/>
              </w:rPr>
              <w:t xml:space="preserve"> zonder verhuizing</w:t>
            </w:r>
            <w:r w:rsidRPr="00934B8D">
              <w:rPr>
                <w:kern w:val="2"/>
                <w14:ligatures w14:val="standardContextual"/>
              </w:rPr>
              <w:t xml:space="preserve">. </w:t>
            </w:r>
          </w:p>
          <w:p w:rsidRPr="00637B02" w:rsidR="00690DAD" w:rsidP="002E56DE" w:rsidRDefault="00690DAD" w14:paraId="46487E23" w14:textId="77777777">
            <w:pPr>
              <w:spacing w:after="255" w:line="240" w:lineRule="atLeast"/>
              <w:ind w:left="720"/>
              <w:contextualSpacing/>
            </w:pPr>
          </w:p>
        </w:tc>
      </w:tr>
      <w:tr w:rsidRPr="00637B02" w:rsidR="00690DAD" w:rsidTr="00BF378C" w14:paraId="42A82E9E" w14:textId="77777777">
        <w:tc>
          <w:tcPr>
            <w:tcW w:w="7701" w:type="dxa"/>
            <w:gridSpan w:val="2"/>
            <w:shd w:val="clear" w:color="auto" w:fill="DAE9F7" w:themeFill="text2" w:themeFillTint="1A"/>
          </w:tcPr>
          <w:p w:rsidR="00690DAD" w:rsidP="00BF378C" w:rsidRDefault="00690DAD" w14:paraId="56F93676" w14:textId="77777777">
            <w:pPr>
              <w:rPr>
                <w:b/>
                <w:bCs/>
              </w:rPr>
            </w:pPr>
            <w:r>
              <w:rPr>
                <w:b/>
                <w:bCs/>
              </w:rPr>
              <w:t>Achtergrond/rationale</w:t>
            </w:r>
          </w:p>
          <w:p w:rsidRPr="003125A5" w:rsidR="002E56DE" w:rsidP="002E56DE" w:rsidRDefault="002E56DE" w14:paraId="31AB40EF" w14:textId="77777777">
            <w:pPr>
              <w:numPr>
                <w:ilvl w:val="0"/>
                <w:numId w:val="27"/>
              </w:numPr>
              <w:autoSpaceDE w:val="0"/>
              <w:adjustRightInd w:val="0"/>
              <w:spacing w:after="255" w:line="240" w:lineRule="atLeast"/>
              <w:contextualSpacing/>
              <w:rPr>
                <w:b/>
                <w:bCs/>
              </w:rPr>
            </w:pPr>
            <w:r>
              <w:t>Deze optie is eenvoudiger dan de maatregel in fiche 1C en maakt de eigenwoningregeling voor burgers begrijpelijker en beter uitvoerbaar voor de Belastingdienst</w:t>
            </w:r>
            <w:r w:rsidRPr="00BF531C">
              <w:t>.</w:t>
            </w:r>
            <w:r>
              <w:t xml:space="preserve"> Per 1 januari 2031 komen aflossingsvrije hypotheken niet meer voor HRA in aanmerking en spaar-</w:t>
            </w:r>
            <w:r w:rsidR="00ED09CC">
              <w:t>,</w:t>
            </w:r>
            <w:r>
              <w:t xml:space="preserve"> beleggings</w:t>
            </w:r>
            <w:r w:rsidR="00ED09CC">
              <w:t>- en leven</w:t>
            </w:r>
            <w:r>
              <w:t>hypotheken en alle leningen die voldoen aan de aflossingseis wel.</w:t>
            </w:r>
            <w:r w:rsidRPr="00BF531C">
              <w:t xml:space="preserve"> Er hoeft dan door de Belastingdienst</w:t>
            </w:r>
            <w:r>
              <w:t xml:space="preserve"> en burgers</w:t>
            </w:r>
            <w:r w:rsidRPr="00BF531C">
              <w:t xml:space="preserve"> niet meer gekeken te worden naar wanneer een </w:t>
            </w:r>
            <w:r w:rsidRPr="006F6F74">
              <w:t>aflossingsvrije hypotheek is afgesloten.</w:t>
            </w:r>
            <w:r>
              <w:t xml:space="preserve"> De Belastingdienst hoeft ook geen box 3-EWL vast te stellen of bij te houden, zoals in de voorgaande fiches. </w:t>
            </w:r>
          </w:p>
          <w:p w:rsidRPr="00934B8D" w:rsidR="002E56DE" w:rsidP="002E56DE" w:rsidRDefault="002E56DE" w14:paraId="11E6D22A" w14:textId="77777777">
            <w:pPr>
              <w:autoSpaceDE w:val="0"/>
              <w:adjustRightInd w:val="0"/>
              <w:spacing w:line="240" w:lineRule="atLeast"/>
              <w:ind w:left="360"/>
            </w:pPr>
          </w:p>
          <w:p w:rsidRPr="00CB6529" w:rsidR="002E56DE" w:rsidP="002E56DE" w:rsidRDefault="002E56DE" w14:paraId="5F1957B8" w14:textId="77777777">
            <w:pPr>
              <w:pStyle w:val="Lijstalinea"/>
              <w:numPr>
                <w:ilvl w:val="0"/>
                <w:numId w:val="27"/>
              </w:numPr>
              <w:autoSpaceDE w:val="0"/>
              <w:adjustRightInd w:val="0"/>
              <w:spacing w:line="240" w:lineRule="atLeast"/>
              <w:rPr>
                <w:b/>
                <w:bCs/>
              </w:rPr>
            </w:pPr>
            <w:r>
              <w:lastRenderedPageBreak/>
              <w:t>Door de uitbreiding voor nieuwe eigenwoningleningen</w:t>
            </w:r>
            <w:r w:rsidRPr="00C63123">
              <w:t xml:space="preserve"> is sprake van een sterke complexiteitsreductie voor de gehele eigenwoningregeling</w:t>
            </w:r>
            <w:r>
              <w:t>.</w:t>
            </w:r>
            <w:r w:rsidR="00C63CA7">
              <w:t xml:space="preserve"> Ook belastingplichtigen met een lening die is afgesloten na 2013 worden daardoor </w:t>
            </w:r>
            <w:r w:rsidR="009811FC">
              <w:t>tegemoetgekomen</w:t>
            </w:r>
            <w:r w:rsidR="00C63CA7">
              <w:t>.</w:t>
            </w:r>
          </w:p>
          <w:p w:rsidRPr="002E56DE" w:rsidR="00690DAD" w:rsidP="002E56DE" w:rsidRDefault="00690DAD" w14:paraId="6A470C1A" w14:textId="77777777">
            <w:pPr>
              <w:rPr>
                <w:b/>
                <w:bCs/>
              </w:rPr>
            </w:pPr>
          </w:p>
        </w:tc>
      </w:tr>
      <w:tr w:rsidRPr="00637B02" w:rsidR="00690DAD" w:rsidTr="00BF378C" w14:paraId="336495FB" w14:textId="77777777">
        <w:tc>
          <w:tcPr>
            <w:tcW w:w="7701" w:type="dxa"/>
            <w:gridSpan w:val="2"/>
          </w:tcPr>
          <w:p w:rsidRPr="00637B02" w:rsidR="00690DAD" w:rsidP="00BF378C" w:rsidRDefault="00690DAD" w14:paraId="49112FD3" w14:textId="77777777">
            <w:pPr>
              <w:rPr>
                <w:b/>
                <w:bCs/>
              </w:rPr>
            </w:pPr>
            <w:r w:rsidRPr="00637B02">
              <w:rPr>
                <w:b/>
                <w:bCs/>
              </w:rPr>
              <w:lastRenderedPageBreak/>
              <w:t>Effecten</w:t>
            </w:r>
          </w:p>
        </w:tc>
      </w:tr>
      <w:tr w:rsidR="00690DAD" w:rsidTr="00BF378C" w14:paraId="11CA1D2D" w14:textId="77777777">
        <w:tc>
          <w:tcPr>
            <w:tcW w:w="3850" w:type="dxa"/>
            <w:shd w:val="clear" w:color="auto" w:fill="DAE9F7" w:themeFill="text2" w:themeFillTint="1A"/>
          </w:tcPr>
          <w:p w:rsidRPr="00637B02" w:rsidR="00690DAD" w:rsidP="00BF378C" w:rsidRDefault="00690DAD" w14:paraId="34DAA057" w14:textId="77777777">
            <w:pPr>
              <w:rPr>
                <w:b/>
                <w:bCs/>
              </w:rPr>
            </w:pPr>
            <w:r w:rsidRPr="00637B02">
              <w:rPr>
                <w:b/>
                <w:bCs/>
              </w:rPr>
              <w:t>(Macro)economische gevolgen</w:t>
            </w:r>
          </w:p>
        </w:tc>
        <w:tc>
          <w:tcPr>
            <w:tcW w:w="3851" w:type="dxa"/>
          </w:tcPr>
          <w:p w:rsidR="00690DAD" w:rsidP="00BF378C" w:rsidRDefault="00A05AEC" w14:paraId="4246017F" w14:textId="77777777">
            <w:pPr>
              <w:pStyle w:val="Lijstalinea"/>
              <w:numPr>
                <w:ilvl w:val="0"/>
                <w:numId w:val="28"/>
              </w:numPr>
            </w:pPr>
            <w:r>
              <w:t>Als in fiche 1C. Daarnaast kan deze uitbreiding de prikkel om te verhuizen vergroten. Dit werkt positief door op de doorstroom op de woningmarkt.</w:t>
            </w:r>
          </w:p>
          <w:p w:rsidR="00ED09CC" w:rsidP="00EA7F2B" w:rsidRDefault="00ED09CC" w14:paraId="12B44174" w14:textId="77777777">
            <w:pPr>
              <w:pStyle w:val="Lijstalinea"/>
            </w:pPr>
          </w:p>
          <w:p w:rsidRPr="00ED09CC" w:rsidR="00A05AEC" w:rsidP="00007281" w:rsidRDefault="00007281" w14:paraId="283FAA3A" w14:textId="77777777">
            <w:pPr>
              <w:pStyle w:val="Lijstalinea"/>
              <w:numPr>
                <w:ilvl w:val="0"/>
                <w:numId w:val="28"/>
              </w:numPr>
            </w:pPr>
            <w:r>
              <w:t>De prikkel om hoge hypotheekschulden aan te gaan wordt groter doordat de looptijd van 30 jaar opnieuw gaat lopen bij verhuizen.</w:t>
            </w:r>
            <w:r w:rsidRPr="00007281" w:rsidR="00A05AEC">
              <w:rPr>
                <w:rFonts w:cs="Verdana"/>
              </w:rPr>
              <w:t xml:space="preserve"> Dit kan leiden tot een grotere schuldpositie van huishoudens. Dat is niet wenselijk.</w:t>
            </w:r>
          </w:p>
          <w:p w:rsidRPr="00007281" w:rsidR="00A05AEC" w:rsidP="00EA7F2B" w:rsidRDefault="00A05AEC" w14:paraId="2D72378E" w14:textId="77777777">
            <w:pPr>
              <w:pStyle w:val="Lijstalinea"/>
            </w:pPr>
          </w:p>
        </w:tc>
      </w:tr>
      <w:tr w:rsidR="00690DAD" w:rsidTr="00BF378C" w14:paraId="362DC861" w14:textId="77777777">
        <w:tc>
          <w:tcPr>
            <w:tcW w:w="3850" w:type="dxa"/>
          </w:tcPr>
          <w:p w:rsidRPr="00637B02" w:rsidR="00690DAD" w:rsidP="00BF378C" w:rsidRDefault="00690DAD" w14:paraId="11CE11FB" w14:textId="77777777">
            <w:pPr>
              <w:rPr>
                <w:b/>
                <w:bCs/>
              </w:rPr>
            </w:pPr>
            <w:r w:rsidRPr="00637B02">
              <w:rPr>
                <w:b/>
                <w:bCs/>
              </w:rPr>
              <w:t>Inkomenseffecten</w:t>
            </w:r>
          </w:p>
        </w:tc>
        <w:tc>
          <w:tcPr>
            <w:tcW w:w="3851" w:type="dxa"/>
          </w:tcPr>
          <w:p w:rsidR="00690DAD" w:rsidP="00A05AEC" w:rsidRDefault="00A05AEC" w14:paraId="29947A5D" w14:textId="77777777">
            <w:pPr>
              <w:pStyle w:val="Lijstalinea"/>
              <w:numPr>
                <w:ilvl w:val="0"/>
                <w:numId w:val="28"/>
              </w:numPr>
            </w:pPr>
            <w:r>
              <w:t>Als in fiche 1C</w:t>
            </w:r>
            <w:r w:rsidR="00ED09CC">
              <w:t>.</w:t>
            </w:r>
          </w:p>
          <w:p w:rsidR="00690DAD" w:rsidP="00EA7F2B" w:rsidRDefault="00690DAD" w14:paraId="402713C2" w14:textId="77777777"/>
        </w:tc>
      </w:tr>
      <w:tr w:rsidR="00690DAD" w:rsidTr="00BF378C" w14:paraId="2EA896F4" w14:textId="77777777">
        <w:tc>
          <w:tcPr>
            <w:tcW w:w="3850" w:type="dxa"/>
            <w:shd w:val="clear" w:color="auto" w:fill="DAE9F7" w:themeFill="text2" w:themeFillTint="1A"/>
          </w:tcPr>
          <w:p w:rsidRPr="00637B02" w:rsidR="00690DAD" w:rsidP="00BF378C" w:rsidRDefault="00690DAD" w14:paraId="156CEEFB" w14:textId="77777777">
            <w:pPr>
              <w:rPr>
                <w:b/>
                <w:bCs/>
              </w:rPr>
            </w:pPr>
            <w:r w:rsidRPr="00637B02">
              <w:rPr>
                <w:b/>
                <w:bCs/>
              </w:rPr>
              <w:t>Budgettair</w:t>
            </w:r>
          </w:p>
        </w:tc>
        <w:tc>
          <w:tcPr>
            <w:tcW w:w="3851" w:type="dxa"/>
          </w:tcPr>
          <w:p w:rsidR="00690DAD" w:rsidP="00A05AEC" w:rsidRDefault="00A05AEC" w14:paraId="0F18E070" w14:textId="77777777">
            <w:pPr>
              <w:pStyle w:val="Lijstalinea"/>
              <w:numPr>
                <w:ilvl w:val="0"/>
                <w:numId w:val="28"/>
              </w:numPr>
            </w:pPr>
            <w:r w:rsidRPr="00A05AEC">
              <w:t xml:space="preserve">De budgettaire effecten ten aanzien van belastingplichtigen met BEWS zijn vergelijkbaar met fiche 1C. </w:t>
            </w:r>
            <w:r>
              <w:t>De</w:t>
            </w:r>
            <w:r w:rsidRPr="00AB2EC3">
              <w:t xml:space="preserve"> </w:t>
            </w:r>
            <w:r>
              <w:t>verruiming van de regeling voor alle eigenwoningleningen leidt wel tot een aanvullende, structurele budgettaire derving. Er is nader onderzoek nodig om de orde grootte van deze aanvullende, substantiële, structurele derving in kaart te brengen</w:t>
            </w:r>
            <w:r w:rsidR="00795AE3">
              <w:t>.</w:t>
            </w:r>
          </w:p>
          <w:p w:rsidR="00690DAD" w:rsidP="00EA7F2B" w:rsidRDefault="00690DAD" w14:paraId="4866E694" w14:textId="77777777">
            <w:pPr>
              <w:pStyle w:val="Lijstalinea"/>
            </w:pPr>
          </w:p>
        </w:tc>
      </w:tr>
      <w:tr w:rsidR="00690DAD" w:rsidTr="00BF378C" w14:paraId="18D4172A" w14:textId="77777777">
        <w:tc>
          <w:tcPr>
            <w:tcW w:w="3850" w:type="dxa"/>
          </w:tcPr>
          <w:p w:rsidRPr="00637B02" w:rsidR="00690DAD" w:rsidP="00BF378C" w:rsidRDefault="00690DAD" w14:paraId="14B3EAA8" w14:textId="77777777">
            <w:pPr>
              <w:rPr>
                <w:b/>
                <w:bCs/>
              </w:rPr>
            </w:pPr>
            <w:proofErr w:type="spellStart"/>
            <w:r w:rsidRPr="00637B02">
              <w:rPr>
                <w:b/>
                <w:bCs/>
              </w:rPr>
              <w:t>Doenvermogen</w:t>
            </w:r>
            <w:proofErr w:type="spellEnd"/>
            <w:r w:rsidRPr="00637B02">
              <w:rPr>
                <w:b/>
                <w:bCs/>
              </w:rPr>
              <w:t xml:space="preserve"> en administratieve lasten</w:t>
            </w:r>
          </w:p>
        </w:tc>
        <w:tc>
          <w:tcPr>
            <w:tcW w:w="3851" w:type="dxa"/>
          </w:tcPr>
          <w:p w:rsidR="00690DAD" w:rsidP="00BF378C" w:rsidRDefault="009431FD" w14:paraId="553DE49B" w14:textId="77777777">
            <w:pPr>
              <w:pStyle w:val="Lijstalinea"/>
              <w:numPr>
                <w:ilvl w:val="0"/>
                <w:numId w:val="30"/>
              </w:numPr>
              <w:spacing w:line="240" w:lineRule="atLeast"/>
            </w:pPr>
            <w:r>
              <w:t>Als in fiche 1C</w:t>
            </w:r>
            <w:r w:rsidR="00ED09CC">
              <w:t>.</w:t>
            </w:r>
          </w:p>
          <w:p w:rsidRPr="00ED09CC" w:rsidR="00ED09CC" w:rsidP="00EA7F2B" w:rsidRDefault="00ED09CC" w14:paraId="4277E347" w14:textId="77777777">
            <w:pPr>
              <w:pStyle w:val="Lijstalinea"/>
              <w:spacing w:line="240" w:lineRule="atLeast"/>
            </w:pPr>
          </w:p>
          <w:p w:rsidR="009431FD" w:rsidP="00BF378C" w:rsidRDefault="009431FD" w14:paraId="0C56F3E3" w14:textId="77777777">
            <w:pPr>
              <w:pStyle w:val="Lijstalinea"/>
              <w:numPr>
                <w:ilvl w:val="0"/>
                <w:numId w:val="30"/>
              </w:numPr>
              <w:spacing w:line="240" w:lineRule="atLeast"/>
            </w:pPr>
            <w:r w:rsidRPr="00EA7F2B">
              <w:t>Voor belastingplichtigen die na 1 januari 2013 een lening hebben afgesloten geldt een vereenvoudiging bij verhuizing.</w:t>
            </w:r>
          </w:p>
          <w:p w:rsidR="009431FD" w:rsidP="00EA7F2B" w:rsidRDefault="009431FD" w14:paraId="7ED6FDD0" w14:textId="77777777">
            <w:pPr>
              <w:pStyle w:val="Lijstalinea"/>
              <w:spacing w:line="240" w:lineRule="atLeast"/>
            </w:pPr>
          </w:p>
        </w:tc>
      </w:tr>
      <w:tr w:rsidRPr="00690DAD" w:rsidR="00690DAD" w:rsidTr="00BF378C" w14:paraId="18D29C2D" w14:textId="77777777">
        <w:tc>
          <w:tcPr>
            <w:tcW w:w="3850" w:type="dxa"/>
            <w:shd w:val="clear" w:color="auto" w:fill="DAE9F7" w:themeFill="text2" w:themeFillTint="1A"/>
          </w:tcPr>
          <w:p w:rsidRPr="00637B02" w:rsidR="00690DAD" w:rsidP="00BF378C" w:rsidRDefault="00690DAD" w14:paraId="1B8970D0" w14:textId="77777777">
            <w:pPr>
              <w:rPr>
                <w:b/>
                <w:bCs/>
              </w:rPr>
            </w:pPr>
            <w:r w:rsidRPr="00637B02">
              <w:rPr>
                <w:b/>
                <w:bCs/>
              </w:rPr>
              <w:t>Uitvoeringsaspecten</w:t>
            </w:r>
          </w:p>
        </w:tc>
        <w:tc>
          <w:tcPr>
            <w:tcW w:w="3851" w:type="dxa"/>
          </w:tcPr>
          <w:p w:rsidRPr="00771E6F" w:rsidR="009431FD" w:rsidP="009431FD" w:rsidRDefault="009431FD" w14:paraId="02B9AB24" w14:textId="77777777">
            <w:pPr>
              <w:numPr>
                <w:ilvl w:val="0"/>
                <w:numId w:val="39"/>
              </w:numPr>
              <w:spacing w:line="240" w:lineRule="atLeast"/>
              <w:contextualSpacing/>
              <w:rPr>
                <w:rFonts w:eastAsia="SymbolMT" w:cs="Verdana"/>
                <w:color w:val="auto"/>
              </w:rPr>
            </w:pPr>
            <w:r w:rsidRPr="00771E6F">
              <w:rPr>
                <w:rFonts w:eastAsia="SymbolMT" w:cs="Verdana"/>
                <w:color w:val="auto"/>
              </w:rPr>
              <w:t>Als in fiche 1C.</w:t>
            </w:r>
          </w:p>
          <w:p w:rsidRPr="00771E6F" w:rsidR="00ED09CC" w:rsidP="00EA7F2B" w:rsidRDefault="00ED09CC" w14:paraId="27E733CF" w14:textId="77777777">
            <w:pPr>
              <w:spacing w:line="240" w:lineRule="atLeast"/>
              <w:ind w:left="720"/>
              <w:contextualSpacing/>
              <w:rPr>
                <w:rFonts w:eastAsia="SymbolMT" w:cs="Verdana"/>
                <w:color w:val="auto"/>
              </w:rPr>
            </w:pPr>
          </w:p>
          <w:p w:rsidRPr="00771E6F" w:rsidR="009431FD" w:rsidP="009431FD" w:rsidRDefault="009431FD" w14:paraId="6BBB5AB9" w14:textId="77777777">
            <w:pPr>
              <w:numPr>
                <w:ilvl w:val="0"/>
                <w:numId w:val="32"/>
              </w:numPr>
              <w:spacing w:line="240" w:lineRule="atLeast"/>
              <w:contextualSpacing/>
              <w:rPr>
                <w:rFonts w:eastAsia="SymbolMT" w:cs="Verdana"/>
                <w:i/>
                <w:iCs/>
                <w:color w:val="auto"/>
              </w:rPr>
            </w:pPr>
            <w:r w:rsidRPr="00771E6F">
              <w:rPr>
                <w:rFonts w:eastAsia="SymbolMT" w:cs="Verdana"/>
                <w:color w:val="auto"/>
              </w:rPr>
              <w:t xml:space="preserve">Daarnaast zorgt de uitbreiding voor leningen afgesloten na </w:t>
            </w:r>
            <w:r w:rsidRPr="00771E6F" w:rsidR="00A73821">
              <w:rPr>
                <w:rFonts w:eastAsia="SymbolMT" w:cs="Verdana"/>
                <w:color w:val="auto"/>
              </w:rPr>
              <w:t>2013 voor</w:t>
            </w:r>
            <w:r w:rsidRPr="00771E6F">
              <w:rPr>
                <w:rFonts w:eastAsia="SymbolMT" w:cs="Verdana"/>
                <w:color w:val="auto"/>
              </w:rPr>
              <w:t xml:space="preserve"> een verlichting in de uitvoering. De handhaving en controle wordt eenvoudiger omdat bij verhuizen automatisch een nieuwe termijn van 30 jaar aanvangt. Alleen de lopende overeenkomst van geldlening is </w:t>
            </w:r>
            <w:r w:rsidRPr="00771E6F">
              <w:rPr>
                <w:rFonts w:eastAsia="SymbolMT" w:cs="Verdana"/>
                <w:color w:val="auto"/>
              </w:rPr>
              <w:lastRenderedPageBreak/>
              <w:t>van belang om te bepalen of recht op HRA in box 1 bestaat. De box 3-EWL bestaat niet bij dit fiche. Dit hoeft de Belastingdienst niet bij te houden.</w:t>
            </w:r>
          </w:p>
          <w:p w:rsidRPr="00771E6F" w:rsidR="009431FD" w:rsidP="009431FD" w:rsidRDefault="009431FD" w14:paraId="0D9469D7" w14:textId="77777777">
            <w:pPr>
              <w:spacing w:line="259" w:lineRule="auto"/>
              <w:ind w:left="720"/>
              <w:contextualSpacing/>
              <w:rPr>
                <w:rFonts w:eastAsia="SymbolMT" w:cs="Verdana"/>
                <w:i/>
                <w:iCs/>
                <w:color w:val="auto"/>
              </w:rPr>
            </w:pPr>
          </w:p>
          <w:p w:rsidRPr="00EA7F2B" w:rsidR="00690DAD" w:rsidP="009431FD" w:rsidRDefault="009431FD" w14:paraId="11AD0FAF" w14:textId="77777777">
            <w:pPr>
              <w:numPr>
                <w:ilvl w:val="0"/>
                <w:numId w:val="32"/>
              </w:numPr>
              <w:spacing w:line="240" w:lineRule="atLeast"/>
              <w:contextualSpacing/>
              <w:rPr>
                <w:rFonts w:ascii="Calibri" w:hAnsi="Calibri" w:eastAsia="SymbolMT" w:cs="Verdana"/>
                <w:color w:val="auto"/>
                <w:sz w:val="22"/>
              </w:rPr>
            </w:pPr>
            <w:r w:rsidRPr="00771E6F">
              <w:rPr>
                <w:rFonts w:eastAsia="SymbolMT" w:cs="Verdana"/>
                <w:color w:val="auto"/>
              </w:rPr>
              <w:t xml:space="preserve">De maatregel is op z’n vroegst voor de Belastingdienst uitvoerbaar per belastingjaar 2030. Een </w:t>
            </w:r>
            <w:r w:rsidRPr="00771E6F" w:rsidR="00A73821">
              <w:rPr>
                <w:rFonts w:eastAsia="SymbolMT" w:cs="Verdana"/>
                <w:color w:val="auto"/>
              </w:rPr>
              <w:t>Uitvoeringstoets</w:t>
            </w:r>
            <w:r w:rsidRPr="00771E6F">
              <w:rPr>
                <w:rFonts w:eastAsia="SymbolMT" w:cs="Verdana"/>
                <w:color w:val="auto"/>
              </w:rPr>
              <w:t xml:space="preserve"> zal moeten uitwijzen wanneer deze wijziging precies uitvoerbaar is omdat dat het ook afhankelijk is van prioritering van andere wetswijzigingen.</w:t>
            </w:r>
          </w:p>
          <w:p w:rsidRPr="009431FD" w:rsidR="00690DAD" w:rsidP="00EA7F2B" w:rsidRDefault="00690DAD" w14:paraId="373F775B" w14:textId="77777777">
            <w:pPr>
              <w:spacing w:line="240" w:lineRule="atLeast"/>
              <w:contextualSpacing/>
              <w:rPr>
                <w:rFonts w:ascii="Calibri" w:hAnsi="Calibri" w:eastAsia="SymbolMT" w:cs="Verdana"/>
                <w:color w:val="auto"/>
                <w:sz w:val="22"/>
              </w:rPr>
            </w:pPr>
          </w:p>
        </w:tc>
      </w:tr>
      <w:tr w:rsidR="00690DAD" w:rsidTr="00BF378C" w14:paraId="17A2B4F2" w14:textId="77777777">
        <w:tc>
          <w:tcPr>
            <w:tcW w:w="3850" w:type="dxa"/>
          </w:tcPr>
          <w:p w:rsidRPr="00637B02" w:rsidR="00690DAD" w:rsidP="00BF378C" w:rsidRDefault="00690DAD" w14:paraId="62BE3413" w14:textId="77777777">
            <w:pPr>
              <w:rPr>
                <w:b/>
                <w:bCs/>
              </w:rPr>
            </w:pPr>
            <w:r w:rsidRPr="00637B02">
              <w:rPr>
                <w:b/>
                <w:bCs/>
              </w:rPr>
              <w:lastRenderedPageBreak/>
              <w:t>Overig</w:t>
            </w:r>
          </w:p>
        </w:tc>
        <w:tc>
          <w:tcPr>
            <w:tcW w:w="3851" w:type="dxa"/>
          </w:tcPr>
          <w:p w:rsidRPr="00EA7F2B" w:rsidR="00690DAD" w:rsidP="009431FD" w:rsidRDefault="009431FD" w14:paraId="35E0B2EA" w14:textId="77777777">
            <w:pPr>
              <w:pStyle w:val="Lijstalinea"/>
              <w:numPr>
                <w:ilvl w:val="0"/>
                <w:numId w:val="40"/>
              </w:numPr>
              <w:spacing w:line="240" w:lineRule="auto"/>
            </w:pPr>
            <w:r w:rsidRPr="00771E6F">
              <w:rPr>
                <w:rFonts w:eastAsia="SymbolMT" w:cs="Verdana"/>
                <w:color w:val="auto"/>
              </w:rPr>
              <w:t>Deze maatregel vormt een uitbreiding op het recht op HRA. Daarmee wordt de fiscale subsidiëring op de eigen woning vergroot. Daarnaast verzwakt het de prikkel om af te lossen op de eigenwoningschuld, dit gaat tegen de doelstelling van de 30-jaarstermijn en de aflossingseis in.</w:t>
            </w:r>
          </w:p>
          <w:p w:rsidRPr="00771E6F" w:rsidR="00690DAD" w:rsidP="00EA7F2B" w:rsidRDefault="00690DAD" w14:paraId="083C9813" w14:textId="77777777">
            <w:pPr>
              <w:pStyle w:val="Lijstalinea"/>
              <w:spacing w:line="240" w:lineRule="auto"/>
            </w:pPr>
          </w:p>
        </w:tc>
      </w:tr>
    </w:tbl>
    <w:p w:rsidR="00690DAD" w:rsidP="00FF3304" w:rsidRDefault="00690DAD" w14:paraId="5804698D" w14:textId="77777777"/>
    <w:tbl>
      <w:tblPr>
        <w:tblStyle w:val="Tabelraster"/>
        <w:tblW w:w="0" w:type="auto"/>
        <w:tblInd w:w="0" w:type="dxa"/>
        <w:tblLook w:val="04A0" w:firstRow="1" w:lastRow="0" w:firstColumn="1" w:lastColumn="0" w:noHBand="0" w:noVBand="1"/>
      </w:tblPr>
      <w:tblGrid>
        <w:gridCol w:w="2851"/>
        <w:gridCol w:w="4850"/>
      </w:tblGrid>
      <w:tr w:rsidRPr="00637B02" w:rsidR="00690DAD" w:rsidTr="00BF378C" w14:paraId="36514FBA" w14:textId="77777777">
        <w:tc>
          <w:tcPr>
            <w:tcW w:w="7701" w:type="dxa"/>
            <w:gridSpan w:val="2"/>
            <w:shd w:val="clear" w:color="auto" w:fill="A5C9EB" w:themeFill="text2" w:themeFillTint="40"/>
          </w:tcPr>
          <w:p w:rsidRPr="00637B02" w:rsidR="00690DAD" w:rsidP="00BF378C" w:rsidRDefault="00690DAD" w14:paraId="3C52248F" w14:textId="77777777">
            <w:pPr>
              <w:rPr>
                <w:b/>
                <w:bCs/>
              </w:rPr>
            </w:pPr>
            <w:r w:rsidRPr="00637B02">
              <w:rPr>
                <w:b/>
                <w:bCs/>
              </w:rPr>
              <w:t xml:space="preserve">Fiche </w:t>
            </w:r>
            <w:r>
              <w:rPr>
                <w:b/>
                <w:bCs/>
              </w:rPr>
              <w:t>2A</w:t>
            </w:r>
            <w:r w:rsidRPr="00637B02">
              <w:rPr>
                <w:b/>
                <w:bCs/>
              </w:rPr>
              <w:t xml:space="preserve">: </w:t>
            </w:r>
            <w:r w:rsidRPr="004604AF">
              <w:rPr>
                <w:b/>
              </w:rPr>
              <w:t>Afschaffing 30-jaarstermijn en HRA BEWS per 2043 (fiche 1A per 2043 i.p.v. 2031)</w:t>
            </w:r>
          </w:p>
        </w:tc>
      </w:tr>
      <w:tr w:rsidRPr="00637B02" w:rsidR="00690DAD" w:rsidTr="00BF378C" w14:paraId="57C71234" w14:textId="77777777">
        <w:tc>
          <w:tcPr>
            <w:tcW w:w="7701" w:type="dxa"/>
            <w:gridSpan w:val="2"/>
          </w:tcPr>
          <w:p w:rsidR="00690DAD" w:rsidP="00BF378C" w:rsidRDefault="00690DAD" w14:paraId="686C5AE0" w14:textId="77777777">
            <w:pPr>
              <w:rPr>
                <w:b/>
                <w:bCs/>
              </w:rPr>
            </w:pPr>
            <w:r w:rsidRPr="00637B02">
              <w:rPr>
                <w:b/>
                <w:bCs/>
              </w:rPr>
              <w:t>Omschrijving van de maatregel</w:t>
            </w:r>
          </w:p>
          <w:p w:rsidR="00690DAD" w:rsidP="007B1871" w:rsidRDefault="007B1871" w14:paraId="1FE72815" w14:textId="77777777">
            <w:pPr>
              <w:numPr>
                <w:ilvl w:val="0"/>
                <w:numId w:val="27"/>
              </w:numPr>
              <w:spacing w:after="255" w:line="240" w:lineRule="atLeast"/>
              <w:contextualSpacing/>
            </w:pPr>
            <w:r w:rsidRPr="0095423E">
              <w:t xml:space="preserve">De voorgestelde maatregel </w:t>
            </w:r>
            <w:r w:rsidRPr="008E6F1C">
              <w:t xml:space="preserve">is het afschaffen van de 30-jaarstermijn </w:t>
            </w:r>
            <w:r w:rsidR="00ED09CC">
              <w:t>voor lopende BEWS</w:t>
            </w:r>
            <w:r w:rsidRPr="008E6F1C">
              <w:t xml:space="preserve"> en het afschaffen van de </w:t>
            </w:r>
            <w:r w:rsidR="00EB4148">
              <w:t>HRA</w:t>
            </w:r>
            <w:r w:rsidRPr="008E6F1C">
              <w:t xml:space="preserve"> </w:t>
            </w:r>
            <w:r w:rsidR="00ED09CC">
              <w:t>voor deze leningen</w:t>
            </w:r>
            <w:r w:rsidRPr="008E6F1C">
              <w:t xml:space="preserve"> per</w:t>
            </w:r>
            <w:r>
              <w:t xml:space="preserve"> 1 januari 2043</w:t>
            </w:r>
            <w:r w:rsidRPr="0095423E">
              <w:t xml:space="preserve">. Dit betekent dat </w:t>
            </w:r>
            <w:r>
              <w:t>met ingang van 1 januari 2043 HRA</w:t>
            </w:r>
            <w:r w:rsidRPr="0095423E">
              <w:t xml:space="preserve"> voor </w:t>
            </w:r>
            <w:r>
              <w:t>BEWS</w:t>
            </w:r>
            <w:r w:rsidRPr="0095423E">
              <w:t xml:space="preserve"> in box 1 </w:t>
            </w:r>
            <w:r>
              <w:t>niet langer is toegestaan</w:t>
            </w:r>
            <w:r w:rsidRPr="0095423E">
              <w:t xml:space="preserve">. </w:t>
            </w:r>
            <w:r>
              <w:t>Voor BEWS</w:t>
            </w:r>
            <w:r w:rsidRPr="00462306">
              <w:rPr>
                <w:rStyle w:val="Voetnootmarkering"/>
              </w:rPr>
              <w:footnoteReference w:id="54"/>
            </w:r>
            <w:r>
              <w:t xml:space="preserve"> is </w:t>
            </w:r>
            <w:r w:rsidR="00ED09CC">
              <w:t>dan</w:t>
            </w:r>
            <w:r>
              <w:t xml:space="preserve"> door iedereen ten minste</w:t>
            </w:r>
            <w:r w:rsidRPr="0095423E">
              <w:t xml:space="preserve"> 30 jaar aftrek genoten</w:t>
            </w:r>
            <w:r>
              <w:t>.</w:t>
            </w:r>
            <w:r w:rsidRPr="00B46723">
              <w:t xml:space="preserve"> </w:t>
            </w:r>
            <w:r>
              <w:t>De lening gaat op 1 januari 2043 over naar box 3 en komt daarna nooit meer voor HRA in box 1 in aanmerking (box 3-EWL)</w:t>
            </w:r>
            <w:r w:rsidRPr="00C34F7B">
              <w:t>.</w:t>
            </w:r>
            <w:r w:rsidRPr="00B46723">
              <w:t xml:space="preserve"> </w:t>
            </w:r>
            <w:r w:rsidRPr="00C34F7B">
              <w:t>Dit fiche is vergelijkbaar met 1A, alleen gaan de leningen pas op 1-1-2043 over n</w:t>
            </w:r>
            <w:r>
              <w:t>aar</w:t>
            </w:r>
            <w:r w:rsidRPr="00C34F7B">
              <w:t xml:space="preserve"> box 3 in plaats van op 1-1-2031.</w:t>
            </w:r>
            <w:r w:rsidR="00FA26AA">
              <w:t xml:space="preserve"> Ook bij deze maatregel vervalt de doorwerking van de verstreken looptijd van </w:t>
            </w:r>
            <w:proofErr w:type="gramStart"/>
            <w:r w:rsidR="00FA26AA">
              <w:t>eerdere  BEWS</w:t>
            </w:r>
            <w:proofErr w:type="gramEnd"/>
            <w:r w:rsidR="00FA26AA">
              <w:t xml:space="preserve"> naar schulden die aan de aflossingseis moeten voldoen.</w:t>
            </w:r>
          </w:p>
          <w:p w:rsidRPr="00637B02" w:rsidR="00690DAD" w:rsidP="00CF1ABF" w:rsidRDefault="00690DAD" w14:paraId="01F965E7" w14:textId="77777777">
            <w:pPr>
              <w:spacing w:after="255" w:line="240" w:lineRule="atLeast"/>
              <w:ind w:left="720"/>
              <w:contextualSpacing/>
            </w:pPr>
          </w:p>
        </w:tc>
      </w:tr>
      <w:tr w:rsidRPr="00637B02" w:rsidR="00690DAD" w:rsidTr="00BF378C" w14:paraId="7554B7A1" w14:textId="77777777">
        <w:tc>
          <w:tcPr>
            <w:tcW w:w="7701" w:type="dxa"/>
            <w:gridSpan w:val="2"/>
            <w:shd w:val="clear" w:color="auto" w:fill="DAE9F7" w:themeFill="text2" w:themeFillTint="1A"/>
          </w:tcPr>
          <w:p w:rsidR="00690DAD" w:rsidP="00BF378C" w:rsidRDefault="00690DAD" w14:paraId="0B123315" w14:textId="77777777">
            <w:pPr>
              <w:rPr>
                <w:b/>
                <w:bCs/>
              </w:rPr>
            </w:pPr>
            <w:r>
              <w:rPr>
                <w:b/>
                <w:bCs/>
              </w:rPr>
              <w:t>Achtergrond/rationale</w:t>
            </w:r>
          </w:p>
          <w:p w:rsidRPr="009C625E" w:rsidR="007B1871" w:rsidP="007B1871" w:rsidRDefault="007B1871" w14:paraId="543E5D1B" w14:textId="77777777">
            <w:pPr>
              <w:numPr>
                <w:ilvl w:val="0"/>
                <w:numId w:val="27"/>
              </w:numPr>
              <w:autoSpaceDE w:val="0"/>
              <w:adjustRightInd w:val="0"/>
              <w:spacing w:line="240" w:lineRule="auto"/>
              <w:contextualSpacing/>
            </w:pPr>
            <w:r w:rsidRPr="008E6F1C">
              <w:t>Ook bij deze variant</w:t>
            </w:r>
            <w:r w:rsidRPr="009C625E">
              <w:t xml:space="preserve"> </w:t>
            </w:r>
            <w:r w:rsidRPr="00BF531C">
              <w:t>hoeft door de Belastingdienst</w:t>
            </w:r>
            <w:r>
              <w:t xml:space="preserve"> en burgers</w:t>
            </w:r>
            <w:r w:rsidRPr="00BF531C">
              <w:t xml:space="preserve"> niet meer gekeken te worden wanneer een </w:t>
            </w:r>
            <w:proofErr w:type="gramStart"/>
            <w:r>
              <w:t>BEWS</w:t>
            </w:r>
            <w:r w:rsidR="00ED09CC">
              <w:t>(</w:t>
            </w:r>
            <w:proofErr w:type="spellStart"/>
            <w:proofErr w:type="gramEnd"/>
            <w:r w:rsidR="00ED09CC">
              <w:t>leningdeel</w:t>
            </w:r>
            <w:proofErr w:type="spellEnd"/>
            <w:r w:rsidR="00ED09CC">
              <w:t>)</w:t>
            </w:r>
            <w:r w:rsidRPr="006F6F74">
              <w:t xml:space="preserve"> is afgesloten. </w:t>
            </w:r>
            <w:r>
              <w:t xml:space="preserve">Wel zal de Belastingdienst moeten vaststellen en bijhouden voor welke </w:t>
            </w:r>
            <w:proofErr w:type="spellStart"/>
            <w:r>
              <w:t>leningde</w:t>
            </w:r>
            <w:r w:rsidR="00795AE3">
              <w:t>len</w:t>
            </w:r>
            <w:proofErr w:type="spellEnd"/>
            <w:r>
              <w:t xml:space="preserve"> belastingplichtigen vanaf 2043 een box 3-EWL hebben. </w:t>
            </w:r>
          </w:p>
          <w:p w:rsidRPr="004C0B2A" w:rsidR="007B1871" w:rsidP="007B1871" w:rsidRDefault="007B1871" w14:paraId="7786C2A7" w14:textId="77777777">
            <w:pPr>
              <w:pStyle w:val="Lijstalinea"/>
            </w:pPr>
          </w:p>
          <w:p w:rsidRPr="009C625E" w:rsidR="007B1871" w:rsidP="007B1871" w:rsidRDefault="007B1871" w14:paraId="07E66573" w14:textId="77777777">
            <w:pPr>
              <w:pStyle w:val="Lijstalinea"/>
              <w:numPr>
                <w:ilvl w:val="0"/>
                <w:numId w:val="27"/>
              </w:numPr>
              <w:autoSpaceDE w:val="0"/>
              <w:adjustRightInd w:val="0"/>
              <w:spacing w:line="240" w:lineRule="atLeast"/>
              <w:rPr>
                <w:b/>
                <w:bCs/>
              </w:rPr>
            </w:pPr>
            <w:r>
              <w:t>Door het recht op HRA bij BEWS per 2043 te laten vervallen zijn er geen groepen huishoudens met aflossingsvrije hypotheken die korter dan 30 jaar recht hebben op HRA. Daardoor zijn er positieve inkomenseffecten</w:t>
            </w:r>
            <w:r w:rsidR="00ED09CC">
              <w:t xml:space="preserve"> voor deze groep</w:t>
            </w:r>
            <w:r>
              <w:t xml:space="preserve">. Er staan echter aanzienlijke budgettaire gevolgen en </w:t>
            </w:r>
            <w:r>
              <w:lastRenderedPageBreak/>
              <w:t xml:space="preserve">herverdelingseffecten tegenover. De voordelen landen immers met name bij </w:t>
            </w:r>
            <w:r w:rsidR="00795AE3">
              <w:t xml:space="preserve">belastingplichtigen </w:t>
            </w:r>
            <w:r>
              <w:t xml:space="preserve">die dit </w:t>
            </w:r>
            <w:r w:rsidR="006328BE">
              <w:t xml:space="preserve">in </w:t>
            </w:r>
            <w:r>
              <w:t>hoofdza</w:t>
            </w:r>
            <w:r w:rsidR="006328BE">
              <w:t>a</w:t>
            </w:r>
            <w:r>
              <w:t xml:space="preserve">k niet nodig hebben (zie kopje inkomenseffecten) en al </w:t>
            </w:r>
            <w:r w:rsidR="00ED09CC">
              <w:t xml:space="preserve">gedurende een lange periode </w:t>
            </w:r>
            <w:r>
              <w:t xml:space="preserve">recht op HRA hebben gehad. </w:t>
            </w:r>
            <w:r w:rsidR="008C7641">
              <w:t>Deze groep belastingplichtigen bestaat naar schatting uit 1,3 miljoen huishoudens.</w:t>
            </w:r>
            <w:r>
              <w:br/>
            </w:r>
          </w:p>
          <w:p w:rsidRPr="00EA7F2B" w:rsidR="00690DAD" w:rsidP="007B1871" w:rsidRDefault="007B1871" w14:paraId="2CCEAC18" w14:textId="77777777">
            <w:pPr>
              <w:pStyle w:val="Lijstalinea"/>
              <w:numPr>
                <w:ilvl w:val="0"/>
                <w:numId w:val="27"/>
              </w:numPr>
              <w:rPr>
                <w:b/>
                <w:bCs/>
              </w:rPr>
            </w:pPr>
            <w:r w:rsidRPr="009C625E">
              <w:t>Voor iets minder dan de helft van de mensen met een aflossingsvrije hypotheek geldt dat zij</w:t>
            </w:r>
            <w:r w:rsidR="00C63CA7">
              <w:t xml:space="preserve"> in 2043</w:t>
            </w:r>
            <w:r w:rsidRPr="009C625E">
              <w:t xml:space="preserve"> </w:t>
            </w:r>
            <w:r w:rsidR="00ED09CC">
              <w:t xml:space="preserve">ten minste </w:t>
            </w:r>
            <w:r w:rsidRPr="009C625E">
              <w:t xml:space="preserve">43 jaar </w:t>
            </w:r>
            <w:r w:rsidR="00EB4148">
              <w:t>HRA</w:t>
            </w:r>
            <w:r w:rsidR="00C63CA7">
              <w:t xml:space="preserve"> hebben genoten</w:t>
            </w:r>
            <w:r w:rsidRPr="009C625E">
              <w:t xml:space="preserve"> en voor iets meer dan de helft geldt dat zij </w:t>
            </w:r>
            <w:r w:rsidR="00C63CA7">
              <w:t>in 2043</w:t>
            </w:r>
            <w:r w:rsidRPr="009C625E" w:rsidR="00C63CA7">
              <w:t xml:space="preserve"> </w:t>
            </w:r>
            <w:r w:rsidRPr="009C625E">
              <w:t xml:space="preserve">korter dan 43 jaar </w:t>
            </w:r>
            <w:r w:rsidR="00EB4148">
              <w:t>HRA</w:t>
            </w:r>
            <w:r w:rsidRPr="009C625E">
              <w:t xml:space="preserve"> hebben genoten (tussen de 30 en 43 jaar, gemiddeld 36 jaar).</w:t>
            </w:r>
          </w:p>
          <w:p w:rsidRPr="00637B02" w:rsidR="00690DAD" w:rsidP="00EA7F2B" w:rsidRDefault="00690DAD" w14:paraId="0FACDADB" w14:textId="77777777">
            <w:pPr>
              <w:pStyle w:val="Lijstalinea"/>
              <w:rPr>
                <w:b/>
                <w:bCs/>
              </w:rPr>
            </w:pPr>
          </w:p>
        </w:tc>
      </w:tr>
      <w:tr w:rsidRPr="00637B02" w:rsidR="00690DAD" w:rsidTr="00BF378C" w14:paraId="2F643737" w14:textId="77777777">
        <w:tc>
          <w:tcPr>
            <w:tcW w:w="7701" w:type="dxa"/>
            <w:gridSpan w:val="2"/>
          </w:tcPr>
          <w:p w:rsidRPr="00637B02" w:rsidR="00690DAD" w:rsidP="00BF378C" w:rsidRDefault="00690DAD" w14:paraId="4E15A4E8" w14:textId="77777777">
            <w:pPr>
              <w:rPr>
                <w:b/>
                <w:bCs/>
              </w:rPr>
            </w:pPr>
            <w:r w:rsidRPr="00637B02">
              <w:rPr>
                <w:b/>
                <w:bCs/>
              </w:rPr>
              <w:lastRenderedPageBreak/>
              <w:t>Effecten</w:t>
            </w:r>
          </w:p>
        </w:tc>
      </w:tr>
      <w:tr w:rsidR="00690DAD" w:rsidTr="00BF378C" w14:paraId="1F64E81A" w14:textId="77777777">
        <w:tc>
          <w:tcPr>
            <w:tcW w:w="3850" w:type="dxa"/>
            <w:shd w:val="clear" w:color="auto" w:fill="DAE9F7" w:themeFill="text2" w:themeFillTint="1A"/>
          </w:tcPr>
          <w:p w:rsidRPr="00637B02" w:rsidR="00690DAD" w:rsidP="00BF378C" w:rsidRDefault="00690DAD" w14:paraId="32A71824" w14:textId="77777777">
            <w:pPr>
              <w:rPr>
                <w:b/>
                <w:bCs/>
              </w:rPr>
            </w:pPr>
            <w:r w:rsidRPr="00637B02">
              <w:rPr>
                <w:b/>
                <w:bCs/>
              </w:rPr>
              <w:t>(Macro)economische gevolgen</w:t>
            </w:r>
          </w:p>
        </w:tc>
        <w:tc>
          <w:tcPr>
            <w:tcW w:w="3851" w:type="dxa"/>
          </w:tcPr>
          <w:p w:rsidR="00690DAD" w:rsidP="00795AE3" w:rsidRDefault="00795AE3" w14:paraId="4F55EAC7" w14:textId="77777777">
            <w:pPr>
              <w:pStyle w:val="Lijstalinea"/>
              <w:numPr>
                <w:ilvl w:val="0"/>
                <w:numId w:val="41"/>
              </w:numPr>
              <w:autoSpaceDE w:val="0"/>
              <w:adjustRightInd w:val="0"/>
              <w:spacing w:line="240" w:lineRule="atLeast"/>
              <w:rPr>
                <w:rFonts w:cs="Verdana"/>
              </w:rPr>
            </w:pPr>
            <w:r>
              <w:rPr>
                <w:rFonts w:cs="Verdana"/>
              </w:rPr>
              <w:t xml:space="preserve">Er is een kleine groep huishoudens met </w:t>
            </w:r>
            <w:r w:rsidR="006328BE">
              <w:rPr>
                <w:rFonts w:cs="Verdana"/>
              </w:rPr>
              <w:t xml:space="preserve">een </w:t>
            </w:r>
            <w:r>
              <w:rPr>
                <w:rFonts w:cs="Verdana"/>
              </w:rPr>
              <w:t xml:space="preserve">onverantwoord hoge aflossingsvrije schuld. De 30-jaarstermijn is voor hen een prikkel om tijdig maatregelen te nemen zodat zij aan het einde van de looptijd niet in de problemen komen. Als deze prikkel voor </w:t>
            </w:r>
            <w:r w:rsidR="00ED09CC">
              <w:rPr>
                <w:rFonts w:cs="Verdana"/>
              </w:rPr>
              <w:t>twaalf</w:t>
            </w:r>
            <w:r>
              <w:rPr>
                <w:rFonts w:cs="Verdana"/>
              </w:rPr>
              <w:t xml:space="preserve"> extra jaren wegvalt</w:t>
            </w:r>
            <w:r w:rsidR="00ED09CC">
              <w:rPr>
                <w:rFonts w:cs="Verdana"/>
              </w:rPr>
              <w:t>,</w:t>
            </w:r>
            <w:r>
              <w:rPr>
                <w:rFonts w:cs="Verdana"/>
              </w:rPr>
              <w:t xml:space="preserve"> zullen zij minder geneigd zijn om hun problematische schuldpositie aan te pakken. Deze maatregel zal dan ook kritisch worden ontvangen door onder meer het IMF en de toezichthouders.</w:t>
            </w:r>
          </w:p>
          <w:p w:rsidRPr="00795AE3" w:rsidR="00690DAD" w:rsidP="00EA7F2B" w:rsidRDefault="00690DAD" w14:paraId="2E1CBBFF" w14:textId="77777777">
            <w:pPr>
              <w:pStyle w:val="Lijstalinea"/>
              <w:autoSpaceDE w:val="0"/>
              <w:adjustRightInd w:val="0"/>
              <w:spacing w:line="240" w:lineRule="atLeast"/>
              <w:rPr>
                <w:rFonts w:cs="Verdana"/>
              </w:rPr>
            </w:pPr>
          </w:p>
        </w:tc>
      </w:tr>
      <w:tr w:rsidR="00690DAD" w:rsidTr="00BF378C" w14:paraId="40A73B3F" w14:textId="77777777">
        <w:tc>
          <w:tcPr>
            <w:tcW w:w="3850" w:type="dxa"/>
          </w:tcPr>
          <w:p w:rsidRPr="00637B02" w:rsidR="00690DAD" w:rsidP="00BF378C" w:rsidRDefault="00690DAD" w14:paraId="7D28E557" w14:textId="77777777">
            <w:pPr>
              <w:rPr>
                <w:b/>
                <w:bCs/>
              </w:rPr>
            </w:pPr>
            <w:r w:rsidRPr="00637B02">
              <w:rPr>
                <w:b/>
                <w:bCs/>
              </w:rPr>
              <w:t>Inkomenseffecten</w:t>
            </w:r>
          </w:p>
        </w:tc>
        <w:tc>
          <w:tcPr>
            <w:tcW w:w="3851" w:type="dxa"/>
          </w:tcPr>
          <w:p w:rsidRPr="00795AE3" w:rsidR="00795AE3" w:rsidP="00795AE3" w:rsidRDefault="00795AE3" w14:paraId="24F327C7" w14:textId="77777777">
            <w:pPr>
              <w:pStyle w:val="Lijstalinea"/>
              <w:numPr>
                <w:ilvl w:val="0"/>
                <w:numId w:val="41"/>
              </w:numPr>
              <w:autoSpaceDE w:val="0"/>
              <w:adjustRightInd w:val="0"/>
              <w:spacing w:line="240" w:lineRule="atLeast"/>
              <w:rPr>
                <w:rFonts w:cs="Verdana"/>
                <w:b/>
                <w:bCs/>
              </w:rPr>
            </w:pPr>
            <w:r w:rsidRPr="00EE081C">
              <w:rPr>
                <w:rFonts w:cs="Verdana"/>
              </w:rPr>
              <w:t xml:space="preserve">Door de 30-jaarstermijn </w:t>
            </w:r>
            <w:r>
              <w:rPr>
                <w:rFonts w:cs="Verdana"/>
              </w:rPr>
              <w:t>af te schaffen w</w:t>
            </w:r>
            <w:r w:rsidRPr="00EE081C">
              <w:rPr>
                <w:rFonts w:cs="Verdana"/>
              </w:rPr>
              <w:t xml:space="preserve">ordt meer </w:t>
            </w:r>
            <w:r>
              <w:rPr>
                <w:rFonts w:cs="Verdana"/>
              </w:rPr>
              <w:t>HRA</w:t>
            </w:r>
            <w:r w:rsidRPr="00EE081C">
              <w:rPr>
                <w:rFonts w:cs="Verdana"/>
              </w:rPr>
              <w:t xml:space="preserve"> genoten dan waar men </w:t>
            </w:r>
            <w:r w:rsidR="00ED09CC">
              <w:rPr>
                <w:rFonts w:cs="Verdana"/>
              </w:rPr>
              <w:t xml:space="preserve">in het </w:t>
            </w:r>
            <w:proofErr w:type="spellStart"/>
            <w:r w:rsidR="00ED09CC">
              <w:rPr>
                <w:rFonts w:cs="Verdana"/>
              </w:rPr>
              <w:t>basispad</w:t>
            </w:r>
            <w:proofErr w:type="spellEnd"/>
            <w:r w:rsidR="00ED09CC">
              <w:rPr>
                <w:rFonts w:cs="Verdana"/>
              </w:rPr>
              <w:t xml:space="preserve"> </w:t>
            </w:r>
            <w:r w:rsidRPr="00EE081C">
              <w:rPr>
                <w:rFonts w:cs="Verdana"/>
              </w:rPr>
              <w:t xml:space="preserve">recht op heeft. Dit werkt door in een hoger besteedbaar inkomen voor bepaalde groepen met </w:t>
            </w:r>
            <w:r>
              <w:rPr>
                <w:rFonts w:cs="Verdana"/>
              </w:rPr>
              <w:t>BEWS</w:t>
            </w:r>
            <w:r w:rsidRPr="00EE081C">
              <w:rPr>
                <w:rFonts w:cs="Verdana"/>
              </w:rPr>
              <w:t>.</w:t>
            </w:r>
          </w:p>
          <w:p w:rsidRPr="00EE081C" w:rsidR="00795AE3" w:rsidP="00795AE3" w:rsidRDefault="00795AE3" w14:paraId="1F49C9CC" w14:textId="77777777">
            <w:pPr>
              <w:pStyle w:val="Lijstalinea"/>
              <w:autoSpaceDE w:val="0"/>
              <w:adjustRightInd w:val="0"/>
              <w:spacing w:line="240" w:lineRule="atLeast"/>
              <w:rPr>
                <w:rFonts w:cs="Verdana"/>
                <w:b/>
                <w:bCs/>
              </w:rPr>
            </w:pPr>
          </w:p>
          <w:p w:rsidRPr="00795AE3" w:rsidR="00690DAD" w:rsidP="00795AE3" w:rsidRDefault="00795AE3" w14:paraId="6CCF5C0A" w14:textId="77777777">
            <w:pPr>
              <w:pStyle w:val="Lijstalinea"/>
              <w:numPr>
                <w:ilvl w:val="0"/>
                <w:numId w:val="41"/>
              </w:numPr>
              <w:autoSpaceDE w:val="0"/>
              <w:adjustRightInd w:val="0"/>
              <w:spacing w:line="240" w:lineRule="atLeast"/>
              <w:rPr>
                <w:rFonts w:cs="Verdana"/>
              </w:rPr>
            </w:pPr>
            <w:r w:rsidRPr="00EE081C">
              <w:rPr>
                <w:rFonts w:cs="Verdana"/>
              </w:rPr>
              <w:t xml:space="preserve">De extra jaren </w:t>
            </w:r>
            <w:r>
              <w:rPr>
                <w:rFonts w:cs="Verdana"/>
              </w:rPr>
              <w:t>HRA</w:t>
            </w:r>
            <w:r w:rsidRPr="00EE081C">
              <w:rPr>
                <w:rFonts w:cs="Verdana"/>
              </w:rPr>
              <w:t xml:space="preserve"> slaat neer bij de groep die al ten minste 30 jaar </w:t>
            </w:r>
            <w:r>
              <w:rPr>
                <w:rFonts w:cs="Verdana"/>
              </w:rPr>
              <w:t>recht heeft gehad op HRA</w:t>
            </w:r>
            <w:r w:rsidRPr="00EE081C">
              <w:rPr>
                <w:rFonts w:cs="Verdana"/>
              </w:rPr>
              <w:t>.</w:t>
            </w:r>
            <w:r>
              <w:rPr>
                <w:rFonts w:cs="Verdana"/>
              </w:rPr>
              <w:t xml:space="preserve"> Het vermogen (woning) en inkomen van deze huishoudens is doorgaans groot, zoals ook volgt uit de berekeningen in fiche 1A</w:t>
            </w:r>
            <w:r w:rsidR="00ED09CC">
              <w:rPr>
                <w:rFonts w:cs="Verdana"/>
              </w:rPr>
              <w:t>.</w:t>
            </w:r>
            <w:r>
              <w:rPr>
                <w:rStyle w:val="Voetnootmarkering"/>
                <w:rFonts w:cs="Verdana"/>
              </w:rPr>
              <w:footnoteReference w:id="55"/>
            </w:r>
            <w:r>
              <w:rPr>
                <w:rFonts w:cs="Verdana"/>
              </w:rPr>
              <w:t xml:space="preserve"> De maatregel is dus een behoorlijke inkomensondersteuning van een groep mensen die dit niet nodig heeft.</w:t>
            </w:r>
          </w:p>
          <w:p w:rsidR="00690DAD" w:rsidP="00795AE3" w:rsidRDefault="00690DAD" w14:paraId="6A0AF007" w14:textId="77777777">
            <w:pPr>
              <w:pStyle w:val="Lijstalinea"/>
            </w:pPr>
          </w:p>
        </w:tc>
      </w:tr>
      <w:tr w:rsidR="00690DAD" w:rsidTr="00BF378C" w14:paraId="63A6CC13" w14:textId="77777777">
        <w:tc>
          <w:tcPr>
            <w:tcW w:w="3850" w:type="dxa"/>
            <w:shd w:val="clear" w:color="auto" w:fill="DAE9F7" w:themeFill="text2" w:themeFillTint="1A"/>
          </w:tcPr>
          <w:p w:rsidRPr="00637B02" w:rsidR="00690DAD" w:rsidP="00BF378C" w:rsidRDefault="00690DAD" w14:paraId="6A98BFA5" w14:textId="77777777">
            <w:pPr>
              <w:rPr>
                <w:b/>
                <w:bCs/>
              </w:rPr>
            </w:pPr>
            <w:r w:rsidRPr="00637B02">
              <w:rPr>
                <w:b/>
                <w:bCs/>
              </w:rPr>
              <w:t>Budgettair</w:t>
            </w:r>
          </w:p>
        </w:tc>
        <w:tc>
          <w:tcPr>
            <w:tcW w:w="3851" w:type="dxa"/>
          </w:tcPr>
          <w:p w:rsidR="00690DAD" w:rsidP="00795AE3" w:rsidRDefault="00795AE3" w14:paraId="00FCFC08" w14:textId="77777777">
            <w:pPr>
              <w:pStyle w:val="Lijstalinea"/>
              <w:numPr>
                <w:ilvl w:val="0"/>
                <w:numId w:val="43"/>
              </w:numPr>
              <w:spacing w:line="276" w:lineRule="auto"/>
            </w:pPr>
            <w:r w:rsidRPr="00080686">
              <w:t xml:space="preserve">Deze maatregel leidt tot een jaarlijkse budgettaire derving ten opzichte van het </w:t>
            </w:r>
            <w:proofErr w:type="spellStart"/>
            <w:r w:rsidRPr="00080686">
              <w:t>basispad</w:t>
            </w:r>
            <w:proofErr w:type="spellEnd"/>
            <w:r w:rsidRPr="00080686">
              <w:t xml:space="preserve">. Door de uitbreiding tot 2043 kunnen </w:t>
            </w:r>
            <w:r>
              <w:t>BEWS</w:t>
            </w:r>
            <w:r w:rsidRPr="00080686">
              <w:t xml:space="preserve"> afgesloten in de periode 2001-2012 namelijk veelal meer dan 30 jaar profiteren van </w:t>
            </w:r>
            <w:r>
              <w:t>HRA</w:t>
            </w:r>
            <w:r w:rsidRPr="00080686">
              <w:t xml:space="preserve">. </w:t>
            </w:r>
            <w:r>
              <w:t>BEWS</w:t>
            </w:r>
            <w:r w:rsidRPr="00080686">
              <w:t xml:space="preserve"> die aftrekrecht zouden verliezen in de periode 2031-2042 krijgen nu voor de volledige periode tot en met 2042 recht op aftrek. De budgettaire derving loopt op omdat steeds meer belastingplichtigen meer dan 30 jaar </w:t>
            </w:r>
            <w:r>
              <w:t>HRA</w:t>
            </w:r>
            <w:r w:rsidRPr="00080686">
              <w:t xml:space="preserve"> zullen genieten.</w:t>
            </w:r>
          </w:p>
          <w:p w:rsidR="00ED09CC" w:rsidP="00CF1ABF" w:rsidRDefault="00ED09CC" w14:paraId="045D5F47" w14:textId="77777777">
            <w:pPr>
              <w:pStyle w:val="Lijstalinea"/>
              <w:spacing w:line="276" w:lineRule="auto"/>
            </w:pPr>
          </w:p>
          <w:p w:rsidRPr="00E46673" w:rsidR="00690DAD" w:rsidP="00BF378C" w:rsidRDefault="00690DAD" w14:paraId="0D1CEC42" w14:textId="77777777">
            <w:pPr>
              <w:spacing w:after="255" w:line="240" w:lineRule="atLeast"/>
              <w:contextualSpacing/>
              <w:rPr>
                <w:b/>
                <w:bCs/>
                <w:sz w:val="16"/>
                <w:szCs w:val="16"/>
              </w:rPr>
            </w:pPr>
            <w:bookmarkStart w:name="_Hlk220943067" w:id="65"/>
            <w:r w:rsidRPr="00E46673">
              <w:rPr>
                <w:b/>
                <w:bCs/>
                <w:sz w:val="16"/>
                <w:szCs w:val="16"/>
              </w:rPr>
              <w:t>Budgettair effect maatregel (x miljoen</w:t>
            </w:r>
            <w:r>
              <w:rPr>
                <w:b/>
                <w:bCs/>
                <w:sz w:val="16"/>
                <w:szCs w:val="16"/>
              </w:rPr>
              <w:t xml:space="preserve"> euro</w:t>
            </w:r>
            <w:r w:rsidRPr="00E46673">
              <w:rPr>
                <w:b/>
                <w:bCs/>
                <w:sz w:val="16"/>
                <w:szCs w:val="16"/>
              </w:rPr>
              <w:t>)</w:t>
            </w:r>
            <w:r w:rsidR="00771E6F">
              <w:rPr>
                <w:rStyle w:val="Voetnootmarkering"/>
                <w:b/>
                <w:bCs/>
                <w:sz w:val="16"/>
                <w:szCs w:val="16"/>
              </w:rPr>
              <w:footnoteReference w:id="56"/>
            </w:r>
          </w:p>
          <w:tbl>
            <w:tblPr>
              <w:tblStyle w:val="Onopgemaaktetabel2"/>
              <w:tblW w:w="4840" w:type="dxa"/>
              <w:tblLook w:val="04A0" w:firstRow="1" w:lastRow="0" w:firstColumn="1" w:lastColumn="0" w:noHBand="0" w:noVBand="1"/>
            </w:tblPr>
            <w:tblGrid>
              <w:gridCol w:w="623"/>
              <w:gridCol w:w="623"/>
              <w:gridCol w:w="623"/>
              <w:gridCol w:w="623"/>
              <w:gridCol w:w="623"/>
              <w:gridCol w:w="631"/>
              <w:gridCol w:w="1094"/>
            </w:tblGrid>
            <w:tr w:rsidRPr="00E46673" w:rsidR="00795AE3" w:rsidTr="001D71AF" w14:paraId="1F076355" w14:textId="77777777">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10" w:type="dxa"/>
                </w:tcPr>
                <w:p w:rsidRPr="00D6070F" w:rsidR="00795AE3" w:rsidP="00795AE3" w:rsidRDefault="00795AE3" w14:paraId="29A04733" w14:textId="77777777">
                  <w:pPr>
                    <w:spacing w:after="255" w:line="240" w:lineRule="atLeast"/>
                    <w:contextualSpacing/>
                    <w:jc w:val="center"/>
                    <w:rPr>
                      <w:sz w:val="14"/>
                      <w:szCs w:val="14"/>
                      <w:lang w:val="fr-FR"/>
                    </w:rPr>
                  </w:pPr>
                  <w:r w:rsidRPr="00D6070F">
                    <w:rPr>
                      <w:sz w:val="14"/>
                      <w:szCs w:val="14"/>
                      <w:lang w:val="fr-FR"/>
                    </w:rPr>
                    <w:t>2031</w:t>
                  </w:r>
                </w:p>
              </w:tc>
              <w:tc>
                <w:tcPr>
                  <w:tcW w:w="611" w:type="dxa"/>
                </w:tcPr>
                <w:p w:rsidRPr="00D6070F" w:rsidR="00795AE3" w:rsidP="00795AE3" w:rsidRDefault="00795AE3" w14:paraId="04D831F9"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4"/>
                      <w:szCs w:val="14"/>
                      <w:lang w:val="fr-FR"/>
                    </w:rPr>
                  </w:pPr>
                  <w:r w:rsidRPr="00D6070F">
                    <w:rPr>
                      <w:sz w:val="14"/>
                      <w:szCs w:val="14"/>
                      <w:lang w:val="fr-FR"/>
                    </w:rPr>
                    <w:t>2032</w:t>
                  </w:r>
                </w:p>
              </w:tc>
              <w:tc>
                <w:tcPr>
                  <w:tcW w:w="611" w:type="dxa"/>
                </w:tcPr>
                <w:p w:rsidRPr="00D6070F" w:rsidR="00795AE3" w:rsidP="00795AE3" w:rsidRDefault="00795AE3" w14:paraId="7501DD38"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4"/>
                      <w:szCs w:val="14"/>
                      <w:lang w:val="fr-FR"/>
                    </w:rPr>
                  </w:pPr>
                  <w:r w:rsidRPr="00D6070F">
                    <w:rPr>
                      <w:sz w:val="14"/>
                      <w:szCs w:val="14"/>
                      <w:lang w:val="fr-FR"/>
                    </w:rPr>
                    <w:t>2033</w:t>
                  </w:r>
                </w:p>
              </w:tc>
              <w:tc>
                <w:tcPr>
                  <w:tcW w:w="611" w:type="dxa"/>
                </w:tcPr>
                <w:p w:rsidRPr="00D6070F" w:rsidR="00795AE3" w:rsidP="00795AE3" w:rsidRDefault="00795AE3" w14:paraId="63909D49"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4"/>
                      <w:szCs w:val="14"/>
                      <w:lang w:val="fr-FR"/>
                    </w:rPr>
                  </w:pPr>
                  <w:r w:rsidRPr="00D6070F">
                    <w:rPr>
                      <w:sz w:val="14"/>
                      <w:szCs w:val="14"/>
                      <w:lang w:val="fr-FR"/>
                    </w:rPr>
                    <w:t>2034</w:t>
                  </w:r>
                </w:p>
              </w:tc>
              <w:tc>
                <w:tcPr>
                  <w:tcW w:w="611" w:type="dxa"/>
                </w:tcPr>
                <w:p w:rsidRPr="00D6070F" w:rsidR="00795AE3" w:rsidP="00795AE3" w:rsidRDefault="00795AE3" w14:paraId="3DEEE1BF"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4"/>
                      <w:szCs w:val="14"/>
                      <w:lang w:val="fr-FR"/>
                    </w:rPr>
                  </w:pPr>
                  <w:r w:rsidRPr="00D6070F">
                    <w:rPr>
                      <w:sz w:val="14"/>
                      <w:szCs w:val="14"/>
                      <w:lang w:val="fr-FR"/>
                    </w:rPr>
                    <w:t>2035</w:t>
                  </w:r>
                </w:p>
              </w:tc>
              <w:tc>
                <w:tcPr>
                  <w:tcW w:w="618" w:type="dxa"/>
                </w:tcPr>
                <w:p w:rsidRPr="00D6070F" w:rsidR="00795AE3" w:rsidP="00795AE3" w:rsidRDefault="00795AE3" w14:paraId="10572944"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4"/>
                      <w:szCs w:val="14"/>
                      <w:lang w:val="fr-FR"/>
                    </w:rPr>
                  </w:pPr>
                  <w:r w:rsidRPr="00D6070F">
                    <w:rPr>
                      <w:sz w:val="14"/>
                      <w:szCs w:val="14"/>
                      <w:lang w:val="fr-FR"/>
                    </w:rPr>
                    <w:t>2036</w:t>
                  </w:r>
                </w:p>
              </w:tc>
              <w:tc>
                <w:tcPr>
                  <w:tcW w:w="1168" w:type="dxa"/>
                </w:tcPr>
                <w:p w:rsidRPr="00D6070F" w:rsidR="00795AE3" w:rsidP="00795AE3" w:rsidRDefault="00795AE3" w14:paraId="7AD6D71D"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4"/>
                      <w:szCs w:val="14"/>
                      <w:lang w:val="fr-FR"/>
                    </w:rPr>
                  </w:pPr>
                  <w:r w:rsidRPr="00D6070F">
                    <w:rPr>
                      <w:sz w:val="14"/>
                      <w:szCs w:val="14"/>
                      <w:lang w:val="fr-FR"/>
                    </w:rPr>
                    <w:t>2037</w:t>
                  </w:r>
                </w:p>
              </w:tc>
            </w:tr>
            <w:tr w:rsidRPr="00E46673" w:rsidR="00795AE3" w:rsidTr="001D71AF" w14:paraId="146AF661" w14:textId="7777777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10" w:type="dxa"/>
                  <w:vAlign w:val="center"/>
                </w:tcPr>
                <w:p w:rsidRPr="00D6070F" w:rsidR="00795AE3" w:rsidP="002E76C7" w:rsidRDefault="00795AE3" w14:paraId="797A67A7" w14:textId="77777777">
                  <w:pPr>
                    <w:spacing w:after="255" w:line="240" w:lineRule="atLeast"/>
                    <w:contextualSpacing/>
                    <w:jc w:val="center"/>
                    <w:rPr>
                      <w:b w:val="0"/>
                      <w:bCs w:val="0"/>
                      <w:sz w:val="14"/>
                      <w:szCs w:val="14"/>
                      <w:lang w:val="fr-FR"/>
                    </w:rPr>
                  </w:pPr>
                  <w:r w:rsidRPr="00D6070F">
                    <w:rPr>
                      <w:sz w:val="14"/>
                      <w:lang w:val="fr-FR"/>
                    </w:rPr>
                    <w:t>-</w:t>
                  </w:r>
                  <w:r w:rsidRPr="001D71AF" w:rsidR="001D71AF">
                    <w:rPr>
                      <w:b w:val="0"/>
                      <w:bCs w:val="0"/>
                      <w:sz w:val="14"/>
                      <w:lang w:val="fr-FR"/>
                    </w:rPr>
                    <w:t>858</w:t>
                  </w:r>
                </w:p>
              </w:tc>
              <w:tc>
                <w:tcPr>
                  <w:tcW w:w="611" w:type="dxa"/>
                  <w:vAlign w:val="center"/>
                </w:tcPr>
                <w:p w:rsidRPr="00D6070F" w:rsidR="00795AE3" w:rsidP="002E76C7" w:rsidRDefault="00D6070F" w14:paraId="67E75F36"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w:t>
                  </w:r>
                  <w:r w:rsidR="001D71AF">
                    <w:rPr>
                      <w:sz w:val="14"/>
                      <w:szCs w:val="14"/>
                      <w:lang w:val="fr-FR"/>
                    </w:rPr>
                    <w:t>907</w:t>
                  </w:r>
                </w:p>
              </w:tc>
              <w:tc>
                <w:tcPr>
                  <w:tcW w:w="611" w:type="dxa"/>
                  <w:vAlign w:val="center"/>
                </w:tcPr>
                <w:p w:rsidRPr="00D6070F" w:rsidR="00795AE3" w:rsidP="002E76C7" w:rsidRDefault="00D6070F" w14:paraId="323C8A09"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w:t>
                  </w:r>
                  <w:r w:rsidR="001D71AF">
                    <w:rPr>
                      <w:sz w:val="14"/>
                      <w:szCs w:val="14"/>
                      <w:lang w:val="fr-FR"/>
                    </w:rPr>
                    <w:t>994</w:t>
                  </w:r>
                </w:p>
              </w:tc>
              <w:tc>
                <w:tcPr>
                  <w:tcW w:w="611" w:type="dxa"/>
                  <w:vAlign w:val="center"/>
                </w:tcPr>
                <w:p w:rsidRPr="00D6070F" w:rsidR="00795AE3" w:rsidP="002E76C7" w:rsidRDefault="00D6070F" w14:paraId="578858EE"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w:t>
                  </w:r>
                  <w:r w:rsidR="001D71AF">
                    <w:rPr>
                      <w:sz w:val="14"/>
                      <w:szCs w:val="14"/>
                      <w:lang w:val="fr-FR"/>
                    </w:rPr>
                    <w:t>1.100</w:t>
                  </w:r>
                </w:p>
              </w:tc>
              <w:tc>
                <w:tcPr>
                  <w:tcW w:w="611" w:type="dxa"/>
                  <w:vAlign w:val="center"/>
                </w:tcPr>
                <w:p w:rsidRPr="00D6070F" w:rsidR="00795AE3" w:rsidP="002E76C7" w:rsidRDefault="00D6070F" w14:paraId="24C87E40"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w:t>
                  </w:r>
                  <w:r w:rsidR="001D71AF">
                    <w:rPr>
                      <w:sz w:val="14"/>
                      <w:szCs w:val="14"/>
                      <w:lang w:val="fr-FR"/>
                    </w:rPr>
                    <w:t>1.285</w:t>
                  </w:r>
                </w:p>
              </w:tc>
              <w:tc>
                <w:tcPr>
                  <w:tcW w:w="618" w:type="dxa"/>
                  <w:vAlign w:val="center"/>
                </w:tcPr>
                <w:p w:rsidRPr="00D6070F" w:rsidR="00795AE3" w:rsidP="002E76C7" w:rsidRDefault="00D6070F" w14:paraId="3AA02448"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w:t>
                  </w:r>
                  <w:r w:rsidR="001D71AF">
                    <w:rPr>
                      <w:sz w:val="14"/>
                      <w:szCs w:val="14"/>
                      <w:lang w:val="fr-FR"/>
                    </w:rPr>
                    <w:t>1.488</w:t>
                  </w:r>
                </w:p>
              </w:tc>
              <w:tc>
                <w:tcPr>
                  <w:tcW w:w="1168" w:type="dxa"/>
                  <w:vAlign w:val="center"/>
                </w:tcPr>
                <w:p w:rsidRPr="00D6070F" w:rsidR="00795AE3" w:rsidP="002E76C7" w:rsidRDefault="00D6070F" w14:paraId="2C9CBF7D"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w:t>
                  </w:r>
                  <w:r w:rsidR="001D71AF">
                    <w:rPr>
                      <w:sz w:val="14"/>
                      <w:szCs w:val="14"/>
                      <w:lang w:val="fr-FR"/>
                    </w:rPr>
                    <w:t>1.637</w:t>
                  </w:r>
                </w:p>
              </w:tc>
            </w:tr>
            <w:tr w:rsidRPr="00E46673" w:rsidR="00795AE3" w:rsidTr="001D71AF" w14:paraId="33F473BB" w14:textId="77777777">
              <w:trPr>
                <w:trHeight w:val="271"/>
              </w:trPr>
              <w:tc>
                <w:tcPr>
                  <w:cnfStyle w:val="001000000000" w:firstRow="0" w:lastRow="0" w:firstColumn="1" w:lastColumn="0" w:oddVBand="0" w:evenVBand="0" w:oddHBand="0" w:evenHBand="0" w:firstRowFirstColumn="0" w:firstRowLastColumn="0" w:lastRowFirstColumn="0" w:lastRowLastColumn="0"/>
                  <w:tcW w:w="610" w:type="dxa"/>
                  <w:vAlign w:val="center"/>
                </w:tcPr>
                <w:p w:rsidRPr="00D6070F" w:rsidR="00795AE3" w:rsidP="002E76C7" w:rsidRDefault="00795AE3" w14:paraId="667AA427" w14:textId="77777777">
                  <w:pPr>
                    <w:spacing w:after="255" w:line="240" w:lineRule="atLeast"/>
                    <w:contextualSpacing/>
                    <w:jc w:val="center"/>
                    <w:rPr>
                      <w:sz w:val="14"/>
                      <w:szCs w:val="14"/>
                      <w:lang w:val="fr-FR"/>
                    </w:rPr>
                  </w:pPr>
                  <w:r w:rsidRPr="00D6070F">
                    <w:rPr>
                      <w:sz w:val="14"/>
                      <w:szCs w:val="14"/>
                      <w:lang w:val="fr-FR"/>
                    </w:rPr>
                    <w:t>2038</w:t>
                  </w:r>
                </w:p>
              </w:tc>
              <w:tc>
                <w:tcPr>
                  <w:tcW w:w="611" w:type="dxa"/>
                  <w:vAlign w:val="center"/>
                </w:tcPr>
                <w:p w:rsidRPr="00D6070F" w:rsidR="00795AE3" w:rsidP="002E76C7" w:rsidRDefault="00795AE3" w14:paraId="09F85FDC"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4"/>
                      <w:szCs w:val="14"/>
                      <w:lang w:val="fr-FR"/>
                    </w:rPr>
                  </w:pPr>
                  <w:r w:rsidRPr="00D6070F">
                    <w:rPr>
                      <w:b/>
                      <w:bCs/>
                      <w:sz w:val="14"/>
                      <w:szCs w:val="14"/>
                      <w:lang w:val="fr-FR"/>
                    </w:rPr>
                    <w:t>2039</w:t>
                  </w:r>
                </w:p>
              </w:tc>
              <w:tc>
                <w:tcPr>
                  <w:tcW w:w="611" w:type="dxa"/>
                  <w:vAlign w:val="center"/>
                </w:tcPr>
                <w:p w:rsidRPr="00D6070F" w:rsidR="00795AE3" w:rsidP="002E76C7" w:rsidRDefault="00795AE3" w14:paraId="18823FC9"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4"/>
                      <w:szCs w:val="14"/>
                      <w:lang w:val="fr-FR"/>
                    </w:rPr>
                  </w:pPr>
                  <w:r w:rsidRPr="00D6070F">
                    <w:rPr>
                      <w:b/>
                      <w:bCs/>
                      <w:sz w:val="14"/>
                      <w:szCs w:val="14"/>
                      <w:lang w:val="fr-FR"/>
                    </w:rPr>
                    <w:t>2040</w:t>
                  </w:r>
                </w:p>
              </w:tc>
              <w:tc>
                <w:tcPr>
                  <w:tcW w:w="611" w:type="dxa"/>
                  <w:vAlign w:val="center"/>
                </w:tcPr>
                <w:p w:rsidRPr="00D6070F" w:rsidR="00795AE3" w:rsidP="002E76C7" w:rsidRDefault="00795AE3" w14:paraId="57D5B2B9"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4"/>
                      <w:szCs w:val="14"/>
                      <w:lang w:val="fr-FR"/>
                    </w:rPr>
                  </w:pPr>
                  <w:r w:rsidRPr="00D6070F">
                    <w:rPr>
                      <w:b/>
                      <w:bCs/>
                      <w:sz w:val="14"/>
                      <w:szCs w:val="14"/>
                      <w:lang w:val="fr-FR"/>
                    </w:rPr>
                    <w:t>2041</w:t>
                  </w:r>
                </w:p>
              </w:tc>
              <w:tc>
                <w:tcPr>
                  <w:tcW w:w="611" w:type="dxa"/>
                  <w:vAlign w:val="center"/>
                </w:tcPr>
                <w:p w:rsidRPr="00D6070F" w:rsidR="00795AE3" w:rsidP="002E76C7" w:rsidRDefault="00795AE3" w14:paraId="3C363F98"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4"/>
                      <w:szCs w:val="14"/>
                      <w:lang w:val="fr-FR"/>
                    </w:rPr>
                  </w:pPr>
                  <w:r w:rsidRPr="00D6070F">
                    <w:rPr>
                      <w:b/>
                      <w:bCs/>
                      <w:sz w:val="14"/>
                      <w:szCs w:val="14"/>
                      <w:lang w:val="fr-FR"/>
                    </w:rPr>
                    <w:t>2042</w:t>
                  </w:r>
                </w:p>
              </w:tc>
              <w:tc>
                <w:tcPr>
                  <w:tcW w:w="618" w:type="dxa"/>
                  <w:vAlign w:val="center"/>
                </w:tcPr>
                <w:p w:rsidRPr="00D6070F" w:rsidR="00795AE3" w:rsidP="002E76C7" w:rsidRDefault="00795AE3" w14:paraId="083282A3"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4"/>
                      <w:szCs w:val="14"/>
                      <w:lang w:val="fr-FR"/>
                    </w:rPr>
                  </w:pPr>
                  <w:proofErr w:type="spellStart"/>
                  <w:r w:rsidRPr="00D6070F">
                    <w:rPr>
                      <w:b/>
                      <w:bCs/>
                      <w:sz w:val="14"/>
                      <w:szCs w:val="14"/>
                      <w:lang w:val="fr-FR"/>
                    </w:rPr>
                    <w:t>Struc</w:t>
                  </w:r>
                  <w:proofErr w:type="spellEnd"/>
                </w:p>
              </w:tc>
              <w:tc>
                <w:tcPr>
                  <w:tcW w:w="1168" w:type="dxa"/>
                  <w:vAlign w:val="center"/>
                </w:tcPr>
                <w:p w:rsidRPr="00D6070F" w:rsidR="00795AE3" w:rsidP="002E76C7" w:rsidRDefault="00795AE3" w14:paraId="14CA6795"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4"/>
                      <w:szCs w:val="14"/>
                      <w:lang w:val="fr-FR"/>
                    </w:rPr>
                  </w:pPr>
                  <w:r w:rsidRPr="00D6070F">
                    <w:rPr>
                      <w:b/>
                      <w:bCs/>
                      <w:sz w:val="14"/>
                      <w:szCs w:val="14"/>
                      <w:lang w:val="fr-FR"/>
                    </w:rPr>
                    <w:t>Cum</w:t>
                  </w:r>
                </w:p>
              </w:tc>
            </w:tr>
            <w:tr w:rsidRPr="00E46673" w:rsidR="008F6480" w:rsidTr="001D71AF" w14:paraId="541760A2" w14:textId="7777777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10" w:type="dxa"/>
                  <w:vAlign w:val="center"/>
                </w:tcPr>
                <w:p w:rsidRPr="00D6070F" w:rsidR="008F6480" w:rsidP="002E76C7" w:rsidRDefault="008F6480" w14:paraId="4408940A" w14:textId="77777777">
                  <w:pPr>
                    <w:spacing w:after="255" w:line="240" w:lineRule="atLeast"/>
                    <w:contextualSpacing/>
                    <w:jc w:val="center"/>
                    <w:rPr>
                      <w:b w:val="0"/>
                      <w:bCs w:val="0"/>
                      <w:sz w:val="14"/>
                      <w:szCs w:val="14"/>
                      <w:lang w:val="fr-FR"/>
                    </w:rPr>
                  </w:pPr>
                  <w:r w:rsidRPr="00D6070F">
                    <w:rPr>
                      <w:sz w:val="14"/>
                      <w:lang w:val="fr-FR"/>
                    </w:rPr>
                    <w:t>-</w:t>
                  </w:r>
                  <w:r w:rsidRPr="001D71AF" w:rsidR="001D71AF">
                    <w:rPr>
                      <w:b w:val="0"/>
                      <w:bCs w:val="0"/>
                      <w:sz w:val="14"/>
                      <w:lang w:val="fr-FR"/>
                    </w:rPr>
                    <w:t>1.751</w:t>
                  </w:r>
                </w:p>
              </w:tc>
              <w:tc>
                <w:tcPr>
                  <w:tcW w:w="611" w:type="dxa"/>
                  <w:vAlign w:val="center"/>
                </w:tcPr>
                <w:p w:rsidRPr="00D6070F" w:rsidR="008F6480" w:rsidP="002E76C7" w:rsidRDefault="00D6070F" w14:paraId="18242BF0"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w:t>
                  </w:r>
                  <w:r w:rsidR="001D71AF">
                    <w:rPr>
                      <w:sz w:val="14"/>
                      <w:szCs w:val="14"/>
                      <w:lang w:val="fr-FR"/>
                    </w:rPr>
                    <w:t>1.790</w:t>
                  </w:r>
                </w:p>
              </w:tc>
              <w:tc>
                <w:tcPr>
                  <w:tcW w:w="611" w:type="dxa"/>
                  <w:vAlign w:val="center"/>
                </w:tcPr>
                <w:p w:rsidRPr="00D6070F" w:rsidR="008F6480" w:rsidP="002E76C7" w:rsidRDefault="00D6070F" w14:paraId="3EB643AB"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w:t>
                  </w:r>
                  <w:r w:rsidR="001D71AF">
                    <w:rPr>
                      <w:sz w:val="14"/>
                      <w:szCs w:val="14"/>
                      <w:lang w:val="fr-FR"/>
                    </w:rPr>
                    <w:t>1.808</w:t>
                  </w:r>
                </w:p>
              </w:tc>
              <w:tc>
                <w:tcPr>
                  <w:tcW w:w="611" w:type="dxa"/>
                  <w:vAlign w:val="center"/>
                </w:tcPr>
                <w:p w:rsidRPr="00D6070F" w:rsidR="008F6480" w:rsidP="002E76C7" w:rsidRDefault="00D6070F" w14:paraId="714EDAC6"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w:t>
                  </w:r>
                  <w:r w:rsidR="001D71AF">
                    <w:rPr>
                      <w:sz w:val="14"/>
                      <w:szCs w:val="14"/>
                      <w:lang w:val="fr-FR"/>
                    </w:rPr>
                    <w:t>1.813</w:t>
                  </w:r>
                </w:p>
              </w:tc>
              <w:tc>
                <w:tcPr>
                  <w:tcW w:w="611" w:type="dxa"/>
                  <w:vAlign w:val="center"/>
                </w:tcPr>
                <w:p w:rsidRPr="00D6070F" w:rsidR="008F6480" w:rsidP="002E76C7" w:rsidRDefault="00D6070F" w14:paraId="792BCE18"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w:t>
                  </w:r>
                  <w:r w:rsidR="001D71AF">
                    <w:rPr>
                      <w:sz w:val="14"/>
                      <w:szCs w:val="14"/>
                      <w:lang w:val="fr-FR"/>
                    </w:rPr>
                    <w:t>1.832</w:t>
                  </w:r>
                </w:p>
              </w:tc>
              <w:tc>
                <w:tcPr>
                  <w:tcW w:w="618" w:type="dxa"/>
                  <w:vAlign w:val="center"/>
                </w:tcPr>
                <w:p w:rsidRPr="00D6070F" w:rsidR="008F6480" w:rsidP="002E76C7" w:rsidRDefault="008F6480" w14:paraId="208E6BC7"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0</w:t>
                  </w:r>
                </w:p>
              </w:tc>
              <w:tc>
                <w:tcPr>
                  <w:tcW w:w="1168" w:type="dxa"/>
                  <w:vAlign w:val="center"/>
                </w:tcPr>
                <w:p w:rsidRPr="00D6070F" w:rsidR="008F6480" w:rsidP="002E76C7" w:rsidRDefault="008F6480" w14:paraId="12C96AEA"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4"/>
                      <w:szCs w:val="14"/>
                      <w:lang w:val="fr-FR"/>
                    </w:rPr>
                  </w:pPr>
                  <w:r w:rsidRPr="00D6070F">
                    <w:rPr>
                      <w:sz w:val="14"/>
                      <w:szCs w:val="14"/>
                      <w:lang w:val="fr-FR"/>
                    </w:rPr>
                    <w:t>-1</w:t>
                  </w:r>
                  <w:r w:rsidR="001D71AF">
                    <w:rPr>
                      <w:sz w:val="14"/>
                      <w:szCs w:val="14"/>
                      <w:lang w:val="fr-FR"/>
                    </w:rPr>
                    <w:t>7</w:t>
                  </w:r>
                  <w:r w:rsidRPr="00D6070F">
                    <w:rPr>
                      <w:sz w:val="14"/>
                      <w:szCs w:val="14"/>
                      <w:lang w:val="fr-FR"/>
                    </w:rPr>
                    <w:t>.</w:t>
                  </w:r>
                  <w:r w:rsidR="001D71AF">
                    <w:rPr>
                      <w:sz w:val="14"/>
                      <w:szCs w:val="14"/>
                      <w:lang w:val="fr-FR"/>
                    </w:rPr>
                    <w:t>262</w:t>
                  </w:r>
                </w:p>
              </w:tc>
            </w:tr>
            <w:bookmarkEnd w:id="65"/>
          </w:tbl>
          <w:p w:rsidR="00690DAD" w:rsidP="00BF378C" w:rsidRDefault="00690DAD" w14:paraId="1FE30796" w14:textId="77777777"/>
        </w:tc>
      </w:tr>
      <w:tr w:rsidR="00690DAD" w:rsidTr="00BF378C" w14:paraId="2503F8DD" w14:textId="77777777">
        <w:tc>
          <w:tcPr>
            <w:tcW w:w="3850" w:type="dxa"/>
          </w:tcPr>
          <w:p w:rsidRPr="00637B02" w:rsidR="00690DAD" w:rsidP="00BF378C" w:rsidRDefault="00690DAD" w14:paraId="10EFD2CA" w14:textId="77777777">
            <w:pPr>
              <w:rPr>
                <w:b/>
                <w:bCs/>
              </w:rPr>
            </w:pPr>
            <w:proofErr w:type="spellStart"/>
            <w:r w:rsidRPr="00637B02">
              <w:rPr>
                <w:b/>
                <w:bCs/>
              </w:rPr>
              <w:lastRenderedPageBreak/>
              <w:t>Doenvermogen</w:t>
            </w:r>
            <w:proofErr w:type="spellEnd"/>
            <w:r w:rsidRPr="00637B02">
              <w:rPr>
                <w:b/>
                <w:bCs/>
              </w:rPr>
              <w:t xml:space="preserve"> en administratieve lasten</w:t>
            </w:r>
          </w:p>
        </w:tc>
        <w:tc>
          <w:tcPr>
            <w:tcW w:w="3851" w:type="dxa"/>
          </w:tcPr>
          <w:p w:rsidRPr="00202AE5" w:rsidR="00795AE3" w:rsidP="00795AE3" w:rsidRDefault="00795AE3" w14:paraId="5B7659B6" w14:textId="77777777">
            <w:pPr>
              <w:numPr>
                <w:ilvl w:val="0"/>
                <w:numId w:val="30"/>
              </w:numPr>
              <w:spacing w:line="240" w:lineRule="atLeast"/>
              <w:contextualSpacing/>
              <w:rPr>
                <w:rFonts w:eastAsia="Calibri" w:cs="Times New Roman"/>
                <w:color w:val="auto"/>
              </w:rPr>
            </w:pPr>
            <w:r w:rsidRPr="00202AE5">
              <w:rPr>
                <w:rFonts w:eastAsia="Calibri" w:cs="Times New Roman"/>
                <w:color w:val="auto"/>
              </w:rPr>
              <w:t>Afschaffen van de 30-jaarstermijn en de overgang van BEWS per 2043 naar box</w:t>
            </w:r>
            <w:r w:rsidR="00ED09CC">
              <w:rPr>
                <w:rFonts w:eastAsia="Calibri" w:cs="Times New Roman"/>
                <w:color w:val="auto"/>
              </w:rPr>
              <w:t> </w:t>
            </w:r>
            <w:r w:rsidRPr="00202AE5">
              <w:rPr>
                <w:rFonts w:eastAsia="Calibri" w:cs="Times New Roman"/>
                <w:color w:val="auto"/>
              </w:rPr>
              <w:t xml:space="preserve">3 zorgt voor duidelijkheid bij burgers. Dit is een verbetering ten opzichte van het </w:t>
            </w:r>
            <w:proofErr w:type="spellStart"/>
            <w:r w:rsidRPr="00202AE5">
              <w:rPr>
                <w:rFonts w:eastAsia="Calibri" w:cs="Times New Roman"/>
                <w:color w:val="auto"/>
              </w:rPr>
              <w:t>basispad</w:t>
            </w:r>
            <w:proofErr w:type="spellEnd"/>
            <w:r w:rsidRPr="00202AE5">
              <w:rPr>
                <w:rFonts w:eastAsia="Calibri" w:cs="Times New Roman"/>
                <w:color w:val="auto"/>
              </w:rPr>
              <w:t>.</w:t>
            </w:r>
          </w:p>
          <w:p w:rsidRPr="00202AE5" w:rsidR="00ED09CC" w:rsidP="00EA7F2B" w:rsidRDefault="00ED09CC" w14:paraId="665C7C26" w14:textId="77777777">
            <w:pPr>
              <w:spacing w:line="240" w:lineRule="atLeast"/>
              <w:ind w:left="720"/>
              <w:contextualSpacing/>
              <w:rPr>
                <w:rFonts w:eastAsia="Calibri" w:cs="Times New Roman"/>
                <w:color w:val="auto"/>
              </w:rPr>
            </w:pPr>
          </w:p>
          <w:p w:rsidRPr="00202AE5" w:rsidR="00795AE3" w:rsidP="00795AE3" w:rsidRDefault="00795AE3" w14:paraId="0513A044" w14:textId="77777777">
            <w:pPr>
              <w:numPr>
                <w:ilvl w:val="0"/>
                <w:numId w:val="30"/>
              </w:numPr>
              <w:spacing w:line="240" w:lineRule="atLeast"/>
              <w:contextualSpacing/>
              <w:rPr>
                <w:rFonts w:eastAsia="Calibri" w:cs="Times New Roman"/>
                <w:color w:val="auto"/>
              </w:rPr>
            </w:pPr>
            <w:r w:rsidRPr="00202AE5">
              <w:rPr>
                <w:rFonts w:eastAsia="Calibri" w:cs="Times New Roman"/>
                <w:color w:val="auto"/>
              </w:rPr>
              <w:t xml:space="preserve">De belastingplichtige moet in de belastingaangifte per </w:t>
            </w:r>
            <w:proofErr w:type="spellStart"/>
            <w:r w:rsidRPr="00202AE5">
              <w:rPr>
                <w:rFonts w:eastAsia="Calibri" w:cs="Times New Roman"/>
                <w:color w:val="auto"/>
              </w:rPr>
              <w:t>leningdeel</w:t>
            </w:r>
            <w:proofErr w:type="spellEnd"/>
            <w:r w:rsidRPr="00202AE5">
              <w:rPr>
                <w:rFonts w:eastAsia="Calibri" w:cs="Times New Roman"/>
                <w:color w:val="auto"/>
              </w:rPr>
              <w:t xml:space="preserve"> aangegeven of dit een BEWS is of niet. Dit kan mogelijk leiden tot fouten. </w:t>
            </w:r>
          </w:p>
          <w:p w:rsidRPr="00202AE5" w:rsidR="00795AE3" w:rsidP="00795AE3" w:rsidRDefault="00795AE3" w14:paraId="5CF7F7BD" w14:textId="77777777">
            <w:pPr>
              <w:spacing w:line="240" w:lineRule="atLeast"/>
              <w:ind w:left="720"/>
              <w:contextualSpacing/>
              <w:rPr>
                <w:rFonts w:eastAsia="Calibri" w:cs="Times New Roman"/>
                <w:color w:val="auto"/>
              </w:rPr>
            </w:pPr>
          </w:p>
          <w:p w:rsidR="00795AE3" w:rsidP="00795AE3" w:rsidRDefault="00795AE3" w14:paraId="2FE7FFDA" w14:textId="77777777">
            <w:pPr>
              <w:numPr>
                <w:ilvl w:val="0"/>
                <w:numId w:val="41"/>
              </w:numPr>
              <w:spacing w:line="240" w:lineRule="atLeast"/>
              <w:contextualSpacing/>
              <w:rPr>
                <w:rFonts w:eastAsia="Calibri" w:cs="Times New Roman"/>
                <w:color w:val="auto"/>
              </w:rPr>
            </w:pPr>
            <w:r w:rsidRPr="00202AE5">
              <w:rPr>
                <w:rFonts w:eastAsia="Calibri" w:cs="Times New Roman"/>
                <w:color w:val="auto"/>
              </w:rPr>
              <w:t xml:space="preserve">Uit de </w:t>
            </w:r>
            <w:proofErr w:type="spellStart"/>
            <w:r w:rsidRPr="00202AE5">
              <w:rPr>
                <w:rFonts w:eastAsia="Calibri" w:cs="Times New Roman"/>
                <w:color w:val="auto"/>
              </w:rPr>
              <w:t>doenvermogensscan</w:t>
            </w:r>
            <w:proofErr w:type="spellEnd"/>
            <w:r w:rsidRPr="00202AE5">
              <w:rPr>
                <w:rFonts w:eastAsia="Calibri" w:cs="Times New Roman"/>
                <w:color w:val="auto"/>
              </w:rPr>
              <w:t xml:space="preserve"> volgt dat het </w:t>
            </w:r>
            <w:proofErr w:type="spellStart"/>
            <w:r w:rsidRPr="00202AE5">
              <w:rPr>
                <w:rFonts w:eastAsia="Calibri" w:cs="Times New Roman"/>
                <w:color w:val="auto"/>
              </w:rPr>
              <w:t>doenvermogen</w:t>
            </w:r>
            <w:proofErr w:type="spellEnd"/>
            <w:r w:rsidRPr="00202AE5">
              <w:rPr>
                <w:rFonts w:eastAsia="Calibri" w:cs="Times New Roman"/>
                <w:color w:val="auto"/>
              </w:rPr>
              <w:t xml:space="preserve"> verbetert ten opzichte van het </w:t>
            </w:r>
            <w:proofErr w:type="spellStart"/>
            <w:r w:rsidRPr="00202AE5">
              <w:rPr>
                <w:rFonts w:eastAsia="Calibri" w:cs="Times New Roman"/>
                <w:color w:val="auto"/>
              </w:rPr>
              <w:t>basispad</w:t>
            </w:r>
            <w:proofErr w:type="spellEnd"/>
            <w:r w:rsidRPr="00202AE5">
              <w:rPr>
                <w:rFonts w:eastAsia="Calibri" w:cs="Times New Roman"/>
                <w:color w:val="auto"/>
              </w:rPr>
              <w:t>. De score is +0.</w:t>
            </w:r>
            <w:r w:rsidR="0027040A">
              <w:rPr>
                <w:rFonts w:eastAsia="Calibri" w:cs="Times New Roman"/>
                <w:color w:val="auto"/>
              </w:rPr>
              <w:t>22.</w:t>
            </w:r>
          </w:p>
          <w:p w:rsidR="00ED09CC" w:rsidP="00EA7F2B" w:rsidRDefault="00ED09CC" w14:paraId="724F2123" w14:textId="77777777">
            <w:pPr>
              <w:spacing w:line="240" w:lineRule="atLeast"/>
              <w:ind w:left="720"/>
              <w:contextualSpacing/>
              <w:rPr>
                <w:rFonts w:eastAsia="Calibri" w:cs="Times New Roman"/>
                <w:color w:val="auto"/>
              </w:rPr>
            </w:pPr>
          </w:p>
          <w:p w:rsidRPr="0027040A" w:rsidR="0027040A" w:rsidP="00680A36" w:rsidRDefault="00EA7F2B" w14:paraId="60B73ED6" w14:textId="77777777">
            <w:pPr>
              <w:numPr>
                <w:ilvl w:val="0"/>
                <w:numId w:val="41"/>
              </w:numPr>
              <w:spacing w:line="240" w:lineRule="atLeast"/>
              <w:contextualSpacing/>
              <w:rPr>
                <w:rFonts w:eastAsia="Calibri" w:cs="Times New Roman"/>
                <w:color w:val="auto"/>
              </w:rPr>
            </w:pPr>
            <w:r>
              <w:rPr>
                <w:rFonts w:eastAsia="Calibri" w:cs="Times New Roman"/>
                <w:color w:val="auto"/>
              </w:rPr>
              <w:t xml:space="preserve">Voor </w:t>
            </w:r>
            <w:r w:rsidR="00511A94">
              <w:rPr>
                <w:rFonts w:eastAsia="Calibri" w:cs="Times New Roman"/>
                <w:color w:val="auto"/>
              </w:rPr>
              <w:t xml:space="preserve">deze variant geldt dat het inkomenseffect wordt gedempt ten opzichte van variant 1A doordat het afschaffen van de 30-jaarstermijn wordt uitgesteld tot 2043. Hierdoor zal de financiële stress die ontstaat door het afschaffen van de HRA lager uitvallen. Dit komt tot uiting in een iets hogere score op de </w:t>
            </w:r>
            <w:proofErr w:type="spellStart"/>
            <w:r w:rsidR="00511A94">
              <w:rPr>
                <w:rFonts w:eastAsia="Calibri" w:cs="Times New Roman"/>
                <w:color w:val="auto"/>
              </w:rPr>
              <w:t>doenvermogensscan</w:t>
            </w:r>
            <w:proofErr w:type="spellEnd"/>
            <w:r w:rsidR="00511A94">
              <w:rPr>
                <w:rFonts w:eastAsia="Calibri" w:cs="Times New Roman"/>
                <w:color w:val="auto"/>
              </w:rPr>
              <w:t xml:space="preserve"> ten opzichte van fiche 1A.</w:t>
            </w:r>
          </w:p>
          <w:p w:rsidR="00690DAD" w:rsidP="00795AE3" w:rsidRDefault="00690DAD" w14:paraId="70F29325" w14:textId="77777777">
            <w:pPr>
              <w:pStyle w:val="Lijstalinea"/>
              <w:spacing w:line="240" w:lineRule="atLeast"/>
            </w:pPr>
          </w:p>
        </w:tc>
      </w:tr>
      <w:tr w:rsidRPr="00690DAD" w:rsidR="00690DAD" w:rsidTr="00BF378C" w14:paraId="029B9CFF" w14:textId="77777777">
        <w:tc>
          <w:tcPr>
            <w:tcW w:w="3850" w:type="dxa"/>
            <w:shd w:val="clear" w:color="auto" w:fill="DAE9F7" w:themeFill="text2" w:themeFillTint="1A"/>
          </w:tcPr>
          <w:p w:rsidRPr="00637B02" w:rsidR="00690DAD" w:rsidP="00BF378C" w:rsidRDefault="00690DAD" w14:paraId="246F0B08" w14:textId="77777777">
            <w:pPr>
              <w:rPr>
                <w:b/>
                <w:bCs/>
              </w:rPr>
            </w:pPr>
            <w:r w:rsidRPr="00637B02">
              <w:rPr>
                <w:b/>
                <w:bCs/>
              </w:rPr>
              <w:t>Uitvoeringsaspecten</w:t>
            </w:r>
          </w:p>
        </w:tc>
        <w:tc>
          <w:tcPr>
            <w:tcW w:w="3851" w:type="dxa"/>
          </w:tcPr>
          <w:p w:rsidRPr="00AF5D24" w:rsidR="00795AE3" w:rsidP="00795AE3" w:rsidRDefault="00795AE3" w14:paraId="5306F617" w14:textId="77777777">
            <w:pPr>
              <w:pStyle w:val="Lijstalinea"/>
              <w:numPr>
                <w:ilvl w:val="0"/>
                <w:numId w:val="32"/>
              </w:numPr>
              <w:spacing w:line="240" w:lineRule="atLeast"/>
              <w:rPr>
                <w:b/>
                <w:bCs/>
              </w:rPr>
            </w:pPr>
            <w:r>
              <w:rPr>
                <w:rFonts w:eastAsia="SymbolMT" w:cs="Verdana"/>
              </w:rPr>
              <w:t xml:space="preserve">Als in fiche 1A, alleen wordt de vaststelling van </w:t>
            </w:r>
            <w:r w:rsidR="008C7641">
              <w:rPr>
                <w:rFonts w:eastAsia="SymbolMT" w:cs="Verdana"/>
              </w:rPr>
              <w:t>het</w:t>
            </w:r>
            <w:r>
              <w:rPr>
                <w:rFonts w:eastAsia="SymbolMT" w:cs="Verdana"/>
              </w:rPr>
              <w:t xml:space="preserve"> box 3-EWL pas van belang per 1-1-2043 en dan zijn alle spaar-</w:t>
            </w:r>
            <w:r w:rsidR="00ED09CC">
              <w:rPr>
                <w:rFonts w:eastAsia="SymbolMT" w:cs="Verdana"/>
              </w:rPr>
              <w:t>,</w:t>
            </w:r>
            <w:r>
              <w:rPr>
                <w:rFonts w:eastAsia="SymbolMT" w:cs="Verdana"/>
              </w:rPr>
              <w:t xml:space="preserve"> beleggings</w:t>
            </w:r>
            <w:r w:rsidR="00ED09CC">
              <w:rPr>
                <w:rFonts w:eastAsia="SymbolMT" w:cs="Verdana"/>
              </w:rPr>
              <w:t>- en leven</w:t>
            </w:r>
            <w:r w:rsidR="007410CA">
              <w:rPr>
                <w:rFonts w:eastAsia="SymbolMT" w:cs="Verdana"/>
              </w:rPr>
              <w:t>s</w:t>
            </w:r>
            <w:r>
              <w:rPr>
                <w:rFonts w:eastAsia="SymbolMT" w:cs="Verdana"/>
              </w:rPr>
              <w:t>hypotheken al beëindigd.</w:t>
            </w:r>
          </w:p>
          <w:p w:rsidR="00795AE3" w:rsidP="00795AE3" w:rsidRDefault="00795AE3" w14:paraId="4D1BB56F" w14:textId="77777777">
            <w:pPr>
              <w:pStyle w:val="Lijstalinea"/>
              <w:spacing w:line="240" w:lineRule="atLeast"/>
              <w:rPr>
                <w:rFonts w:eastAsia="SymbolMT" w:cs="Verdana"/>
              </w:rPr>
            </w:pPr>
          </w:p>
          <w:p w:rsidR="00690DAD" w:rsidP="00795AE3" w:rsidRDefault="00795AE3" w14:paraId="3B0C3E70" w14:textId="77777777">
            <w:pPr>
              <w:pStyle w:val="Lijstalinea"/>
              <w:numPr>
                <w:ilvl w:val="0"/>
                <w:numId w:val="32"/>
              </w:numPr>
              <w:spacing w:line="240" w:lineRule="atLeast"/>
              <w:rPr>
                <w:rFonts w:eastAsia="SymbolMT" w:cs="Verdana"/>
              </w:rPr>
            </w:pPr>
            <w:r>
              <w:rPr>
                <w:rFonts w:eastAsia="SymbolMT" w:cs="Verdana"/>
              </w:rPr>
              <w:t>De maatregel is op z’n vroegst uitvoerbaar per belastingjaar 2030. Een uitvoeringstoets zal moeten uitwijzen wanneer deze wijziging precies uitvoerbaar is omdat dat het ook afhankelijk is van prioritering van andere wetswijzigingen.</w:t>
            </w:r>
          </w:p>
          <w:p w:rsidRPr="00111645" w:rsidR="00690DAD" w:rsidP="00EA7F2B" w:rsidRDefault="00690DAD" w14:paraId="5FC423BB" w14:textId="77777777">
            <w:pPr>
              <w:spacing w:line="240" w:lineRule="atLeast"/>
            </w:pPr>
          </w:p>
        </w:tc>
      </w:tr>
      <w:tr w:rsidR="00690DAD" w:rsidTr="00BF378C" w14:paraId="505C5C45" w14:textId="77777777">
        <w:tc>
          <w:tcPr>
            <w:tcW w:w="3850" w:type="dxa"/>
          </w:tcPr>
          <w:p w:rsidRPr="00637B02" w:rsidR="00690DAD" w:rsidP="00BF378C" w:rsidRDefault="00690DAD" w14:paraId="26E290DF" w14:textId="77777777">
            <w:pPr>
              <w:rPr>
                <w:b/>
                <w:bCs/>
              </w:rPr>
            </w:pPr>
            <w:r w:rsidRPr="00637B02">
              <w:rPr>
                <w:b/>
                <w:bCs/>
              </w:rPr>
              <w:t>Overig</w:t>
            </w:r>
          </w:p>
        </w:tc>
        <w:tc>
          <w:tcPr>
            <w:tcW w:w="3851" w:type="dxa"/>
          </w:tcPr>
          <w:p w:rsidR="00690DAD" w:rsidP="00BF378C" w:rsidRDefault="00795AE3" w14:paraId="5CDC7143" w14:textId="77777777">
            <w:pPr>
              <w:pStyle w:val="Lijstalinea"/>
              <w:numPr>
                <w:ilvl w:val="0"/>
                <w:numId w:val="34"/>
              </w:numPr>
              <w:spacing w:line="256" w:lineRule="auto"/>
            </w:pPr>
            <w:r>
              <w:t>Als in fiche 1A.</w:t>
            </w:r>
          </w:p>
          <w:p w:rsidR="00690DAD" w:rsidP="00EA7F2B" w:rsidRDefault="00690DAD" w14:paraId="0FF1F54E" w14:textId="77777777">
            <w:pPr>
              <w:pStyle w:val="Lijstalinea"/>
              <w:spacing w:line="256" w:lineRule="auto"/>
            </w:pPr>
          </w:p>
        </w:tc>
      </w:tr>
    </w:tbl>
    <w:p w:rsidR="00690DAD" w:rsidP="00FF3304" w:rsidRDefault="00690DAD" w14:paraId="024C9FFB" w14:textId="77777777"/>
    <w:p w:rsidR="008B67D5" w:rsidP="00FF3304" w:rsidRDefault="008B67D5" w14:paraId="50A21CA6" w14:textId="77777777"/>
    <w:p w:rsidR="008B67D5" w:rsidP="00FF3304" w:rsidRDefault="008B67D5" w14:paraId="7631FC8C" w14:textId="77777777"/>
    <w:tbl>
      <w:tblPr>
        <w:tblStyle w:val="Tabelraster"/>
        <w:tblW w:w="0" w:type="auto"/>
        <w:tblInd w:w="0" w:type="dxa"/>
        <w:tblLook w:val="04A0" w:firstRow="1" w:lastRow="0" w:firstColumn="1" w:lastColumn="0" w:noHBand="0" w:noVBand="1"/>
      </w:tblPr>
      <w:tblGrid>
        <w:gridCol w:w="3850"/>
        <w:gridCol w:w="3851"/>
      </w:tblGrid>
      <w:tr w:rsidRPr="00637B02" w:rsidR="00690DAD" w:rsidTr="00BF378C" w14:paraId="3836B688" w14:textId="77777777">
        <w:tc>
          <w:tcPr>
            <w:tcW w:w="7701" w:type="dxa"/>
            <w:gridSpan w:val="2"/>
            <w:shd w:val="clear" w:color="auto" w:fill="A5C9EB" w:themeFill="text2" w:themeFillTint="40"/>
          </w:tcPr>
          <w:p w:rsidRPr="00637B02" w:rsidR="00690DAD" w:rsidP="00BF378C" w:rsidRDefault="00690DAD" w14:paraId="76B27B72" w14:textId="77777777">
            <w:pPr>
              <w:rPr>
                <w:b/>
                <w:bCs/>
              </w:rPr>
            </w:pPr>
            <w:r w:rsidRPr="00637B02">
              <w:rPr>
                <w:b/>
                <w:bCs/>
              </w:rPr>
              <w:t xml:space="preserve">Fiche </w:t>
            </w:r>
            <w:r>
              <w:rPr>
                <w:b/>
                <w:bCs/>
              </w:rPr>
              <w:t>2B</w:t>
            </w:r>
            <w:r w:rsidRPr="00637B02">
              <w:rPr>
                <w:b/>
                <w:bCs/>
              </w:rPr>
              <w:t xml:space="preserve">: </w:t>
            </w:r>
            <w:r w:rsidRPr="004604AF">
              <w:rPr>
                <w:b/>
              </w:rPr>
              <w:t>zoals 2A, maar met uitbreiding voor leningen van na 1-1-2013</w:t>
            </w:r>
          </w:p>
        </w:tc>
      </w:tr>
      <w:tr w:rsidRPr="00637B02" w:rsidR="00690DAD" w:rsidTr="00BF378C" w14:paraId="1C2BC18C" w14:textId="77777777">
        <w:tc>
          <w:tcPr>
            <w:tcW w:w="7701" w:type="dxa"/>
            <w:gridSpan w:val="2"/>
          </w:tcPr>
          <w:p w:rsidR="00690DAD" w:rsidP="00BF378C" w:rsidRDefault="00690DAD" w14:paraId="26054B76" w14:textId="77777777">
            <w:pPr>
              <w:rPr>
                <w:b/>
                <w:bCs/>
              </w:rPr>
            </w:pPr>
            <w:r w:rsidRPr="00637B02">
              <w:rPr>
                <w:b/>
                <w:bCs/>
              </w:rPr>
              <w:t>Omschrijving van de maatregel</w:t>
            </w:r>
          </w:p>
          <w:p w:rsidR="00690DAD" w:rsidP="00BF378C" w:rsidRDefault="00795AE3" w14:paraId="342CAF5B" w14:textId="77777777">
            <w:pPr>
              <w:numPr>
                <w:ilvl w:val="0"/>
                <w:numId w:val="27"/>
              </w:numPr>
              <w:spacing w:after="255" w:line="240" w:lineRule="atLeast"/>
              <w:contextualSpacing/>
            </w:pPr>
            <w:r>
              <w:lastRenderedPageBreak/>
              <w:t>Zoals in fiche 2A.</w:t>
            </w:r>
          </w:p>
          <w:p w:rsidR="007410CA" w:rsidP="00EA7F2B" w:rsidRDefault="007410CA" w14:paraId="31500675" w14:textId="77777777">
            <w:pPr>
              <w:spacing w:after="255" w:line="240" w:lineRule="atLeast"/>
              <w:ind w:left="720"/>
              <w:contextualSpacing/>
            </w:pPr>
          </w:p>
          <w:p w:rsidRPr="00EA7F2B" w:rsidR="00795AE3" w:rsidP="00795AE3" w:rsidRDefault="00795AE3" w14:paraId="66148C85" w14:textId="77777777">
            <w:pPr>
              <w:numPr>
                <w:ilvl w:val="0"/>
                <w:numId w:val="27"/>
              </w:numPr>
              <w:spacing w:after="255" w:line="240" w:lineRule="atLeast"/>
              <w:contextualSpacing/>
              <w:rPr>
                <w:b/>
                <w:bCs/>
              </w:rPr>
            </w:pPr>
            <w:r w:rsidRPr="008E6F1C">
              <w:t xml:space="preserve">Elke nieuwe eigenwoninglening die ten minste annuïtair in ten hoogste 360 maanden wordt afgelost mag (opnieuw) voor </w:t>
            </w:r>
            <w:r>
              <w:t>de volledige looptijd</w:t>
            </w:r>
            <w:r w:rsidRPr="008E6F1C">
              <w:t xml:space="preserve"> in aftrek worden gebracht in box</w:t>
            </w:r>
            <w:r>
              <w:t> </w:t>
            </w:r>
            <w:r w:rsidRPr="008E6F1C">
              <w:t xml:space="preserve">1. Dit geldt ook voor BEWS die die na 2031 </w:t>
            </w:r>
            <w:r>
              <w:t xml:space="preserve">(en 2043) </w:t>
            </w:r>
            <w:r w:rsidRPr="008E6F1C">
              <w:t xml:space="preserve">worden omgezet in een lening die voldoet aan de aflossingseis. De </w:t>
            </w:r>
            <w:r>
              <w:t>uitbreiding naar leningen afgesloten na 2013</w:t>
            </w:r>
            <w:r w:rsidRPr="008E6F1C">
              <w:t xml:space="preserve"> geldt alleen voor nieuwe eigenwoningleningen</w:t>
            </w:r>
            <w:r>
              <w:t>, waaronder over</w:t>
            </w:r>
            <w:r w:rsidR="007410CA">
              <w:t>ge</w:t>
            </w:r>
            <w:r>
              <w:t>sl</w:t>
            </w:r>
            <w:r w:rsidR="007410CA">
              <w:t>o</w:t>
            </w:r>
            <w:r>
              <w:t xml:space="preserve">ten </w:t>
            </w:r>
            <w:r w:rsidR="007410CA">
              <w:t>leningen</w:t>
            </w:r>
            <w:r>
              <w:t xml:space="preserve"> bij verhuizen, </w:t>
            </w:r>
            <w:r w:rsidRPr="008E6F1C">
              <w:t>en niet voor leningen waarbij bestaande aflossingsschema’s worden overgesloten</w:t>
            </w:r>
            <w:r>
              <w:t xml:space="preserve"> zonder verhuizing</w:t>
            </w:r>
            <w:r w:rsidRPr="008E6F1C">
              <w:t xml:space="preserve">. </w:t>
            </w:r>
          </w:p>
          <w:p w:rsidRPr="00795AE3" w:rsidR="00795AE3" w:rsidP="00EA7F2B" w:rsidRDefault="00795AE3" w14:paraId="3D5FB83D" w14:textId="77777777">
            <w:pPr>
              <w:spacing w:after="255" w:line="240" w:lineRule="atLeast"/>
              <w:ind w:left="720"/>
              <w:contextualSpacing/>
              <w:rPr>
                <w:b/>
                <w:bCs/>
              </w:rPr>
            </w:pPr>
          </w:p>
        </w:tc>
      </w:tr>
      <w:tr w:rsidRPr="00637B02" w:rsidR="00690DAD" w:rsidTr="00BF378C" w14:paraId="76DFC3E4" w14:textId="77777777">
        <w:tc>
          <w:tcPr>
            <w:tcW w:w="7701" w:type="dxa"/>
            <w:gridSpan w:val="2"/>
            <w:shd w:val="clear" w:color="auto" w:fill="DAE9F7" w:themeFill="text2" w:themeFillTint="1A"/>
          </w:tcPr>
          <w:p w:rsidR="00690DAD" w:rsidP="00BF378C" w:rsidRDefault="00690DAD" w14:paraId="55ACD2FA" w14:textId="77777777">
            <w:pPr>
              <w:rPr>
                <w:b/>
                <w:bCs/>
              </w:rPr>
            </w:pPr>
            <w:r>
              <w:rPr>
                <w:b/>
                <w:bCs/>
              </w:rPr>
              <w:lastRenderedPageBreak/>
              <w:t>Achtergrond/rationale</w:t>
            </w:r>
          </w:p>
          <w:p w:rsidRPr="00722EE0" w:rsidR="00795AE3" w:rsidP="00795AE3" w:rsidRDefault="00795AE3" w14:paraId="6226A6B9" w14:textId="77777777">
            <w:pPr>
              <w:pStyle w:val="Lijstalinea"/>
              <w:numPr>
                <w:ilvl w:val="0"/>
                <w:numId w:val="27"/>
              </w:numPr>
              <w:autoSpaceDE w:val="0"/>
              <w:adjustRightInd w:val="0"/>
              <w:spacing w:line="240" w:lineRule="atLeast"/>
              <w:rPr>
                <w:b/>
                <w:bCs/>
              </w:rPr>
            </w:pPr>
            <w:r>
              <w:t xml:space="preserve">Net zoals bij fiche 2A </w:t>
            </w:r>
            <w:r w:rsidRPr="002D6176">
              <w:t>zijn er geen groepen huishoudens met aflossingsvrije hypotheken die korter dan 30 jaar HRA kunnen genieten. Daardoor zijn er positieve inkomenseffecten</w:t>
            </w:r>
            <w:r w:rsidR="007410CA">
              <w:t xml:space="preserve"> voor belastingplichtigen met een BEWS</w:t>
            </w:r>
            <w:r w:rsidRPr="002D6176">
              <w:t>.</w:t>
            </w:r>
            <w:r>
              <w:t xml:space="preserve"> </w:t>
            </w:r>
          </w:p>
          <w:p w:rsidRPr="00722EE0" w:rsidR="00795AE3" w:rsidP="00795AE3" w:rsidRDefault="00795AE3" w14:paraId="7FD6E23E" w14:textId="77777777">
            <w:pPr>
              <w:pStyle w:val="Lijstalinea"/>
            </w:pPr>
          </w:p>
          <w:p w:rsidRPr="00EA7F2B" w:rsidR="00690DAD" w:rsidP="00795AE3" w:rsidRDefault="00795AE3" w14:paraId="71B258F6" w14:textId="77777777">
            <w:pPr>
              <w:pStyle w:val="Lijstalinea"/>
              <w:numPr>
                <w:ilvl w:val="0"/>
                <w:numId w:val="27"/>
              </w:numPr>
              <w:autoSpaceDE w:val="0"/>
              <w:adjustRightInd w:val="0"/>
              <w:spacing w:line="240" w:lineRule="atLeast"/>
              <w:rPr>
                <w:b/>
              </w:rPr>
            </w:pPr>
            <w:r>
              <w:t>Door de uitbreiding voor nieuwe eigenwoningleningen</w:t>
            </w:r>
            <w:r w:rsidRPr="00C63123">
              <w:t xml:space="preserve"> is sprake van een sterke complexiteitsreductie voor de gehele eigenwoningregeling</w:t>
            </w:r>
            <w:r>
              <w:t>.</w:t>
            </w:r>
            <w:r w:rsidR="00C63CA7">
              <w:t xml:space="preserve"> </w:t>
            </w:r>
            <w:r w:rsidRPr="000C74EC" w:rsidR="00C63CA7">
              <w:t xml:space="preserve">Ook belastingplichtigen met een lening die is afgesloten na 2013 worden daardoor </w:t>
            </w:r>
            <w:r w:rsidRPr="000C74EC" w:rsidR="009811FC">
              <w:t>tegemoetgekomen</w:t>
            </w:r>
            <w:r w:rsidRPr="000C74EC" w:rsidR="00C63CA7">
              <w:t>.</w:t>
            </w:r>
          </w:p>
          <w:p w:rsidRPr="00544700" w:rsidR="00690DAD" w:rsidP="00EA7F2B" w:rsidRDefault="00690DAD" w14:paraId="620BB9B2" w14:textId="77777777">
            <w:pPr>
              <w:autoSpaceDE w:val="0"/>
              <w:adjustRightInd w:val="0"/>
              <w:spacing w:line="240" w:lineRule="atLeast"/>
              <w:rPr>
                <w:b/>
              </w:rPr>
            </w:pPr>
          </w:p>
        </w:tc>
      </w:tr>
      <w:tr w:rsidRPr="00637B02" w:rsidR="00690DAD" w:rsidTr="00BF378C" w14:paraId="01FA5611" w14:textId="77777777">
        <w:tc>
          <w:tcPr>
            <w:tcW w:w="7701" w:type="dxa"/>
            <w:gridSpan w:val="2"/>
          </w:tcPr>
          <w:p w:rsidRPr="00637B02" w:rsidR="00690DAD" w:rsidP="00BF378C" w:rsidRDefault="00690DAD" w14:paraId="016B070E" w14:textId="77777777">
            <w:pPr>
              <w:rPr>
                <w:b/>
                <w:bCs/>
              </w:rPr>
            </w:pPr>
            <w:r w:rsidRPr="00637B02">
              <w:rPr>
                <w:b/>
                <w:bCs/>
              </w:rPr>
              <w:t>Effecten</w:t>
            </w:r>
          </w:p>
        </w:tc>
      </w:tr>
      <w:tr w:rsidR="00690DAD" w:rsidTr="00BF378C" w14:paraId="2B2EAF37" w14:textId="77777777">
        <w:tc>
          <w:tcPr>
            <w:tcW w:w="3850" w:type="dxa"/>
            <w:shd w:val="clear" w:color="auto" w:fill="DAE9F7" w:themeFill="text2" w:themeFillTint="1A"/>
          </w:tcPr>
          <w:p w:rsidRPr="00637B02" w:rsidR="00690DAD" w:rsidP="00BF378C" w:rsidRDefault="00690DAD" w14:paraId="7BC48392" w14:textId="77777777">
            <w:pPr>
              <w:rPr>
                <w:b/>
                <w:bCs/>
              </w:rPr>
            </w:pPr>
            <w:r w:rsidRPr="00637B02">
              <w:rPr>
                <w:b/>
                <w:bCs/>
              </w:rPr>
              <w:t>(Macro)economische gevolgen</w:t>
            </w:r>
          </w:p>
        </w:tc>
        <w:tc>
          <w:tcPr>
            <w:tcW w:w="3851" w:type="dxa"/>
          </w:tcPr>
          <w:p w:rsidRPr="00736D6C" w:rsidR="00795AE3" w:rsidP="00795AE3" w:rsidRDefault="00795AE3" w14:paraId="3CF8629F" w14:textId="77777777">
            <w:pPr>
              <w:pStyle w:val="Lijstalinea"/>
              <w:numPr>
                <w:ilvl w:val="0"/>
                <w:numId w:val="41"/>
              </w:numPr>
              <w:spacing w:line="240" w:lineRule="auto"/>
              <w:rPr>
                <w:rFonts w:cs="Verdana"/>
              </w:rPr>
            </w:pPr>
            <w:r w:rsidRPr="00736D6C">
              <w:t>Als in fiche 2A. Daarnaast kan deze uitbreiding de prikkel om te verhuizen vergroten. Dit werkt positief door op de doorstroom op de woningmarkt.</w:t>
            </w:r>
          </w:p>
          <w:p w:rsidRPr="00736D6C" w:rsidR="007410CA" w:rsidP="00EA7F2B" w:rsidRDefault="007410CA" w14:paraId="1FEC528B" w14:textId="77777777">
            <w:pPr>
              <w:pStyle w:val="Lijstalinea"/>
              <w:spacing w:line="240" w:lineRule="auto"/>
              <w:rPr>
                <w:rFonts w:cs="Verdana"/>
              </w:rPr>
            </w:pPr>
          </w:p>
          <w:p w:rsidRPr="007410CA" w:rsidR="00690DAD" w:rsidP="00795AE3" w:rsidRDefault="00007281" w14:paraId="48275DBC" w14:textId="77777777">
            <w:pPr>
              <w:pStyle w:val="Lijstalinea"/>
              <w:numPr>
                <w:ilvl w:val="0"/>
                <w:numId w:val="28"/>
              </w:numPr>
            </w:pPr>
            <w:r>
              <w:t>De prikkel om hoge hypotheekschulden aan te gaan wordt groter doordat de looptijd van 30 jaar opnieuw gaat lopen bij verhuizen.</w:t>
            </w:r>
            <w:r w:rsidRPr="00007281">
              <w:rPr>
                <w:rFonts w:cs="Verdana"/>
              </w:rPr>
              <w:t xml:space="preserve"> Dit kan leiden tot een grotere schuldpositie van huishoudens. Dat is niet wenselijk.</w:t>
            </w:r>
          </w:p>
          <w:p w:rsidR="00690DAD" w:rsidP="00EA7F2B" w:rsidRDefault="00690DAD" w14:paraId="2943DAD4" w14:textId="77777777">
            <w:pPr>
              <w:pStyle w:val="Lijstalinea"/>
            </w:pPr>
          </w:p>
        </w:tc>
      </w:tr>
      <w:tr w:rsidR="00690DAD" w:rsidTr="00BF378C" w14:paraId="60EABCD5" w14:textId="77777777">
        <w:tc>
          <w:tcPr>
            <w:tcW w:w="3850" w:type="dxa"/>
          </w:tcPr>
          <w:p w:rsidRPr="00637B02" w:rsidR="00690DAD" w:rsidP="00BF378C" w:rsidRDefault="00690DAD" w14:paraId="39048D4C" w14:textId="77777777">
            <w:pPr>
              <w:rPr>
                <w:b/>
                <w:bCs/>
              </w:rPr>
            </w:pPr>
            <w:r w:rsidRPr="00637B02">
              <w:rPr>
                <w:b/>
                <w:bCs/>
              </w:rPr>
              <w:t>Inkomenseffecten</w:t>
            </w:r>
          </w:p>
        </w:tc>
        <w:tc>
          <w:tcPr>
            <w:tcW w:w="3851" w:type="dxa"/>
          </w:tcPr>
          <w:p w:rsidR="00690DAD" w:rsidP="00795AE3" w:rsidRDefault="00795AE3" w14:paraId="7EAD7EE9" w14:textId="77777777">
            <w:pPr>
              <w:pStyle w:val="Lijstalinea"/>
              <w:numPr>
                <w:ilvl w:val="0"/>
                <w:numId w:val="28"/>
              </w:numPr>
              <w:tabs>
                <w:tab w:val="left" w:pos="1920"/>
              </w:tabs>
            </w:pPr>
            <w:r>
              <w:t>Als in 2A.</w:t>
            </w:r>
          </w:p>
        </w:tc>
      </w:tr>
      <w:tr w:rsidR="00690DAD" w:rsidTr="00BF378C" w14:paraId="3488EA1A" w14:textId="77777777">
        <w:tc>
          <w:tcPr>
            <w:tcW w:w="3850" w:type="dxa"/>
            <w:shd w:val="clear" w:color="auto" w:fill="DAE9F7" w:themeFill="text2" w:themeFillTint="1A"/>
          </w:tcPr>
          <w:p w:rsidRPr="00637B02" w:rsidR="00690DAD" w:rsidP="00BF378C" w:rsidRDefault="00690DAD" w14:paraId="285B31E3" w14:textId="77777777">
            <w:pPr>
              <w:rPr>
                <w:b/>
                <w:bCs/>
              </w:rPr>
            </w:pPr>
            <w:r w:rsidRPr="00637B02">
              <w:rPr>
                <w:b/>
                <w:bCs/>
              </w:rPr>
              <w:t>Budgettair</w:t>
            </w:r>
          </w:p>
        </w:tc>
        <w:tc>
          <w:tcPr>
            <w:tcW w:w="3851" w:type="dxa"/>
          </w:tcPr>
          <w:p w:rsidR="00690DAD" w:rsidP="00795AE3" w:rsidRDefault="00795AE3" w14:paraId="4D95AAA1" w14:textId="77777777">
            <w:pPr>
              <w:pStyle w:val="Lijstalinea"/>
              <w:numPr>
                <w:ilvl w:val="0"/>
                <w:numId w:val="28"/>
              </w:numPr>
            </w:pPr>
            <w:r w:rsidRPr="00A05AEC">
              <w:t xml:space="preserve">De budgettaire effecten ten aanzien van belastingplichtigen met BEWS zijn vergelijkbaar met fiche </w:t>
            </w:r>
            <w:r>
              <w:t>2A</w:t>
            </w:r>
            <w:r w:rsidRPr="00A05AEC">
              <w:t xml:space="preserve">. </w:t>
            </w:r>
            <w:r>
              <w:t>De</w:t>
            </w:r>
            <w:r w:rsidRPr="00AB2EC3">
              <w:t xml:space="preserve"> </w:t>
            </w:r>
            <w:r>
              <w:t>verruiming van de regeling voor alle eigenwoningleningen leidt wel tot een aanvullende, structurele budgettaire derving. Er is nader onderzoek nodig om de orde grootte van deze aanvullende, substantiële, structurele derving in kaart te brengen.</w:t>
            </w:r>
          </w:p>
          <w:p w:rsidR="00690DAD" w:rsidP="00EA7F2B" w:rsidRDefault="00690DAD" w14:paraId="01BFC22D" w14:textId="77777777">
            <w:pPr>
              <w:pStyle w:val="Lijstalinea"/>
            </w:pPr>
          </w:p>
        </w:tc>
      </w:tr>
      <w:tr w:rsidR="00690DAD" w:rsidTr="00BF378C" w14:paraId="32B11581" w14:textId="77777777">
        <w:tc>
          <w:tcPr>
            <w:tcW w:w="3850" w:type="dxa"/>
          </w:tcPr>
          <w:p w:rsidRPr="00637B02" w:rsidR="00690DAD" w:rsidP="00BF378C" w:rsidRDefault="00690DAD" w14:paraId="0389B24E" w14:textId="77777777">
            <w:pPr>
              <w:rPr>
                <w:b/>
                <w:bCs/>
              </w:rPr>
            </w:pPr>
            <w:proofErr w:type="spellStart"/>
            <w:r w:rsidRPr="00637B02">
              <w:rPr>
                <w:b/>
                <w:bCs/>
              </w:rPr>
              <w:t>Doenvermogen</w:t>
            </w:r>
            <w:proofErr w:type="spellEnd"/>
            <w:r w:rsidRPr="00637B02">
              <w:rPr>
                <w:b/>
                <w:bCs/>
              </w:rPr>
              <w:t xml:space="preserve"> en administratieve lasten</w:t>
            </w:r>
          </w:p>
        </w:tc>
        <w:tc>
          <w:tcPr>
            <w:tcW w:w="3851" w:type="dxa"/>
          </w:tcPr>
          <w:p w:rsidRPr="00EA7F2B" w:rsidR="00EA7F2B" w:rsidP="00EA7F2B" w:rsidRDefault="00EA7F2B" w14:paraId="548A100F" w14:textId="77777777">
            <w:pPr>
              <w:pStyle w:val="Lijstalinea"/>
              <w:numPr>
                <w:ilvl w:val="0"/>
                <w:numId w:val="28"/>
              </w:numPr>
              <w:spacing w:line="240" w:lineRule="atLeast"/>
              <w:rPr>
                <w:rFonts w:eastAsia="Calibri" w:cs="Times New Roman"/>
                <w:color w:val="auto"/>
              </w:rPr>
            </w:pPr>
            <w:r>
              <w:rPr>
                <w:rFonts w:eastAsia="Calibri" w:cs="Times New Roman"/>
                <w:color w:val="auto"/>
              </w:rPr>
              <w:t>Als in fiche 2A.</w:t>
            </w:r>
          </w:p>
          <w:p w:rsidRPr="00EA7F2B" w:rsidR="00795AE3" w:rsidP="00EA7F2B" w:rsidRDefault="00EA7F2B" w14:paraId="4F96F25B" w14:textId="77777777">
            <w:pPr>
              <w:pStyle w:val="Lijstalinea"/>
              <w:numPr>
                <w:ilvl w:val="0"/>
                <w:numId w:val="28"/>
              </w:numPr>
              <w:spacing w:line="240" w:lineRule="atLeast"/>
              <w:rPr>
                <w:rFonts w:eastAsia="Calibri" w:cs="Times New Roman"/>
                <w:color w:val="auto"/>
              </w:rPr>
            </w:pPr>
            <w:r w:rsidRPr="00EA7F2B">
              <w:t xml:space="preserve">Voor belastingplichtigen die na 1 januari 2013 een lening hebben </w:t>
            </w:r>
            <w:r w:rsidRPr="00EA7F2B">
              <w:lastRenderedPageBreak/>
              <w:t>afgesloten geldt een vereenvoudiging bij verhuizing</w:t>
            </w:r>
            <w:r w:rsidR="00781FEA">
              <w:t>.</w:t>
            </w:r>
          </w:p>
          <w:p w:rsidRPr="00795AE3" w:rsidR="00795AE3" w:rsidP="00795AE3" w:rsidRDefault="00795AE3" w14:paraId="6CDC5DE7" w14:textId="77777777">
            <w:pPr>
              <w:spacing w:line="240" w:lineRule="atLeast"/>
              <w:ind w:left="720"/>
              <w:contextualSpacing/>
              <w:rPr>
                <w:rFonts w:eastAsia="Calibri" w:cs="Times New Roman"/>
                <w:color w:val="auto"/>
              </w:rPr>
            </w:pPr>
          </w:p>
          <w:p w:rsidRPr="00795AE3" w:rsidR="00795AE3" w:rsidP="00795AE3" w:rsidRDefault="00795AE3" w14:paraId="5D0B66BF" w14:textId="77777777">
            <w:pPr>
              <w:numPr>
                <w:ilvl w:val="0"/>
                <w:numId w:val="41"/>
              </w:numPr>
              <w:spacing w:line="240" w:lineRule="atLeast"/>
              <w:contextualSpacing/>
              <w:rPr>
                <w:rFonts w:eastAsia="Calibri" w:cs="Times New Roman"/>
                <w:color w:val="auto"/>
              </w:rPr>
            </w:pPr>
            <w:r w:rsidRPr="00795AE3">
              <w:rPr>
                <w:rFonts w:eastAsia="Calibri" w:cs="Times New Roman"/>
                <w:color w:val="auto"/>
              </w:rPr>
              <w:t xml:space="preserve">Uit de </w:t>
            </w:r>
            <w:proofErr w:type="spellStart"/>
            <w:r w:rsidRPr="00795AE3">
              <w:rPr>
                <w:rFonts w:eastAsia="Calibri" w:cs="Times New Roman"/>
                <w:color w:val="auto"/>
              </w:rPr>
              <w:t>doenvermogensscan</w:t>
            </w:r>
            <w:proofErr w:type="spellEnd"/>
            <w:r w:rsidRPr="00795AE3">
              <w:rPr>
                <w:rFonts w:eastAsia="Calibri" w:cs="Times New Roman"/>
                <w:color w:val="auto"/>
              </w:rPr>
              <w:t xml:space="preserve"> volgt dat het </w:t>
            </w:r>
            <w:proofErr w:type="spellStart"/>
            <w:r w:rsidRPr="00795AE3">
              <w:rPr>
                <w:rFonts w:eastAsia="Calibri" w:cs="Times New Roman"/>
                <w:color w:val="auto"/>
              </w:rPr>
              <w:t>doenvermogen</w:t>
            </w:r>
            <w:proofErr w:type="spellEnd"/>
            <w:r w:rsidRPr="00795AE3">
              <w:rPr>
                <w:rFonts w:eastAsia="Calibri" w:cs="Times New Roman"/>
                <w:color w:val="auto"/>
              </w:rPr>
              <w:t xml:space="preserve"> verbetert ten opzichte van het </w:t>
            </w:r>
            <w:proofErr w:type="spellStart"/>
            <w:r w:rsidRPr="00795AE3">
              <w:rPr>
                <w:rFonts w:eastAsia="Calibri" w:cs="Times New Roman"/>
                <w:color w:val="auto"/>
              </w:rPr>
              <w:t>basispad</w:t>
            </w:r>
            <w:proofErr w:type="spellEnd"/>
            <w:r w:rsidRPr="00795AE3">
              <w:rPr>
                <w:rFonts w:eastAsia="Calibri" w:cs="Times New Roman"/>
                <w:color w:val="auto"/>
              </w:rPr>
              <w:t>. De score is +0.</w:t>
            </w:r>
            <w:r w:rsidR="0027040A">
              <w:rPr>
                <w:rFonts w:eastAsia="Calibri" w:cs="Times New Roman"/>
                <w:color w:val="auto"/>
              </w:rPr>
              <w:t>22</w:t>
            </w:r>
            <w:r w:rsidRPr="00795AE3">
              <w:rPr>
                <w:rFonts w:eastAsia="Calibri" w:cs="Times New Roman"/>
                <w:color w:val="auto"/>
              </w:rPr>
              <w:t>.</w:t>
            </w:r>
          </w:p>
          <w:p w:rsidR="00690DAD" w:rsidP="00795AE3" w:rsidRDefault="00690DAD" w14:paraId="197182BC" w14:textId="77777777">
            <w:pPr>
              <w:spacing w:line="240" w:lineRule="atLeast"/>
              <w:ind w:left="360"/>
            </w:pPr>
          </w:p>
        </w:tc>
      </w:tr>
      <w:tr w:rsidRPr="00690DAD" w:rsidR="00690DAD" w:rsidTr="00BF378C" w14:paraId="3697ED9D" w14:textId="77777777">
        <w:tc>
          <w:tcPr>
            <w:tcW w:w="3850" w:type="dxa"/>
            <w:shd w:val="clear" w:color="auto" w:fill="DAE9F7" w:themeFill="text2" w:themeFillTint="1A"/>
          </w:tcPr>
          <w:p w:rsidRPr="00637B02" w:rsidR="00690DAD" w:rsidP="00BF378C" w:rsidRDefault="00690DAD" w14:paraId="4E92B9F9" w14:textId="77777777">
            <w:pPr>
              <w:rPr>
                <w:b/>
                <w:bCs/>
              </w:rPr>
            </w:pPr>
            <w:r w:rsidRPr="00637B02">
              <w:rPr>
                <w:b/>
                <w:bCs/>
              </w:rPr>
              <w:lastRenderedPageBreak/>
              <w:t>Uitvoeringsaspecten</w:t>
            </w:r>
          </w:p>
        </w:tc>
        <w:tc>
          <w:tcPr>
            <w:tcW w:w="3851" w:type="dxa"/>
          </w:tcPr>
          <w:p w:rsidRPr="001F4FE4" w:rsidR="006043C0" w:rsidP="006043C0" w:rsidRDefault="006043C0" w14:paraId="6DF56391" w14:textId="77777777">
            <w:pPr>
              <w:pStyle w:val="Lijstalinea"/>
              <w:numPr>
                <w:ilvl w:val="0"/>
                <w:numId w:val="32"/>
              </w:numPr>
              <w:spacing w:line="240" w:lineRule="atLeast"/>
              <w:rPr>
                <w:rFonts w:eastAsia="SymbolMT" w:cs="Verdana"/>
                <w:i/>
                <w:iCs/>
              </w:rPr>
            </w:pPr>
            <w:r>
              <w:rPr>
                <w:rFonts w:eastAsia="SymbolMT" w:cs="Verdana"/>
              </w:rPr>
              <w:t>Als in fiche 2A. Daarnaast zorgt de uitbreiding voor leningen afgesloten na 1-1-</w:t>
            </w:r>
            <w:r w:rsidR="00A73821">
              <w:rPr>
                <w:rFonts w:eastAsia="SymbolMT" w:cs="Verdana"/>
              </w:rPr>
              <w:t>2013 voor</w:t>
            </w:r>
            <w:r>
              <w:rPr>
                <w:rFonts w:eastAsia="SymbolMT" w:cs="Verdana"/>
              </w:rPr>
              <w:t xml:space="preserve"> een verlichting in de uitvoering. De handhaving en controle wordt eenvoudiger omdat bij verhuizen automatisch een nieuwe termijn van 30 jaar aanvangt. Waardoor alleen de lopende leningsovereenkomst relevant is.</w:t>
            </w:r>
          </w:p>
          <w:p w:rsidR="006043C0" w:rsidP="006043C0" w:rsidRDefault="006043C0" w14:paraId="79F990E8" w14:textId="77777777">
            <w:pPr>
              <w:pStyle w:val="Lijstalinea"/>
              <w:spacing w:line="240" w:lineRule="atLeast"/>
              <w:rPr>
                <w:rFonts w:eastAsia="SymbolMT" w:cs="Verdana"/>
              </w:rPr>
            </w:pPr>
          </w:p>
          <w:p w:rsidR="00690DAD" w:rsidP="006043C0" w:rsidRDefault="006043C0" w14:paraId="76390F63" w14:textId="77777777">
            <w:pPr>
              <w:pStyle w:val="Lijstalinea"/>
              <w:numPr>
                <w:ilvl w:val="0"/>
                <w:numId w:val="32"/>
              </w:numPr>
              <w:spacing w:line="240" w:lineRule="atLeast"/>
              <w:rPr>
                <w:rFonts w:eastAsia="SymbolMT" w:cs="Verdana"/>
              </w:rPr>
            </w:pPr>
            <w:r>
              <w:rPr>
                <w:rFonts w:eastAsia="SymbolMT" w:cs="Verdana"/>
              </w:rPr>
              <w:t xml:space="preserve">De maatregel is op z’n vroegst uitvoerbaar per belastingjaar 2030. Een </w:t>
            </w:r>
            <w:r w:rsidR="00A73821">
              <w:rPr>
                <w:rFonts w:eastAsia="SymbolMT" w:cs="Verdana"/>
              </w:rPr>
              <w:t>Uitvoeringstoets</w:t>
            </w:r>
            <w:r>
              <w:rPr>
                <w:rFonts w:eastAsia="SymbolMT" w:cs="Verdana"/>
              </w:rPr>
              <w:t xml:space="preserve"> zal moeten uitwijzen wanneer deze wijziging precies uitvoerbaar is omdat dat het ook afhankelijk is van prioritering van andere wetswijzigingen.</w:t>
            </w:r>
          </w:p>
          <w:p w:rsidRPr="00111645" w:rsidR="00690DAD" w:rsidP="00EA7F2B" w:rsidRDefault="00690DAD" w14:paraId="06103397" w14:textId="77777777">
            <w:pPr>
              <w:spacing w:line="240" w:lineRule="atLeast"/>
            </w:pPr>
          </w:p>
        </w:tc>
      </w:tr>
      <w:tr w:rsidR="00690DAD" w:rsidTr="00BF378C" w14:paraId="6518F96F" w14:textId="77777777">
        <w:tc>
          <w:tcPr>
            <w:tcW w:w="3850" w:type="dxa"/>
          </w:tcPr>
          <w:p w:rsidRPr="00637B02" w:rsidR="00690DAD" w:rsidP="00BF378C" w:rsidRDefault="00690DAD" w14:paraId="7D837DFE" w14:textId="77777777">
            <w:pPr>
              <w:rPr>
                <w:b/>
                <w:bCs/>
              </w:rPr>
            </w:pPr>
            <w:r w:rsidRPr="00637B02">
              <w:rPr>
                <w:b/>
                <w:bCs/>
              </w:rPr>
              <w:t>Overig</w:t>
            </w:r>
          </w:p>
        </w:tc>
        <w:tc>
          <w:tcPr>
            <w:tcW w:w="3851" w:type="dxa"/>
          </w:tcPr>
          <w:p w:rsidR="0063381F" w:rsidP="00BF378C" w:rsidRDefault="006043C0" w14:paraId="388570EF" w14:textId="77777777">
            <w:pPr>
              <w:pStyle w:val="Lijstalinea"/>
              <w:numPr>
                <w:ilvl w:val="0"/>
                <w:numId w:val="34"/>
              </w:numPr>
              <w:spacing w:line="256" w:lineRule="auto"/>
            </w:pPr>
            <w:r>
              <w:t xml:space="preserve">Deze maatregel vormt een uitbreiding op het recht op HRA. </w:t>
            </w:r>
          </w:p>
          <w:p w:rsidR="0063381F" w:rsidP="00236E4A" w:rsidRDefault="0063381F" w14:paraId="724A5DCF" w14:textId="77777777">
            <w:pPr>
              <w:spacing w:line="256" w:lineRule="auto"/>
            </w:pPr>
          </w:p>
          <w:p w:rsidR="00690DAD" w:rsidP="00236E4A" w:rsidRDefault="006043C0" w14:paraId="29FDB800" w14:textId="77777777">
            <w:pPr>
              <w:pStyle w:val="Lijstalinea"/>
              <w:numPr>
                <w:ilvl w:val="0"/>
                <w:numId w:val="34"/>
              </w:numPr>
              <w:spacing w:line="256" w:lineRule="auto"/>
            </w:pPr>
            <w:r>
              <w:t>Daarmee wordt de fiscale subsidiëring op de eigen woning vergroot. Daarnaast verzwakt het de prikkel om af te lossen op de eigenwoningschuld, dit gaat tegen de doelstelling van de 30-jaarstermijn en de aflossingseis in.</w:t>
            </w:r>
          </w:p>
          <w:p w:rsidR="00690DAD" w:rsidP="00EA7F2B" w:rsidRDefault="00690DAD" w14:paraId="05889DC3" w14:textId="77777777">
            <w:pPr>
              <w:spacing w:line="256" w:lineRule="auto"/>
            </w:pPr>
          </w:p>
        </w:tc>
      </w:tr>
    </w:tbl>
    <w:p w:rsidR="00690DAD" w:rsidP="00FF3304" w:rsidRDefault="00690DAD" w14:paraId="0A260EFD" w14:textId="77777777"/>
    <w:tbl>
      <w:tblPr>
        <w:tblStyle w:val="Tabelraster"/>
        <w:tblW w:w="0" w:type="auto"/>
        <w:tblInd w:w="0" w:type="dxa"/>
        <w:tblLook w:val="04A0" w:firstRow="1" w:lastRow="0" w:firstColumn="1" w:lastColumn="0" w:noHBand="0" w:noVBand="1"/>
      </w:tblPr>
      <w:tblGrid>
        <w:gridCol w:w="3059"/>
        <w:gridCol w:w="4642"/>
      </w:tblGrid>
      <w:tr w:rsidRPr="00637B02" w:rsidR="00690DAD" w:rsidTr="00BF378C" w14:paraId="02798957" w14:textId="77777777">
        <w:tc>
          <w:tcPr>
            <w:tcW w:w="7701" w:type="dxa"/>
            <w:gridSpan w:val="2"/>
            <w:shd w:val="clear" w:color="auto" w:fill="A5C9EB" w:themeFill="text2" w:themeFillTint="40"/>
          </w:tcPr>
          <w:p w:rsidRPr="00637B02" w:rsidR="00690DAD" w:rsidP="00BF378C" w:rsidRDefault="00690DAD" w14:paraId="7119B675" w14:textId="77777777">
            <w:pPr>
              <w:rPr>
                <w:b/>
                <w:bCs/>
              </w:rPr>
            </w:pPr>
            <w:r w:rsidRPr="00637B02">
              <w:rPr>
                <w:b/>
                <w:bCs/>
              </w:rPr>
              <w:t xml:space="preserve">Fiche </w:t>
            </w:r>
            <w:r>
              <w:rPr>
                <w:b/>
                <w:bCs/>
              </w:rPr>
              <w:t>3</w:t>
            </w:r>
            <w:r w:rsidRPr="00637B02">
              <w:rPr>
                <w:b/>
                <w:bCs/>
              </w:rPr>
              <w:t xml:space="preserve">: </w:t>
            </w:r>
            <w:r w:rsidRPr="004604AF">
              <w:rPr>
                <w:b/>
              </w:rPr>
              <w:t>fiche 1A, maar met geleidelijke afbouw HRA voor BEWS vanaf 2031</w:t>
            </w:r>
          </w:p>
        </w:tc>
      </w:tr>
      <w:tr w:rsidRPr="00637B02" w:rsidR="00690DAD" w:rsidTr="00BF378C" w14:paraId="1BB3D7BE" w14:textId="77777777">
        <w:tc>
          <w:tcPr>
            <w:tcW w:w="7701" w:type="dxa"/>
            <w:gridSpan w:val="2"/>
          </w:tcPr>
          <w:p w:rsidRPr="00EB4148" w:rsidR="00690DAD" w:rsidP="00BF378C" w:rsidRDefault="00690DAD" w14:paraId="0B967233" w14:textId="77777777">
            <w:pPr>
              <w:rPr>
                <w:b/>
                <w:bCs/>
              </w:rPr>
            </w:pPr>
            <w:r w:rsidRPr="00EB4148">
              <w:rPr>
                <w:b/>
                <w:bCs/>
              </w:rPr>
              <w:t>Omschrijving van de maatregel</w:t>
            </w:r>
          </w:p>
          <w:p w:rsidRPr="00EA7F2B" w:rsidR="007410CA" w:rsidP="00BF378C" w:rsidRDefault="006043C0" w14:paraId="25A7CCB9" w14:textId="77777777">
            <w:pPr>
              <w:numPr>
                <w:ilvl w:val="0"/>
                <w:numId w:val="27"/>
              </w:numPr>
              <w:spacing w:after="255" w:line="240" w:lineRule="atLeast"/>
              <w:contextualSpacing/>
            </w:pPr>
            <w:r w:rsidRPr="00EB4148">
              <w:rPr>
                <w:rFonts w:eastAsia="Calibri" w:cs="Times New Roman"/>
                <w:color w:val="auto"/>
                <w:kern w:val="2"/>
                <w:lang w:eastAsia="en-US"/>
                <w14:ligatures w14:val="standardContextual"/>
              </w:rPr>
              <w:t>Als in fiche 1A, maar met een generieke overgangsbepaling die geldt voor alle BEWS</w:t>
            </w:r>
            <w:r w:rsidR="00C63CA7">
              <w:rPr>
                <w:rFonts w:eastAsia="Calibri" w:cs="Times New Roman"/>
                <w:color w:val="auto"/>
                <w:kern w:val="2"/>
                <w:lang w:eastAsia="en-US"/>
                <w14:ligatures w14:val="standardContextual"/>
              </w:rPr>
              <w:t>.</w:t>
            </w:r>
            <w:r w:rsidRPr="00EB4148">
              <w:rPr>
                <w:rFonts w:eastAsia="Calibri" w:cs="Times New Roman"/>
                <w:color w:val="auto"/>
                <w:kern w:val="2"/>
                <w:lang w:eastAsia="en-US"/>
                <w14:ligatures w14:val="standardContextual"/>
              </w:rPr>
              <w:t xml:space="preserve"> </w:t>
            </w:r>
          </w:p>
          <w:p w:rsidRPr="00EA7F2B" w:rsidR="007410CA" w:rsidP="00EA7F2B" w:rsidRDefault="007410CA" w14:paraId="31659689" w14:textId="77777777">
            <w:pPr>
              <w:spacing w:after="255" w:line="240" w:lineRule="atLeast"/>
              <w:ind w:left="720"/>
              <w:contextualSpacing/>
            </w:pPr>
          </w:p>
          <w:p w:rsidRPr="00EA7F2B" w:rsidR="006043C0" w:rsidP="00BF378C" w:rsidRDefault="006043C0" w14:paraId="214CDF59" w14:textId="77777777">
            <w:pPr>
              <w:numPr>
                <w:ilvl w:val="0"/>
                <w:numId w:val="27"/>
              </w:numPr>
              <w:spacing w:after="255" w:line="240" w:lineRule="atLeast"/>
              <w:contextualSpacing/>
            </w:pPr>
            <w:r w:rsidRPr="00EB4148">
              <w:rPr>
                <w:b/>
                <w:bCs/>
              </w:rPr>
              <w:t>Overgangsregeling:</w:t>
            </w:r>
            <w:r w:rsidRPr="00EB4148">
              <w:t xml:space="preserve"> </w:t>
            </w:r>
            <w:r w:rsidRPr="00EB4148">
              <w:rPr>
                <w:rFonts w:eastAsia="Calibri" w:cs="Times New Roman"/>
                <w:color w:val="auto"/>
                <w:kern w:val="2"/>
                <w:lang w:eastAsia="en-US"/>
                <w14:ligatures w14:val="standardContextual"/>
              </w:rPr>
              <w:t>De hypotheekrente die betaald wordt ten aanzien van een BEWS</w:t>
            </w:r>
            <w:r w:rsidRPr="00EB4148">
              <w:rPr>
                <w:rFonts w:eastAsia="Calibri" w:cs="Times New Roman"/>
                <w:color w:val="auto"/>
                <w:kern w:val="2"/>
                <w:vertAlign w:val="superscript"/>
                <w:lang w:eastAsia="en-US"/>
                <w14:ligatures w14:val="standardContextual"/>
              </w:rPr>
              <w:footnoteReference w:id="57"/>
            </w:r>
            <w:r w:rsidRPr="00EB4148">
              <w:rPr>
                <w:rFonts w:eastAsia="Calibri" w:cs="Times New Roman"/>
                <w:color w:val="auto"/>
                <w:kern w:val="2"/>
                <w:lang w:eastAsia="en-US"/>
                <w14:ligatures w14:val="standardContextual"/>
              </w:rPr>
              <w:t xml:space="preserve"> </w:t>
            </w:r>
            <w:r w:rsidRPr="00EB4148" w:rsidR="001068DF">
              <w:rPr>
                <w:rFonts w:eastAsia="Calibri" w:cs="Times New Roman"/>
                <w:color w:val="auto"/>
                <w:kern w:val="2"/>
                <w:lang w:eastAsia="en-US"/>
                <w14:ligatures w14:val="standardContextual"/>
              </w:rPr>
              <w:t>wordt</w:t>
            </w:r>
            <w:r w:rsidRPr="00EB4148">
              <w:rPr>
                <w:rFonts w:eastAsia="Calibri" w:cs="Times New Roman"/>
                <w:color w:val="auto"/>
                <w:kern w:val="2"/>
                <w:lang w:eastAsia="en-US"/>
                <w14:ligatures w14:val="standardContextual"/>
              </w:rPr>
              <w:t xml:space="preserve"> vanaf 2031 met een grondslagversmalling jaarlijks afgebouwd met 5%-punt per jaar tot 40% van de grondslag in 2042. De lening gaat op 1 januari 2043 alsnog over naar box 3 en komt daarna nooit </w:t>
            </w:r>
            <w:r w:rsidRPr="00EB4148">
              <w:rPr>
                <w:rFonts w:eastAsia="Calibri" w:cs="Times New Roman"/>
                <w:color w:val="auto"/>
                <w:kern w:val="2"/>
                <w:lang w:eastAsia="en-US"/>
                <w14:ligatures w14:val="standardContextual"/>
              </w:rPr>
              <w:lastRenderedPageBreak/>
              <w:t>meer voor renteaftrek in box 1 in aanmerking (box 3-EWL). Dit geldt óók voor BEWS die zijn omgezet in een aflossende lening.</w:t>
            </w:r>
            <w:r w:rsidRPr="006043C0">
              <w:rPr>
                <w:rFonts w:ascii="Calibri" w:hAnsi="Calibri" w:eastAsia="Calibri" w:cs="Times New Roman"/>
                <w:color w:val="auto"/>
                <w:kern w:val="2"/>
                <w:sz w:val="22"/>
                <w:szCs w:val="22"/>
                <w:lang w:eastAsia="en-US"/>
                <w14:ligatures w14:val="standardContextual"/>
              </w:rPr>
              <w:t xml:space="preserve"> </w:t>
            </w:r>
          </w:p>
          <w:p w:rsidRPr="00637B02" w:rsidR="006043C0" w:rsidP="00EA7F2B" w:rsidRDefault="006043C0" w14:paraId="1D2125CC" w14:textId="77777777">
            <w:pPr>
              <w:spacing w:after="255" w:line="240" w:lineRule="atLeast"/>
              <w:contextualSpacing/>
            </w:pPr>
          </w:p>
        </w:tc>
      </w:tr>
      <w:tr w:rsidRPr="00637B02" w:rsidR="00690DAD" w:rsidTr="00BF378C" w14:paraId="1A659707" w14:textId="77777777">
        <w:tc>
          <w:tcPr>
            <w:tcW w:w="7701" w:type="dxa"/>
            <w:gridSpan w:val="2"/>
            <w:shd w:val="clear" w:color="auto" w:fill="DAE9F7" w:themeFill="text2" w:themeFillTint="1A"/>
          </w:tcPr>
          <w:p w:rsidR="00690DAD" w:rsidP="00BF378C" w:rsidRDefault="00690DAD" w14:paraId="5D6860F0" w14:textId="77777777">
            <w:pPr>
              <w:rPr>
                <w:b/>
                <w:bCs/>
              </w:rPr>
            </w:pPr>
            <w:r>
              <w:rPr>
                <w:b/>
                <w:bCs/>
              </w:rPr>
              <w:lastRenderedPageBreak/>
              <w:t>Achtergrond/rationale</w:t>
            </w:r>
          </w:p>
          <w:p w:rsidR="007410CA" w:rsidRDefault="001068DF" w14:paraId="085BAF45" w14:textId="77777777">
            <w:pPr>
              <w:pStyle w:val="Lijstalinea"/>
              <w:autoSpaceDE w:val="0"/>
              <w:adjustRightInd w:val="0"/>
              <w:spacing w:line="240" w:lineRule="atLeast"/>
            </w:pPr>
            <w:r>
              <w:t xml:space="preserve">Ten opzichte van optie 1A zorgt deze maatregel voor een zachtere landing voor belastingplichtigen die een BEWS hebben. Ten opzichte van fiche 2A is deze variant wel beperkter voor wat betreft de </w:t>
            </w:r>
            <w:r w:rsidR="00EB4148">
              <w:t>HRA</w:t>
            </w:r>
            <w:r>
              <w:t xml:space="preserve"> voor belastingplichtigen met een BEWS.</w:t>
            </w:r>
          </w:p>
          <w:p w:rsidRPr="00CB27CB" w:rsidR="00EA7F2B" w:rsidP="00EA7F2B" w:rsidRDefault="00EA7F2B" w14:paraId="405F9E38" w14:textId="77777777">
            <w:pPr>
              <w:pStyle w:val="Lijstalinea"/>
              <w:autoSpaceDE w:val="0"/>
              <w:adjustRightInd w:val="0"/>
              <w:spacing w:line="240" w:lineRule="atLeast"/>
              <w:rPr>
                <w:b/>
                <w:bCs/>
              </w:rPr>
            </w:pPr>
          </w:p>
          <w:p w:rsidRPr="001068DF" w:rsidR="00690DAD" w:rsidP="001068DF" w:rsidRDefault="001068DF" w14:paraId="2F458E01" w14:textId="77777777">
            <w:pPr>
              <w:pStyle w:val="Lijstalinea"/>
              <w:numPr>
                <w:ilvl w:val="0"/>
                <w:numId w:val="27"/>
              </w:numPr>
              <w:autoSpaceDE w:val="0"/>
              <w:adjustRightInd w:val="0"/>
              <w:spacing w:line="240" w:lineRule="atLeast"/>
              <w:rPr>
                <w:b/>
                <w:bCs/>
              </w:rPr>
            </w:pPr>
            <w:r w:rsidRPr="00C63123">
              <w:t xml:space="preserve">Door </w:t>
            </w:r>
            <w:r>
              <w:t>BEWS per 2043</w:t>
            </w:r>
            <w:r w:rsidRPr="00C63123">
              <w:t xml:space="preserve"> te verplaatsen naar box 3</w:t>
            </w:r>
            <w:r>
              <w:t xml:space="preserve"> </w:t>
            </w:r>
            <w:r w:rsidRPr="00C63123">
              <w:t xml:space="preserve">is de periode van </w:t>
            </w:r>
            <w:r>
              <w:t>HRA</w:t>
            </w:r>
            <w:r w:rsidRPr="00C63123">
              <w:t xml:space="preserve"> over die leningen niet meer relevant.</w:t>
            </w:r>
            <w:r>
              <w:t xml:space="preserve"> </w:t>
            </w:r>
          </w:p>
        </w:tc>
      </w:tr>
      <w:tr w:rsidRPr="00637B02" w:rsidR="00690DAD" w:rsidTr="00BF378C" w14:paraId="614E6C7F" w14:textId="77777777">
        <w:tc>
          <w:tcPr>
            <w:tcW w:w="7701" w:type="dxa"/>
            <w:gridSpan w:val="2"/>
          </w:tcPr>
          <w:p w:rsidRPr="00637B02" w:rsidR="00690DAD" w:rsidP="00BF378C" w:rsidRDefault="00690DAD" w14:paraId="465FB924" w14:textId="77777777">
            <w:pPr>
              <w:rPr>
                <w:b/>
                <w:bCs/>
              </w:rPr>
            </w:pPr>
            <w:r w:rsidRPr="00637B02">
              <w:rPr>
                <w:b/>
                <w:bCs/>
              </w:rPr>
              <w:t>Effecten</w:t>
            </w:r>
          </w:p>
        </w:tc>
      </w:tr>
      <w:tr w:rsidR="00690DAD" w:rsidTr="00BF378C" w14:paraId="0CB13507" w14:textId="77777777">
        <w:tc>
          <w:tcPr>
            <w:tcW w:w="3850" w:type="dxa"/>
            <w:shd w:val="clear" w:color="auto" w:fill="DAE9F7" w:themeFill="text2" w:themeFillTint="1A"/>
          </w:tcPr>
          <w:p w:rsidRPr="00637B02" w:rsidR="00690DAD" w:rsidP="00BF378C" w:rsidRDefault="00690DAD" w14:paraId="18A53CD9" w14:textId="77777777">
            <w:pPr>
              <w:rPr>
                <w:b/>
                <w:bCs/>
              </w:rPr>
            </w:pPr>
            <w:r w:rsidRPr="00637B02">
              <w:rPr>
                <w:b/>
                <w:bCs/>
              </w:rPr>
              <w:t>(Macro)economische gevolgen</w:t>
            </w:r>
          </w:p>
        </w:tc>
        <w:tc>
          <w:tcPr>
            <w:tcW w:w="3851" w:type="dxa"/>
          </w:tcPr>
          <w:p w:rsidRPr="00EA7F2B" w:rsidR="00690DAD" w:rsidP="001068DF" w:rsidRDefault="001068DF" w14:paraId="161C1C36" w14:textId="77777777">
            <w:pPr>
              <w:pStyle w:val="Lijstalinea"/>
              <w:numPr>
                <w:ilvl w:val="0"/>
                <w:numId w:val="28"/>
              </w:numPr>
              <w:spacing w:line="276" w:lineRule="auto"/>
              <w:rPr>
                <w:b/>
                <w:bCs/>
              </w:rPr>
            </w:pPr>
            <w:r w:rsidRPr="00CB27CB">
              <w:t>Met deze optie worden aflossingsvrije hypotheken per 1 januari 2031 niet verder gestimuleer</w:t>
            </w:r>
            <w:r>
              <w:t>d</w:t>
            </w:r>
            <w:r w:rsidRPr="00CB27CB">
              <w:t xml:space="preserve">. Dit komt net zoals </w:t>
            </w:r>
            <w:r w:rsidR="00C63CA7">
              <w:t>in</w:t>
            </w:r>
            <w:r w:rsidRPr="00CB27CB">
              <w:t xml:space="preserve"> fiches</w:t>
            </w:r>
            <w:r w:rsidR="00C63CA7">
              <w:t xml:space="preserve"> 1A, 1B en 1C</w:t>
            </w:r>
            <w:r w:rsidRPr="00CB27CB">
              <w:t xml:space="preserve"> tegemoet aan kritiek van het IMF en toezichthouders ECB en DNB.</w:t>
            </w:r>
            <w:r>
              <w:t xml:space="preserve"> Ten opzichte van de overgangsbepalingen in fiches 1B, 1C en 1D wordt overstappen op een aflossende lening niet fiscaal gefaciliteerd, omdat het niet mogelijk is om de aflossingsvrije lening over te sluiten naar een lening die ook na 1 januari 2043 in aanmerking komt voor HRA in box 1.</w:t>
            </w:r>
          </w:p>
          <w:p w:rsidRPr="001068DF" w:rsidR="00690DAD" w:rsidP="00EA7F2B" w:rsidRDefault="00690DAD" w14:paraId="4F73131E" w14:textId="77777777">
            <w:pPr>
              <w:pStyle w:val="Lijstalinea"/>
              <w:spacing w:line="276" w:lineRule="auto"/>
              <w:rPr>
                <w:b/>
                <w:bCs/>
              </w:rPr>
            </w:pPr>
          </w:p>
        </w:tc>
      </w:tr>
      <w:tr w:rsidR="00690DAD" w:rsidTr="00BF378C" w14:paraId="1A8271AD" w14:textId="77777777">
        <w:tc>
          <w:tcPr>
            <w:tcW w:w="3850" w:type="dxa"/>
          </w:tcPr>
          <w:p w:rsidRPr="00637B02" w:rsidR="00690DAD" w:rsidP="00BF378C" w:rsidRDefault="00690DAD" w14:paraId="054BF9D4" w14:textId="77777777">
            <w:pPr>
              <w:rPr>
                <w:b/>
                <w:bCs/>
              </w:rPr>
            </w:pPr>
            <w:r w:rsidRPr="00637B02">
              <w:rPr>
                <w:b/>
                <w:bCs/>
              </w:rPr>
              <w:t>Inkomenseffecten</w:t>
            </w:r>
          </w:p>
        </w:tc>
        <w:tc>
          <w:tcPr>
            <w:tcW w:w="3851" w:type="dxa"/>
          </w:tcPr>
          <w:p w:rsidRPr="001068DF" w:rsidR="00690DAD" w:rsidP="001068DF" w:rsidRDefault="001068DF" w14:paraId="4EBBFAE7" w14:textId="77777777">
            <w:pPr>
              <w:numPr>
                <w:ilvl w:val="0"/>
                <w:numId w:val="28"/>
              </w:numPr>
              <w:autoSpaceDE w:val="0"/>
              <w:adjustRightInd w:val="0"/>
              <w:spacing w:line="240" w:lineRule="atLeast"/>
              <w:contextualSpacing/>
              <w:rPr>
                <w:b/>
                <w:bCs/>
              </w:rPr>
            </w:pPr>
            <w:r>
              <w:t xml:space="preserve">De inkomenseffecten zijn beperkt, omdat de HRA – </w:t>
            </w:r>
            <w:proofErr w:type="gramStart"/>
            <w:r>
              <w:t>indien</w:t>
            </w:r>
            <w:proofErr w:type="gramEnd"/>
            <w:r>
              <w:t xml:space="preserve"> daarvoor wordt gekozen - geleidelijk wordt afgebouwd.</w:t>
            </w:r>
            <w:r>
              <w:rPr>
                <w:bCs/>
              </w:rPr>
              <w:t xml:space="preserve"> Afhankelijk van de afloopdatum van de 30-jaarstermijn in het </w:t>
            </w:r>
            <w:proofErr w:type="spellStart"/>
            <w:r>
              <w:rPr>
                <w:bCs/>
              </w:rPr>
              <w:t>basispad</w:t>
            </w:r>
            <w:proofErr w:type="spellEnd"/>
            <w:r>
              <w:rPr>
                <w:bCs/>
              </w:rPr>
              <w:t xml:space="preserve"> levert dat een voordeel of een nadeel op voor huishoudens. </w:t>
            </w:r>
            <w:r w:rsidRPr="001F4FE4">
              <w:t xml:space="preserve">Door inkomensstijgingen in de afgelopen jaren zal de meerderheid van de huishoudens dit goed op kunnen vangen. De inschatting is dat </w:t>
            </w:r>
            <w:r>
              <w:t>per saldo</w:t>
            </w:r>
            <w:r w:rsidRPr="001F4FE4">
              <w:t xml:space="preserve"> slechts een beperkte groep (mogelijk) in de problemen komt. De tabel</w:t>
            </w:r>
            <w:r w:rsidR="00771E6F">
              <w:rPr>
                <w:rStyle w:val="Voetnootmarkering"/>
              </w:rPr>
              <w:footnoteReference w:id="58"/>
            </w:r>
            <w:r w:rsidRPr="001F4FE4">
              <w:t xml:space="preserve"> geeft het aantal huishoudens dat boven de gehanteerde grens komt voor het financieringslastpercentage:</w:t>
            </w:r>
          </w:p>
          <w:p w:rsidRPr="001068DF" w:rsidR="001068DF" w:rsidP="001068DF" w:rsidRDefault="001068DF" w14:paraId="1C95554C" w14:textId="77777777">
            <w:pPr>
              <w:autoSpaceDE w:val="0"/>
              <w:adjustRightInd w:val="0"/>
              <w:spacing w:line="240" w:lineRule="atLeast"/>
              <w:ind w:left="720"/>
              <w:contextualSpacing/>
              <w:rPr>
                <w:b/>
                <w:bCs/>
              </w:rPr>
            </w:pPr>
          </w:p>
          <w:tbl>
            <w:tblPr>
              <w:tblStyle w:val="Onopgemaaktetabel2"/>
              <w:tblW w:w="0" w:type="auto"/>
              <w:tblLook w:val="04A0" w:firstRow="1" w:lastRow="0" w:firstColumn="1" w:lastColumn="0" w:noHBand="0" w:noVBand="1"/>
            </w:tblPr>
            <w:tblGrid>
              <w:gridCol w:w="1586"/>
              <w:gridCol w:w="1522"/>
              <w:gridCol w:w="1524"/>
            </w:tblGrid>
            <w:tr w:rsidRPr="007766FB" w:rsidR="001068DF" w:rsidTr="00BF378C" w14:paraId="4CE422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Pr="00846FCD" w:rsidR="001068DF" w:rsidP="001068DF" w:rsidRDefault="001068DF" w14:paraId="27F6153C" w14:textId="77777777">
                  <w:pPr>
                    <w:rPr>
                      <w:lang w:val="nl-NL"/>
                    </w:rPr>
                  </w:pPr>
                </w:p>
              </w:tc>
              <w:tc>
                <w:tcPr>
                  <w:tcW w:w="1565" w:type="dxa"/>
                </w:tcPr>
                <w:p w:rsidRPr="007766FB" w:rsidR="001068DF" w:rsidP="001068DF" w:rsidRDefault="001068DF" w14:paraId="2699635C" w14:textId="77777777">
                  <w:pPr>
                    <w:cnfStyle w:val="100000000000" w:firstRow="1" w:lastRow="0" w:firstColumn="0" w:lastColumn="0" w:oddVBand="0" w:evenVBand="0" w:oddHBand="0" w:evenHBand="0" w:firstRowFirstColumn="0" w:firstRowLastColumn="0" w:lastRowFirstColumn="0" w:lastRowLastColumn="0"/>
                  </w:pPr>
                  <w:r w:rsidRPr="007766FB">
                    <w:t xml:space="preserve">&gt;25% </w:t>
                  </w:r>
                </w:p>
              </w:tc>
              <w:tc>
                <w:tcPr>
                  <w:tcW w:w="1565" w:type="dxa"/>
                </w:tcPr>
                <w:p w:rsidRPr="007766FB" w:rsidR="001068DF" w:rsidP="001068DF" w:rsidRDefault="001068DF" w14:paraId="65857B9D" w14:textId="77777777">
                  <w:pPr>
                    <w:cnfStyle w:val="100000000000" w:firstRow="1" w:lastRow="0" w:firstColumn="0" w:lastColumn="0" w:oddVBand="0" w:evenVBand="0" w:oddHBand="0" w:evenHBand="0" w:firstRowFirstColumn="0" w:firstRowLastColumn="0" w:lastRowFirstColumn="0" w:lastRowLastColumn="0"/>
                  </w:pPr>
                  <w:r w:rsidRPr="007766FB">
                    <w:t>&gt;35%</w:t>
                  </w:r>
                </w:p>
              </w:tc>
            </w:tr>
            <w:tr w:rsidR="001068DF" w:rsidTr="00BF378C" w14:paraId="287E14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Pr="007766FB" w:rsidR="001068DF" w:rsidP="001068DF" w:rsidRDefault="001068DF" w14:paraId="671BF532" w14:textId="77777777">
                  <w:proofErr w:type="spellStart"/>
                  <w:r w:rsidRPr="007766FB">
                    <w:t>Basispad</w:t>
                  </w:r>
                  <w:proofErr w:type="spellEnd"/>
                </w:p>
              </w:tc>
              <w:tc>
                <w:tcPr>
                  <w:tcW w:w="1565" w:type="dxa"/>
                </w:tcPr>
                <w:p w:rsidR="001068DF" w:rsidP="001068DF" w:rsidRDefault="001068DF" w14:paraId="369A73FA" w14:textId="77777777">
                  <w:pPr>
                    <w:cnfStyle w:val="000000100000" w:firstRow="0" w:lastRow="0" w:firstColumn="0" w:lastColumn="0" w:oddVBand="0" w:evenVBand="0" w:oddHBand="1" w:evenHBand="0" w:firstRowFirstColumn="0" w:firstRowLastColumn="0" w:lastRowFirstColumn="0" w:lastRowLastColumn="0"/>
                  </w:pPr>
                  <w:r>
                    <w:t>23.500</w:t>
                  </w:r>
                </w:p>
              </w:tc>
              <w:tc>
                <w:tcPr>
                  <w:tcW w:w="1565" w:type="dxa"/>
                </w:tcPr>
                <w:p w:rsidR="001068DF" w:rsidP="001068DF" w:rsidRDefault="001068DF" w14:paraId="5E601E7A" w14:textId="77777777">
                  <w:pPr>
                    <w:cnfStyle w:val="000000100000" w:firstRow="0" w:lastRow="0" w:firstColumn="0" w:lastColumn="0" w:oddVBand="0" w:evenVBand="0" w:oddHBand="1" w:evenHBand="0" w:firstRowFirstColumn="0" w:firstRowLastColumn="0" w:lastRowFirstColumn="0" w:lastRowLastColumn="0"/>
                  </w:pPr>
                  <w:r>
                    <w:t>4.500</w:t>
                  </w:r>
                </w:p>
              </w:tc>
            </w:tr>
            <w:tr w:rsidR="001068DF" w:rsidTr="00BF378C" w14:paraId="07E9C0F4" w14:textId="77777777">
              <w:tc>
                <w:tcPr>
                  <w:cnfStyle w:val="001000000000" w:firstRow="0" w:lastRow="0" w:firstColumn="1" w:lastColumn="0" w:oddVBand="0" w:evenVBand="0" w:oddHBand="0" w:evenHBand="0" w:firstRowFirstColumn="0" w:firstRowLastColumn="0" w:lastRowFirstColumn="0" w:lastRowLastColumn="0"/>
                  <w:tcW w:w="1615" w:type="dxa"/>
                </w:tcPr>
                <w:p w:rsidRPr="007766FB" w:rsidR="001068DF" w:rsidP="001068DF" w:rsidRDefault="001068DF" w14:paraId="07DD899F" w14:textId="77777777">
                  <w:r w:rsidRPr="007766FB">
                    <w:t>Fiche</w:t>
                  </w:r>
                  <w:r>
                    <w:t xml:space="preserve"> 3</w:t>
                  </w:r>
                </w:p>
              </w:tc>
              <w:tc>
                <w:tcPr>
                  <w:tcW w:w="1565" w:type="dxa"/>
                </w:tcPr>
                <w:p w:rsidR="001068DF" w:rsidP="001068DF" w:rsidRDefault="001068DF" w14:paraId="58F53C5A" w14:textId="77777777">
                  <w:pPr>
                    <w:cnfStyle w:val="000000000000" w:firstRow="0" w:lastRow="0" w:firstColumn="0" w:lastColumn="0" w:oddVBand="0" w:evenVBand="0" w:oddHBand="0" w:evenHBand="0" w:firstRowFirstColumn="0" w:firstRowLastColumn="0" w:lastRowFirstColumn="0" w:lastRowLastColumn="0"/>
                  </w:pPr>
                  <w:r>
                    <w:t>30.500</w:t>
                  </w:r>
                </w:p>
              </w:tc>
              <w:tc>
                <w:tcPr>
                  <w:tcW w:w="1565" w:type="dxa"/>
                </w:tcPr>
                <w:p w:rsidR="001068DF" w:rsidP="001068DF" w:rsidRDefault="001068DF" w14:paraId="53192D40" w14:textId="77777777">
                  <w:pPr>
                    <w:cnfStyle w:val="000000000000" w:firstRow="0" w:lastRow="0" w:firstColumn="0" w:lastColumn="0" w:oddVBand="0" w:evenVBand="0" w:oddHBand="0" w:evenHBand="0" w:firstRowFirstColumn="0" w:firstRowLastColumn="0" w:lastRowFirstColumn="0" w:lastRowLastColumn="0"/>
                  </w:pPr>
                  <w:r>
                    <w:t>6.000</w:t>
                  </w:r>
                </w:p>
              </w:tc>
            </w:tr>
            <w:tr w:rsidR="001068DF" w:rsidTr="00BF378C" w14:paraId="131B0DB7" w14:textId="7777777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615" w:type="dxa"/>
                </w:tcPr>
                <w:p w:rsidRPr="007766FB" w:rsidR="001068DF" w:rsidP="001068DF" w:rsidRDefault="001068DF" w14:paraId="2D9BF5CE" w14:textId="77777777">
                  <w:proofErr w:type="spellStart"/>
                  <w:r w:rsidRPr="007766FB">
                    <w:t>Toename</w:t>
                  </w:r>
                  <w:proofErr w:type="spellEnd"/>
                </w:p>
              </w:tc>
              <w:tc>
                <w:tcPr>
                  <w:tcW w:w="1565" w:type="dxa"/>
                </w:tcPr>
                <w:p w:rsidR="001068DF" w:rsidP="001068DF" w:rsidRDefault="001068DF" w14:paraId="5331BD45" w14:textId="77777777">
                  <w:pPr>
                    <w:cnfStyle w:val="000000100000" w:firstRow="0" w:lastRow="0" w:firstColumn="0" w:lastColumn="0" w:oddVBand="0" w:evenVBand="0" w:oddHBand="1" w:evenHBand="0" w:firstRowFirstColumn="0" w:firstRowLastColumn="0" w:lastRowFirstColumn="0" w:lastRowLastColumn="0"/>
                  </w:pPr>
                  <w:r>
                    <w:t>+ 6.500</w:t>
                  </w:r>
                </w:p>
              </w:tc>
              <w:tc>
                <w:tcPr>
                  <w:tcW w:w="1565" w:type="dxa"/>
                </w:tcPr>
                <w:p w:rsidR="001068DF" w:rsidP="001068DF" w:rsidRDefault="001068DF" w14:paraId="3636ED50" w14:textId="77777777">
                  <w:pPr>
                    <w:cnfStyle w:val="000000100000" w:firstRow="0" w:lastRow="0" w:firstColumn="0" w:lastColumn="0" w:oddVBand="0" w:evenVBand="0" w:oddHBand="1" w:evenHBand="0" w:firstRowFirstColumn="0" w:firstRowLastColumn="0" w:lastRowFirstColumn="0" w:lastRowLastColumn="0"/>
                  </w:pPr>
                  <w:r>
                    <w:t>+1.500</w:t>
                  </w:r>
                </w:p>
                <w:p w:rsidR="001068DF" w:rsidP="001068DF" w:rsidRDefault="001068DF" w14:paraId="743AE974" w14:textId="77777777">
                  <w:pPr>
                    <w:cnfStyle w:val="000000100000" w:firstRow="0" w:lastRow="0" w:firstColumn="0" w:lastColumn="0" w:oddVBand="0" w:evenVBand="0" w:oddHBand="1" w:evenHBand="0" w:firstRowFirstColumn="0" w:firstRowLastColumn="0" w:lastRowFirstColumn="0" w:lastRowLastColumn="0"/>
                  </w:pPr>
                </w:p>
              </w:tc>
            </w:tr>
          </w:tbl>
          <w:p w:rsidR="00690DAD" w:rsidP="001068DF" w:rsidRDefault="00690DAD" w14:paraId="0FE9E1A7" w14:textId="77777777">
            <w:pPr>
              <w:pStyle w:val="Lijstalinea"/>
            </w:pPr>
          </w:p>
        </w:tc>
      </w:tr>
      <w:tr w:rsidR="00690DAD" w:rsidTr="00BF378C" w14:paraId="1A061040" w14:textId="77777777">
        <w:tc>
          <w:tcPr>
            <w:tcW w:w="3850" w:type="dxa"/>
            <w:shd w:val="clear" w:color="auto" w:fill="DAE9F7" w:themeFill="text2" w:themeFillTint="1A"/>
          </w:tcPr>
          <w:p w:rsidRPr="00637B02" w:rsidR="00690DAD" w:rsidP="00BF378C" w:rsidRDefault="00690DAD" w14:paraId="194FC18F" w14:textId="77777777">
            <w:pPr>
              <w:rPr>
                <w:b/>
                <w:bCs/>
              </w:rPr>
            </w:pPr>
            <w:r w:rsidRPr="00637B02">
              <w:rPr>
                <w:b/>
                <w:bCs/>
              </w:rPr>
              <w:t>Budgettair</w:t>
            </w:r>
          </w:p>
        </w:tc>
        <w:tc>
          <w:tcPr>
            <w:tcW w:w="3851" w:type="dxa"/>
          </w:tcPr>
          <w:p w:rsidR="001068DF" w:rsidP="001068DF" w:rsidRDefault="001068DF" w14:paraId="23C137E9" w14:textId="77777777">
            <w:pPr>
              <w:pStyle w:val="Lijstalinea"/>
              <w:numPr>
                <w:ilvl w:val="0"/>
                <w:numId w:val="28"/>
              </w:numPr>
              <w:spacing w:line="240" w:lineRule="atLeast"/>
            </w:pPr>
            <w:r>
              <w:t xml:space="preserve">Deze maatregel leidt tot een jaarlijkse budgettaire derving ten opzichte van het </w:t>
            </w:r>
            <w:proofErr w:type="spellStart"/>
            <w:r>
              <w:t>basispad</w:t>
            </w:r>
            <w:proofErr w:type="spellEnd"/>
            <w:r>
              <w:t xml:space="preserve">. </w:t>
            </w:r>
            <w:r w:rsidR="007410CA">
              <w:t xml:space="preserve">Voor </w:t>
            </w:r>
            <w:r>
              <w:t xml:space="preserve">BEWS </w:t>
            </w:r>
            <w:r w:rsidR="007410CA">
              <w:t xml:space="preserve">wordt </w:t>
            </w:r>
            <w:r>
              <w:t xml:space="preserve">het recht op HRA behouden (weliswaar beperkt). In het </w:t>
            </w:r>
            <w:proofErr w:type="spellStart"/>
            <w:r>
              <w:t>basispad</w:t>
            </w:r>
            <w:proofErr w:type="spellEnd"/>
            <w:r>
              <w:t xml:space="preserve"> zou </w:t>
            </w:r>
            <w:r w:rsidR="007410CA">
              <w:t>voor</w:t>
            </w:r>
            <w:r>
              <w:t xml:space="preserve"> alle BEWS ergens in de </w:t>
            </w:r>
            <w:r>
              <w:lastRenderedPageBreak/>
              <w:t xml:space="preserve">periode 2031-2042 het aftrekrecht volledig </w:t>
            </w:r>
            <w:r w:rsidR="007410CA">
              <w:t>worden verloren</w:t>
            </w:r>
            <w:r>
              <w:t>. Per saldo leidt dit tot een derving.</w:t>
            </w:r>
          </w:p>
          <w:p w:rsidR="00690DAD" w:rsidP="001068DF" w:rsidRDefault="00690DAD" w14:paraId="468A9885" w14:textId="77777777">
            <w:pPr>
              <w:pStyle w:val="Lijstalinea"/>
            </w:pPr>
          </w:p>
          <w:p w:rsidRPr="00E46673" w:rsidR="00690DAD" w:rsidP="00BF378C" w:rsidRDefault="00690DAD" w14:paraId="4E0A0CF8" w14:textId="77777777">
            <w:pPr>
              <w:spacing w:after="255" w:line="240" w:lineRule="atLeast"/>
              <w:contextualSpacing/>
              <w:rPr>
                <w:b/>
                <w:bCs/>
                <w:sz w:val="16"/>
                <w:szCs w:val="16"/>
              </w:rPr>
            </w:pPr>
            <w:bookmarkStart w:name="_Hlk220943107" w:id="66"/>
            <w:r w:rsidRPr="00E46673">
              <w:rPr>
                <w:b/>
                <w:bCs/>
                <w:sz w:val="16"/>
                <w:szCs w:val="16"/>
              </w:rPr>
              <w:t>Budgettair effect maatregel (x miljoen</w:t>
            </w:r>
            <w:r>
              <w:rPr>
                <w:b/>
                <w:bCs/>
                <w:sz w:val="16"/>
                <w:szCs w:val="16"/>
              </w:rPr>
              <w:t xml:space="preserve"> euro</w:t>
            </w:r>
            <w:r w:rsidRPr="00E46673">
              <w:rPr>
                <w:b/>
                <w:bCs/>
                <w:sz w:val="16"/>
                <w:szCs w:val="16"/>
              </w:rPr>
              <w:t>)</w:t>
            </w:r>
          </w:p>
          <w:tbl>
            <w:tblPr>
              <w:tblStyle w:val="Onopgemaaktetabel2"/>
              <w:tblW w:w="4632" w:type="dxa"/>
              <w:tblLook w:val="04A0" w:firstRow="1" w:lastRow="0" w:firstColumn="1" w:lastColumn="0" w:noHBand="0" w:noVBand="1"/>
            </w:tblPr>
            <w:tblGrid>
              <w:gridCol w:w="643"/>
              <w:gridCol w:w="643"/>
              <w:gridCol w:w="643"/>
              <w:gridCol w:w="643"/>
              <w:gridCol w:w="643"/>
              <w:gridCol w:w="661"/>
              <w:gridCol w:w="756"/>
            </w:tblGrid>
            <w:tr w:rsidRPr="00E46673" w:rsidR="001068DF" w:rsidTr="00CF1ABF" w14:paraId="1E6C1D03" w14:textId="777777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43" w:type="dxa"/>
                </w:tcPr>
                <w:p w:rsidRPr="00D6070F" w:rsidR="001068DF" w:rsidP="001068DF" w:rsidRDefault="001068DF" w14:paraId="72A05A16" w14:textId="77777777">
                  <w:pPr>
                    <w:spacing w:after="255" w:line="240" w:lineRule="atLeast"/>
                    <w:contextualSpacing/>
                    <w:jc w:val="center"/>
                    <w:rPr>
                      <w:sz w:val="15"/>
                      <w:szCs w:val="15"/>
                      <w:lang w:val="fr-FR"/>
                    </w:rPr>
                  </w:pPr>
                  <w:r w:rsidRPr="00D6070F">
                    <w:rPr>
                      <w:sz w:val="15"/>
                      <w:szCs w:val="15"/>
                      <w:lang w:val="fr-FR"/>
                    </w:rPr>
                    <w:t>2031</w:t>
                  </w:r>
                </w:p>
              </w:tc>
              <w:tc>
                <w:tcPr>
                  <w:tcW w:w="643" w:type="dxa"/>
                </w:tcPr>
                <w:p w:rsidRPr="00D6070F" w:rsidR="001068DF" w:rsidP="001068DF" w:rsidRDefault="001068DF" w14:paraId="0CACEF96"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5"/>
                      <w:szCs w:val="15"/>
                      <w:lang w:val="fr-FR"/>
                    </w:rPr>
                  </w:pPr>
                  <w:r w:rsidRPr="00D6070F">
                    <w:rPr>
                      <w:sz w:val="15"/>
                      <w:szCs w:val="15"/>
                      <w:lang w:val="fr-FR"/>
                    </w:rPr>
                    <w:t>2032</w:t>
                  </w:r>
                </w:p>
              </w:tc>
              <w:tc>
                <w:tcPr>
                  <w:tcW w:w="643" w:type="dxa"/>
                </w:tcPr>
                <w:p w:rsidRPr="00D6070F" w:rsidR="001068DF" w:rsidP="001068DF" w:rsidRDefault="001068DF" w14:paraId="61700F0D"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5"/>
                      <w:szCs w:val="15"/>
                      <w:lang w:val="fr-FR"/>
                    </w:rPr>
                  </w:pPr>
                  <w:r w:rsidRPr="00D6070F">
                    <w:rPr>
                      <w:sz w:val="15"/>
                      <w:szCs w:val="15"/>
                      <w:lang w:val="fr-FR"/>
                    </w:rPr>
                    <w:t>2033</w:t>
                  </w:r>
                </w:p>
              </w:tc>
              <w:tc>
                <w:tcPr>
                  <w:tcW w:w="643" w:type="dxa"/>
                </w:tcPr>
                <w:p w:rsidRPr="00D6070F" w:rsidR="001068DF" w:rsidP="001068DF" w:rsidRDefault="001068DF" w14:paraId="22FE6374"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5"/>
                      <w:szCs w:val="15"/>
                      <w:lang w:val="fr-FR"/>
                    </w:rPr>
                  </w:pPr>
                  <w:r w:rsidRPr="00D6070F">
                    <w:rPr>
                      <w:sz w:val="15"/>
                      <w:szCs w:val="15"/>
                      <w:lang w:val="fr-FR"/>
                    </w:rPr>
                    <w:t>2034</w:t>
                  </w:r>
                </w:p>
              </w:tc>
              <w:tc>
                <w:tcPr>
                  <w:tcW w:w="643" w:type="dxa"/>
                </w:tcPr>
                <w:p w:rsidRPr="00D6070F" w:rsidR="001068DF" w:rsidP="001068DF" w:rsidRDefault="001068DF" w14:paraId="143A2B0A"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5"/>
                      <w:szCs w:val="15"/>
                      <w:lang w:val="fr-FR"/>
                    </w:rPr>
                  </w:pPr>
                  <w:r w:rsidRPr="00D6070F">
                    <w:rPr>
                      <w:sz w:val="15"/>
                      <w:szCs w:val="15"/>
                      <w:lang w:val="fr-FR"/>
                    </w:rPr>
                    <w:t>2035</w:t>
                  </w:r>
                </w:p>
              </w:tc>
              <w:tc>
                <w:tcPr>
                  <w:tcW w:w="661" w:type="dxa"/>
                </w:tcPr>
                <w:p w:rsidRPr="00D6070F" w:rsidR="001068DF" w:rsidP="001068DF" w:rsidRDefault="001068DF" w14:paraId="1691E691"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5"/>
                      <w:szCs w:val="15"/>
                      <w:lang w:val="fr-FR"/>
                    </w:rPr>
                  </w:pPr>
                  <w:r w:rsidRPr="00D6070F">
                    <w:rPr>
                      <w:sz w:val="15"/>
                      <w:szCs w:val="15"/>
                      <w:lang w:val="fr-FR"/>
                    </w:rPr>
                    <w:t>2036</w:t>
                  </w:r>
                </w:p>
              </w:tc>
              <w:tc>
                <w:tcPr>
                  <w:tcW w:w="756" w:type="dxa"/>
                </w:tcPr>
                <w:p w:rsidRPr="00D6070F" w:rsidR="001068DF" w:rsidP="001068DF" w:rsidRDefault="001068DF" w14:paraId="76470A89" w14:textId="77777777">
                  <w:pPr>
                    <w:spacing w:after="255" w:line="240" w:lineRule="atLeast"/>
                    <w:contextualSpacing/>
                    <w:jc w:val="center"/>
                    <w:cnfStyle w:val="100000000000" w:firstRow="1" w:lastRow="0" w:firstColumn="0" w:lastColumn="0" w:oddVBand="0" w:evenVBand="0" w:oddHBand="0" w:evenHBand="0" w:firstRowFirstColumn="0" w:firstRowLastColumn="0" w:lastRowFirstColumn="0" w:lastRowLastColumn="0"/>
                    <w:rPr>
                      <w:sz w:val="15"/>
                      <w:szCs w:val="15"/>
                      <w:lang w:val="fr-FR"/>
                    </w:rPr>
                  </w:pPr>
                  <w:r w:rsidRPr="00D6070F">
                    <w:rPr>
                      <w:sz w:val="15"/>
                      <w:szCs w:val="15"/>
                      <w:lang w:val="fr-FR"/>
                    </w:rPr>
                    <w:t>2037</w:t>
                  </w:r>
                </w:p>
              </w:tc>
            </w:tr>
            <w:tr w:rsidRPr="00E46673" w:rsidR="001068DF" w:rsidTr="00CF1ABF" w14:paraId="316450D8"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43" w:type="dxa"/>
                </w:tcPr>
                <w:p w:rsidRPr="00F43AE3" w:rsidR="001068DF" w:rsidP="001068DF" w:rsidRDefault="001068DF" w14:paraId="34A1BDA7" w14:textId="77777777">
                  <w:pPr>
                    <w:spacing w:after="255" w:line="240" w:lineRule="atLeast"/>
                    <w:contextualSpacing/>
                    <w:jc w:val="center"/>
                    <w:rPr>
                      <w:b w:val="0"/>
                      <w:bCs w:val="0"/>
                      <w:sz w:val="15"/>
                      <w:szCs w:val="15"/>
                      <w:lang w:val="fr-FR"/>
                    </w:rPr>
                  </w:pPr>
                  <w:r w:rsidRPr="00F43AE3">
                    <w:rPr>
                      <w:b w:val="0"/>
                      <w:bCs w:val="0"/>
                      <w:sz w:val="15"/>
                      <w:lang w:val="fr-FR"/>
                    </w:rPr>
                    <w:t>-</w:t>
                  </w:r>
                  <w:r w:rsidRPr="00F43AE3" w:rsidR="00F43AE3">
                    <w:rPr>
                      <w:b w:val="0"/>
                      <w:bCs w:val="0"/>
                      <w:sz w:val="15"/>
                      <w:lang w:val="fr-FR"/>
                    </w:rPr>
                    <w:t>688</w:t>
                  </w:r>
                </w:p>
              </w:tc>
              <w:tc>
                <w:tcPr>
                  <w:tcW w:w="643" w:type="dxa"/>
                </w:tcPr>
                <w:p w:rsidRPr="00D6070F" w:rsidR="001068DF" w:rsidP="001068DF" w:rsidRDefault="00D6070F" w14:paraId="3BF58709"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w:t>
                  </w:r>
                  <w:r w:rsidR="00F43AE3">
                    <w:rPr>
                      <w:sz w:val="15"/>
                      <w:szCs w:val="15"/>
                      <w:lang w:val="fr-FR"/>
                    </w:rPr>
                    <w:t>583</w:t>
                  </w:r>
                </w:p>
              </w:tc>
              <w:tc>
                <w:tcPr>
                  <w:tcW w:w="643" w:type="dxa"/>
                </w:tcPr>
                <w:p w:rsidRPr="00D6070F" w:rsidR="001068DF" w:rsidP="001068DF" w:rsidRDefault="00D6070F" w14:paraId="554A362A"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w:t>
                  </w:r>
                  <w:r w:rsidR="00F43AE3">
                    <w:rPr>
                      <w:sz w:val="15"/>
                      <w:szCs w:val="15"/>
                      <w:lang w:val="fr-FR"/>
                    </w:rPr>
                    <w:t>530</w:t>
                  </w:r>
                </w:p>
              </w:tc>
              <w:tc>
                <w:tcPr>
                  <w:tcW w:w="643" w:type="dxa"/>
                </w:tcPr>
                <w:p w:rsidRPr="00D6070F" w:rsidR="001068DF" w:rsidP="001068DF" w:rsidRDefault="00D6070F" w14:paraId="1B0CD78E"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-5</w:t>
                  </w:r>
                  <w:r w:rsidR="001D71AF">
                    <w:rPr>
                      <w:sz w:val="15"/>
                      <w:szCs w:val="15"/>
                      <w:lang w:val="fr-FR"/>
                    </w:rPr>
                    <w:t>11</w:t>
                  </w:r>
                </w:p>
              </w:tc>
              <w:tc>
                <w:tcPr>
                  <w:tcW w:w="643" w:type="dxa"/>
                </w:tcPr>
                <w:p w:rsidRPr="00D6070F" w:rsidR="001068DF" w:rsidP="001068DF" w:rsidRDefault="00D6070F" w14:paraId="56B62472"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w:t>
                  </w:r>
                  <w:r w:rsidR="001D71AF">
                    <w:rPr>
                      <w:sz w:val="15"/>
                      <w:szCs w:val="15"/>
                      <w:lang w:val="fr-FR"/>
                    </w:rPr>
                    <w:t>585</w:t>
                  </w:r>
                </w:p>
              </w:tc>
              <w:tc>
                <w:tcPr>
                  <w:tcW w:w="661" w:type="dxa"/>
                </w:tcPr>
                <w:p w:rsidRPr="00D6070F" w:rsidR="001068DF" w:rsidP="001068DF" w:rsidRDefault="00D6070F" w14:paraId="24A11CA8"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w:t>
                  </w:r>
                  <w:r w:rsidR="001D71AF">
                    <w:rPr>
                      <w:sz w:val="15"/>
                      <w:szCs w:val="15"/>
                      <w:lang w:val="fr-FR"/>
                    </w:rPr>
                    <w:t>691</w:t>
                  </w:r>
                </w:p>
              </w:tc>
              <w:tc>
                <w:tcPr>
                  <w:tcW w:w="756" w:type="dxa"/>
                </w:tcPr>
                <w:p w:rsidRPr="00D6070F" w:rsidR="001068DF" w:rsidP="001068DF" w:rsidRDefault="00D6070F" w14:paraId="53D51A71"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w:t>
                  </w:r>
                  <w:r w:rsidR="001D71AF">
                    <w:rPr>
                      <w:sz w:val="15"/>
                      <w:szCs w:val="15"/>
                      <w:lang w:val="fr-FR"/>
                    </w:rPr>
                    <w:t>756</w:t>
                  </w:r>
                </w:p>
              </w:tc>
            </w:tr>
            <w:tr w:rsidRPr="00E46673" w:rsidR="001068DF" w:rsidTr="00CF1ABF" w14:paraId="1827B665" w14:textId="77777777">
              <w:trPr>
                <w:trHeight w:val="284"/>
              </w:trPr>
              <w:tc>
                <w:tcPr>
                  <w:cnfStyle w:val="001000000000" w:firstRow="0" w:lastRow="0" w:firstColumn="1" w:lastColumn="0" w:oddVBand="0" w:evenVBand="0" w:oddHBand="0" w:evenHBand="0" w:firstRowFirstColumn="0" w:firstRowLastColumn="0" w:lastRowFirstColumn="0" w:lastRowLastColumn="0"/>
                  <w:tcW w:w="643" w:type="dxa"/>
                </w:tcPr>
                <w:p w:rsidRPr="00D6070F" w:rsidR="001068DF" w:rsidP="001068DF" w:rsidRDefault="001068DF" w14:paraId="707E489B" w14:textId="77777777">
                  <w:pPr>
                    <w:spacing w:after="255" w:line="240" w:lineRule="atLeast"/>
                    <w:contextualSpacing/>
                    <w:jc w:val="center"/>
                    <w:rPr>
                      <w:sz w:val="15"/>
                      <w:szCs w:val="15"/>
                      <w:lang w:val="fr-FR"/>
                    </w:rPr>
                  </w:pPr>
                  <w:r w:rsidRPr="00D6070F">
                    <w:rPr>
                      <w:sz w:val="15"/>
                      <w:szCs w:val="15"/>
                      <w:lang w:val="fr-FR"/>
                    </w:rPr>
                    <w:t>2038</w:t>
                  </w:r>
                </w:p>
              </w:tc>
              <w:tc>
                <w:tcPr>
                  <w:tcW w:w="643" w:type="dxa"/>
                </w:tcPr>
                <w:p w:rsidRPr="00D6070F" w:rsidR="001068DF" w:rsidP="001068DF" w:rsidRDefault="001068DF" w14:paraId="37B44FDB"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5"/>
                      <w:szCs w:val="15"/>
                      <w:lang w:val="fr-FR"/>
                    </w:rPr>
                  </w:pPr>
                  <w:r w:rsidRPr="00D6070F">
                    <w:rPr>
                      <w:b/>
                      <w:bCs/>
                      <w:sz w:val="15"/>
                      <w:szCs w:val="15"/>
                      <w:lang w:val="fr-FR"/>
                    </w:rPr>
                    <w:t>2039</w:t>
                  </w:r>
                </w:p>
              </w:tc>
              <w:tc>
                <w:tcPr>
                  <w:tcW w:w="643" w:type="dxa"/>
                </w:tcPr>
                <w:p w:rsidRPr="00D6070F" w:rsidR="001068DF" w:rsidP="001068DF" w:rsidRDefault="001068DF" w14:paraId="1B684D9E"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5"/>
                      <w:szCs w:val="15"/>
                      <w:lang w:val="fr-FR"/>
                    </w:rPr>
                  </w:pPr>
                  <w:r w:rsidRPr="00D6070F">
                    <w:rPr>
                      <w:b/>
                      <w:bCs/>
                      <w:sz w:val="15"/>
                      <w:szCs w:val="15"/>
                      <w:lang w:val="fr-FR"/>
                    </w:rPr>
                    <w:t>2040</w:t>
                  </w:r>
                </w:p>
              </w:tc>
              <w:tc>
                <w:tcPr>
                  <w:tcW w:w="643" w:type="dxa"/>
                </w:tcPr>
                <w:p w:rsidRPr="00D6070F" w:rsidR="001068DF" w:rsidP="001068DF" w:rsidRDefault="001068DF" w14:paraId="0B765DB3"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5"/>
                      <w:szCs w:val="15"/>
                      <w:lang w:val="fr-FR"/>
                    </w:rPr>
                  </w:pPr>
                  <w:r w:rsidRPr="00D6070F">
                    <w:rPr>
                      <w:b/>
                      <w:bCs/>
                      <w:sz w:val="15"/>
                      <w:szCs w:val="15"/>
                      <w:lang w:val="fr-FR"/>
                    </w:rPr>
                    <w:t>2041</w:t>
                  </w:r>
                </w:p>
              </w:tc>
              <w:tc>
                <w:tcPr>
                  <w:tcW w:w="643" w:type="dxa"/>
                </w:tcPr>
                <w:p w:rsidRPr="00D6070F" w:rsidR="001068DF" w:rsidP="001068DF" w:rsidRDefault="001068DF" w14:paraId="56F55173"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5"/>
                      <w:szCs w:val="15"/>
                      <w:lang w:val="fr-FR"/>
                    </w:rPr>
                  </w:pPr>
                  <w:r w:rsidRPr="00D6070F">
                    <w:rPr>
                      <w:b/>
                      <w:bCs/>
                      <w:sz w:val="15"/>
                      <w:szCs w:val="15"/>
                      <w:lang w:val="fr-FR"/>
                    </w:rPr>
                    <w:t>2042</w:t>
                  </w:r>
                </w:p>
              </w:tc>
              <w:tc>
                <w:tcPr>
                  <w:tcW w:w="661" w:type="dxa"/>
                </w:tcPr>
                <w:p w:rsidRPr="00D6070F" w:rsidR="001068DF" w:rsidP="001068DF" w:rsidRDefault="001068DF" w14:paraId="1C42962D"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5"/>
                      <w:szCs w:val="15"/>
                      <w:lang w:val="fr-FR"/>
                    </w:rPr>
                  </w:pPr>
                  <w:proofErr w:type="spellStart"/>
                  <w:r w:rsidRPr="00D6070F">
                    <w:rPr>
                      <w:b/>
                      <w:bCs/>
                      <w:sz w:val="15"/>
                      <w:szCs w:val="15"/>
                      <w:lang w:val="fr-FR"/>
                    </w:rPr>
                    <w:t>Struc</w:t>
                  </w:r>
                  <w:proofErr w:type="spellEnd"/>
                </w:p>
              </w:tc>
              <w:tc>
                <w:tcPr>
                  <w:tcW w:w="756" w:type="dxa"/>
                </w:tcPr>
                <w:p w:rsidRPr="00D6070F" w:rsidR="001068DF" w:rsidP="001068DF" w:rsidRDefault="001068DF" w14:paraId="4187F751" w14:textId="77777777">
                  <w:pPr>
                    <w:spacing w:after="255" w:line="240" w:lineRule="atLeast"/>
                    <w:contextualSpacing/>
                    <w:jc w:val="center"/>
                    <w:cnfStyle w:val="000000000000" w:firstRow="0" w:lastRow="0" w:firstColumn="0" w:lastColumn="0" w:oddVBand="0" w:evenVBand="0" w:oddHBand="0" w:evenHBand="0" w:firstRowFirstColumn="0" w:firstRowLastColumn="0" w:lastRowFirstColumn="0" w:lastRowLastColumn="0"/>
                    <w:rPr>
                      <w:b/>
                      <w:bCs/>
                      <w:sz w:val="15"/>
                      <w:szCs w:val="15"/>
                      <w:lang w:val="fr-FR"/>
                    </w:rPr>
                  </w:pPr>
                  <w:r w:rsidRPr="00D6070F">
                    <w:rPr>
                      <w:b/>
                      <w:bCs/>
                      <w:sz w:val="15"/>
                      <w:szCs w:val="15"/>
                      <w:lang w:val="fr-FR"/>
                    </w:rPr>
                    <w:t>Cum</w:t>
                  </w:r>
                </w:p>
              </w:tc>
            </w:tr>
            <w:tr w:rsidRPr="00E46673" w:rsidR="001068DF" w:rsidTr="00CF1ABF" w14:paraId="5060B5FE"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43" w:type="dxa"/>
                </w:tcPr>
                <w:p w:rsidRPr="001D71AF" w:rsidR="001068DF" w:rsidP="001068DF" w:rsidRDefault="001068DF" w14:paraId="468CFD9C" w14:textId="77777777">
                  <w:pPr>
                    <w:spacing w:after="255" w:line="240" w:lineRule="atLeast"/>
                    <w:contextualSpacing/>
                    <w:jc w:val="center"/>
                    <w:rPr>
                      <w:b w:val="0"/>
                      <w:bCs w:val="0"/>
                      <w:sz w:val="15"/>
                      <w:szCs w:val="15"/>
                      <w:lang w:val="fr-FR"/>
                    </w:rPr>
                  </w:pPr>
                  <w:r w:rsidRPr="001D71AF">
                    <w:rPr>
                      <w:b w:val="0"/>
                      <w:bCs w:val="0"/>
                      <w:sz w:val="15"/>
                      <w:lang w:val="fr-FR"/>
                    </w:rPr>
                    <w:t>-</w:t>
                  </w:r>
                  <w:r w:rsidRPr="001D71AF" w:rsidR="002E76C7">
                    <w:rPr>
                      <w:b w:val="0"/>
                      <w:bCs w:val="0"/>
                      <w:sz w:val="15"/>
                      <w:lang w:val="fr-FR"/>
                    </w:rPr>
                    <w:t>8</w:t>
                  </w:r>
                  <w:r w:rsidRPr="001D71AF" w:rsidR="001D71AF">
                    <w:rPr>
                      <w:b w:val="0"/>
                      <w:bCs w:val="0"/>
                      <w:sz w:val="15"/>
                      <w:lang w:val="fr-FR"/>
                    </w:rPr>
                    <w:t>00</w:t>
                  </w:r>
                </w:p>
              </w:tc>
              <w:tc>
                <w:tcPr>
                  <w:tcW w:w="643" w:type="dxa"/>
                </w:tcPr>
                <w:p w:rsidRPr="00D6070F" w:rsidR="001068DF" w:rsidP="001068DF" w:rsidRDefault="00D6070F" w14:paraId="29EA1700"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w:t>
                  </w:r>
                  <w:r w:rsidR="001D71AF">
                    <w:rPr>
                      <w:sz w:val="15"/>
                      <w:szCs w:val="15"/>
                      <w:lang w:val="fr-FR"/>
                    </w:rPr>
                    <w:t>782</w:t>
                  </w:r>
                </w:p>
              </w:tc>
              <w:tc>
                <w:tcPr>
                  <w:tcW w:w="643" w:type="dxa"/>
                </w:tcPr>
                <w:p w:rsidRPr="00D6070F" w:rsidR="001068DF" w:rsidP="001068DF" w:rsidRDefault="00D6070F" w14:paraId="14811FDD"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w:t>
                  </w:r>
                  <w:r w:rsidR="001D71AF">
                    <w:rPr>
                      <w:sz w:val="15"/>
                      <w:szCs w:val="15"/>
                      <w:lang w:val="fr-FR"/>
                    </w:rPr>
                    <w:t>756</w:t>
                  </w:r>
                </w:p>
              </w:tc>
              <w:tc>
                <w:tcPr>
                  <w:tcW w:w="643" w:type="dxa"/>
                </w:tcPr>
                <w:p w:rsidRPr="00D6070F" w:rsidR="001068DF" w:rsidP="001068DF" w:rsidRDefault="00D6070F" w14:paraId="38B011FD"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w:t>
                  </w:r>
                  <w:r w:rsidR="001D71AF">
                    <w:rPr>
                      <w:sz w:val="15"/>
                      <w:szCs w:val="15"/>
                      <w:lang w:val="fr-FR"/>
                    </w:rPr>
                    <w:t>731</w:t>
                  </w:r>
                </w:p>
              </w:tc>
              <w:tc>
                <w:tcPr>
                  <w:tcW w:w="643" w:type="dxa"/>
                </w:tcPr>
                <w:p w:rsidRPr="00D6070F" w:rsidR="001068DF" w:rsidP="001068DF" w:rsidRDefault="00D6070F" w14:paraId="55AEF34C"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w:t>
                  </w:r>
                  <w:r w:rsidR="001D71AF">
                    <w:rPr>
                      <w:sz w:val="15"/>
                      <w:szCs w:val="15"/>
                      <w:lang w:val="fr-FR"/>
                    </w:rPr>
                    <w:t>733</w:t>
                  </w:r>
                </w:p>
              </w:tc>
              <w:tc>
                <w:tcPr>
                  <w:tcW w:w="661" w:type="dxa"/>
                </w:tcPr>
                <w:p w:rsidRPr="00D6070F" w:rsidR="001068DF" w:rsidP="001068DF" w:rsidRDefault="001068DF" w14:paraId="33B88307"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0</w:t>
                  </w:r>
                </w:p>
              </w:tc>
              <w:tc>
                <w:tcPr>
                  <w:tcW w:w="756" w:type="dxa"/>
                </w:tcPr>
                <w:p w:rsidR="001068DF" w:rsidP="001068DF" w:rsidRDefault="001068DF" w14:paraId="488763E8"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r w:rsidRPr="00D6070F">
                    <w:rPr>
                      <w:sz w:val="15"/>
                      <w:szCs w:val="15"/>
                      <w:lang w:val="fr-FR"/>
                    </w:rPr>
                    <w:t>-</w:t>
                  </w:r>
                  <w:r w:rsidR="001D71AF">
                    <w:rPr>
                      <w:sz w:val="15"/>
                      <w:szCs w:val="15"/>
                      <w:lang w:val="fr-FR"/>
                    </w:rPr>
                    <w:t>8</w:t>
                  </w:r>
                  <w:r w:rsidRPr="00D6070F">
                    <w:rPr>
                      <w:sz w:val="15"/>
                      <w:szCs w:val="15"/>
                      <w:lang w:val="fr-FR"/>
                    </w:rPr>
                    <w:t>.1</w:t>
                  </w:r>
                  <w:r w:rsidR="001D71AF">
                    <w:rPr>
                      <w:sz w:val="15"/>
                      <w:szCs w:val="15"/>
                      <w:lang w:val="fr-FR"/>
                    </w:rPr>
                    <w:t>47</w:t>
                  </w:r>
                </w:p>
                <w:p w:rsidRPr="00D6070F" w:rsidR="001068DF" w:rsidP="001068DF" w:rsidRDefault="001068DF" w14:paraId="0D10963F" w14:textId="77777777">
                  <w:pPr>
                    <w:spacing w:after="255" w:line="240" w:lineRule="atLeast"/>
                    <w:contextualSpacing/>
                    <w:jc w:val="center"/>
                    <w:cnfStyle w:val="000000100000" w:firstRow="0" w:lastRow="0" w:firstColumn="0" w:lastColumn="0" w:oddVBand="0" w:evenVBand="0" w:oddHBand="1" w:evenHBand="0" w:firstRowFirstColumn="0" w:firstRowLastColumn="0" w:lastRowFirstColumn="0" w:lastRowLastColumn="0"/>
                    <w:rPr>
                      <w:sz w:val="15"/>
                      <w:szCs w:val="15"/>
                      <w:lang w:val="fr-FR"/>
                    </w:rPr>
                  </w:pPr>
                </w:p>
              </w:tc>
            </w:tr>
            <w:bookmarkEnd w:id="66"/>
          </w:tbl>
          <w:p w:rsidR="00690DAD" w:rsidP="00BF378C" w:rsidRDefault="00690DAD" w14:paraId="2932B993" w14:textId="77777777"/>
        </w:tc>
      </w:tr>
      <w:tr w:rsidR="00690DAD" w:rsidTr="00BF378C" w14:paraId="3B272B59" w14:textId="77777777">
        <w:tc>
          <w:tcPr>
            <w:tcW w:w="3850" w:type="dxa"/>
          </w:tcPr>
          <w:p w:rsidRPr="00637B02" w:rsidR="00690DAD" w:rsidP="00BF378C" w:rsidRDefault="00690DAD" w14:paraId="75AA248A" w14:textId="77777777">
            <w:pPr>
              <w:rPr>
                <w:b/>
                <w:bCs/>
              </w:rPr>
            </w:pPr>
            <w:proofErr w:type="spellStart"/>
            <w:r w:rsidRPr="00637B02">
              <w:rPr>
                <w:b/>
                <w:bCs/>
              </w:rPr>
              <w:lastRenderedPageBreak/>
              <w:t>Doenvermogen</w:t>
            </w:r>
            <w:proofErr w:type="spellEnd"/>
            <w:r w:rsidRPr="00637B02">
              <w:rPr>
                <w:b/>
                <w:bCs/>
              </w:rPr>
              <w:t xml:space="preserve"> en administratieve lasten</w:t>
            </w:r>
          </w:p>
        </w:tc>
        <w:tc>
          <w:tcPr>
            <w:tcW w:w="3851" w:type="dxa"/>
          </w:tcPr>
          <w:p w:rsidRPr="00F052A7" w:rsidR="001068DF" w:rsidP="001068DF" w:rsidRDefault="001068DF" w14:paraId="1B48B24E" w14:textId="77777777">
            <w:pPr>
              <w:pStyle w:val="Lijstalinea"/>
              <w:numPr>
                <w:ilvl w:val="0"/>
                <w:numId w:val="30"/>
              </w:numPr>
              <w:spacing w:line="240" w:lineRule="atLeast"/>
            </w:pPr>
            <w:r>
              <w:t>De mogelijkheid tot geleidelijke afbouw van het recht op HRA voor</w:t>
            </w:r>
            <w:r w:rsidRPr="72AF643E">
              <w:t xml:space="preserve"> </w:t>
            </w:r>
            <w:r>
              <w:t>BEWS</w:t>
            </w:r>
            <w:r w:rsidRPr="72AF643E">
              <w:t xml:space="preserve"> per 2031 zorgt voor duidelijkheid bij burgers. </w:t>
            </w:r>
            <w:r>
              <w:t xml:space="preserve">Dit is een verbetering ten opzichte van het </w:t>
            </w:r>
            <w:proofErr w:type="spellStart"/>
            <w:r>
              <w:t>basispad</w:t>
            </w:r>
            <w:proofErr w:type="spellEnd"/>
            <w:r>
              <w:t>.</w:t>
            </w:r>
          </w:p>
          <w:p w:rsidR="001068DF" w:rsidP="001068DF" w:rsidRDefault="001068DF" w14:paraId="4EED0AAA" w14:textId="77777777">
            <w:pPr>
              <w:pStyle w:val="Lijstalinea"/>
              <w:spacing w:line="240" w:lineRule="atLeast"/>
            </w:pPr>
          </w:p>
          <w:p w:rsidR="001068DF" w:rsidP="001068DF" w:rsidRDefault="001068DF" w14:paraId="76BEFBAA" w14:textId="77777777">
            <w:pPr>
              <w:pStyle w:val="Lijstalinea"/>
              <w:numPr>
                <w:ilvl w:val="0"/>
                <w:numId w:val="30"/>
              </w:numPr>
              <w:spacing w:line="240" w:lineRule="atLeast"/>
            </w:pPr>
            <w:r>
              <w:t xml:space="preserve">De belastingplichtige moet in de belastingaangifte </w:t>
            </w:r>
            <w:r w:rsidRPr="0034634B">
              <w:t xml:space="preserve">per </w:t>
            </w:r>
            <w:proofErr w:type="spellStart"/>
            <w:r w:rsidRPr="0034634B">
              <w:t>leningdeel</w:t>
            </w:r>
            <w:proofErr w:type="spellEnd"/>
            <w:r w:rsidRPr="0034634B">
              <w:t xml:space="preserve"> </w:t>
            </w:r>
            <w:r>
              <w:t xml:space="preserve">aangegeven </w:t>
            </w:r>
            <w:r w:rsidRPr="0034634B">
              <w:t>of dit een BEWS</w:t>
            </w:r>
            <w:r>
              <w:t xml:space="preserve"> is of niet. </w:t>
            </w:r>
          </w:p>
          <w:p w:rsidRPr="00F3450A" w:rsidR="001068DF" w:rsidP="001068DF" w:rsidRDefault="001068DF" w14:paraId="17C995C8" w14:textId="77777777">
            <w:pPr>
              <w:pStyle w:val="Lijstalinea"/>
            </w:pPr>
          </w:p>
          <w:p w:rsidR="00690DAD" w:rsidP="0027040A" w:rsidRDefault="001068DF" w14:paraId="2B83D839" w14:textId="77777777">
            <w:pPr>
              <w:pStyle w:val="Lijstalinea"/>
              <w:numPr>
                <w:ilvl w:val="0"/>
                <w:numId w:val="30"/>
              </w:numPr>
              <w:spacing w:line="240" w:lineRule="atLeast"/>
            </w:pPr>
            <w:r w:rsidRPr="005D0A75">
              <w:t xml:space="preserve">Uit de </w:t>
            </w:r>
            <w:proofErr w:type="spellStart"/>
            <w:r w:rsidRPr="005D0A75">
              <w:t>doenvermogens</w:t>
            </w:r>
            <w:r w:rsidR="006328BE">
              <w:t>s</w:t>
            </w:r>
            <w:r w:rsidRPr="005D0A75">
              <w:t>can</w:t>
            </w:r>
            <w:proofErr w:type="spellEnd"/>
            <w:r w:rsidRPr="005D0A75">
              <w:t xml:space="preserve"> volgt dat het </w:t>
            </w:r>
            <w:proofErr w:type="spellStart"/>
            <w:r w:rsidRPr="005D0A75">
              <w:t>doenvermogen</w:t>
            </w:r>
            <w:proofErr w:type="spellEnd"/>
            <w:r w:rsidRPr="005D0A75">
              <w:t xml:space="preserve"> verbeter</w:t>
            </w:r>
            <w:r>
              <w:t>t</w:t>
            </w:r>
            <w:r w:rsidRPr="005D0A75">
              <w:t xml:space="preserve"> ten opzichte van het </w:t>
            </w:r>
            <w:proofErr w:type="spellStart"/>
            <w:r w:rsidRPr="005D0A75">
              <w:t>basispad</w:t>
            </w:r>
            <w:proofErr w:type="spellEnd"/>
            <w:r w:rsidRPr="005D0A75">
              <w:t>. De score is +0.</w:t>
            </w:r>
            <w:r w:rsidR="0027040A">
              <w:t>21.</w:t>
            </w:r>
          </w:p>
          <w:p w:rsidR="0027040A" w:rsidP="0027040A" w:rsidRDefault="0027040A" w14:paraId="7C0ACFE1" w14:textId="77777777">
            <w:pPr>
              <w:pStyle w:val="Lijstalinea"/>
            </w:pPr>
          </w:p>
          <w:p w:rsidR="0027040A" w:rsidP="00CE34F2" w:rsidRDefault="00511A94" w14:paraId="45D5EE63" w14:textId="77777777">
            <w:pPr>
              <w:pStyle w:val="Lijstalinea"/>
              <w:numPr>
                <w:ilvl w:val="0"/>
                <w:numId w:val="30"/>
              </w:numPr>
              <w:spacing w:line="240" w:lineRule="atLeast"/>
            </w:pPr>
            <w:r>
              <w:t xml:space="preserve">Voor deze variant geldt dat het inkomenseffect wordt gedempt ten opzichte van variant 1A maar minder dan in variant 2. Hierdoor wordt het negatieve effect op het </w:t>
            </w:r>
            <w:proofErr w:type="spellStart"/>
            <w:r>
              <w:t>doenvermogen</w:t>
            </w:r>
            <w:proofErr w:type="spellEnd"/>
            <w:r>
              <w:t xml:space="preserve"> door financiële stress beperkt ten opzichte van variant 1A. Dit komt tot uiting in een iets hogere score op de </w:t>
            </w:r>
            <w:proofErr w:type="spellStart"/>
            <w:r>
              <w:t>doenvermogensscan</w:t>
            </w:r>
            <w:proofErr w:type="spellEnd"/>
            <w:r>
              <w:t xml:space="preserve"> ten opzichte van fiche 1A en een lagere score ten opzichte van variant 2. </w:t>
            </w:r>
          </w:p>
        </w:tc>
      </w:tr>
      <w:tr w:rsidRPr="00690DAD" w:rsidR="00690DAD" w:rsidTr="00BF378C" w14:paraId="04913572" w14:textId="77777777">
        <w:tc>
          <w:tcPr>
            <w:tcW w:w="3850" w:type="dxa"/>
            <w:shd w:val="clear" w:color="auto" w:fill="DAE9F7" w:themeFill="text2" w:themeFillTint="1A"/>
          </w:tcPr>
          <w:p w:rsidRPr="00637B02" w:rsidR="00690DAD" w:rsidP="00BF378C" w:rsidRDefault="00690DAD" w14:paraId="68B6D7EF" w14:textId="77777777">
            <w:pPr>
              <w:rPr>
                <w:b/>
                <w:bCs/>
              </w:rPr>
            </w:pPr>
            <w:r w:rsidRPr="00637B02">
              <w:rPr>
                <w:b/>
                <w:bCs/>
              </w:rPr>
              <w:t>Uitvoeringsaspecten</w:t>
            </w:r>
          </w:p>
        </w:tc>
        <w:tc>
          <w:tcPr>
            <w:tcW w:w="3851" w:type="dxa"/>
          </w:tcPr>
          <w:p w:rsidRPr="00D076EF" w:rsidR="001068DF" w:rsidP="001068DF" w:rsidRDefault="001068DF" w14:paraId="4986ED86" w14:textId="77777777">
            <w:pPr>
              <w:pStyle w:val="Lijstalinea"/>
              <w:numPr>
                <w:ilvl w:val="0"/>
                <w:numId w:val="32"/>
              </w:numPr>
              <w:spacing w:line="240" w:lineRule="atLeast"/>
              <w:rPr>
                <w:b/>
                <w:bCs/>
              </w:rPr>
            </w:pPr>
            <w:r w:rsidRPr="00E54C7E">
              <w:rPr>
                <w:rFonts w:eastAsia="SymbolMT" w:cs="Verdana"/>
              </w:rPr>
              <w:t xml:space="preserve">Bij de </w:t>
            </w:r>
            <w:r>
              <w:rPr>
                <w:rFonts w:eastAsia="SymbolMT" w:cs="Verdana"/>
              </w:rPr>
              <w:t>B</w:t>
            </w:r>
            <w:r w:rsidRPr="00E54C7E">
              <w:rPr>
                <w:rFonts w:eastAsia="SymbolMT" w:cs="Verdana"/>
              </w:rPr>
              <w:t xml:space="preserve">elastingdienst is niet bekend wanneer sprake is van </w:t>
            </w:r>
            <w:r>
              <w:rPr>
                <w:rFonts w:eastAsia="SymbolMT" w:cs="Verdana"/>
              </w:rPr>
              <w:t xml:space="preserve">een </w:t>
            </w:r>
            <w:r w:rsidRPr="00E54C7E">
              <w:rPr>
                <w:rFonts w:eastAsia="SymbolMT" w:cs="Verdana"/>
              </w:rPr>
              <w:t xml:space="preserve">BEWS. De </w:t>
            </w:r>
            <w:r>
              <w:rPr>
                <w:rFonts w:eastAsia="SymbolMT" w:cs="Verdana"/>
              </w:rPr>
              <w:t>B</w:t>
            </w:r>
            <w:r w:rsidRPr="00E54C7E">
              <w:rPr>
                <w:rFonts w:eastAsia="SymbolMT" w:cs="Verdana"/>
              </w:rPr>
              <w:t>elastingdienst legt deze gegevens</w:t>
            </w:r>
            <w:r>
              <w:rPr>
                <w:rFonts w:eastAsia="SymbolMT" w:cs="Verdana"/>
              </w:rPr>
              <w:t xml:space="preserve"> op dit moment</w:t>
            </w:r>
            <w:r w:rsidRPr="00E54C7E">
              <w:rPr>
                <w:rFonts w:eastAsia="SymbolMT" w:cs="Verdana"/>
              </w:rPr>
              <w:t xml:space="preserve"> niet vast en beschikt dus ook niet over deze informatie. De uitvraag in de aangifte zal moet</w:t>
            </w:r>
            <w:r>
              <w:rPr>
                <w:rFonts w:eastAsia="SymbolMT" w:cs="Verdana"/>
              </w:rPr>
              <w:t>en</w:t>
            </w:r>
            <w:r w:rsidRPr="00E54C7E">
              <w:rPr>
                <w:rFonts w:eastAsia="SymbolMT" w:cs="Verdana"/>
              </w:rPr>
              <w:t xml:space="preserve"> worden aangepast om te zorgen dat het wel inzichtelijk wordt. Dit is een structuurwijziging. </w:t>
            </w:r>
            <w:r>
              <w:rPr>
                <w:rFonts w:eastAsia="SymbolMT" w:cs="Verdana"/>
              </w:rPr>
              <w:t>D</w:t>
            </w:r>
            <w:r w:rsidRPr="00065E4D">
              <w:t xml:space="preserve">e Belastingdienst </w:t>
            </w:r>
            <w:r>
              <w:t xml:space="preserve">zal </w:t>
            </w:r>
            <w:r w:rsidRPr="00065E4D">
              <w:t xml:space="preserve">per </w:t>
            </w:r>
            <w:proofErr w:type="spellStart"/>
            <w:r w:rsidRPr="00065E4D">
              <w:t>leningdeel</w:t>
            </w:r>
            <w:proofErr w:type="spellEnd"/>
            <w:r w:rsidRPr="00065E4D">
              <w:t xml:space="preserve"> moeten vaststellen of dit een BEWS-lening is</w:t>
            </w:r>
            <w:r w:rsidRPr="00622858">
              <w:t xml:space="preserve"> </w:t>
            </w:r>
            <w:r>
              <w:t>door dit uit te vragen bij belastingplichtigen in de aangifte inkomstenbelasting</w:t>
            </w:r>
            <w:r w:rsidRPr="00622858">
              <w:t>.</w:t>
            </w:r>
            <w:r>
              <w:rPr>
                <w:b/>
                <w:bCs/>
              </w:rPr>
              <w:t xml:space="preserve"> </w:t>
            </w:r>
            <w:r w:rsidRPr="00AF5D24">
              <w:t xml:space="preserve">Uit het rapport blijkt dat dit inzicht in het eigen hypotheekverleden voor veel belastingplichtigen </w:t>
            </w:r>
            <w:r w:rsidR="00C63CA7">
              <w:t>lastig</w:t>
            </w:r>
            <w:r w:rsidRPr="00AF5D24" w:rsidR="00C63CA7">
              <w:t xml:space="preserve"> </w:t>
            </w:r>
            <w:r w:rsidRPr="00AF5D24">
              <w:t>is. Daarom is deze uitvraag in de aangifte ingewikkeld en foutgevoelig</w:t>
            </w:r>
            <w:r w:rsidRPr="00691277">
              <w:t xml:space="preserve">. </w:t>
            </w:r>
            <w:r w:rsidRPr="00622858">
              <w:t>Ook</w:t>
            </w:r>
            <w:r w:rsidRPr="00E27A13">
              <w:t xml:space="preserve"> </w:t>
            </w:r>
            <w:r>
              <w:t>zal de Belastingdienst moeten vaststellen</w:t>
            </w:r>
            <w:r w:rsidRPr="00622858">
              <w:t xml:space="preserve"> </w:t>
            </w:r>
            <w:r>
              <w:t xml:space="preserve">en bijhouden voor welke </w:t>
            </w:r>
            <w:proofErr w:type="spellStart"/>
            <w:r>
              <w:t>lening</w:t>
            </w:r>
            <w:r w:rsidR="00A73821">
              <w:t>delen</w:t>
            </w:r>
            <w:proofErr w:type="spellEnd"/>
            <w:r>
              <w:t xml:space="preserve"> </w:t>
            </w:r>
            <w:r>
              <w:lastRenderedPageBreak/>
              <w:t xml:space="preserve">belastingplichtigen een box 3-EWL </w:t>
            </w:r>
            <w:r>
              <w:br/>
              <w:t xml:space="preserve">hebben. </w:t>
            </w:r>
          </w:p>
          <w:p w:rsidR="001068DF" w:rsidP="001068DF" w:rsidRDefault="001068DF" w14:paraId="585317A1" w14:textId="77777777">
            <w:pPr>
              <w:pStyle w:val="Lijstalinea"/>
              <w:spacing w:line="240" w:lineRule="atLeast"/>
              <w:rPr>
                <w:rFonts w:eastAsia="SymbolMT" w:cs="Verdana"/>
              </w:rPr>
            </w:pPr>
          </w:p>
          <w:p w:rsidR="001068DF" w:rsidP="001068DF" w:rsidRDefault="001068DF" w14:paraId="06BE4F30" w14:textId="77777777">
            <w:pPr>
              <w:pStyle w:val="Lijstalinea"/>
              <w:numPr>
                <w:ilvl w:val="0"/>
                <w:numId w:val="32"/>
              </w:numPr>
              <w:spacing w:line="240" w:lineRule="atLeast"/>
              <w:rPr>
                <w:rFonts w:eastAsia="SymbolMT" w:cs="Verdana"/>
              </w:rPr>
            </w:pPr>
            <w:r>
              <w:rPr>
                <w:rFonts w:eastAsia="SymbolMT" w:cs="Verdana"/>
              </w:rPr>
              <w:t>Het beperken van de grondslag voor BEWS in box 1 betreft een aanvullende structuurwijziging.</w:t>
            </w:r>
          </w:p>
          <w:p w:rsidR="001068DF" w:rsidP="001068DF" w:rsidRDefault="001068DF" w14:paraId="4DF093CB" w14:textId="77777777">
            <w:pPr>
              <w:pStyle w:val="Lijstalinea"/>
              <w:spacing w:line="240" w:lineRule="atLeast"/>
              <w:rPr>
                <w:rFonts w:eastAsia="SymbolMT" w:cs="Verdana"/>
              </w:rPr>
            </w:pPr>
          </w:p>
          <w:p w:rsidR="00690DAD" w:rsidP="001068DF" w:rsidRDefault="001068DF" w14:paraId="2162A4CB" w14:textId="77777777">
            <w:pPr>
              <w:pStyle w:val="Lijstalinea"/>
              <w:numPr>
                <w:ilvl w:val="0"/>
                <w:numId w:val="32"/>
              </w:numPr>
              <w:spacing w:line="240" w:lineRule="atLeast"/>
              <w:rPr>
                <w:rFonts w:eastAsia="SymbolMT" w:cs="Verdana"/>
              </w:rPr>
            </w:pPr>
            <w:r>
              <w:rPr>
                <w:rFonts w:eastAsia="SymbolMT" w:cs="Verdana"/>
              </w:rPr>
              <w:t xml:space="preserve">De maatregel is op z’n vroegst uitvoerbaar per belastingjaar 2030. Een </w:t>
            </w:r>
            <w:r w:rsidR="00A73821">
              <w:rPr>
                <w:rFonts w:eastAsia="SymbolMT" w:cs="Verdana"/>
              </w:rPr>
              <w:t>Uitvoeringstoets</w:t>
            </w:r>
            <w:r>
              <w:rPr>
                <w:rFonts w:eastAsia="SymbolMT" w:cs="Verdana"/>
              </w:rPr>
              <w:t xml:space="preserve"> zal moeten uitwijzen wanneer deze wijziging precies uitvoerbaar is omdat dat het ook afhankelijk is van prioritering van andere wetswijzigingen</w:t>
            </w:r>
            <w:r w:rsidR="007410CA">
              <w:rPr>
                <w:rFonts w:eastAsia="SymbolMT" w:cs="Verdana"/>
              </w:rPr>
              <w:t>.</w:t>
            </w:r>
          </w:p>
          <w:p w:rsidRPr="00CE34F2" w:rsidR="007410CA" w:rsidP="00CE34F2" w:rsidRDefault="007410CA" w14:paraId="6058D59D" w14:textId="77777777">
            <w:pPr>
              <w:pStyle w:val="Lijstalinea"/>
              <w:rPr>
                <w:rFonts w:eastAsia="SymbolMT" w:cs="Verdana"/>
              </w:rPr>
            </w:pPr>
          </w:p>
          <w:p w:rsidRPr="007410CA" w:rsidR="00690DAD" w:rsidP="00CE34F2" w:rsidRDefault="00690DAD" w14:paraId="4B07C805" w14:textId="77777777">
            <w:pPr>
              <w:spacing w:line="240" w:lineRule="atLeast"/>
            </w:pPr>
          </w:p>
        </w:tc>
      </w:tr>
      <w:tr w:rsidR="00690DAD" w:rsidTr="00BF378C" w14:paraId="7E224DDE" w14:textId="77777777">
        <w:tc>
          <w:tcPr>
            <w:tcW w:w="3850" w:type="dxa"/>
          </w:tcPr>
          <w:p w:rsidRPr="00637B02" w:rsidR="00690DAD" w:rsidP="00BF378C" w:rsidRDefault="00690DAD" w14:paraId="51BC10C8" w14:textId="77777777">
            <w:pPr>
              <w:rPr>
                <w:b/>
                <w:bCs/>
              </w:rPr>
            </w:pPr>
            <w:r w:rsidRPr="00637B02">
              <w:rPr>
                <w:b/>
                <w:bCs/>
              </w:rPr>
              <w:lastRenderedPageBreak/>
              <w:t>Overig</w:t>
            </w:r>
          </w:p>
        </w:tc>
        <w:tc>
          <w:tcPr>
            <w:tcW w:w="3851" w:type="dxa"/>
          </w:tcPr>
          <w:p w:rsidR="001068DF" w:rsidP="001068DF" w:rsidRDefault="001068DF" w14:paraId="36DCB59A" w14:textId="77777777">
            <w:pPr>
              <w:pStyle w:val="Lijstalinea"/>
              <w:numPr>
                <w:ilvl w:val="0"/>
                <w:numId w:val="34"/>
              </w:numPr>
              <w:spacing w:line="256" w:lineRule="auto"/>
            </w:pPr>
            <w:r w:rsidRPr="00E54C7E">
              <w:t xml:space="preserve">Met </w:t>
            </w:r>
            <w:r>
              <w:t>de overgang van BEWS</w:t>
            </w:r>
            <w:r w:rsidRPr="00E54C7E">
              <w:t xml:space="preserve"> </w:t>
            </w:r>
            <w:r>
              <w:t xml:space="preserve">naar box 3 uiterlijk </w:t>
            </w:r>
            <w:r w:rsidRPr="00E54C7E">
              <w:t>op 1 januari 20</w:t>
            </w:r>
            <w:r>
              <w:t>43</w:t>
            </w:r>
            <w:r w:rsidRPr="00E54C7E">
              <w:t xml:space="preserve"> behoudt de </w:t>
            </w:r>
            <w:r>
              <w:t xml:space="preserve">BEWS </w:t>
            </w:r>
            <w:r w:rsidRPr="00E54C7E">
              <w:t xml:space="preserve">een bijzonder karakter. Op dat moment moet worden vastgesteld voor leningen die </w:t>
            </w:r>
            <w:r w:rsidR="007410CA">
              <w:t xml:space="preserve">overgaan </w:t>
            </w:r>
            <w:r w:rsidRPr="00E54C7E">
              <w:t>naar box</w:t>
            </w:r>
            <w:r w:rsidR="007410CA">
              <w:t> </w:t>
            </w:r>
            <w:r w:rsidRPr="00E54C7E">
              <w:t xml:space="preserve">3 dat </w:t>
            </w:r>
            <w:r w:rsidR="007410CA">
              <w:t>zij</w:t>
            </w:r>
            <w:r w:rsidRPr="00E54C7E" w:rsidR="007410CA">
              <w:t xml:space="preserve"> </w:t>
            </w:r>
            <w:r w:rsidRPr="00E54C7E">
              <w:t xml:space="preserve">nooit meer </w:t>
            </w:r>
            <w:r w:rsidR="007410CA">
              <w:t>in aanmerking kunnen komen voor HRA in</w:t>
            </w:r>
            <w:r w:rsidRPr="00E54C7E" w:rsidR="007410CA">
              <w:t xml:space="preserve"> </w:t>
            </w:r>
            <w:r w:rsidRPr="00E54C7E">
              <w:t>box</w:t>
            </w:r>
            <w:r w:rsidR="007410CA">
              <w:t> </w:t>
            </w:r>
            <w:r w:rsidRPr="00E54C7E">
              <w:t xml:space="preserve">1. </w:t>
            </w:r>
          </w:p>
          <w:p w:rsidRPr="00DD0AB3" w:rsidR="001068DF" w:rsidP="001068DF" w:rsidRDefault="001068DF" w14:paraId="4C2FB2D4" w14:textId="77777777"/>
          <w:p w:rsidRPr="00CE34F2" w:rsidR="00690DAD" w:rsidP="001068DF" w:rsidRDefault="001068DF" w14:paraId="5CEC5FB5" w14:textId="77777777">
            <w:pPr>
              <w:pStyle w:val="Lijstalinea"/>
              <w:numPr>
                <w:ilvl w:val="0"/>
                <w:numId w:val="34"/>
              </w:numPr>
              <w:spacing w:line="256" w:lineRule="auto"/>
            </w:pPr>
            <w:r w:rsidRPr="00DD0AB3">
              <w:rPr>
                <w:rFonts w:eastAsia="SymbolMT" w:cs="Verdana"/>
              </w:rPr>
              <w:t xml:space="preserve">Het is noodzakelijk dat </w:t>
            </w:r>
            <w:r>
              <w:rPr>
                <w:rFonts w:eastAsia="SymbolMT" w:cs="Verdana"/>
              </w:rPr>
              <w:t>vast</w:t>
            </w:r>
            <w:r w:rsidRPr="00DD0AB3">
              <w:rPr>
                <w:rFonts w:eastAsia="SymbolMT" w:cs="Verdana"/>
              </w:rPr>
              <w:t>gesteld word</w:t>
            </w:r>
            <w:r>
              <w:rPr>
                <w:rFonts w:eastAsia="SymbolMT" w:cs="Verdana"/>
              </w:rPr>
              <w:t>t welke</w:t>
            </w:r>
            <w:r w:rsidRPr="00DD0AB3">
              <w:rPr>
                <w:rFonts w:eastAsia="SymbolMT" w:cs="Verdana"/>
              </w:rPr>
              <w:t xml:space="preserve"> leningen een BEWS zijn, ook voor leningen die voor 2013 zijn aangegaan en sindsdien zijn omgezet in een annuïtaire </w:t>
            </w:r>
            <w:r w:rsidRPr="00DD0AB3" w:rsidR="00A73821">
              <w:rPr>
                <w:rFonts w:eastAsia="SymbolMT" w:cs="Verdana"/>
              </w:rPr>
              <w:t>lening.</w:t>
            </w:r>
          </w:p>
          <w:p w:rsidR="007410CA" w:rsidP="00CE34F2" w:rsidRDefault="007410CA" w14:paraId="732083C9" w14:textId="77777777">
            <w:pPr>
              <w:pStyle w:val="Lijstalinea"/>
            </w:pPr>
          </w:p>
          <w:p w:rsidR="00690DAD" w:rsidP="00CE34F2" w:rsidRDefault="00690DAD" w14:paraId="416C987A" w14:textId="77777777">
            <w:pPr>
              <w:spacing w:line="256" w:lineRule="auto"/>
            </w:pPr>
          </w:p>
        </w:tc>
      </w:tr>
    </w:tbl>
    <w:p w:rsidR="00690DAD" w:rsidP="00FF3304" w:rsidRDefault="00690DAD" w14:paraId="05123DC8" w14:textId="77777777"/>
    <w:p w:rsidR="000B08FB" w:rsidP="00FF3304" w:rsidRDefault="000B08FB" w14:paraId="27D8C626" w14:textId="77777777"/>
    <w:p w:rsidR="000B08FB" w:rsidP="00FF3304" w:rsidRDefault="000B08FB" w14:paraId="423664E4" w14:textId="77777777"/>
    <w:p w:rsidR="000B08FB" w:rsidP="00FF3304" w:rsidRDefault="000B08FB" w14:paraId="3BC94470" w14:textId="77777777"/>
    <w:p w:rsidR="000B08FB" w:rsidP="00FF3304" w:rsidRDefault="000B08FB" w14:paraId="33534CB6" w14:textId="77777777"/>
    <w:p w:rsidR="000B08FB" w:rsidP="00FF3304" w:rsidRDefault="000B08FB" w14:paraId="1DB2BBA9" w14:textId="77777777"/>
    <w:p w:rsidR="000B08FB" w:rsidP="00FF3304" w:rsidRDefault="000B08FB" w14:paraId="6CD5F831" w14:textId="77777777"/>
    <w:p w:rsidR="000B08FB" w:rsidP="00FF3304" w:rsidRDefault="000B08FB" w14:paraId="679F59AC" w14:textId="77777777"/>
    <w:p w:rsidR="000B08FB" w:rsidP="00FF3304" w:rsidRDefault="000B08FB" w14:paraId="67400EA6" w14:textId="77777777"/>
    <w:p w:rsidR="000B08FB" w:rsidP="00FF3304" w:rsidRDefault="000B08FB" w14:paraId="1F7ED71D" w14:textId="77777777"/>
    <w:p w:rsidR="000B08FB" w:rsidP="00FF3304" w:rsidRDefault="000B08FB" w14:paraId="600F4116" w14:textId="77777777"/>
    <w:p w:rsidR="000B08FB" w:rsidP="00FF3304" w:rsidRDefault="000B08FB" w14:paraId="4440C2C2" w14:textId="77777777"/>
    <w:p w:rsidR="000B08FB" w:rsidP="00FF3304" w:rsidRDefault="000B08FB" w14:paraId="037C572F" w14:textId="77777777"/>
    <w:p w:rsidR="000B08FB" w:rsidP="00FF3304" w:rsidRDefault="000B08FB" w14:paraId="54295D38" w14:textId="77777777"/>
    <w:p w:rsidR="000B08FB" w:rsidP="00FF3304" w:rsidRDefault="000B08FB" w14:paraId="51EA218F" w14:textId="77777777"/>
    <w:p w:rsidR="000B08FB" w:rsidP="00FF3304" w:rsidRDefault="000B08FB" w14:paraId="1E163A3A" w14:textId="77777777"/>
    <w:p w:rsidR="000B08FB" w:rsidP="00FF3304" w:rsidRDefault="000B08FB" w14:paraId="55C47D4A" w14:textId="77777777"/>
    <w:p w:rsidR="000B08FB" w:rsidP="00FF3304" w:rsidRDefault="000B08FB" w14:paraId="6E075EE4" w14:textId="77777777"/>
    <w:p w:rsidR="000B08FB" w:rsidP="00FF3304" w:rsidRDefault="000B08FB" w14:paraId="2BD036F5" w14:textId="77777777"/>
    <w:p w:rsidR="000B08FB" w:rsidP="00FF3304" w:rsidRDefault="000B08FB" w14:paraId="6DD91EA8" w14:textId="77777777"/>
    <w:p w:rsidR="000B08FB" w:rsidP="00FF3304" w:rsidRDefault="000B08FB" w14:paraId="3D7A0213" w14:textId="77777777"/>
    <w:p w:rsidR="000B08FB" w:rsidP="00FF3304" w:rsidRDefault="000B08FB" w14:paraId="0CAE743D" w14:textId="77777777"/>
    <w:p w:rsidR="005966FA" w:rsidP="000B08FB" w:rsidRDefault="005966FA" w14:paraId="1BADF9C4" w14:textId="77777777">
      <w:pPr>
        <w:pStyle w:val="Kop1"/>
        <w:sectPr w:rsidR="005966FA" w:rsidSect="00CD62EC">
          <w:pgSz w:w="11905" w:h="16837"/>
          <w:pgMar w:top="2641" w:right="963" w:bottom="1077" w:left="3231" w:header="0" w:footer="0" w:gutter="0"/>
          <w:cols w:space="708"/>
        </w:sectPr>
      </w:pPr>
    </w:p>
    <w:p w:rsidRPr="001C4D8B" w:rsidR="000B08FB" w:rsidP="000B08FB" w:rsidRDefault="000B08FB" w14:paraId="7C53911E" w14:textId="77777777">
      <w:pPr>
        <w:pStyle w:val="Kop1"/>
      </w:pPr>
      <w:bookmarkStart w:name="_Toc223516980" w:id="67"/>
      <w:bookmarkStart w:name="_Toc223517867" w:id="68"/>
      <w:bookmarkStart w:name="_Toc226640276" w:id="69"/>
      <w:r w:rsidRPr="001C4D8B">
        <w:lastRenderedPageBreak/>
        <w:t>Bijlage 2 voorbeeldsituaties</w:t>
      </w:r>
      <w:bookmarkEnd w:id="67"/>
      <w:bookmarkEnd w:id="68"/>
      <w:bookmarkEnd w:id="69"/>
    </w:p>
    <w:p w:rsidRPr="000B08FB" w:rsidR="000B08FB" w:rsidP="000B08FB" w:rsidRDefault="000B08FB" w14:paraId="2CF31F97" w14:textId="77777777"/>
    <w:tbl>
      <w:tblPr>
        <w:tblStyle w:val="Onopgemaaktetabel2"/>
        <w:tblW w:w="0" w:type="auto"/>
        <w:tblInd w:w="-1560" w:type="dxa"/>
        <w:tblLook w:val="04A0" w:firstRow="1" w:lastRow="0" w:firstColumn="1" w:lastColumn="0" w:noHBand="0" w:noVBand="1"/>
      </w:tblPr>
      <w:tblGrid>
        <w:gridCol w:w="3687"/>
        <w:gridCol w:w="2748"/>
        <w:gridCol w:w="2748"/>
        <w:gridCol w:w="2748"/>
        <w:gridCol w:w="2748"/>
      </w:tblGrid>
      <w:tr w:rsidR="005966FA" w:rsidTr="00EF464E" w14:paraId="7A601CF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Pr>
          <w:p w:rsidR="005966FA" w:rsidP="00FF3304" w:rsidRDefault="005966FA" w14:paraId="060FA8B8" w14:textId="77777777"/>
        </w:tc>
        <w:tc>
          <w:tcPr>
            <w:tcW w:w="2748" w:type="dxa"/>
          </w:tcPr>
          <w:p w:rsidRPr="005966FA" w:rsidR="005966FA" w:rsidP="005966FA" w:rsidRDefault="005966FA" w14:paraId="21C84B8D" w14:textId="77777777">
            <w:pPr>
              <w:jc w:val="center"/>
              <w:cnfStyle w:val="100000000000" w:firstRow="1" w:lastRow="0" w:firstColumn="0" w:lastColumn="0" w:oddVBand="0" w:evenVBand="0" w:oddHBand="0" w:evenHBand="0" w:firstRowFirstColumn="0" w:firstRowLastColumn="0" w:lastRowFirstColumn="0" w:lastRowLastColumn="0"/>
            </w:pPr>
            <w:r w:rsidRPr="005966FA">
              <w:t>Naomi</w:t>
            </w:r>
          </w:p>
        </w:tc>
        <w:tc>
          <w:tcPr>
            <w:tcW w:w="2748" w:type="dxa"/>
          </w:tcPr>
          <w:p w:rsidRPr="005966FA" w:rsidR="005966FA" w:rsidP="005966FA" w:rsidRDefault="005966FA" w14:paraId="1C071640" w14:textId="77777777">
            <w:pPr>
              <w:jc w:val="center"/>
              <w:cnfStyle w:val="100000000000" w:firstRow="1" w:lastRow="0" w:firstColumn="0" w:lastColumn="0" w:oddVBand="0" w:evenVBand="0" w:oddHBand="0" w:evenHBand="0" w:firstRowFirstColumn="0" w:firstRowLastColumn="0" w:lastRowFirstColumn="0" w:lastRowLastColumn="0"/>
            </w:pPr>
            <w:r w:rsidRPr="005966FA">
              <w:t>Fred</w:t>
            </w:r>
          </w:p>
        </w:tc>
        <w:tc>
          <w:tcPr>
            <w:tcW w:w="2748" w:type="dxa"/>
          </w:tcPr>
          <w:p w:rsidRPr="005966FA" w:rsidR="005966FA" w:rsidP="005966FA" w:rsidRDefault="005966FA" w14:paraId="56ED474D" w14:textId="77777777">
            <w:pPr>
              <w:jc w:val="center"/>
              <w:cnfStyle w:val="100000000000" w:firstRow="1" w:lastRow="0" w:firstColumn="0" w:lastColumn="0" w:oddVBand="0" w:evenVBand="0" w:oddHBand="0" w:evenHBand="0" w:firstRowFirstColumn="0" w:firstRowLastColumn="0" w:lastRowFirstColumn="0" w:lastRowLastColumn="0"/>
            </w:pPr>
            <w:r w:rsidRPr="005966FA">
              <w:t>Tim</w:t>
            </w:r>
          </w:p>
        </w:tc>
        <w:tc>
          <w:tcPr>
            <w:tcW w:w="2748" w:type="dxa"/>
          </w:tcPr>
          <w:p w:rsidRPr="005966FA" w:rsidR="005966FA" w:rsidP="005966FA" w:rsidRDefault="005966FA" w14:paraId="67D53BB2" w14:textId="77777777">
            <w:pPr>
              <w:jc w:val="center"/>
              <w:cnfStyle w:val="100000000000" w:firstRow="1" w:lastRow="0" w:firstColumn="0" w:lastColumn="0" w:oddVBand="0" w:evenVBand="0" w:oddHBand="0" w:evenHBand="0" w:firstRowFirstColumn="0" w:firstRowLastColumn="0" w:lastRowFirstColumn="0" w:lastRowLastColumn="0"/>
            </w:pPr>
            <w:r w:rsidRPr="005966FA">
              <w:t>Anna</w:t>
            </w:r>
          </w:p>
        </w:tc>
      </w:tr>
      <w:tr w:rsidR="005966FA" w:rsidTr="00EF464E" w14:paraId="55083A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vAlign w:val="center"/>
          </w:tcPr>
          <w:p w:rsidRPr="005966FA" w:rsidR="005966FA" w:rsidP="005966FA" w:rsidRDefault="005966FA" w14:paraId="54450361" w14:textId="77777777">
            <w:pPr>
              <w:jc w:val="right"/>
              <w:rPr>
                <w:i/>
                <w:iCs/>
                <w:sz w:val="16"/>
                <w:szCs w:val="16"/>
              </w:rPr>
            </w:pPr>
            <w:proofErr w:type="spellStart"/>
            <w:r w:rsidRPr="005966FA">
              <w:rPr>
                <w:i/>
                <w:iCs/>
                <w:sz w:val="16"/>
                <w:szCs w:val="16"/>
              </w:rPr>
              <w:t>Situatie</w:t>
            </w:r>
            <w:proofErr w:type="spellEnd"/>
          </w:p>
        </w:tc>
        <w:tc>
          <w:tcPr>
            <w:tcW w:w="2748" w:type="dxa"/>
            <w:vAlign w:val="center"/>
          </w:tcPr>
          <w:p w:rsidRPr="00846FCD" w:rsidR="005966FA" w:rsidP="005966FA" w:rsidRDefault="00EF464E" w14:paraId="769F889C"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i/>
                <w:sz w:val="16"/>
                <w:lang w:val="nl-NL"/>
              </w:rPr>
            </w:pPr>
            <w:r w:rsidRPr="00C2202E">
              <w:rPr>
                <w:i/>
                <w:sz w:val="16"/>
                <w:lang w:val="nl-NL"/>
              </w:rPr>
              <w:t>H</w:t>
            </w:r>
            <w:r w:rsidRPr="00C2202E" w:rsidR="005966FA">
              <w:rPr>
                <w:i/>
                <w:sz w:val="16"/>
                <w:lang w:val="nl-NL"/>
              </w:rPr>
              <w:t>eeft op 1 juli 2005 een aflossingsvrije hypotheek afgesloten. Zij heeft de lening sindsdien niet overgesloten en zal dit in de toekomst ook niet doen</w:t>
            </w:r>
          </w:p>
        </w:tc>
        <w:tc>
          <w:tcPr>
            <w:tcW w:w="2748" w:type="dxa"/>
            <w:vAlign w:val="center"/>
          </w:tcPr>
          <w:p w:rsidRPr="00846FCD" w:rsidR="005966FA" w:rsidP="005966FA" w:rsidRDefault="00EF464E" w14:paraId="6148C9D9" w14:textId="77777777">
            <w:pPr>
              <w:jc w:val="center"/>
              <w:cnfStyle w:val="000000100000" w:firstRow="0" w:lastRow="0" w:firstColumn="0" w:lastColumn="0" w:oddVBand="0" w:evenVBand="0" w:oddHBand="1" w:evenHBand="0" w:firstRowFirstColumn="0" w:firstRowLastColumn="0" w:lastRowFirstColumn="0" w:lastRowLastColumn="0"/>
              <w:rPr>
                <w:i/>
                <w:sz w:val="16"/>
                <w:lang w:val="nl-NL"/>
              </w:rPr>
            </w:pPr>
            <w:r w:rsidRPr="00C2202E">
              <w:rPr>
                <w:i/>
                <w:sz w:val="16"/>
                <w:lang w:val="nl-NL"/>
              </w:rPr>
              <w:t>H</w:t>
            </w:r>
            <w:r w:rsidRPr="00C2202E" w:rsidR="005966FA">
              <w:rPr>
                <w:i/>
                <w:sz w:val="16"/>
                <w:lang w:val="nl-NL"/>
              </w:rPr>
              <w:t>eeft op 1 juli 2008 een aflossingsvrije lening afgesloten. Op 1 juli 2030 sluit Fred zijn lening over op een lening met een ten minste annuïtair aflossingsschema van 360 maanden</w:t>
            </w:r>
          </w:p>
        </w:tc>
        <w:tc>
          <w:tcPr>
            <w:tcW w:w="2748" w:type="dxa"/>
            <w:vAlign w:val="center"/>
          </w:tcPr>
          <w:p w:rsidRPr="005966FA" w:rsidR="005966FA" w:rsidP="005966FA" w:rsidRDefault="00EF464E" w14:paraId="4074695E" w14:textId="77777777">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C2202E">
              <w:rPr>
                <w:i/>
                <w:sz w:val="16"/>
                <w:lang w:val="nl-NL"/>
              </w:rPr>
              <w:t>H</w:t>
            </w:r>
            <w:r w:rsidRPr="00C2202E" w:rsidR="005966FA">
              <w:rPr>
                <w:i/>
                <w:sz w:val="16"/>
                <w:lang w:val="nl-NL"/>
              </w:rPr>
              <w:t xml:space="preserve">eeft op 1 juli 2010 een spaarhypotheek afgesloten. Na 30 jaar lost hij de hypotheek in een keer af. </w:t>
            </w:r>
            <w:r w:rsidRPr="005966FA" w:rsidR="005966FA">
              <w:rPr>
                <w:i/>
                <w:iCs/>
                <w:sz w:val="16"/>
                <w:szCs w:val="16"/>
              </w:rPr>
              <w:t xml:space="preserve">Dat is op 1 </w:t>
            </w:r>
            <w:proofErr w:type="spellStart"/>
            <w:r w:rsidRPr="005966FA" w:rsidR="005966FA">
              <w:rPr>
                <w:i/>
                <w:iCs/>
                <w:sz w:val="16"/>
                <w:szCs w:val="16"/>
              </w:rPr>
              <w:t>juli</w:t>
            </w:r>
            <w:proofErr w:type="spellEnd"/>
            <w:r w:rsidRPr="005966FA" w:rsidR="005966FA">
              <w:rPr>
                <w:i/>
                <w:iCs/>
                <w:sz w:val="16"/>
                <w:szCs w:val="16"/>
              </w:rPr>
              <w:t xml:space="preserve"> 2040</w:t>
            </w:r>
          </w:p>
        </w:tc>
        <w:tc>
          <w:tcPr>
            <w:tcW w:w="2748" w:type="dxa"/>
            <w:vAlign w:val="center"/>
          </w:tcPr>
          <w:p w:rsidRPr="00846FCD" w:rsidR="005966FA" w:rsidP="005966FA" w:rsidRDefault="00EF464E" w14:paraId="4CFB0554" w14:textId="77777777">
            <w:pPr>
              <w:jc w:val="center"/>
              <w:cnfStyle w:val="000000100000" w:firstRow="0" w:lastRow="0" w:firstColumn="0" w:lastColumn="0" w:oddVBand="0" w:evenVBand="0" w:oddHBand="1" w:evenHBand="0" w:firstRowFirstColumn="0" w:firstRowLastColumn="0" w:lastRowFirstColumn="0" w:lastRowLastColumn="0"/>
              <w:rPr>
                <w:i/>
                <w:sz w:val="16"/>
                <w:lang w:val="nl-NL"/>
              </w:rPr>
            </w:pPr>
            <w:r w:rsidRPr="00C2202E">
              <w:rPr>
                <w:i/>
                <w:sz w:val="16"/>
                <w:lang w:val="nl-NL"/>
              </w:rPr>
              <w:t>H</w:t>
            </w:r>
            <w:r w:rsidRPr="00C2202E" w:rsidR="005966FA">
              <w:rPr>
                <w:i/>
                <w:sz w:val="16"/>
                <w:lang w:val="nl-NL"/>
              </w:rPr>
              <w:t>eeft op 1 juli 2015 een lening met een ten minste annuïtair aflossingsschema van 360 maanden afgesloten. Op 1 december 2035 verhuist Anna naar een nieuwe wonin</w:t>
            </w:r>
            <w:r w:rsidRPr="00C2202E" w:rsidR="001812BA">
              <w:rPr>
                <w:i/>
                <w:sz w:val="16"/>
                <w:lang w:val="nl-NL"/>
              </w:rPr>
              <w:t xml:space="preserve">g. </w:t>
            </w:r>
            <w:r w:rsidR="00705695">
              <w:rPr>
                <w:i/>
                <w:iCs/>
                <w:sz w:val="16"/>
                <w:szCs w:val="16"/>
                <w:lang w:val="nl-NL"/>
              </w:rPr>
              <w:t>(</w:t>
            </w:r>
            <w:r w:rsidRPr="00C2202E" w:rsidR="00C357AB">
              <w:rPr>
                <w:i/>
                <w:sz w:val="16"/>
                <w:lang w:val="nl-NL"/>
              </w:rPr>
              <w:t xml:space="preserve">De </w:t>
            </w:r>
            <w:proofErr w:type="spellStart"/>
            <w:r w:rsidRPr="00C2202E" w:rsidR="00C357AB">
              <w:rPr>
                <w:i/>
                <w:sz w:val="16"/>
                <w:lang w:val="nl-NL"/>
              </w:rPr>
              <w:t>bijleenregeling</w:t>
            </w:r>
            <w:proofErr w:type="spellEnd"/>
            <w:r w:rsidRPr="00C2202E" w:rsidR="00C357AB">
              <w:rPr>
                <w:i/>
                <w:sz w:val="16"/>
                <w:lang w:val="nl-NL"/>
              </w:rPr>
              <w:t xml:space="preserve"> wordt voor de eenvoud buiten beschouwing gelaten</w:t>
            </w:r>
            <w:r w:rsidR="00C357AB">
              <w:rPr>
                <w:i/>
                <w:iCs/>
                <w:sz w:val="16"/>
                <w:szCs w:val="16"/>
                <w:lang w:val="nl-NL"/>
              </w:rPr>
              <w:t>.</w:t>
            </w:r>
            <w:r w:rsidR="00705695">
              <w:rPr>
                <w:i/>
                <w:iCs/>
                <w:sz w:val="16"/>
                <w:szCs w:val="16"/>
                <w:lang w:val="nl-NL"/>
              </w:rPr>
              <w:t>)</w:t>
            </w:r>
          </w:p>
        </w:tc>
      </w:tr>
      <w:tr w:rsidR="005966FA" w:rsidTr="00EF464E" w14:paraId="3E467FE2" w14:textId="77777777">
        <w:tc>
          <w:tcPr>
            <w:cnfStyle w:val="001000000000" w:firstRow="0" w:lastRow="0" w:firstColumn="1" w:lastColumn="0" w:oddVBand="0" w:evenVBand="0" w:oddHBand="0" w:evenHBand="0" w:firstRowFirstColumn="0" w:firstRowLastColumn="0" w:lastRowFirstColumn="0" w:lastRowLastColumn="0"/>
            <w:tcW w:w="3687" w:type="dxa"/>
            <w:vAlign w:val="center"/>
          </w:tcPr>
          <w:p w:rsidRPr="00846FCD" w:rsidR="005966FA" w:rsidP="005966FA" w:rsidRDefault="005966FA" w14:paraId="37BD5D5F" w14:textId="77777777">
            <w:pPr>
              <w:jc w:val="right"/>
              <w:rPr>
                <w:sz w:val="16"/>
                <w:lang w:val="nl-NL"/>
              </w:rPr>
            </w:pPr>
            <w:bookmarkStart w:name="RANGE!A16" w:id="70"/>
            <w:r w:rsidRPr="00C2202E">
              <w:rPr>
                <w:sz w:val="16"/>
                <w:lang w:val="nl-NL"/>
              </w:rPr>
              <w:t>Fiche 1A: 30-jaarstermijn vervalt en afschaffing hypotheekrenteaftrek voor BEWS per 2031 zonder overgangsregeling</w:t>
            </w:r>
            <w:bookmarkEnd w:id="70"/>
          </w:p>
        </w:tc>
        <w:tc>
          <w:tcPr>
            <w:tcW w:w="2748" w:type="dxa"/>
            <w:vAlign w:val="center"/>
          </w:tcPr>
          <w:p w:rsidRPr="00846FCD" w:rsidR="005966FA" w:rsidP="005966FA" w:rsidRDefault="005966FA" w14:paraId="76B3D229"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Per 1-1-2031 verliest Naomi haar recht op HRA (i.p.v. op 1-7-2035)</w:t>
            </w:r>
          </w:p>
        </w:tc>
        <w:tc>
          <w:tcPr>
            <w:tcW w:w="2748" w:type="dxa"/>
            <w:vAlign w:val="center"/>
          </w:tcPr>
          <w:p w:rsidRPr="00846FCD" w:rsidR="005966FA" w:rsidP="005966FA" w:rsidRDefault="005966FA" w14:paraId="6B926820"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 xml:space="preserve">Per 1-1-2031 verliest Fred zijn recht op HRA (i.p.v. per </w:t>
            </w:r>
            <w:r w:rsidR="00705695">
              <w:rPr>
                <w:sz w:val="16"/>
                <w:szCs w:val="16"/>
                <w:lang w:val="nl-NL"/>
              </w:rPr>
              <w:t>1</w:t>
            </w:r>
            <w:r w:rsidRPr="001812BA">
              <w:rPr>
                <w:sz w:val="16"/>
                <w:szCs w:val="16"/>
                <w:lang w:val="nl-NL"/>
              </w:rPr>
              <w:t>-</w:t>
            </w:r>
            <w:r w:rsidR="00705695">
              <w:rPr>
                <w:sz w:val="16"/>
                <w:szCs w:val="16"/>
                <w:lang w:val="nl-NL"/>
              </w:rPr>
              <w:t>7</w:t>
            </w:r>
            <w:r w:rsidRPr="00C2202E">
              <w:rPr>
                <w:sz w:val="16"/>
                <w:lang w:val="nl-NL"/>
              </w:rPr>
              <w:t>-2038)</w:t>
            </w:r>
          </w:p>
        </w:tc>
        <w:tc>
          <w:tcPr>
            <w:tcW w:w="2748" w:type="dxa"/>
            <w:vAlign w:val="center"/>
          </w:tcPr>
          <w:p w:rsidRPr="00846FCD" w:rsidR="005966FA" w:rsidP="005966FA" w:rsidRDefault="005966FA" w14:paraId="6AB18FEE"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Per 1-1-2031 verliest Tim zijn recht op HRA (i.p.v. per 1-7-2040).</w:t>
            </w:r>
          </w:p>
        </w:tc>
        <w:tc>
          <w:tcPr>
            <w:tcW w:w="2748" w:type="dxa"/>
            <w:vAlign w:val="center"/>
          </w:tcPr>
          <w:p w:rsidRPr="00846FCD" w:rsidR="005966FA" w:rsidP="005966FA" w:rsidRDefault="005966FA" w14:paraId="38EB847D"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Voor Anna wijzigt er niets. Na verhuizing kan zij kan haar bestaande lening meenemen met haar huidige looptijd.</w:t>
            </w:r>
          </w:p>
        </w:tc>
      </w:tr>
      <w:tr w:rsidR="005966FA" w:rsidTr="00EF464E" w14:paraId="45589C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vAlign w:val="center"/>
          </w:tcPr>
          <w:p w:rsidRPr="00846FCD" w:rsidR="005966FA" w:rsidP="005966FA" w:rsidRDefault="005966FA" w14:paraId="31A4DE17" w14:textId="77777777">
            <w:pPr>
              <w:jc w:val="right"/>
              <w:rPr>
                <w:sz w:val="16"/>
                <w:lang w:val="nl-NL"/>
              </w:rPr>
            </w:pPr>
            <w:bookmarkStart w:name="RANGE!A18" w:id="71"/>
            <w:r w:rsidRPr="00C2202E">
              <w:rPr>
                <w:sz w:val="16"/>
                <w:lang w:val="nl-NL"/>
              </w:rPr>
              <w:t xml:space="preserve">Fiche 1B: zoals 1A, maar met overgangsbepaling. Bij oversluiten naar annuïtair aflosschema geldt behoud van HRA </w:t>
            </w:r>
            <w:r w:rsidRPr="00C2202E">
              <w:rPr>
                <w:i/>
                <w:sz w:val="16"/>
                <w:lang w:val="nl-NL"/>
              </w:rPr>
              <w:t>tot en met 2042</w:t>
            </w:r>
            <w:bookmarkEnd w:id="71"/>
          </w:p>
        </w:tc>
        <w:tc>
          <w:tcPr>
            <w:tcW w:w="2748" w:type="dxa"/>
            <w:vAlign w:val="center"/>
          </w:tcPr>
          <w:p w:rsidRPr="00846FCD" w:rsidR="005966FA" w:rsidP="005966FA" w:rsidRDefault="00EF464E" w14:paraId="1CE8DBCB"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P</w:t>
            </w:r>
            <w:r w:rsidRPr="00C2202E" w:rsidR="005966FA">
              <w:rPr>
                <w:sz w:val="16"/>
                <w:lang w:val="nl-NL"/>
              </w:rPr>
              <w:t>er 1-1-2031 verliest Naomi haar recht op HRA (i.p.v. op 1-7-2035)</w:t>
            </w:r>
          </w:p>
        </w:tc>
        <w:tc>
          <w:tcPr>
            <w:tcW w:w="2748" w:type="dxa"/>
            <w:vAlign w:val="center"/>
          </w:tcPr>
          <w:p w:rsidRPr="00846FCD" w:rsidR="005966FA" w:rsidP="005966FA" w:rsidRDefault="005966FA" w14:paraId="2C44C082"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 xml:space="preserve">Behoudt zijn recht op HRA tot 2043 (i.p.v. tot </w:t>
            </w:r>
            <w:r w:rsidR="00705695">
              <w:rPr>
                <w:sz w:val="16"/>
                <w:szCs w:val="16"/>
                <w:lang w:val="nl-NL"/>
              </w:rPr>
              <w:t>1</w:t>
            </w:r>
            <w:r w:rsidRPr="001812BA">
              <w:rPr>
                <w:sz w:val="16"/>
                <w:szCs w:val="16"/>
                <w:lang w:val="nl-NL"/>
              </w:rPr>
              <w:t>-</w:t>
            </w:r>
            <w:r w:rsidR="00705695">
              <w:rPr>
                <w:sz w:val="16"/>
                <w:szCs w:val="16"/>
                <w:lang w:val="nl-NL"/>
              </w:rPr>
              <w:t>7</w:t>
            </w:r>
            <w:r w:rsidRPr="00C2202E">
              <w:rPr>
                <w:sz w:val="16"/>
                <w:lang w:val="nl-NL"/>
              </w:rPr>
              <w:t>-2038).</w:t>
            </w:r>
          </w:p>
        </w:tc>
        <w:tc>
          <w:tcPr>
            <w:tcW w:w="2748" w:type="dxa"/>
            <w:vAlign w:val="center"/>
          </w:tcPr>
          <w:p w:rsidRPr="00846FCD" w:rsidR="005966FA" w:rsidP="005966FA" w:rsidRDefault="005966FA" w14:paraId="6499F2D2"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Heeft recht op HRA tot het einde van zijn spaarproduct (1-7-2040</w:t>
            </w:r>
            <w:r w:rsidRPr="001812BA">
              <w:rPr>
                <w:sz w:val="16"/>
                <w:szCs w:val="16"/>
                <w:lang w:val="nl-NL"/>
              </w:rPr>
              <w:t>)</w:t>
            </w:r>
            <w:r w:rsidR="00705695">
              <w:rPr>
                <w:sz w:val="16"/>
                <w:szCs w:val="16"/>
                <w:lang w:val="nl-NL"/>
              </w:rPr>
              <w:t>.</w:t>
            </w:r>
          </w:p>
        </w:tc>
        <w:tc>
          <w:tcPr>
            <w:tcW w:w="2748" w:type="dxa"/>
            <w:vAlign w:val="center"/>
          </w:tcPr>
          <w:p w:rsidRPr="00846FCD" w:rsidR="005966FA" w:rsidP="005966FA" w:rsidRDefault="005966FA" w14:paraId="010559F4"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Voor Anna wijzigt er niets. Na verhuizing kan zij kan haar bestaande lening meenemen met haar huidige looptijd</w:t>
            </w:r>
            <w:r w:rsidR="00705695">
              <w:rPr>
                <w:sz w:val="16"/>
                <w:szCs w:val="16"/>
                <w:lang w:val="nl-NL"/>
              </w:rPr>
              <w:t>.</w:t>
            </w:r>
          </w:p>
        </w:tc>
      </w:tr>
      <w:tr w:rsidR="005966FA" w:rsidTr="00EF464E" w14:paraId="12382A2C" w14:textId="77777777">
        <w:tc>
          <w:tcPr>
            <w:cnfStyle w:val="001000000000" w:firstRow="0" w:lastRow="0" w:firstColumn="1" w:lastColumn="0" w:oddVBand="0" w:evenVBand="0" w:oddHBand="0" w:evenHBand="0" w:firstRowFirstColumn="0" w:firstRowLastColumn="0" w:lastRowFirstColumn="0" w:lastRowLastColumn="0"/>
            <w:tcW w:w="3687" w:type="dxa"/>
            <w:vAlign w:val="center"/>
          </w:tcPr>
          <w:p w:rsidRPr="00846FCD" w:rsidR="005966FA" w:rsidP="005966FA" w:rsidRDefault="005966FA" w14:paraId="736CC044" w14:textId="77777777">
            <w:pPr>
              <w:jc w:val="right"/>
              <w:rPr>
                <w:sz w:val="16"/>
                <w:lang w:val="nl-NL"/>
              </w:rPr>
            </w:pPr>
            <w:bookmarkStart w:name="RANGE!A20" w:id="72"/>
            <w:r w:rsidRPr="00C2202E">
              <w:rPr>
                <w:sz w:val="16"/>
                <w:lang w:val="nl-NL"/>
              </w:rPr>
              <w:t xml:space="preserve">Fiche 1C: zoals 1A, maar met overgangsbepaling. Bij oversluiten naar annuïtair aflosschema geldt behoud van HRA </w:t>
            </w:r>
            <w:r w:rsidRPr="00C2202E">
              <w:rPr>
                <w:i/>
                <w:sz w:val="16"/>
                <w:lang w:val="nl-NL"/>
              </w:rPr>
              <w:t>tot einde looptijd lening</w:t>
            </w:r>
            <w:bookmarkEnd w:id="72"/>
          </w:p>
        </w:tc>
        <w:tc>
          <w:tcPr>
            <w:tcW w:w="2748" w:type="dxa"/>
            <w:vAlign w:val="center"/>
          </w:tcPr>
          <w:p w:rsidRPr="00846FCD" w:rsidR="005966FA" w:rsidP="005966FA" w:rsidRDefault="00EF464E" w14:paraId="2E18EC69"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P</w:t>
            </w:r>
            <w:r w:rsidRPr="00C2202E" w:rsidR="005966FA">
              <w:rPr>
                <w:sz w:val="16"/>
                <w:lang w:val="nl-NL"/>
              </w:rPr>
              <w:t>er 1-1-2031 verliest Naomi haar recht op HRA (i.p.v. op 1-7-2035).</w:t>
            </w:r>
          </w:p>
        </w:tc>
        <w:tc>
          <w:tcPr>
            <w:tcW w:w="2748" w:type="dxa"/>
            <w:vAlign w:val="center"/>
          </w:tcPr>
          <w:p w:rsidRPr="00846FCD" w:rsidR="005966FA" w:rsidP="005966FA" w:rsidRDefault="005966FA" w14:paraId="0D324DCA"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Fred behoudt zijn recht op HRA tot hij zijn lening heeft afgelost op 30-6-2060</w:t>
            </w:r>
            <w:r w:rsidR="00705695">
              <w:rPr>
                <w:sz w:val="16"/>
                <w:szCs w:val="16"/>
                <w:lang w:val="nl-NL"/>
              </w:rPr>
              <w:t>.</w:t>
            </w:r>
          </w:p>
        </w:tc>
        <w:tc>
          <w:tcPr>
            <w:tcW w:w="2748" w:type="dxa"/>
            <w:vAlign w:val="center"/>
          </w:tcPr>
          <w:p w:rsidRPr="00846FCD" w:rsidR="005966FA" w:rsidP="005966FA" w:rsidRDefault="00EF464E" w14:paraId="5DDF0976"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H</w:t>
            </w:r>
            <w:r w:rsidRPr="00C2202E" w:rsidR="005966FA">
              <w:rPr>
                <w:sz w:val="16"/>
                <w:lang w:val="nl-NL"/>
              </w:rPr>
              <w:t>eeft recht op HRA tot het einde van zijn spaarproduct (1-7-2040</w:t>
            </w:r>
            <w:r w:rsidRPr="00EF464E" w:rsidR="005966FA">
              <w:rPr>
                <w:sz w:val="16"/>
                <w:szCs w:val="16"/>
                <w:lang w:val="nl-NL"/>
              </w:rPr>
              <w:t>)</w:t>
            </w:r>
            <w:r w:rsidR="00705695">
              <w:rPr>
                <w:sz w:val="16"/>
                <w:szCs w:val="16"/>
                <w:lang w:val="nl-NL"/>
              </w:rPr>
              <w:t>.</w:t>
            </w:r>
          </w:p>
        </w:tc>
        <w:tc>
          <w:tcPr>
            <w:tcW w:w="2748" w:type="dxa"/>
            <w:vAlign w:val="center"/>
          </w:tcPr>
          <w:p w:rsidRPr="00846FCD" w:rsidR="005966FA" w:rsidP="005966FA" w:rsidRDefault="005966FA" w14:paraId="507ACDDB"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Voor Anna wijzigt er niets. Na verhuizing kan zij kan haar bestaande lening meenemen met haar huidige looptijd</w:t>
            </w:r>
            <w:r w:rsidR="00705695">
              <w:rPr>
                <w:sz w:val="16"/>
                <w:szCs w:val="16"/>
                <w:lang w:val="nl-NL"/>
              </w:rPr>
              <w:t>.</w:t>
            </w:r>
          </w:p>
        </w:tc>
      </w:tr>
      <w:tr w:rsidR="005966FA" w:rsidTr="00EF464E" w14:paraId="471D42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vAlign w:val="center"/>
          </w:tcPr>
          <w:p w:rsidRPr="00846FCD" w:rsidR="005966FA" w:rsidP="005966FA" w:rsidRDefault="005966FA" w14:paraId="0FB684C6" w14:textId="77777777">
            <w:pPr>
              <w:jc w:val="right"/>
              <w:rPr>
                <w:sz w:val="16"/>
                <w:lang w:val="nl-NL"/>
              </w:rPr>
            </w:pPr>
            <w:bookmarkStart w:name="RANGE!A22" w:id="73"/>
            <w:r w:rsidRPr="00C2202E">
              <w:rPr>
                <w:sz w:val="16"/>
                <w:lang w:val="nl-NL"/>
              </w:rPr>
              <w:t>Fiche 1D: zoals 1C, maar met uitbreiding voor leningen van na 1-1-2013</w:t>
            </w:r>
            <w:bookmarkEnd w:id="73"/>
          </w:p>
        </w:tc>
        <w:tc>
          <w:tcPr>
            <w:tcW w:w="2748" w:type="dxa"/>
            <w:vAlign w:val="center"/>
          </w:tcPr>
          <w:p w:rsidRPr="00846FCD" w:rsidR="005966FA" w:rsidP="005966FA" w:rsidRDefault="00EF464E" w14:paraId="6810488A"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P</w:t>
            </w:r>
            <w:r w:rsidRPr="00C2202E" w:rsidR="005966FA">
              <w:rPr>
                <w:sz w:val="16"/>
                <w:lang w:val="nl-NL"/>
              </w:rPr>
              <w:t>er 1-1-2031 verliest Naomi haar recht op HRA (i.p.v. op 1-7-2035).</w:t>
            </w:r>
          </w:p>
        </w:tc>
        <w:tc>
          <w:tcPr>
            <w:tcW w:w="2748" w:type="dxa"/>
            <w:vAlign w:val="center"/>
          </w:tcPr>
          <w:p w:rsidRPr="00846FCD" w:rsidR="005966FA" w:rsidP="005966FA" w:rsidRDefault="005966FA" w14:paraId="53BBC134"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Fred behoudt zijn recht op HRA tot hij zijn lening heeft afgelost op 30-6-2060</w:t>
            </w:r>
            <w:r w:rsidR="00705695">
              <w:rPr>
                <w:sz w:val="16"/>
                <w:szCs w:val="16"/>
                <w:lang w:val="nl-NL"/>
              </w:rPr>
              <w:t>.</w:t>
            </w:r>
          </w:p>
        </w:tc>
        <w:tc>
          <w:tcPr>
            <w:tcW w:w="2748" w:type="dxa"/>
            <w:vAlign w:val="center"/>
          </w:tcPr>
          <w:p w:rsidRPr="00846FCD" w:rsidR="005966FA" w:rsidP="005966FA" w:rsidRDefault="00EF464E" w14:paraId="64EFD762"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H</w:t>
            </w:r>
            <w:r w:rsidRPr="00C2202E" w:rsidR="005966FA">
              <w:rPr>
                <w:sz w:val="16"/>
                <w:lang w:val="nl-NL"/>
              </w:rPr>
              <w:t>eeft recht op HRA tot het einde van zijn spaarproduct (1-7-2040</w:t>
            </w:r>
            <w:r w:rsidRPr="00EF464E" w:rsidR="005966FA">
              <w:rPr>
                <w:sz w:val="16"/>
                <w:szCs w:val="16"/>
                <w:lang w:val="nl-NL"/>
              </w:rPr>
              <w:t>)</w:t>
            </w:r>
            <w:r w:rsidR="00705695">
              <w:rPr>
                <w:sz w:val="16"/>
                <w:szCs w:val="16"/>
                <w:lang w:val="nl-NL"/>
              </w:rPr>
              <w:t>.</w:t>
            </w:r>
          </w:p>
        </w:tc>
        <w:tc>
          <w:tcPr>
            <w:tcW w:w="2748" w:type="dxa"/>
            <w:vAlign w:val="center"/>
          </w:tcPr>
          <w:p w:rsidRPr="00846FCD" w:rsidR="005966FA" w:rsidP="005966FA" w:rsidRDefault="005966FA" w14:paraId="6026AF3B"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 xml:space="preserve">Anna kan bij haar verhuizing haar bestaande lening oversluiten met opnieuw een </w:t>
            </w:r>
            <w:r w:rsidRPr="00C2202E">
              <w:rPr>
                <w:sz w:val="16"/>
                <w:lang w:val="nl-NL"/>
              </w:rPr>
              <w:lastRenderedPageBreak/>
              <w:t xml:space="preserve">looptijd van 360 maanden. Ze heeft hierdoor recht op HRA tot 1-12-2065 (i.p.v. tot </w:t>
            </w:r>
            <w:r w:rsidR="00705695">
              <w:rPr>
                <w:sz w:val="16"/>
                <w:szCs w:val="16"/>
                <w:lang w:val="nl-NL"/>
              </w:rPr>
              <w:t>1</w:t>
            </w:r>
            <w:r w:rsidRPr="001812BA">
              <w:rPr>
                <w:sz w:val="16"/>
                <w:szCs w:val="16"/>
                <w:lang w:val="nl-NL"/>
              </w:rPr>
              <w:t>-</w:t>
            </w:r>
            <w:r w:rsidR="00705695">
              <w:rPr>
                <w:sz w:val="16"/>
                <w:szCs w:val="16"/>
                <w:lang w:val="nl-NL"/>
              </w:rPr>
              <w:t>7</w:t>
            </w:r>
            <w:r w:rsidRPr="00C2202E">
              <w:rPr>
                <w:sz w:val="16"/>
                <w:lang w:val="nl-NL"/>
              </w:rPr>
              <w:t>-2045</w:t>
            </w:r>
            <w:r w:rsidRPr="001812BA">
              <w:rPr>
                <w:sz w:val="16"/>
                <w:szCs w:val="16"/>
                <w:lang w:val="nl-NL"/>
              </w:rPr>
              <w:t>)</w:t>
            </w:r>
            <w:r w:rsidR="00705695">
              <w:rPr>
                <w:sz w:val="16"/>
                <w:szCs w:val="16"/>
                <w:lang w:val="nl-NL"/>
              </w:rPr>
              <w:t>.</w:t>
            </w:r>
          </w:p>
        </w:tc>
      </w:tr>
      <w:tr w:rsidR="005966FA" w:rsidTr="00EF464E" w14:paraId="342BCEAE" w14:textId="77777777">
        <w:tc>
          <w:tcPr>
            <w:cnfStyle w:val="001000000000" w:firstRow="0" w:lastRow="0" w:firstColumn="1" w:lastColumn="0" w:oddVBand="0" w:evenVBand="0" w:oddHBand="0" w:evenHBand="0" w:firstRowFirstColumn="0" w:firstRowLastColumn="0" w:lastRowFirstColumn="0" w:lastRowLastColumn="0"/>
            <w:tcW w:w="3687" w:type="dxa"/>
            <w:vAlign w:val="center"/>
          </w:tcPr>
          <w:p w:rsidRPr="00846FCD" w:rsidR="005966FA" w:rsidP="005966FA" w:rsidRDefault="005966FA" w14:paraId="487DA6DA" w14:textId="77777777">
            <w:pPr>
              <w:jc w:val="right"/>
              <w:rPr>
                <w:sz w:val="16"/>
                <w:lang w:val="nl-NL"/>
              </w:rPr>
            </w:pPr>
            <w:bookmarkStart w:name="RANGE!A25" w:id="74"/>
            <w:r w:rsidRPr="00C2202E">
              <w:rPr>
                <w:sz w:val="16"/>
                <w:lang w:val="nl-NL"/>
              </w:rPr>
              <w:lastRenderedPageBreak/>
              <w:t>Fiche 2A: Afschaffing 30-jaarstermijn en HRA BEWS per 2043 (fiche 1A per 2043 i.p.v. 2031)</w:t>
            </w:r>
            <w:bookmarkEnd w:id="74"/>
          </w:p>
        </w:tc>
        <w:tc>
          <w:tcPr>
            <w:tcW w:w="2748" w:type="dxa"/>
            <w:vAlign w:val="center"/>
          </w:tcPr>
          <w:p w:rsidRPr="00846FCD" w:rsidR="005966FA" w:rsidP="005966FA" w:rsidRDefault="00EF464E" w14:paraId="1776D702"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B</w:t>
            </w:r>
            <w:r w:rsidRPr="00C2202E" w:rsidR="005966FA">
              <w:rPr>
                <w:sz w:val="16"/>
                <w:lang w:val="nl-NL"/>
              </w:rPr>
              <w:t xml:space="preserve">ehoudt haar recht op HRA tot 2043 (i.p.v. </w:t>
            </w:r>
            <w:r w:rsidR="00705695">
              <w:rPr>
                <w:sz w:val="16"/>
                <w:szCs w:val="16"/>
                <w:lang w:val="nl-NL"/>
              </w:rPr>
              <w:t>tot</w:t>
            </w:r>
            <w:r w:rsidRPr="00EF464E" w:rsidR="00705695">
              <w:rPr>
                <w:sz w:val="16"/>
                <w:szCs w:val="16"/>
                <w:lang w:val="nl-NL"/>
              </w:rPr>
              <w:t xml:space="preserve"> </w:t>
            </w:r>
            <w:r w:rsidR="00705695">
              <w:rPr>
                <w:sz w:val="16"/>
                <w:szCs w:val="16"/>
                <w:lang w:val="nl-NL"/>
              </w:rPr>
              <w:t>1</w:t>
            </w:r>
            <w:r w:rsidRPr="00EF464E" w:rsidR="005966FA">
              <w:rPr>
                <w:sz w:val="16"/>
                <w:szCs w:val="16"/>
                <w:lang w:val="nl-NL"/>
              </w:rPr>
              <w:t>-</w:t>
            </w:r>
            <w:r w:rsidR="00705695">
              <w:rPr>
                <w:sz w:val="16"/>
                <w:szCs w:val="16"/>
                <w:lang w:val="nl-NL"/>
              </w:rPr>
              <w:t>7</w:t>
            </w:r>
            <w:r w:rsidRPr="00CF1ABF" w:rsidR="005966FA">
              <w:rPr>
                <w:sz w:val="16"/>
                <w:lang w:val="nl-NL"/>
              </w:rPr>
              <w:t>-2035</w:t>
            </w:r>
            <w:r w:rsidRPr="00EF464E" w:rsidR="005966FA">
              <w:rPr>
                <w:sz w:val="16"/>
                <w:szCs w:val="16"/>
                <w:lang w:val="nl-NL"/>
              </w:rPr>
              <w:t>)</w:t>
            </w:r>
            <w:r w:rsidR="00705695">
              <w:rPr>
                <w:sz w:val="16"/>
                <w:szCs w:val="16"/>
                <w:lang w:val="nl-NL"/>
              </w:rPr>
              <w:t>.</w:t>
            </w:r>
          </w:p>
        </w:tc>
        <w:tc>
          <w:tcPr>
            <w:tcW w:w="2748" w:type="dxa"/>
            <w:vAlign w:val="center"/>
          </w:tcPr>
          <w:p w:rsidRPr="00846FCD" w:rsidR="005966FA" w:rsidP="005966FA" w:rsidRDefault="00EF464E" w14:paraId="45232B16"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B</w:t>
            </w:r>
            <w:r w:rsidRPr="00C2202E" w:rsidR="005966FA">
              <w:rPr>
                <w:sz w:val="16"/>
                <w:lang w:val="nl-NL"/>
              </w:rPr>
              <w:t xml:space="preserve">ehoudt zijn recht op HRA tot 2043 (ook als hij zijn lening niet oversluit) (i.p.v. </w:t>
            </w:r>
            <w:r w:rsidR="00705695">
              <w:rPr>
                <w:sz w:val="16"/>
                <w:szCs w:val="16"/>
                <w:lang w:val="nl-NL"/>
              </w:rPr>
              <w:t>tot</w:t>
            </w:r>
            <w:r w:rsidRPr="00EF464E" w:rsidR="00705695">
              <w:rPr>
                <w:sz w:val="16"/>
                <w:szCs w:val="16"/>
                <w:lang w:val="nl-NL"/>
              </w:rPr>
              <w:t xml:space="preserve"> </w:t>
            </w:r>
            <w:r w:rsidR="00705695">
              <w:rPr>
                <w:sz w:val="16"/>
                <w:szCs w:val="16"/>
                <w:lang w:val="nl-NL"/>
              </w:rPr>
              <w:t>1</w:t>
            </w:r>
            <w:r w:rsidRPr="00EF464E" w:rsidR="005966FA">
              <w:rPr>
                <w:sz w:val="16"/>
                <w:szCs w:val="16"/>
                <w:lang w:val="nl-NL"/>
              </w:rPr>
              <w:t>-</w:t>
            </w:r>
            <w:r w:rsidR="00705695">
              <w:rPr>
                <w:sz w:val="16"/>
                <w:szCs w:val="16"/>
                <w:lang w:val="nl-NL"/>
              </w:rPr>
              <w:t>7</w:t>
            </w:r>
            <w:r w:rsidRPr="00CF1ABF" w:rsidR="005966FA">
              <w:rPr>
                <w:sz w:val="16"/>
                <w:lang w:val="nl-NL"/>
              </w:rPr>
              <w:t>-2038</w:t>
            </w:r>
            <w:r w:rsidRPr="00EF464E" w:rsidR="005966FA">
              <w:rPr>
                <w:sz w:val="16"/>
                <w:szCs w:val="16"/>
                <w:lang w:val="nl-NL"/>
              </w:rPr>
              <w:t>)</w:t>
            </w:r>
            <w:r w:rsidR="00705695">
              <w:rPr>
                <w:sz w:val="16"/>
                <w:szCs w:val="16"/>
                <w:lang w:val="nl-NL"/>
              </w:rPr>
              <w:t>.</w:t>
            </w:r>
          </w:p>
        </w:tc>
        <w:tc>
          <w:tcPr>
            <w:tcW w:w="2748" w:type="dxa"/>
            <w:vAlign w:val="center"/>
          </w:tcPr>
          <w:p w:rsidRPr="00846FCD" w:rsidR="005966FA" w:rsidP="005966FA" w:rsidRDefault="00EF464E" w14:paraId="7138D025"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H</w:t>
            </w:r>
            <w:r w:rsidRPr="00C2202E" w:rsidR="005966FA">
              <w:rPr>
                <w:sz w:val="16"/>
                <w:lang w:val="nl-NL"/>
              </w:rPr>
              <w:t>eeft recht op HRA tot het einde van zijn spaarproduct (1-7-2040</w:t>
            </w:r>
            <w:r w:rsidRPr="00EF464E" w:rsidR="005966FA">
              <w:rPr>
                <w:sz w:val="16"/>
                <w:szCs w:val="16"/>
                <w:lang w:val="nl-NL"/>
              </w:rPr>
              <w:t>)</w:t>
            </w:r>
            <w:r w:rsidR="00705695">
              <w:rPr>
                <w:sz w:val="16"/>
                <w:szCs w:val="16"/>
                <w:lang w:val="nl-NL"/>
              </w:rPr>
              <w:t>.</w:t>
            </w:r>
          </w:p>
        </w:tc>
        <w:tc>
          <w:tcPr>
            <w:tcW w:w="2748" w:type="dxa"/>
            <w:vAlign w:val="center"/>
          </w:tcPr>
          <w:p w:rsidRPr="00846FCD" w:rsidR="005966FA" w:rsidP="005966FA" w:rsidRDefault="005966FA" w14:paraId="2B95FD86"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Voor Anna wijzigt er niets. Na verhuizing kan zij kan haar bestaande lening meenemen met haar huidige looptijd</w:t>
            </w:r>
            <w:r w:rsidR="00705695">
              <w:rPr>
                <w:sz w:val="16"/>
                <w:szCs w:val="16"/>
                <w:lang w:val="nl-NL"/>
              </w:rPr>
              <w:t>.</w:t>
            </w:r>
          </w:p>
        </w:tc>
      </w:tr>
      <w:tr w:rsidR="005966FA" w:rsidTr="00EF464E" w14:paraId="1BC271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vAlign w:val="center"/>
          </w:tcPr>
          <w:p w:rsidRPr="00846FCD" w:rsidR="005966FA" w:rsidP="005966FA" w:rsidRDefault="005966FA" w14:paraId="0FA4AA41" w14:textId="77777777">
            <w:pPr>
              <w:jc w:val="right"/>
              <w:rPr>
                <w:sz w:val="16"/>
                <w:lang w:val="nl-NL"/>
              </w:rPr>
            </w:pPr>
            <w:bookmarkStart w:name="RANGE!A27" w:id="75"/>
            <w:r w:rsidRPr="00C2202E">
              <w:rPr>
                <w:sz w:val="16"/>
                <w:lang w:val="nl-NL"/>
              </w:rPr>
              <w:t>Fiche 2B: zoals 2A, maar met uitbreiding voor leningen van na 1-1-2013</w:t>
            </w:r>
            <w:bookmarkEnd w:id="75"/>
          </w:p>
        </w:tc>
        <w:tc>
          <w:tcPr>
            <w:tcW w:w="2748" w:type="dxa"/>
            <w:vAlign w:val="center"/>
          </w:tcPr>
          <w:p w:rsidRPr="00846FCD" w:rsidR="005966FA" w:rsidP="005966FA" w:rsidRDefault="00EF464E" w14:paraId="3B242634"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K</w:t>
            </w:r>
            <w:r w:rsidRPr="00C2202E" w:rsidR="005966FA">
              <w:rPr>
                <w:sz w:val="16"/>
                <w:lang w:val="nl-NL"/>
              </w:rPr>
              <w:t xml:space="preserve">rijgt recht op HRA tot 2043 (i.p.v. </w:t>
            </w:r>
            <w:r w:rsidR="00705695">
              <w:rPr>
                <w:sz w:val="16"/>
                <w:szCs w:val="16"/>
                <w:lang w:val="nl-NL"/>
              </w:rPr>
              <w:t>tot</w:t>
            </w:r>
            <w:r w:rsidRPr="00EF464E" w:rsidR="005966FA">
              <w:rPr>
                <w:sz w:val="16"/>
                <w:szCs w:val="16"/>
                <w:lang w:val="nl-NL"/>
              </w:rPr>
              <w:t xml:space="preserve"> </w:t>
            </w:r>
            <w:r w:rsidR="00705695">
              <w:rPr>
                <w:sz w:val="16"/>
                <w:szCs w:val="16"/>
                <w:lang w:val="nl-NL"/>
              </w:rPr>
              <w:t>1</w:t>
            </w:r>
            <w:r w:rsidRPr="00EF464E" w:rsidR="005966FA">
              <w:rPr>
                <w:sz w:val="16"/>
                <w:szCs w:val="16"/>
                <w:lang w:val="nl-NL"/>
              </w:rPr>
              <w:t>-</w:t>
            </w:r>
            <w:r w:rsidR="00705695">
              <w:rPr>
                <w:sz w:val="16"/>
                <w:szCs w:val="16"/>
                <w:lang w:val="nl-NL"/>
              </w:rPr>
              <w:t>7</w:t>
            </w:r>
            <w:r w:rsidRPr="00CF1ABF" w:rsidR="005966FA">
              <w:rPr>
                <w:sz w:val="16"/>
                <w:lang w:val="nl-NL"/>
              </w:rPr>
              <w:t>-2035).</w:t>
            </w:r>
          </w:p>
        </w:tc>
        <w:tc>
          <w:tcPr>
            <w:tcW w:w="2748" w:type="dxa"/>
            <w:vAlign w:val="center"/>
          </w:tcPr>
          <w:p w:rsidRPr="00846FCD" w:rsidR="005966FA" w:rsidP="005966FA" w:rsidRDefault="00EF464E" w14:paraId="74DA6145"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K</w:t>
            </w:r>
            <w:r w:rsidRPr="00C2202E" w:rsidR="005966FA">
              <w:rPr>
                <w:sz w:val="16"/>
                <w:lang w:val="nl-NL"/>
              </w:rPr>
              <w:t xml:space="preserve">rijgt recht op HRA tot 2043 (ook als hij zijn lening niet oversluit) (i.p.v. </w:t>
            </w:r>
            <w:r w:rsidR="00705695">
              <w:rPr>
                <w:sz w:val="16"/>
                <w:szCs w:val="16"/>
                <w:lang w:val="nl-NL"/>
              </w:rPr>
              <w:t>tot</w:t>
            </w:r>
            <w:r w:rsidRPr="00EF464E" w:rsidR="00705695">
              <w:rPr>
                <w:sz w:val="16"/>
                <w:szCs w:val="16"/>
                <w:lang w:val="nl-NL"/>
              </w:rPr>
              <w:t xml:space="preserve"> </w:t>
            </w:r>
            <w:r w:rsidR="00705695">
              <w:rPr>
                <w:sz w:val="16"/>
                <w:szCs w:val="16"/>
                <w:lang w:val="nl-NL"/>
              </w:rPr>
              <w:t>1</w:t>
            </w:r>
            <w:r w:rsidRPr="00EF464E" w:rsidR="005966FA">
              <w:rPr>
                <w:sz w:val="16"/>
                <w:szCs w:val="16"/>
                <w:lang w:val="nl-NL"/>
              </w:rPr>
              <w:t>-</w:t>
            </w:r>
            <w:r w:rsidR="00705695">
              <w:rPr>
                <w:sz w:val="16"/>
                <w:szCs w:val="16"/>
                <w:lang w:val="nl-NL"/>
              </w:rPr>
              <w:t>7</w:t>
            </w:r>
            <w:r w:rsidRPr="00CF1ABF" w:rsidR="005966FA">
              <w:rPr>
                <w:sz w:val="16"/>
                <w:lang w:val="nl-NL"/>
              </w:rPr>
              <w:t>-2038</w:t>
            </w:r>
            <w:r w:rsidR="00705695">
              <w:rPr>
                <w:sz w:val="16"/>
                <w:szCs w:val="16"/>
                <w:lang w:val="nl-NL"/>
              </w:rPr>
              <w:t>).</w:t>
            </w:r>
          </w:p>
        </w:tc>
        <w:tc>
          <w:tcPr>
            <w:tcW w:w="2748" w:type="dxa"/>
            <w:vAlign w:val="center"/>
          </w:tcPr>
          <w:p w:rsidRPr="00846FCD" w:rsidR="005966FA" w:rsidP="005966FA" w:rsidRDefault="00EF464E" w14:paraId="78D27FBC"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H</w:t>
            </w:r>
            <w:r w:rsidRPr="00C2202E" w:rsidR="005966FA">
              <w:rPr>
                <w:sz w:val="16"/>
                <w:lang w:val="nl-NL"/>
              </w:rPr>
              <w:t>eeft recht op HRA tot het einde van zijn spaarproduct (1-7-2040</w:t>
            </w:r>
            <w:r w:rsidR="00705695">
              <w:rPr>
                <w:sz w:val="16"/>
                <w:szCs w:val="16"/>
                <w:lang w:val="nl-NL"/>
              </w:rPr>
              <w:t>).</w:t>
            </w:r>
          </w:p>
        </w:tc>
        <w:tc>
          <w:tcPr>
            <w:tcW w:w="2748" w:type="dxa"/>
            <w:vAlign w:val="center"/>
          </w:tcPr>
          <w:p w:rsidRPr="00846FCD" w:rsidR="005966FA" w:rsidP="005966FA" w:rsidRDefault="005966FA" w14:paraId="3E7B5040" w14:textId="77777777">
            <w:pPr>
              <w:jc w:val="center"/>
              <w:cnfStyle w:val="000000100000" w:firstRow="0" w:lastRow="0" w:firstColumn="0" w:lastColumn="0" w:oddVBand="0" w:evenVBand="0" w:oddHBand="1" w:evenHBand="0" w:firstRowFirstColumn="0" w:firstRowLastColumn="0" w:lastRowFirstColumn="0" w:lastRowLastColumn="0"/>
              <w:rPr>
                <w:sz w:val="16"/>
                <w:lang w:val="nl-NL"/>
              </w:rPr>
            </w:pPr>
            <w:r w:rsidRPr="00C2202E">
              <w:rPr>
                <w:sz w:val="16"/>
                <w:lang w:val="nl-NL"/>
              </w:rPr>
              <w:t xml:space="preserve">Kan bij haar verhuizing haar bestaande lening oversluiten met opnieuw een looptijd van 360 maanden. Ze heeft hierdoor recht op HRA tot 1-12-2065 (i.p.v. tot </w:t>
            </w:r>
            <w:r w:rsidRPr="001812BA">
              <w:rPr>
                <w:sz w:val="16"/>
                <w:szCs w:val="16"/>
                <w:lang w:val="nl-NL"/>
              </w:rPr>
              <w:t>3</w:t>
            </w:r>
            <w:r w:rsidR="00705695">
              <w:rPr>
                <w:sz w:val="16"/>
                <w:szCs w:val="16"/>
                <w:lang w:val="nl-NL"/>
              </w:rPr>
              <w:t>1</w:t>
            </w:r>
            <w:r w:rsidRPr="001812BA">
              <w:rPr>
                <w:sz w:val="16"/>
                <w:szCs w:val="16"/>
                <w:lang w:val="nl-NL"/>
              </w:rPr>
              <w:t>-</w:t>
            </w:r>
            <w:r w:rsidR="00705695">
              <w:rPr>
                <w:sz w:val="16"/>
                <w:szCs w:val="16"/>
                <w:lang w:val="nl-NL"/>
              </w:rPr>
              <w:t>7</w:t>
            </w:r>
            <w:r w:rsidRPr="00C2202E">
              <w:rPr>
                <w:sz w:val="16"/>
                <w:lang w:val="nl-NL"/>
              </w:rPr>
              <w:t>-2045</w:t>
            </w:r>
            <w:r w:rsidRPr="001812BA">
              <w:rPr>
                <w:sz w:val="16"/>
                <w:szCs w:val="16"/>
                <w:lang w:val="nl-NL"/>
              </w:rPr>
              <w:t>)</w:t>
            </w:r>
            <w:r w:rsidR="00705695">
              <w:rPr>
                <w:sz w:val="16"/>
                <w:szCs w:val="16"/>
                <w:lang w:val="nl-NL"/>
              </w:rPr>
              <w:t>.</w:t>
            </w:r>
          </w:p>
        </w:tc>
      </w:tr>
      <w:tr w:rsidR="005966FA" w:rsidTr="00EF464E" w14:paraId="0DD48813" w14:textId="77777777">
        <w:tc>
          <w:tcPr>
            <w:cnfStyle w:val="001000000000" w:firstRow="0" w:lastRow="0" w:firstColumn="1" w:lastColumn="0" w:oddVBand="0" w:evenVBand="0" w:oddHBand="0" w:evenHBand="0" w:firstRowFirstColumn="0" w:firstRowLastColumn="0" w:lastRowFirstColumn="0" w:lastRowLastColumn="0"/>
            <w:tcW w:w="3687" w:type="dxa"/>
            <w:vAlign w:val="center"/>
          </w:tcPr>
          <w:p w:rsidRPr="00846FCD" w:rsidR="005966FA" w:rsidP="005966FA" w:rsidRDefault="005966FA" w14:paraId="0D9A7B28" w14:textId="77777777">
            <w:pPr>
              <w:jc w:val="right"/>
              <w:rPr>
                <w:sz w:val="16"/>
                <w:lang w:val="nl-NL"/>
              </w:rPr>
            </w:pPr>
            <w:bookmarkStart w:name="RANGE!A29" w:id="76"/>
            <w:r w:rsidRPr="00C2202E">
              <w:rPr>
                <w:sz w:val="16"/>
                <w:lang w:val="nl-NL"/>
              </w:rPr>
              <w:t>Fiche 3: fiche 1A, maar met geleidelijke afbouw HRA voor BEWS vanaf 2031</w:t>
            </w:r>
            <w:bookmarkEnd w:id="76"/>
          </w:p>
        </w:tc>
        <w:tc>
          <w:tcPr>
            <w:tcW w:w="2748" w:type="dxa"/>
            <w:vAlign w:val="center"/>
          </w:tcPr>
          <w:p w:rsidRPr="00846FCD" w:rsidR="005966FA" w:rsidP="005966FA" w:rsidRDefault="00EF464E" w14:paraId="7A735504"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B</w:t>
            </w:r>
            <w:r w:rsidRPr="00C2202E" w:rsidR="005966FA">
              <w:rPr>
                <w:sz w:val="16"/>
                <w:lang w:val="nl-NL"/>
              </w:rPr>
              <w:t xml:space="preserve">ehoudt haar recht op HRA over een afnemende grondslag tot 2043 (i.p.v. </w:t>
            </w:r>
            <w:r w:rsidR="00705695">
              <w:rPr>
                <w:sz w:val="16"/>
                <w:szCs w:val="16"/>
                <w:lang w:val="nl-NL"/>
              </w:rPr>
              <w:t>tot</w:t>
            </w:r>
            <w:r w:rsidRPr="00EF464E" w:rsidR="005966FA">
              <w:rPr>
                <w:sz w:val="16"/>
                <w:szCs w:val="16"/>
                <w:lang w:val="nl-NL"/>
              </w:rPr>
              <w:t xml:space="preserve"> </w:t>
            </w:r>
            <w:r w:rsidR="00705695">
              <w:rPr>
                <w:sz w:val="16"/>
                <w:szCs w:val="16"/>
                <w:lang w:val="nl-NL"/>
              </w:rPr>
              <w:t>1</w:t>
            </w:r>
            <w:r w:rsidRPr="00EF464E" w:rsidR="005966FA">
              <w:rPr>
                <w:sz w:val="16"/>
                <w:szCs w:val="16"/>
                <w:lang w:val="nl-NL"/>
              </w:rPr>
              <w:t>-</w:t>
            </w:r>
            <w:r w:rsidR="00705695">
              <w:rPr>
                <w:sz w:val="16"/>
                <w:szCs w:val="16"/>
                <w:lang w:val="nl-NL"/>
              </w:rPr>
              <w:t>7</w:t>
            </w:r>
            <w:r w:rsidRPr="00CF1ABF" w:rsidR="005966FA">
              <w:rPr>
                <w:sz w:val="16"/>
                <w:lang w:val="nl-NL"/>
              </w:rPr>
              <w:t>-2035</w:t>
            </w:r>
            <w:r w:rsidRPr="00EF464E" w:rsidR="005966FA">
              <w:rPr>
                <w:sz w:val="16"/>
                <w:szCs w:val="16"/>
                <w:lang w:val="nl-NL"/>
              </w:rPr>
              <w:t>)</w:t>
            </w:r>
            <w:r w:rsidR="00705695">
              <w:rPr>
                <w:sz w:val="16"/>
                <w:szCs w:val="16"/>
                <w:lang w:val="nl-NL"/>
              </w:rPr>
              <w:t>.</w:t>
            </w:r>
          </w:p>
        </w:tc>
        <w:tc>
          <w:tcPr>
            <w:tcW w:w="2748" w:type="dxa"/>
            <w:vAlign w:val="center"/>
          </w:tcPr>
          <w:p w:rsidRPr="00846FCD" w:rsidR="005966FA" w:rsidP="005966FA" w:rsidRDefault="00EF464E" w14:paraId="35917017"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B</w:t>
            </w:r>
            <w:r w:rsidRPr="00C2202E" w:rsidR="005966FA">
              <w:rPr>
                <w:sz w:val="16"/>
                <w:lang w:val="nl-NL"/>
              </w:rPr>
              <w:t xml:space="preserve">ehoudt zijn recht op HRA over een afnemende grondslag tot 2043 (ook als hij zijn lening niet oversluit) (i.p.v. </w:t>
            </w:r>
            <w:r w:rsidR="00705695">
              <w:rPr>
                <w:sz w:val="16"/>
                <w:szCs w:val="16"/>
                <w:lang w:val="nl-NL"/>
              </w:rPr>
              <w:t>tot</w:t>
            </w:r>
            <w:r w:rsidRPr="00EF464E" w:rsidR="005966FA">
              <w:rPr>
                <w:sz w:val="16"/>
                <w:szCs w:val="16"/>
                <w:lang w:val="nl-NL"/>
              </w:rPr>
              <w:t xml:space="preserve"> </w:t>
            </w:r>
            <w:r w:rsidR="00705695">
              <w:rPr>
                <w:sz w:val="16"/>
                <w:szCs w:val="16"/>
                <w:lang w:val="nl-NL"/>
              </w:rPr>
              <w:t>1</w:t>
            </w:r>
            <w:r w:rsidRPr="00EF464E" w:rsidR="005966FA">
              <w:rPr>
                <w:sz w:val="16"/>
                <w:szCs w:val="16"/>
                <w:lang w:val="nl-NL"/>
              </w:rPr>
              <w:t>-</w:t>
            </w:r>
            <w:r w:rsidR="00705695">
              <w:rPr>
                <w:sz w:val="16"/>
                <w:szCs w:val="16"/>
                <w:lang w:val="nl-NL"/>
              </w:rPr>
              <w:t>7</w:t>
            </w:r>
            <w:r w:rsidRPr="00CF1ABF" w:rsidR="005966FA">
              <w:rPr>
                <w:sz w:val="16"/>
                <w:lang w:val="nl-NL"/>
              </w:rPr>
              <w:t>-2038</w:t>
            </w:r>
            <w:r w:rsidRPr="00EF464E" w:rsidR="005966FA">
              <w:rPr>
                <w:sz w:val="16"/>
                <w:szCs w:val="16"/>
                <w:lang w:val="nl-NL"/>
              </w:rPr>
              <w:t>)</w:t>
            </w:r>
            <w:r w:rsidR="00705695">
              <w:rPr>
                <w:sz w:val="16"/>
                <w:szCs w:val="16"/>
                <w:lang w:val="nl-NL"/>
              </w:rPr>
              <w:t>.</w:t>
            </w:r>
          </w:p>
        </w:tc>
        <w:tc>
          <w:tcPr>
            <w:tcW w:w="2748" w:type="dxa"/>
            <w:vAlign w:val="center"/>
          </w:tcPr>
          <w:p w:rsidRPr="00846FCD" w:rsidR="005966FA" w:rsidP="005966FA" w:rsidRDefault="00705695" w14:paraId="27860317"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Pr>
                <w:sz w:val="16"/>
                <w:szCs w:val="16"/>
                <w:lang w:val="nl-NL"/>
              </w:rPr>
              <w:t>H</w:t>
            </w:r>
            <w:r w:rsidRPr="001812BA" w:rsidR="005966FA">
              <w:rPr>
                <w:sz w:val="16"/>
                <w:szCs w:val="16"/>
                <w:lang w:val="nl-NL"/>
              </w:rPr>
              <w:t>eeft</w:t>
            </w:r>
            <w:r w:rsidRPr="00C2202E" w:rsidR="005966FA">
              <w:rPr>
                <w:sz w:val="16"/>
                <w:lang w:val="nl-NL"/>
              </w:rPr>
              <w:t xml:space="preserve"> recht op HRA tot het einde van zijn spaarproduct (1-7-2040).</w:t>
            </w:r>
          </w:p>
        </w:tc>
        <w:tc>
          <w:tcPr>
            <w:tcW w:w="2748" w:type="dxa"/>
            <w:vAlign w:val="center"/>
          </w:tcPr>
          <w:p w:rsidRPr="00846FCD" w:rsidR="005966FA" w:rsidP="005966FA" w:rsidRDefault="005966FA" w14:paraId="5B314FF0" w14:textId="77777777">
            <w:pPr>
              <w:jc w:val="center"/>
              <w:cnfStyle w:val="000000000000" w:firstRow="0" w:lastRow="0" w:firstColumn="0" w:lastColumn="0" w:oddVBand="0" w:evenVBand="0" w:oddHBand="0" w:evenHBand="0" w:firstRowFirstColumn="0" w:firstRowLastColumn="0" w:lastRowFirstColumn="0" w:lastRowLastColumn="0"/>
              <w:rPr>
                <w:sz w:val="16"/>
                <w:lang w:val="nl-NL"/>
              </w:rPr>
            </w:pPr>
            <w:r w:rsidRPr="00C2202E">
              <w:rPr>
                <w:sz w:val="16"/>
                <w:lang w:val="nl-NL"/>
              </w:rPr>
              <w:t>Voor Anna wijzigt er niets. Na verhuizing kan zij kan haar bestaande lening meenemen met haar huidige looptijd</w:t>
            </w:r>
            <w:r w:rsidR="00705695">
              <w:rPr>
                <w:sz w:val="16"/>
                <w:szCs w:val="16"/>
                <w:lang w:val="nl-NL"/>
              </w:rPr>
              <w:t>.</w:t>
            </w:r>
          </w:p>
        </w:tc>
      </w:tr>
    </w:tbl>
    <w:p w:rsidR="000B08FB" w:rsidP="00FF3304" w:rsidRDefault="000B08FB" w14:paraId="2D750B3C" w14:textId="77777777"/>
    <w:p w:rsidR="005966FA" w:rsidP="00FF3304" w:rsidRDefault="005966FA" w14:paraId="7E3CB776" w14:textId="77777777"/>
    <w:p w:rsidR="005966FA" w:rsidP="00FF3304" w:rsidRDefault="005966FA" w14:paraId="7A5732AF" w14:textId="77777777"/>
    <w:p w:rsidR="00694C4C" w:rsidP="00FF3304" w:rsidRDefault="00694C4C" w14:paraId="7E40577C" w14:textId="77777777">
      <w:pPr>
        <w:sectPr w:rsidR="00694C4C" w:rsidSect="00CD62EC">
          <w:pgSz w:w="16837" w:h="11905" w:orient="landscape"/>
          <w:pgMar w:top="963" w:right="1077" w:bottom="3231" w:left="2641" w:header="0" w:footer="0" w:gutter="0"/>
          <w:cols w:space="708"/>
          <w:docGrid w:linePitch="245"/>
        </w:sectPr>
      </w:pPr>
    </w:p>
    <w:p w:rsidR="00694C4C" w:rsidP="00694C4C" w:rsidRDefault="006A289E" w14:paraId="05693041" w14:textId="77777777">
      <w:pPr>
        <w:pStyle w:val="Kop1"/>
      </w:pPr>
      <w:bookmarkStart w:name="_Toc223516981" w:id="77"/>
      <w:bookmarkStart w:name="_Toc223517868" w:id="78"/>
      <w:bookmarkStart w:name="_Toc226640277" w:id="79"/>
      <w:bookmarkEnd w:id="77"/>
      <w:bookmarkEnd w:id="78"/>
      <w:r>
        <w:lastRenderedPageBreak/>
        <w:t>Bijlage 3 b</w:t>
      </w:r>
      <w:r w:rsidR="00CD62EC">
        <w:t>udgettaire effecten a</w:t>
      </w:r>
      <w:r w:rsidRPr="00CD62EC" w:rsidR="00CD62EC">
        <w:t>fschaffen HRA voor hypotheken afgesloten vóór 2013</w:t>
      </w:r>
      <w:r w:rsidR="00CD62EC">
        <w:t xml:space="preserve"> – tussenliggende jaren</w:t>
      </w:r>
      <w:bookmarkEnd w:id="79"/>
    </w:p>
    <w:p w:rsidRPr="00694C4C" w:rsidR="00694C4C" w:rsidP="00694C4C" w:rsidRDefault="00694C4C" w14:paraId="2F6CD900" w14:textId="77777777">
      <w:pPr>
        <w:rPr>
          <w:b/>
          <w:bCs/>
        </w:rPr>
      </w:pPr>
      <w:r w:rsidRPr="00694C4C">
        <w:rPr>
          <w:b/>
          <w:bCs/>
        </w:rPr>
        <w:t>Budgettaire effecten x miljoen euro per jaar (kolom) per afschafmoment op 1 januari (rij)</w:t>
      </w:r>
    </w:p>
    <w:tbl>
      <w:tblPr>
        <w:tblStyle w:val="Onopgemaaktetabel2"/>
        <w:tblpPr w:leftFromText="141" w:rightFromText="141" w:vertAnchor="page" w:horzAnchor="page" w:tblpX="1201" w:tblpY="2596"/>
        <w:tblW w:w="0" w:type="auto"/>
        <w:tblLook w:val="04A0" w:firstRow="1" w:lastRow="0" w:firstColumn="1" w:lastColumn="0" w:noHBand="0" w:noVBand="1"/>
      </w:tblPr>
      <w:tblGrid>
        <w:gridCol w:w="1854"/>
        <w:gridCol w:w="939"/>
        <w:gridCol w:w="939"/>
        <w:gridCol w:w="940"/>
        <w:gridCol w:w="938"/>
        <w:gridCol w:w="939"/>
        <w:gridCol w:w="938"/>
        <w:gridCol w:w="938"/>
        <w:gridCol w:w="939"/>
        <w:gridCol w:w="938"/>
        <w:gridCol w:w="939"/>
        <w:gridCol w:w="938"/>
        <w:gridCol w:w="939"/>
      </w:tblGrid>
      <w:tr w:rsidRPr="00694C4C" w:rsidR="00694C4C" w:rsidTr="00694C4C" w14:paraId="72EE2A35" w14:textId="77777777">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694C4C" w:rsidP="00694C4C" w:rsidRDefault="00694C4C" w14:paraId="7DCD8EFE" w14:textId="77777777">
            <w:pPr>
              <w:jc w:val="center"/>
              <w:rPr>
                <w:sz w:val="20"/>
                <w:szCs w:val="20"/>
              </w:rPr>
            </w:pPr>
            <w:proofErr w:type="spellStart"/>
            <w:r w:rsidRPr="00694C4C">
              <w:rPr>
                <w:sz w:val="20"/>
                <w:szCs w:val="20"/>
              </w:rPr>
              <w:t>Afschaffen</w:t>
            </w:r>
            <w:proofErr w:type="spellEnd"/>
            <w:r w:rsidRPr="00694C4C">
              <w:rPr>
                <w:sz w:val="20"/>
                <w:szCs w:val="20"/>
              </w:rPr>
              <w:t xml:space="preserve"> per</w:t>
            </w:r>
          </w:p>
        </w:tc>
        <w:tc>
          <w:tcPr>
            <w:tcW w:w="939" w:type="dxa"/>
            <w:vAlign w:val="center"/>
          </w:tcPr>
          <w:p w:rsidRPr="00694C4C" w:rsidR="00694C4C" w:rsidP="00694C4C" w:rsidRDefault="00694C4C" w14:paraId="51F396BD"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lang w:val="nl-NL"/>
              </w:rPr>
              <w:t>2031</w:t>
            </w:r>
          </w:p>
        </w:tc>
        <w:tc>
          <w:tcPr>
            <w:tcW w:w="939" w:type="dxa"/>
            <w:vAlign w:val="center"/>
          </w:tcPr>
          <w:p w:rsidRPr="00694C4C" w:rsidR="00694C4C" w:rsidP="00694C4C" w:rsidRDefault="00694C4C" w14:paraId="08EAC33B"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lang w:val="nl-NL"/>
              </w:rPr>
              <w:t>2032</w:t>
            </w:r>
          </w:p>
        </w:tc>
        <w:tc>
          <w:tcPr>
            <w:tcW w:w="940" w:type="dxa"/>
            <w:vAlign w:val="center"/>
          </w:tcPr>
          <w:p w:rsidRPr="00694C4C" w:rsidR="00694C4C" w:rsidP="00694C4C" w:rsidRDefault="00694C4C" w14:paraId="3150577F"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lang w:val="nl-NL"/>
              </w:rPr>
              <w:t>2033</w:t>
            </w:r>
          </w:p>
        </w:tc>
        <w:tc>
          <w:tcPr>
            <w:tcW w:w="938" w:type="dxa"/>
            <w:vAlign w:val="center"/>
          </w:tcPr>
          <w:p w:rsidRPr="00694C4C" w:rsidR="00694C4C" w:rsidP="00694C4C" w:rsidRDefault="00694C4C" w14:paraId="72396B4A"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lang w:val="nl-NL"/>
              </w:rPr>
              <w:t>2034</w:t>
            </w:r>
          </w:p>
        </w:tc>
        <w:tc>
          <w:tcPr>
            <w:tcW w:w="939" w:type="dxa"/>
            <w:vAlign w:val="center"/>
          </w:tcPr>
          <w:p w:rsidRPr="00694C4C" w:rsidR="00694C4C" w:rsidP="00694C4C" w:rsidRDefault="00694C4C" w14:paraId="1FD5F304"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lang w:val="nl-NL"/>
              </w:rPr>
              <w:t>2035</w:t>
            </w:r>
          </w:p>
        </w:tc>
        <w:tc>
          <w:tcPr>
            <w:tcW w:w="938" w:type="dxa"/>
            <w:vAlign w:val="center"/>
          </w:tcPr>
          <w:p w:rsidRPr="00694C4C" w:rsidR="00694C4C" w:rsidP="00694C4C" w:rsidRDefault="00694C4C" w14:paraId="6DD8A11D"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lang w:val="nl-NL"/>
              </w:rPr>
              <w:t>2036</w:t>
            </w:r>
          </w:p>
        </w:tc>
        <w:tc>
          <w:tcPr>
            <w:tcW w:w="938" w:type="dxa"/>
            <w:vAlign w:val="center"/>
          </w:tcPr>
          <w:p w:rsidRPr="00694C4C" w:rsidR="00694C4C" w:rsidP="00694C4C" w:rsidRDefault="00694C4C" w14:paraId="2AA9CC60"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rPr>
              <w:t>2037</w:t>
            </w:r>
          </w:p>
        </w:tc>
        <w:tc>
          <w:tcPr>
            <w:tcW w:w="939" w:type="dxa"/>
            <w:vAlign w:val="center"/>
          </w:tcPr>
          <w:p w:rsidRPr="00694C4C" w:rsidR="00694C4C" w:rsidP="00694C4C" w:rsidRDefault="00694C4C" w14:paraId="4F1235A6"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rPr>
              <w:t>2038</w:t>
            </w:r>
          </w:p>
        </w:tc>
        <w:tc>
          <w:tcPr>
            <w:tcW w:w="938" w:type="dxa"/>
            <w:vAlign w:val="center"/>
          </w:tcPr>
          <w:p w:rsidRPr="00694C4C" w:rsidR="00694C4C" w:rsidP="00694C4C" w:rsidRDefault="00694C4C" w14:paraId="08A0F2AE"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rPr>
              <w:t>2039</w:t>
            </w:r>
          </w:p>
        </w:tc>
        <w:tc>
          <w:tcPr>
            <w:tcW w:w="939" w:type="dxa"/>
            <w:vAlign w:val="center"/>
          </w:tcPr>
          <w:p w:rsidRPr="00694C4C" w:rsidR="00694C4C" w:rsidP="00694C4C" w:rsidRDefault="00694C4C" w14:paraId="218ABABB"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rPr>
              <w:t>2040</w:t>
            </w:r>
          </w:p>
        </w:tc>
        <w:tc>
          <w:tcPr>
            <w:tcW w:w="938" w:type="dxa"/>
            <w:vAlign w:val="center"/>
          </w:tcPr>
          <w:p w:rsidRPr="00694C4C" w:rsidR="00694C4C" w:rsidP="00694C4C" w:rsidRDefault="00694C4C" w14:paraId="622A5047"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rPr>
              <w:t>2041</w:t>
            </w:r>
          </w:p>
        </w:tc>
        <w:tc>
          <w:tcPr>
            <w:tcW w:w="939" w:type="dxa"/>
            <w:vAlign w:val="center"/>
          </w:tcPr>
          <w:p w:rsidRPr="00694C4C" w:rsidR="00694C4C" w:rsidP="00694C4C" w:rsidRDefault="00694C4C" w14:paraId="0C56A46A"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694C4C">
              <w:rPr>
                <w:sz w:val="20"/>
                <w:szCs w:val="20"/>
              </w:rPr>
              <w:t>2042</w:t>
            </w:r>
          </w:p>
        </w:tc>
      </w:tr>
      <w:tr w:rsidRPr="00694C4C" w:rsidR="002160C0" w:rsidTr="002160C0" w14:paraId="60365B09" w14:textId="77777777">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35D619D5" w14:textId="77777777">
            <w:pPr>
              <w:jc w:val="right"/>
              <w:rPr>
                <w:b w:val="0"/>
                <w:bCs w:val="0"/>
                <w:sz w:val="20"/>
                <w:szCs w:val="20"/>
              </w:rPr>
            </w:pPr>
            <w:r w:rsidRPr="00694C4C">
              <w:rPr>
                <w:sz w:val="20"/>
                <w:szCs w:val="20"/>
              </w:rPr>
              <w:t xml:space="preserve">2031 </w:t>
            </w:r>
          </w:p>
          <w:p w:rsidRPr="00694C4C" w:rsidR="002160C0" w:rsidP="002160C0" w:rsidRDefault="002160C0" w14:paraId="71A9CD7A" w14:textId="77777777">
            <w:pPr>
              <w:jc w:val="right"/>
              <w:rPr>
                <w:b w:val="0"/>
                <w:bCs w:val="0"/>
                <w:sz w:val="20"/>
                <w:szCs w:val="20"/>
              </w:rPr>
            </w:pPr>
            <w:r w:rsidRPr="00694C4C">
              <w:rPr>
                <w:b w:val="0"/>
                <w:bCs w:val="0"/>
                <w:i/>
                <w:iCs/>
                <w:sz w:val="20"/>
                <w:szCs w:val="20"/>
              </w:rPr>
              <w:t>(als fiche 1A)</w:t>
            </w:r>
          </w:p>
        </w:tc>
        <w:tc>
          <w:tcPr>
            <w:tcW w:w="939" w:type="dxa"/>
            <w:vAlign w:val="center"/>
          </w:tcPr>
          <w:p w:rsidRPr="00694C4C" w:rsidR="002160C0" w:rsidP="002160C0" w:rsidRDefault="002160C0" w14:paraId="1A3CBE01"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color w:val="196B24" w:themeColor="accent3"/>
                <w:sz w:val="20"/>
                <w:szCs w:val="20"/>
              </w:rPr>
              <w:t>3.402</w:t>
            </w:r>
          </w:p>
        </w:tc>
        <w:tc>
          <w:tcPr>
            <w:tcW w:w="939" w:type="dxa"/>
            <w:vAlign w:val="center"/>
          </w:tcPr>
          <w:p w:rsidRPr="002160C0" w:rsidR="002160C0" w:rsidP="002160C0" w:rsidRDefault="002160C0" w14:paraId="2751E96F"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2.449</w:t>
            </w:r>
          </w:p>
        </w:tc>
        <w:tc>
          <w:tcPr>
            <w:tcW w:w="940" w:type="dxa"/>
            <w:vAlign w:val="center"/>
          </w:tcPr>
          <w:p w:rsidRPr="002160C0" w:rsidR="002160C0" w:rsidP="002160C0" w:rsidRDefault="002160C0" w14:paraId="0C74FC3A"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2.250</w:t>
            </w:r>
          </w:p>
        </w:tc>
        <w:tc>
          <w:tcPr>
            <w:tcW w:w="938" w:type="dxa"/>
            <w:vAlign w:val="center"/>
          </w:tcPr>
          <w:p w:rsidRPr="002160C0" w:rsidR="002160C0" w:rsidP="002160C0" w:rsidRDefault="002160C0" w14:paraId="7EFCF9AF"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2.020</w:t>
            </w:r>
          </w:p>
        </w:tc>
        <w:tc>
          <w:tcPr>
            <w:tcW w:w="939" w:type="dxa"/>
            <w:vAlign w:val="center"/>
          </w:tcPr>
          <w:p w:rsidRPr="002160C0" w:rsidR="002160C0" w:rsidP="002160C0" w:rsidRDefault="002160C0" w14:paraId="4A03ACC1"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1.775</w:t>
            </w:r>
          </w:p>
        </w:tc>
        <w:tc>
          <w:tcPr>
            <w:tcW w:w="938" w:type="dxa"/>
            <w:vAlign w:val="center"/>
          </w:tcPr>
          <w:p w:rsidRPr="002160C0" w:rsidR="002160C0" w:rsidP="002160C0" w:rsidRDefault="002160C0" w14:paraId="0A073D76"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1.456</w:t>
            </w:r>
          </w:p>
        </w:tc>
        <w:tc>
          <w:tcPr>
            <w:tcW w:w="938" w:type="dxa"/>
            <w:vAlign w:val="center"/>
          </w:tcPr>
          <w:p w:rsidRPr="002160C0" w:rsidR="002160C0" w:rsidP="002160C0" w:rsidRDefault="002160C0" w14:paraId="52CD8712"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1.124</w:t>
            </w:r>
          </w:p>
        </w:tc>
        <w:tc>
          <w:tcPr>
            <w:tcW w:w="939" w:type="dxa"/>
            <w:vAlign w:val="center"/>
          </w:tcPr>
          <w:p w:rsidRPr="002160C0" w:rsidR="002160C0" w:rsidP="002160C0" w:rsidRDefault="002160C0" w14:paraId="31C3A803"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847</w:t>
            </w:r>
          </w:p>
        </w:tc>
        <w:tc>
          <w:tcPr>
            <w:tcW w:w="938" w:type="dxa"/>
            <w:vAlign w:val="center"/>
          </w:tcPr>
          <w:p w:rsidRPr="002160C0" w:rsidR="002160C0" w:rsidP="002160C0" w:rsidRDefault="002160C0" w14:paraId="3A115933"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604</w:t>
            </w:r>
          </w:p>
        </w:tc>
        <w:tc>
          <w:tcPr>
            <w:tcW w:w="939" w:type="dxa"/>
            <w:vAlign w:val="center"/>
          </w:tcPr>
          <w:p w:rsidRPr="002160C0" w:rsidR="002160C0" w:rsidP="002160C0" w:rsidRDefault="002160C0" w14:paraId="4697D8C3"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434</w:t>
            </w:r>
          </w:p>
        </w:tc>
        <w:tc>
          <w:tcPr>
            <w:tcW w:w="938" w:type="dxa"/>
            <w:vAlign w:val="center"/>
          </w:tcPr>
          <w:p w:rsidRPr="002160C0" w:rsidR="002160C0" w:rsidP="002160C0" w:rsidRDefault="002160C0" w14:paraId="4A638582"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285</w:t>
            </w:r>
          </w:p>
        </w:tc>
        <w:tc>
          <w:tcPr>
            <w:tcW w:w="939" w:type="dxa"/>
            <w:vAlign w:val="center"/>
          </w:tcPr>
          <w:p w:rsidRPr="002160C0" w:rsidR="002160C0" w:rsidP="002160C0" w:rsidRDefault="002160C0" w14:paraId="6705AFCE"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002E5CB3" w14:textId="77777777">
        <w:trPr>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204F4303" w14:textId="77777777">
            <w:pPr>
              <w:jc w:val="right"/>
              <w:rPr>
                <w:b w:val="0"/>
                <w:bCs w:val="0"/>
                <w:sz w:val="20"/>
                <w:szCs w:val="20"/>
              </w:rPr>
            </w:pPr>
            <w:r w:rsidRPr="00694C4C">
              <w:rPr>
                <w:sz w:val="20"/>
                <w:szCs w:val="20"/>
              </w:rPr>
              <w:t>2032</w:t>
            </w:r>
          </w:p>
        </w:tc>
        <w:tc>
          <w:tcPr>
            <w:tcW w:w="939" w:type="dxa"/>
            <w:vAlign w:val="center"/>
          </w:tcPr>
          <w:p w:rsidRPr="006A173C" w:rsidR="002160C0" w:rsidP="002160C0" w:rsidRDefault="002160C0" w14:paraId="1BCA7C4B"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420F178C"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2.449</w:t>
            </w:r>
          </w:p>
        </w:tc>
        <w:tc>
          <w:tcPr>
            <w:tcW w:w="940" w:type="dxa"/>
            <w:vAlign w:val="center"/>
          </w:tcPr>
          <w:p w:rsidRPr="002160C0" w:rsidR="002160C0" w:rsidP="002160C0" w:rsidRDefault="002160C0" w14:paraId="58072894"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2.250</w:t>
            </w:r>
          </w:p>
        </w:tc>
        <w:tc>
          <w:tcPr>
            <w:tcW w:w="938" w:type="dxa"/>
            <w:vAlign w:val="center"/>
          </w:tcPr>
          <w:p w:rsidRPr="002160C0" w:rsidR="002160C0" w:rsidP="002160C0" w:rsidRDefault="002160C0" w14:paraId="25ACA3FD"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2.020</w:t>
            </w:r>
          </w:p>
        </w:tc>
        <w:tc>
          <w:tcPr>
            <w:tcW w:w="939" w:type="dxa"/>
            <w:vAlign w:val="center"/>
          </w:tcPr>
          <w:p w:rsidRPr="002160C0" w:rsidR="002160C0" w:rsidP="002160C0" w:rsidRDefault="002160C0" w14:paraId="6B1BDBCD"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1.775</w:t>
            </w:r>
          </w:p>
        </w:tc>
        <w:tc>
          <w:tcPr>
            <w:tcW w:w="938" w:type="dxa"/>
            <w:vAlign w:val="center"/>
          </w:tcPr>
          <w:p w:rsidRPr="002160C0" w:rsidR="002160C0" w:rsidP="002160C0" w:rsidRDefault="002160C0" w14:paraId="26CC3ED6"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1.456</w:t>
            </w:r>
          </w:p>
        </w:tc>
        <w:tc>
          <w:tcPr>
            <w:tcW w:w="938" w:type="dxa"/>
            <w:vAlign w:val="center"/>
          </w:tcPr>
          <w:p w:rsidRPr="002160C0" w:rsidR="002160C0" w:rsidP="002160C0" w:rsidRDefault="002160C0" w14:paraId="049358DC"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1.124</w:t>
            </w:r>
          </w:p>
        </w:tc>
        <w:tc>
          <w:tcPr>
            <w:tcW w:w="939" w:type="dxa"/>
            <w:vAlign w:val="center"/>
          </w:tcPr>
          <w:p w:rsidRPr="002160C0" w:rsidR="002160C0" w:rsidP="002160C0" w:rsidRDefault="002160C0" w14:paraId="23C49D7B"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847</w:t>
            </w:r>
          </w:p>
        </w:tc>
        <w:tc>
          <w:tcPr>
            <w:tcW w:w="938" w:type="dxa"/>
            <w:vAlign w:val="center"/>
          </w:tcPr>
          <w:p w:rsidRPr="002160C0" w:rsidR="002160C0" w:rsidP="002160C0" w:rsidRDefault="002160C0" w14:paraId="48DA3BF1"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604</w:t>
            </w:r>
          </w:p>
        </w:tc>
        <w:tc>
          <w:tcPr>
            <w:tcW w:w="939" w:type="dxa"/>
            <w:vAlign w:val="center"/>
          </w:tcPr>
          <w:p w:rsidRPr="002160C0" w:rsidR="002160C0" w:rsidP="002160C0" w:rsidRDefault="002160C0" w14:paraId="773A7898"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434</w:t>
            </w:r>
          </w:p>
        </w:tc>
        <w:tc>
          <w:tcPr>
            <w:tcW w:w="938" w:type="dxa"/>
            <w:vAlign w:val="center"/>
          </w:tcPr>
          <w:p w:rsidRPr="002160C0" w:rsidR="002160C0" w:rsidP="002160C0" w:rsidRDefault="002160C0" w14:paraId="19315C94"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285</w:t>
            </w:r>
          </w:p>
        </w:tc>
        <w:tc>
          <w:tcPr>
            <w:tcW w:w="939" w:type="dxa"/>
            <w:vAlign w:val="center"/>
          </w:tcPr>
          <w:p w:rsidRPr="002160C0" w:rsidR="002160C0" w:rsidP="002160C0" w:rsidRDefault="002160C0" w14:paraId="15B948E6"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605FFED4" w14:textId="77777777">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0DA6FAE6" w14:textId="77777777">
            <w:pPr>
              <w:jc w:val="right"/>
              <w:rPr>
                <w:b w:val="0"/>
                <w:bCs w:val="0"/>
                <w:sz w:val="20"/>
                <w:szCs w:val="20"/>
              </w:rPr>
            </w:pPr>
            <w:r w:rsidRPr="00694C4C">
              <w:rPr>
                <w:sz w:val="20"/>
                <w:szCs w:val="20"/>
              </w:rPr>
              <w:t>2033</w:t>
            </w:r>
          </w:p>
        </w:tc>
        <w:tc>
          <w:tcPr>
            <w:tcW w:w="939" w:type="dxa"/>
            <w:vAlign w:val="center"/>
          </w:tcPr>
          <w:p w:rsidRPr="006A173C" w:rsidR="002160C0" w:rsidP="002160C0" w:rsidRDefault="002160C0" w14:paraId="59F4020D"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00FF9349"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2160C0">
              <w:rPr>
                <w:rFonts w:cs="Calibri"/>
                <w:color w:val="C00000"/>
                <w:sz w:val="20"/>
                <w:szCs w:val="20"/>
              </w:rPr>
              <w:t>-907</w:t>
            </w:r>
          </w:p>
        </w:tc>
        <w:tc>
          <w:tcPr>
            <w:tcW w:w="940" w:type="dxa"/>
            <w:vAlign w:val="center"/>
          </w:tcPr>
          <w:p w:rsidRPr="002160C0" w:rsidR="002160C0" w:rsidP="002160C0" w:rsidRDefault="002160C0" w14:paraId="67C2060C"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2.250</w:t>
            </w:r>
          </w:p>
        </w:tc>
        <w:tc>
          <w:tcPr>
            <w:tcW w:w="938" w:type="dxa"/>
            <w:vAlign w:val="center"/>
          </w:tcPr>
          <w:p w:rsidRPr="002160C0" w:rsidR="002160C0" w:rsidP="002160C0" w:rsidRDefault="002160C0" w14:paraId="196EF2D9"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2.020</w:t>
            </w:r>
          </w:p>
        </w:tc>
        <w:tc>
          <w:tcPr>
            <w:tcW w:w="939" w:type="dxa"/>
            <w:vAlign w:val="center"/>
          </w:tcPr>
          <w:p w:rsidRPr="002160C0" w:rsidR="002160C0" w:rsidP="002160C0" w:rsidRDefault="002160C0" w14:paraId="506730C5"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1.775</w:t>
            </w:r>
          </w:p>
        </w:tc>
        <w:tc>
          <w:tcPr>
            <w:tcW w:w="938" w:type="dxa"/>
            <w:vAlign w:val="center"/>
          </w:tcPr>
          <w:p w:rsidRPr="002160C0" w:rsidR="002160C0" w:rsidP="002160C0" w:rsidRDefault="002160C0" w14:paraId="21C6C96A"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1.456</w:t>
            </w:r>
          </w:p>
        </w:tc>
        <w:tc>
          <w:tcPr>
            <w:tcW w:w="938" w:type="dxa"/>
            <w:vAlign w:val="center"/>
          </w:tcPr>
          <w:p w:rsidRPr="002160C0" w:rsidR="002160C0" w:rsidP="002160C0" w:rsidRDefault="002160C0" w14:paraId="6229A4CC"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1.124</w:t>
            </w:r>
          </w:p>
        </w:tc>
        <w:tc>
          <w:tcPr>
            <w:tcW w:w="939" w:type="dxa"/>
            <w:vAlign w:val="center"/>
          </w:tcPr>
          <w:p w:rsidRPr="002160C0" w:rsidR="002160C0" w:rsidP="002160C0" w:rsidRDefault="002160C0" w14:paraId="72A41646"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847</w:t>
            </w:r>
          </w:p>
        </w:tc>
        <w:tc>
          <w:tcPr>
            <w:tcW w:w="938" w:type="dxa"/>
            <w:vAlign w:val="center"/>
          </w:tcPr>
          <w:p w:rsidRPr="002160C0" w:rsidR="002160C0" w:rsidP="002160C0" w:rsidRDefault="002160C0" w14:paraId="1BF7786A"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604</w:t>
            </w:r>
          </w:p>
        </w:tc>
        <w:tc>
          <w:tcPr>
            <w:tcW w:w="939" w:type="dxa"/>
            <w:vAlign w:val="center"/>
          </w:tcPr>
          <w:p w:rsidRPr="002160C0" w:rsidR="002160C0" w:rsidP="002160C0" w:rsidRDefault="002160C0" w14:paraId="7FD32D15"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434</w:t>
            </w:r>
          </w:p>
        </w:tc>
        <w:tc>
          <w:tcPr>
            <w:tcW w:w="938" w:type="dxa"/>
            <w:vAlign w:val="center"/>
          </w:tcPr>
          <w:p w:rsidRPr="002160C0" w:rsidR="002160C0" w:rsidP="002160C0" w:rsidRDefault="002160C0" w14:paraId="63756FC5"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285</w:t>
            </w:r>
          </w:p>
        </w:tc>
        <w:tc>
          <w:tcPr>
            <w:tcW w:w="939" w:type="dxa"/>
            <w:vAlign w:val="center"/>
          </w:tcPr>
          <w:p w:rsidRPr="002160C0" w:rsidR="002160C0" w:rsidP="002160C0" w:rsidRDefault="002160C0" w14:paraId="2B4DBD32"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298A456C" w14:textId="77777777">
        <w:trPr>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5DBFF8C9" w14:textId="77777777">
            <w:pPr>
              <w:jc w:val="right"/>
              <w:rPr>
                <w:b w:val="0"/>
                <w:bCs w:val="0"/>
                <w:sz w:val="20"/>
                <w:szCs w:val="20"/>
              </w:rPr>
            </w:pPr>
            <w:r w:rsidRPr="00694C4C">
              <w:rPr>
                <w:sz w:val="20"/>
                <w:szCs w:val="20"/>
              </w:rPr>
              <w:t>2034</w:t>
            </w:r>
          </w:p>
        </w:tc>
        <w:tc>
          <w:tcPr>
            <w:tcW w:w="939" w:type="dxa"/>
            <w:vAlign w:val="center"/>
          </w:tcPr>
          <w:p w:rsidRPr="006A173C" w:rsidR="002160C0" w:rsidP="002160C0" w:rsidRDefault="002160C0" w14:paraId="28B814D5"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3903F2BD"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BB023A">
              <w:rPr>
                <w:rFonts w:cs="Calibri"/>
                <w:color w:val="C00000"/>
                <w:sz w:val="20"/>
                <w:szCs w:val="20"/>
              </w:rPr>
              <w:t>-907</w:t>
            </w:r>
          </w:p>
        </w:tc>
        <w:tc>
          <w:tcPr>
            <w:tcW w:w="940" w:type="dxa"/>
            <w:vAlign w:val="center"/>
          </w:tcPr>
          <w:p w:rsidRPr="002160C0" w:rsidR="002160C0" w:rsidP="002160C0" w:rsidRDefault="002160C0" w14:paraId="678421D0"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2160C0">
              <w:rPr>
                <w:rFonts w:cs="Calibri"/>
                <w:color w:val="C00000"/>
                <w:sz w:val="20"/>
                <w:szCs w:val="20"/>
              </w:rPr>
              <w:t>-994</w:t>
            </w:r>
          </w:p>
        </w:tc>
        <w:tc>
          <w:tcPr>
            <w:tcW w:w="938" w:type="dxa"/>
            <w:vAlign w:val="center"/>
          </w:tcPr>
          <w:p w:rsidRPr="002160C0" w:rsidR="002160C0" w:rsidP="002160C0" w:rsidRDefault="002160C0" w14:paraId="53120AA5"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2.020</w:t>
            </w:r>
          </w:p>
        </w:tc>
        <w:tc>
          <w:tcPr>
            <w:tcW w:w="939" w:type="dxa"/>
            <w:vAlign w:val="center"/>
          </w:tcPr>
          <w:p w:rsidRPr="002160C0" w:rsidR="002160C0" w:rsidP="002160C0" w:rsidRDefault="002160C0" w14:paraId="762F2CDC"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1.775</w:t>
            </w:r>
          </w:p>
        </w:tc>
        <w:tc>
          <w:tcPr>
            <w:tcW w:w="938" w:type="dxa"/>
            <w:vAlign w:val="center"/>
          </w:tcPr>
          <w:p w:rsidRPr="002160C0" w:rsidR="002160C0" w:rsidP="002160C0" w:rsidRDefault="002160C0" w14:paraId="0AD8FAB9"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1.456</w:t>
            </w:r>
          </w:p>
        </w:tc>
        <w:tc>
          <w:tcPr>
            <w:tcW w:w="938" w:type="dxa"/>
            <w:vAlign w:val="center"/>
          </w:tcPr>
          <w:p w:rsidRPr="002160C0" w:rsidR="002160C0" w:rsidP="002160C0" w:rsidRDefault="002160C0" w14:paraId="411735FE"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1.124</w:t>
            </w:r>
          </w:p>
        </w:tc>
        <w:tc>
          <w:tcPr>
            <w:tcW w:w="939" w:type="dxa"/>
            <w:vAlign w:val="center"/>
          </w:tcPr>
          <w:p w:rsidRPr="002160C0" w:rsidR="002160C0" w:rsidP="002160C0" w:rsidRDefault="002160C0" w14:paraId="327F2040"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847</w:t>
            </w:r>
          </w:p>
        </w:tc>
        <w:tc>
          <w:tcPr>
            <w:tcW w:w="938" w:type="dxa"/>
            <w:vAlign w:val="center"/>
          </w:tcPr>
          <w:p w:rsidRPr="002160C0" w:rsidR="002160C0" w:rsidP="002160C0" w:rsidRDefault="002160C0" w14:paraId="5204FBF5"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604</w:t>
            </w:r>
          </w:p>
        </w:tc>
        <w:tc>
          <w:tcPr>
            <w:tcW w:w="939" w:type="dxa"/>
            <w:vAlign w:val="center"/>
          </w:tcPr>
          <w:p w:rsidRPr="002160C0" w:rsidR="002160C0" w:rsidP="002160C0" w:rsidRDefault="002160C0" w14:paraId="2442D580"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434</w:t>
            </w:r>
          </w:p>
        </w:tc>
        <w:tc>
          <w:tcPr>
            <w:tcW w:w="938" w:type="dxa"/>
            <w:vAlign w:val="center"/>
          </w:tcPr>
          <w:p w:rsidRPr="002160C0" w:rsidR="002160C0" w:rsidP="002160C0" w:rsidRDefault="002160C0" w14:paraId="33054DC4"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285</w:t>
            </w:r>
          </w:p>
        </w:tc>
        <w:tc>
          <w:tcPr>
            <w:tcW w:w="939" w:type="dxa"/>
            <w:vAlign w:val="center"/>
          </w:tcPr>
          <w:p w:rsidRPr="002160C0" w:rsidR="002160C0" w:rsidP="002160C0" w:rsidRDefault="002160C0" w14:paraId="6D852FDE"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1EED76E6" w14:textId="77777777">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3895F7C2" w14:textId="77777777">
            <w:pPr>
              <w:jc w:val="right"/>
              <w:rPr>
                <w:b w:val="0"/>
                <w:bCs w:val="0"/>
                <w:sz w:val="20"/>
                <w:szCs w:val="20"/>
              </w:rPr>
            </w:pPr>
            <w:r w:rsidRPr="00694C4C">
              <w:rPr>
                <w:sz w:val="20"/>
                <w:szCs w:val="20"/>
              </w:rPr>
              <w:t>2035</w:t>
            </w:r>
          </w:p>
        </w:tc>
        <w:tc>
          <w:tcPr>
            <w:tcW w:w="939" w:type="dxa"/>
            <w:vAlign w:val="center"/>
          </w:tcPr>
          <w:p w:rsidRPr="006A173C" w:rsidR="002160C0" w:rsidP="002160C0" w:rsidRDefault="002160C0" w14:paraId="6C4E97CE"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1E229ADF"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BB023A">
              <w:rPr>
                <w:rFonts w:cs="Calibri"/>
                <w:color w:val="C00000"/>
                <w:sz w:val="20"/>
                <w:szCs w:val="20"/>
              </w:rPr>
              <w:t>-907</w:t>
            </w:r>
          </w:p>
        </w:tc>
        <w:tc>
          <w:tcPr>
            <w:tcW w:w="940" w:type="dxa"/>
            <w:vAlign w:val="center"/>
          </w:tcPr>
          <w:p w:rsidRPr="002160C0" w:rsidR="002160C0" w:rsidP="002160C0" w:rsidRDefault="002160C0" w14:paraId="309C192E"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E10E7A">
              <w:rPr>
                <w:rFonts w:cs="Calibri"/>
                <w:color w:val="C00000"/>
                <w:sz w:val="20"/>
                <w:szCs w:val="20"/>
              </w:rPr>
              <w:t>-994</w:t>
            </w:r>
          </w:p>
        </w:tc>
        <w:tc>
          <w:tcPr>
            <w:tcW w:w="938" w:type="dxa"/>
            <w:vAlign w:val="center"/>
          </w:tcPr>
          <w:p w:rsidRPr="002160C0" w:rsidR="002160C0" w:rsidP="002160C0" w:rsidRDefault="002160C0" w14:paraId="6F7ECE14"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1.100</w:t>
            </w:r>
          </w:p>
        </w:tc>
        <w:tc>
          <w:tcPr>
            <w:tcW w:w="939" w:type="dxa"/>
            <w:vAlign w:val="center"/>
          </w:tcPr>
          <w:p w:rsidRPr="002160C0" w:rsidR="002160C0" w:rsidP="002160C0" w:rsidRDefault="002160C0" w14:paraId="6EB4C355"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1.775</w:t>
            </w:r>
          </w:p>
        </w:tc>
        <w:tc>
          <w:tcPr>
            <w:tcW w:w="938" w:type="dxa"/>
            <w:vAlign w:val="center"/>
          </w:tcPr>
          <w:p w:rsidRPr="002160C0" w:rsidR="002160C0" w:rsidP="002160C0" w:rsidRDefault="002160C0" w14:paraId="27B68DA4"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1.456</w:t>
            </w:r>
          </w:p>
        </w:tc>
        <w:tc>
          <w:tcPr>
            <w:tcW w:w="938" w:type="dxa"/>
            <w:vAlign w:val="center"/>
          </w:tcPr>
          <w:p w:rsidRPr="002160C0" w:rsidR="002160C0" w:rsidP="002160C0" w:rsidRDefault="002160C0" w14:paraId="21648680"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1.124</w:t>
            </w:r>
          </w:p>
        </w:tc>
        <w:tc>
          <w:tcPr>
            <w:tcW w:w="939" w:type="dxa"/>
            <w:vAlign w:val="center"/>
          </w:tcPr>
          <w:p w:rsidRPr="002160C0" w:rsidR="002160C0" w:rsidP="002160C0" w:rsidRDefault="002160C0" w14:paraId="28889FA3"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847</w:t>
            </w:r>
          </w:p>
        </w:tc>
        <w:tc>
          <w:tcPr>
            <w:tcW w:w="938" w:type="dxa"/>
            <w:vAlign w:val="center"/>
          </w:tcPr>
          <w:p w:rsidRPr="002160C0" w:rsidR="002160C0" w:rsidP="002160C0" w:rsidRDefault="002160C0" w14:paraId="1C610077"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604</w:t>
            </w:r>
          </w:p>
        </w:tc>
        <w:tc>
          <w:tcPr>
            <w:tcW w:w="939" w:type="dxa"/>
            <w:vAlign w:val="center"/>
          </w:tcPr>
          <w:p w:rsidRPr="002160C0" w:rsidR="002160C0" w:rsidP="002160C0" w:rsidRDefault="002160C0" w14:paraId="505B9D50"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434</w:t>
            </w:r>
          </w:p>
        </w:tc>
        <w:tc>
          <w:tcPr>
            <w:tcW w:w="938" w:type="dxa"/>
            <w:vAlign w:val="center"/>
          </w:tcPr>
          <w:p w:rsidRPr="002160C0" w:rsidR="002160C0" w:rsidP="002160C0" w:rsidRDefault="002160C0" w14:paraId="65AED5DC"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285</w:t>
            </w:r>
          </w:p>
        </w:tc>
        <w:tc>
          <w:tcPr>
            <w:tcW w:w="939" w:type="dxa"/>
            <w:vAlign w:val="center"/>
          </w:tcPr>
          <w:p w:rsidRPr="002160C0" w:rsidR="002160C0" w:rsidP="002160C0" w:rsidRDefault="002160C0" w14:paraId="7F4F43EA"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618FE3C3" w14:textId="77777777">
        <w:trPr>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16F71805" w14:textId="77777777">
            <w:pPr>
              <w:jc w:val="right"/>
              <w:rPr>
                <w:b w:val="0"/>
                <w:bCs w:val="0"/>
                <w:sz w:val="20"/>
                <w:szCs w:val="20"/>
              </w:rPr>
            </w:pPr>
            <w:r w:rsidRPr="00694C4C">
              <w:rPr>
                <w:sz w:val="20"/>
                <w:szCs w:val="20"/>
              </w:rPr>
              <w:t>2036</w:t>
            </w:r>
          </w:p>
        </w:tc>
        <w:tc>
          <w:tcPr>
            <w:tcW w:w="939" w:type="dxa"/>
            <w:vAlign w:val="center"/>
          </w:tcPr>
          <w:p w:rsidRPr="006A173C" w:rsidR="002160C0" w:rsidP="002160C0" w:rsidRDefault="002160C0" w14:paraId="20612FB7"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4B70464A"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BB023A">
              <w:rPr>
                <w:rFonts w:cs="Calibri"/>
                <w:color w:val="C00000"/>
                <w:sz w:val="20"/>
                <w:szCs w:val="20"/>
              </w:rPr>
              <w:t>-907</w:t>
            </w:r>
          </w:p>
        </w:tc>
        <w:tc>
          <w:tcPr>
            <w:tcW w:w="940" w:type="dxa"/>
            <w:vAlign w:val="center"/>
          </w:tcPr>
          <w:p w:rsidRPr="002160C0" w:rsidR="002160C0" w:rsidP="002160C0" w:rsidRDefault="002160C0" w14:paraId="2D455150"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E10E7A">
              <w:rPr>
                <w:rFonts w:cs="Calibri"/>
                <w:color w:val="C00000"/>
                <w:sz w:val="20"/>
                <w:szCs w:val="20"/>
              </w:rPr>
              <w:t>-994</w:t>
            </w:r>
          </w:p>
        </w:tc>
        <w:tc>
          <w:tcPr>
            <w:tcW w:w="938" w:type="dxa"/>
            <w:vAlign w:val="center"/>
          </w:tcPr>
          <w:p w:rsidRPr="002160C0" w:rsidR="002160C0" w:rsidP="002160C0" w:rsidRDefault="002160C0" w14:paraId="574D2807"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1.100</w:t>
            </w:r>
          </w:p>
        </w:tc>
        <w:tc>
          <w:tcPr>
            <w:tcW w:w="939" w:type="dxa"/>
            <w:vAlign w:val="center"/>
          </w:tcPr>
          <w:p w:rsidRPr="002160C0" w:rsidR="002160C0" w:rsidP="002160C0" w:rsidRDefault="002160C0" w14:paraId="460576B3"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2160C0">
              <w:rPr>
                <w:rFonts w:cs="Calibri"/>
                <w:color w:val="C00000"/>
                <w:sz w:val="20"/>
                <w:szCs w:val="20"/>
              </w:rPr>
              <w:t>-1.285</w:t>
            </w:r>
          </w:p>
        </w:tc>
        <w:tc>
          <w:tcPr>
            <w:tcW w:w="938" w:type="dxa"/>
            <w:vAlign w:val="center"/>
          </w:tcPr>
          <w:p w:rsidRPr="002160C0" w:rsidR="002160C0" w:rsidP="002160C0" w:rsidRDefault="002160C0" w14:paraId="5AA788EB"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1.456</w:t>
            </w:r>
          </w:p>
        </w:tc>
        <w:tc>
          <w:tcPr>
            <w:tcW w:w="938" w:type="dxa"/>
            <w:vAlign w:val="center"/>
          </w:tcPr>
          <w:p w:rsidRPr="002160C0" w:rsidR="002160C0" w:rsidP="002160C0" w:rsidRDefault="002160C0" w14:paraId="683C7BAE"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1.124</w:t>
            </w:r>
          </w:p>
        </w:tc>
        <w:tc>
          <w:tcPr>
            <w:tcW w:w="939" w:type="dxa"/>
            <w:vAlign w:val="center"/>
          </w:tcPr>
          <w:p w:rsidRPr="002160C0" w:rsidR="002160C0" w:rsidP="002160C0" w:rsidRDefault="002160C0" w14:paraId="7361BA05"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847</w:t>
            </w:r>
          </w:p>
        </w:tc>
        <w:tc>
          <w:tcPr>
            <w:tcW w:w="938" w:type="dxa"/>
            <w:vAlign w:val="center"/>
          </w:tcPr>
          <w:p w:rsidRPr="002160C0" w:rsidR="002160C0" w:rsidP="002160C0" w:rsidRDefault="002160C0" w14:paraId="072A3CAB"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604</w:t>
            </w:r>
          </w:p>
        </w:tc>
        <w:tc>
          <w:tcPr>
            <w:tcW w:w="939" w:type="dxa"/>
            <w:vAlign w:val="center"/>
          </w:tcPr>
          <w:p w:rsidRPr="002160C0" w:rsidR="002160C0" w:rsidP="002160C0" w:rsidRDefault="002160C0" w14:paraId="7A66207E"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434</w:t>
            </w:r>
          </w:p>
        </w:tc>
        <w:tc>
          <w:tcPr>
            <w:tcW w:w="938" w:type="dxa"/>
            <w:vAlign w:val="center"/>
          </w:tcPr>
          <w:p w:rsidRPr="002160C0" w:rsidR="002160C0" w:rsidP="002160C0" w:rsidRDefault="002160C0" w14:paraId="3AF980B4"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285</w:t>
            </w:r>
          </w:p>
        </w:tc>
        <w:tc>
          <w:tcPr>
            <w:tcW w:w="939" w:type="dxa"/>
            <w:vAlign w:val="center"/>
          </w:tcPr>
          <w:p w:rsidRPr="002160C0" w:rsidR="002160C0" w:rsidP="002160C0" w:rsidRDefault="002160C0" w14:paraId="10CB47D8"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1C2A4068" w14:textId="77777777">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682195D1" w14:textId="77777777">
            <w:pPr>
              <w:jc w:val="right"/>
              <w:rPr>
                <w:b w:val="0"/>
                <w:bCs w:val="0"/>
                <w:sz w:val="20"/>
                <w:szCs w:val="20"/>
              </w:rPr>
            </w:pPr>
            <w:r w:rsidRPr="00694C4C">
              <w:rPr>
                <w:sz w:val="20"/>
                <w:szCs w:val="20"/>
              </w:rPr>
              <w:t>2037</w:t>
            </w:r>
          </w:p>
        </w:tc>
        <w:tc>
          <w:tcPr>
            <w:tcW w:w="939" w:type="dxa"/>
            <w:vAlign w:val="center"/>
          </w:tcPr>
          <w:p w:rsidRPr="006A173C" w:rsidR="002160C0" w:rsidP="002160C0" w:rsidRDefault="002160C0" w14:paraId="6B7D54EE"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42301EC7"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BB023A">
              <w:rPr>
                <w:rFonts w:cs="Calibri"/>
                <w:color w:val="C00000"/>
                <w:sz w:val="20"/>
                <w:szCs w:val="20"/>
              </w:rPr>
              <w:t>-907</w:t>
            </w:r>
          </w:p>
        </w:tc>
        <w:tc>
          <w:tcPr>
            <w:tcW w:w="940" w:type="dxa"/>
            <w:vAlign w:val="center"/>
          </w:tcPr>
          <w:p w:rsidRPr="002160C0" w:rsidR="002160C0" w:rsidP="002160C0" w:rsidRDefault="002160C0" w14:paraId="4B199CEC"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E10E7A">
              <w:rPr>
                <w:rFonts w:cs="Calibri"/>
                <w:color w:val="C00000"/>
                <w:sz w:val="20"/>
                <w:szCs w:val="20"/>
              </w:rPr>
              <w:t>-994</w:t>
            </w:r>
          </w:p>
        </w:tc>
        <w:tc>
          <w:tcPr>
            <w:tcW w:w="938" w:type="dxa"/>
            <w:vAlign w:val="center"/>
          </w:tcPr>
          <w:p w:rsidRPr="002160C0" w:rsidR="002160C0" w:rsidP="002160C0" w:rsidRDefault="002160C0" w14:paraId="30A5E167"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1.100</w:t>
            </w:r>
          </w:p>
        </w:tc>
        <w:tc>
          <w:tcPr>
            <w:tcW w:w="939" w:type="dxa"/>
            <w:vAlign w:val="center"/>
          </w:tcPr>
          <w:p w:rsidRPr="002160C0" w:rsidR="002160C0" w:rsidP="002160C0" w:rsidRDefault="002160C0" w14:paraId="66C4F3D3"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36022E">
              <w:rPr>
                <w:rFonts w:cs="Calibri"/>
                <w:color w:val="C00000"/>
                <w:sz w:val="20"/>
                <w:szCs w:val="20"/>
              </w:rPr>
              <w:t>-1.285</w:t>
            </w:r>
          </w:p>
        </w:tc>
        <w:tc>
          <w:tcPr>
            <w:tcW w:w="938" w:type="dxa"/>
            <w:vAlign w:val="center"/>
          </w:tcPr>
          <w:p w:rsidRPr="002160C0" w:rsidR="002160C0" w:rsidP="002160C0" w:rsidRDefault="002160C0" w14:paraId="2CCAC377"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1.488</w:t>
            </w:r>
          </w:p>
        </w:tc>
        <w:tc>
          <w:tcPr>
            <w:tcW w:w="938" w:type="dxa"/>
            <w:vAlign w:val="center"/>
          </w:tcPr>
          <w:p w:rsidRPr="002160C0" w:rsidR="002160C0" w:rsidP="002160C0" w:rsidRDefault="002160C0" w14:paraId="79B96F96"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1.124</w:t>
            </w:r>
          </w:p>
        </w:tc>
        <w:tc>
          <w:tcPr>
            <w:tcW w:w="939" w:type="dxa"/>
            <w:vAlign w:val="center"/>
          </w:tcPr>
          <w:p w:rsidRPr="002160C0" w:rsidR="002160C0" w:rsidP="002160C0" w:rsidRDefault="002160C0" w14:paraId="59FAD902"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847</w:t>
            </w:r>
          </w:p>
        </w:tc>
        <w:tc>
          <w:tcPr>
            <w:tcW w:w="938" w:type="dxa"/>
            <w:vAlign w:val="center"/>
          </w:tcPr>
          <w:p w:rsidRPr="002160C0" w:rsidR="002160C0" w:rsidP="002160C0" w:rsidRDefault="002160C0" w14:paraId="076403F6"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604</w:t>
            </w:r>
          </w:p>
        </w:tc>
        <w:tc>
          <w:tcPr>
            <w:tcW w:w="939" w:type="dxa"/>
            <w:vAlign w:val="center"/>
          </w:tcPr>
          <w:p w:rsidRPr="002160C0" w:rsidR="002160C0" w:rsidP="002160C0" w:rsidRDefault="002160C0" w14:paraId="22F8ACDD"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434</w:t>
            </w:r>
          </w:p>
        </w:tc>
        <w:tc>
          <w:tcPr>
            <w:tcW w:w="938" w:type="dxa"/>
            <w:vAlign w:val="center"/>
          </w:tcPr>
          <w:p w:rsidRPr="002160C0" w:rsidR="002160C0" w:rsidP="002160C0" w:rsidRDefault="002160C0" w14:paraId="390C727A"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285</w:t>
            </w:r>
          </w:p>
        </w:tc>
        <w:tc>
          <w:tcPr>
            <w:tcW w:w="939" w:type="dxa"/>
            <w:vAlign w:val="center"/>
          </w:tcPr>
          <w:p w:rsidRPr="002160C0" w:rsidR="002160C0" w:rsidP="002160C0" w:rsidRDefault="002160C0" w14:paraId="2D908425"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1A6428CE" w14:textId="77777777">
        <w:trPr>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1BF59BC4" w14:textId="77777777">
            <w:pPr>
              <w:jc w:val="right"/>
              <w:rPr>
                <w:b w:val="0"/>
                <w:bCs w:val="0"/>
                <w:sz w:val="20"/>
                <w:szCs w:val="20"/>
              </w:rPr>
            </w:pPr>
            <w:r w:rsidRPr="00694C4C">
              <w:rPr>
                <w:sz w:val="20"/>
                <w:szCs w:val="20"/>
              </w:rPr>
              <w:t>2038</w:t>
            </w:r>
          </w:p>
        </w:tc>
        <w:tc>
          <w:tcPr>
            <w:tcW w:w="939" w:type="dxa"/>
            <w:vAlign w:val="center"/>
          </w:tcPr>
          <w:p w:rsidRPr="006A173C" w:rsidR="002160C0" w:rsidP="002160C0" w:rsidRDefault="002160C0" w14:paraId="38657AB5"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282136B1"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BB023A">
              <w:rPr>
                <w:rFonts w:cs="Calibri"/>
                <w:color w:val="C00000"/>
                <w:sz w:val="20"/>
                <w:szCs w:val="20"/>
              </w:rPr>
              <w:t>-907</w:t>
            </w:r>
          </w:p>
        </w:tc>
        <w:tc>
          <w:tcPr>
            <w:tcW w:w="940" w:type="dxa"/>
            <w:vAlign w:val="center"/>
          </w:tcPr>
          <w:p w:rsidRPr="002160C0" w:rsidR="002160C0" w:rsidP="002160C0" w:rsidRDefault="002160C0" w14:paraId="1D3BDBFA"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E10E7A">
              <w:rPr>
                <w:rFonts w:cs="Calibri"/>
                <w:color w:val="C00000"/>
                <w:sz w:val="20"/>
                <w:szCs w:val="20"/>
              </w:rPr>
              <w:t>-994</w:t>
            </w:r>
          </w:p>
        </w:tc>
        <w:tc>
          <w:tcPr>
            <w:tcW w:w="938" w:type="dxa"/>
            <w:vAlign w:val="center"/>
          </w:tcPr>
          <w:p w:rsidRPr="002160C0" w:rsidR="002160C0" w:rsidP="002160C0" w:rsidRDefault="002160C0" w14:paraId="1C72B7BA"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1.100</w:t>
            </w:r>
          </w:p>
        </w:tc>
        <w:tc>
          <w:tcPr>
            <w:tcW w:w="939" w:type="dxa"/>
            <w:vAlign w:val="center"/>
          </w:tcPr>
          <w:p w:rsidRPr="002160C0" w:rsidR="002160C0" w:rsidP="002160C0" w:rsidRDefault="002160C0" w14:paraId="77FF0CFE"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36022E">
              <w:rPr>
                <w:rFonts w:cs="Calibri"/>
                <w:color w:val="C00000"/>
                <w:sz w:val="20"/>
                <w:szCs w:val="20"/>
              </w:rPr>
              <w:t>-1.285</w:t>
            </w:r>
          </w:p>
        </w:tc>
        <w:tc>
          <w:tcPr>
            <w:tcW w:w="938" w:type="dxa"/>
            <w:vAlign w:val="center"/>
          </w:tcPr>
          <w:p w:rsidRPr="002160C0" w:rsidR="002160C0" w:rsidP="002160C0" w:rsidRDefault="002160C0" w14:paraId="0EA275D8"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1.488</w:t>
            </w:r>
          </w:p>
        </w:tc>
        <w:tc>
          <w:tcPr>
            <w:tcW w:w="938" w:type="dxa"/>
            <w:vAlign w:val="center"/>
          </w:tcPr>
          <w:p w:rsidRPr="002160C0" w:rsidR="002160C0" w:rsidP="002160C0" w:rsidRDefault="002160C0" w14:paraId="098FA5D4"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2160C0">
              <w:rPr>
                <w:rFonts w:cs="Calibri"/>
                <w:color w:val="C00000"/>
                <w:sz w:val="20"/>
                <w:szCs w:val="20"/>
              </w:rPr>
              <w:t>-1.637</w:t>
            </w:r>
          </w:p>
        </w:tc>
        <w:tc>
          <w:tcPr>
            <w:tcW w:w="939" w:type="dxa"/>
            <w:vAlign w:val="center"/>
          </w:tcPr>
          <w:p w:rsidRPr="002160C0" w:rsidR="002160C0" w:rsidP="002160C0" w:rsidRDefault="002160C0" w14:paraId="66D97EFE"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847</w:t>
            </w:r>
          </w:p>
        </w:tc>
        <w:tc>
          <w:tcPr>
            <w:tcW w:w="938" w:type="dxa"/>
            <w:vAlign w:val="center"/>
          </w:tcPr>
          <w:p w:rsidRPr="002160C0" w:rsidR="002160C0" w:rsidP="002160C0" w:rsidRDefault="002160C0" w14:paraId="40E9D354"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604</w:t>
            </w:r>
          </w:p>
        </w:tc>
        <w:tc>
          <w:tcPr>
            <w:tcW w:w="939" w:type="dxa"/>
            <w:vAlign w:val="center"/>
          </w:tcPr>
          <w:p w:rsidRPr="002160C0" w:rsidR="002160C0" w:rsidP="002160C0" w:rsidRDefault="002160C0" w14:paraId="655D1D6C"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434</w:t>
            </w:r>
          </w:p>
        </w:tc>
        <w:tc>
          <w:tcPr>
            <w:tcW w:w="938" w:type="dxa"/>
            <w:vAlign w:val="center"/>
          </w:tcPr>
          <w:p w:rsidRPr="002160C0" w:rsidR="002160C0" w:rsidP="002160C0" w:rsidRDefault="002160C0" w14:paraId="403EA541"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285</w:t>
            </w:r>
          </w:p>
        </w:tc>
        <w:tc>
          <w:tcPr>
            <w:tcW w:w="939" w:type="dxa"/>
            <w:vAlign w:val="center"/>
          </w:tcPr>
          <w:p w:rsidRPr="002160C0" w:rsidR="002160C0" w:rsidP="002160C0" w:rsidRDefault="002160C0" w14:paraId="3E569378"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044DDAE4" w14:textId="77777777">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0F7E21E2" w14:textId="77777777">
            <w:pPr>
              <w:jc w:val="right"/>
              <w:rPr>
                <w:b w:val="0"/>
                <w:bCs w:val="0"/>
                <w:sz w:val="20"/>
                <w:szCs w:val="20"/>
              </w:rPr>
            </w:pPr>
            <w:r w:rsidRPr="00694C4C">
              <w:rPr>
                <w:sz w:val="20"/>
                <w:szCs w:val="20"/>
              </w:rPr>
              <w:t>2039</w:t>
            </w:r>
          </w:p>
        </w:tc>
        <w:tc>
          <w:tcPr>
            <w:tcW w:w="939" w:type="dxa"/>
            <w:vAlign w:val="center"/>
          </w:tcPr>
          <w:p w:rsidRPr="006A173C" w:rsidR="002160C0" w:rsidP="002160C0" w:rsidRDefault="002160C0" w14:paraId="74E693AB"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4CBC0CA5"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BB023A">
              <w:rPr>
                <w:rFonts w:cs="Calibri"/>
                <w:color w:val="C00000"/>
                <w:sz w:val="20"/>
                <w:szCs w:val="20"/>
              </w:rPr>
              <w:t>-907</w:t>
            </w:r>
          </w:p>
        </w:tc>
        <w:tc>
          <w:tcPr>
            <w:tcW w:w="940" w:type="dxa"/>
            <w:vAlign w:val="center"/>
          </w:tcPr>
          <w:p w:rsidRPr="002160C0" w:rsidR="002160C0" w:rsidP="002160C0" w:rsidRDefault="002160C0" w14:paraId="653DE3CA"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E10E7A">
              <w:rPr>
                <w:rFonts w:cs="Calibri"/>
                <w:color w:val="C00000"/>
                <w:sz w:val="20"/>
                <w:szCs w:val="20"/>
              </w:rPr>
              <w:t>-994</w:t>
            </w:r>
          </w:p>
        </w:tc>
        <w:tc>
          <w:tcPr>
            <w:tcW w:w="938" w:type="dxa"/>
            <w:vAlign w:val="center"/>
          </w:tcPr>
          <w:p w:rsidRPr="002160C0" w:rsidR="002160C0" w:rsidP="002160C0" w:rsidRDefault="002160C0" w14:paraId="1258B206"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1.100</w:t>
            </w:r>
          </w:p>
        </w:tc>
        <w:tc>
          <w:tcPr>
            <w:tcW w:w="939" w:type="dxa"/>
            <w:vAlign w:val="center"/>
          </w:tcPr>
          <w:p w:rsidRPr="002160C0" w:rsidR="002160C0" w:rsidP="002160C0" w:rsidRDefault="002160C0" w14:paraId="6FB24A65"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36022E">
              <w:rPr>
                <w:rFonts w:cs="Calibri"/>
                <w:color w:val="C00000"/>
                <w:sz w:val="20"/>
                <w:szCs w:val="20"/>
              </w:rPr>
              <w:t>-1.285</w:t>
            </w:r>
          </w:p>
        </w:tc>
        <w:tc>
          <w:tcPr>
            <w:tcW w:w="938" w:type="dxa"/>
            <w:vAlign w:val="center"/>
          </w:tcPr>
          <w:p w:rsidRPr="002160C0" w:rsidR="002160C0" w:rsidP="002160C0" w:rsidRDefault="002160C0" w14:paraId="25DD0A11"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1.488</w:t>
            </w:r>
          </w:p>
        </w:tc>
        <w:tc>
          <w:tcPr>
            <w:tcW w:w="938" w:type="dxa"/>
            <w:vAlign w:val="center"/>
          </w:tcPr>
          <w:p w:rsidRPr="002160C0" w:rsidR="002160C0" w:rsidP="002160C0" w:rsidRDefault="002160C0" w14:paraId="2BD7EDF1"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D20F62">
              <w:rPr>
                <w:rFonts w:cs="Calibri"/>
                <w:color w:val="C00000"/>
                <w:sz w:val="20"/>
                <w:szCs w:val="20"/>
              </w:rPr>
              <w:t>-1.637</w:t>
            </w:r>
          </w:p>
        </w:tc>
        <w:tc>
          <w:tcPr>
            <w:tcW w:w="939" w:type="dxa"/>
            <w:vAlign w:val="center"/>
          </w:tcPr>
          <w:p w:rsidRPr="002160C0" w:rsidR="002160C0" w:rsidP="002160C0" w:rsidRDefault="002160C0" w14:paraId="15D00022"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2160C0">
              <w:rPr>
                <w:rFonts w:cs="Calibri"/>
                <w:color w:val="C00000"/>
                <w:sz w:val="20"/>
                <w:szCs w:val="20"/>
              </w:rPr>
              <w:t>-1.751</w:t>
            </w:r>
          </w:p>
        </w:tc>
        <w:tc>
          <w:tcPr>
            <w:tcW w:w="938" w:type="dxa"/>
            <w:vAlign w:val="center"/>
          </w:tcPr>
          <w:p w:rsidRPr="002160C0" w:rsidR="002160C0" w:rsidP="002160C0" w:rsidRDefault="002160C0" w14:paraId="67A1DA10"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604</w:t>
            </w:r>
          </w:p>
        </w:tc>
        <w:tc>
          <w:tcPr>
            <w:tcW w:w="939" w:type="dxa"/>
            <w:vAlign w:val="center"/>
          </w:tcPr>
          <w:p w:rsidRPr="002160C0" w:rsidR="002160C0" w:rsidP="002160C0" w:rsidRDefault="002160C0" w14:paraId="47377D1E"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434</w:t>
            </w:r>
          </w:p>
        </w:tc>
        <w:tc>
          <w:tcPr>
            <w:tcW w:w="938" w:type="dxa"/>
            <w:vAlign w:val="center"/>
          </w:tcPr>
          <w:p w:rsidRPr="002160C0" w:rsidR="002160C0" w:rsidP="002160C0" w:rsidRDefault="002160C0" w14:paraId="36C7B18E"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285</w:t>
            </w:r>
          </w:p>
        </w:tc>
        <w:tc>
          <w:tcPr>
            <w:tcW w:w="939" w:type="dxa"/>
            <w:vAlign w:val="center"/>
          </w:tcPr>
          <w:p w:rsidRPr="002160C0" w:rsidR="002160C0" w:rsidP="002160C0" w:rsidRDefault="002160C0" w14:paraId="25F35D45"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36EC7DEC" w14:textId="77777777">
        <w:trPr>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39D3007F" w14:textId="77777777">
            <w:pPr>
              <w:jc w:val="right"/>
              <w:rPr>
                <w:b w:val="0"/>
                <w:bCs w:val="0"/>
                <w:sz w:val="20"/>
                <w:szCs w:val="20"/>
              </w:rPr>
            </w:pPr>
            <w:r w:rsidRPr="00694C4C">
              <w:rPr>
                <w:sz w:val="20"/>
                <w:szCs w:val="20"/>
              </w:rPr>
              <w:t>2040</w:t>
            </w:r>
          </w:p>
        </w:tc>
        <w:tc>
          <w:tcPr>
            <w:tcW w:w="939" w:type="dxa"/>
            <w:vAlign w:val="center"/>
          </w:tcPr>
          <w:p w:rsidRPr="006A173C" w:rsidR="002160C0" w:rsidP="002160C0" w:rsidRDefault="002160C0" w14:paraId="6EC6CD4B"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5BBEA92F"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BB023A">
              <w:rPr>
                <w:rFonts w:cs="Calibri"/>
                <w:color w:val="C00000"/>
                <w:sz w:val="20"/>
                <w:szCs w:val="20"/>
              </w:rPr>
              <w:t>-907</w:t>
            </w:r>
          </w:p>
        </w:tc>
        <w:tc>
          <w:tcPr>
            <w:tcW w:w="940" w:type="dxa"/>
            <w:vAlign w:val="center"/>
          </w:tcPr>
          <w:p w:rsidRPr="002160C0" w:rsidR="002160C0" w:rsidP="002160C0" w:rsidRDefault="002160C0" w14:paraId="3C6D627E"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E10E7A">
              <w:rPr>
                <w:rFonts w:cs="Calibri"/>
                <w:color w:val="C00000"/>
                <w:sz w:val="20"/>
                <w:szCs w:val="20"/>
              </w:rPr>
              <w:t>-994</w:t>
            </w:r>
          </w:p>
        </w:tc>
        <w:tc>
          <w:tcPr>
            <w:tcW w:w="938" w:type="dxa"/>
            <w:vAlign w:val="center"/>
          </w:tcPr>
          <w:p w:rsidRPr="002160C0" w:rsidR="002160C0" w:rsidP="002160C0" w:rsidRDefault="002160C0" w14:paraId="4B683D43"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1.100</w:t>
            </w:r>
          </w:p>
        </w:tc>
        <w:tc>
          <w:tcPr>
            <w:tcW w:w="939" w:type="dxa"/>
            <w:vAlign w:val="center"/>
          </w:tcPr>
          <w:p w:rsidRPr="002160C0" w:rsidR="002160C0" w:rsidP="002160C0" w:rsidRDefault="002160C0" w14:paraId="790303BC"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36022E">
              <w:rPr>
                <w:rFonts w:cs="Calibri"/>
                <w:color w:val="C00000"/>
                <w:sz w:val="20"/>
                <w:szCs w:val="20"/>
              </w:rPr>
              <w:t>-1.285</w:t>
            </w:r>
          </w:p>
        </w:tc>
        <w:tc>
          <w:tcPr>
            <w:tcW w:w="938" w:type="dxa"/>
            <w:vAlign w:val="center"/>
          </w:tcPr>
          <w:p w:rsidRPr="002160C0" w:rsidR="002160C0" w:rsidP="002160C0" w:rsidRDefault="002160C0" w14:paraId="03B33FAF"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1.488</w:t>
            </w:r>
          </w:p>
        </w:tc>
        <w:tc>
          <w:tcPr>
            <w:tcW w:w="938" w:type="dxa"/>
            <w:vAlign w:val="center"/>
          </w:tcPr>
          <w:p w:rsidRPr="002160C0" w:rsidR="002160C0" w:rsidP="002160C0" w:rsidRDefault="002160C0" w14:paraId="0E9EBDC5"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D20F62">
              <w:rPr>
                <w:rFonts w:cs="Calibri"/>
                <w:color w:val="C00000"/>
                <w:sz w:val="20"/>
                <w:szCs w:val="20"/>
              </w:rPr>
              <w:t>-1.637</w:t>
            </w:r>
          </w:p>
        </w:tc>
        <w:tc>
          <w:tcPr>
            <w:tcW w:w="939" w:type="dxa"/>
            <w:vAlign w:val="center"/>
          </w:tcPr>
          <w:p w:rsidRPr="002160C0" w:rsidR="002160C0" w:rsidP="002160C0" w:rsidRDefault="002160C0" w14:paraId="7AE2F3F2"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AC4D9B">
              <w:rPr>
                <w:rFonts w:cs="Calibri"/>
                <w:color w:val="C00000"/>
                <w:sz w:val="20"/>
                <w:szCs w:val="20"/>
              </w:rPr>
              <w:t>-1.751</w:t>
            </w:r>
          </w:p>
        </w:tc>
        <w:tc>
          <w:tcPr>
            <w:tcW w:w="938" w:type="dxa"/>
            <w:vAlign w:val="center"/>
          </w:tcPr>
          <w:p w:rsidRPr="002160C0" w:rsidR="002160C0" w:rsidP="002160C0" w:rsidRDefault="002160C0" w14:paraId="6FB592C2"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2160C0">
              <w:rPr>
                <w:rFonts w:cs="Calibri"/>
                <w:color w:val="C00000"/>
                <w:sz w:val="20"/>
                <w:szCs w:val="20"/>
              </w:rPr>
              <w:t>-1.790</w:t>
            </w:r>
          </w:p>
        </w:tc>
        <w:tc>
          <w:tcPr>
            <w:tcW w:w="939" w:type="dxa"/>
            <w:vAlign w:val="center"/>
          </w:tcPr>
          <w:p w:rsidRPr="002160C0" w:rsidR="002160C0" w:rsidP="002160C0" w:rsidRDefault="002160C0" w14:paraId="23CC0275"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434</w:t>
            </w:r>
          </w:p>
        </w:tc>
        <w:tc>
          <w:tcPr>
            <w:tcW w:w="938" w:type="dxa"/>
            <w:vAlign w:val="center"/>
          </w:tcPr>
          <w:p w:rsidRPr="002160C0" w:rsidR="002160C0" w:rsidP="002160C0" w:rsidRDefault="002160C0" w14:paraId="6486FE38"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285</w:t>
            </w:r>
          </w:p>
        </w:tc>
        <w:tc>
          <w:tcPr>
            <w:tcW w:w="939" w:type="dxa"/>
            <w:vAlign w:val="center"/>
          </w:tcPr>
          <w:p w:rsidRPr="002160C0" w:rsidR="002160C0" w:rsidP="002160C0" w:rsidRDefault="002160C0" w14:paraId="29D3A1A2"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2036C2CD" w14:textId="77777777">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29A797CF" w14:textId="77777777">
            <w:pPr>
              <w:jc w:val="right"/>
              <w:rPr>
                <w:b w:val="0"/>
                <w:bCs w:val="0"/>
                <w:sz w:val="20"/>
                <w:szCs w:val="20"/>
              </w:rPr>
            </w:pPr>
            <w:r w:rsidRPr="00694C4C">
              <w:rPr>
                <w:sz w:val="20"/>
                <w:szCs w:val="20"/>
              </w:rPr>
              <w:t>2041</w:t>
            </w:r>
          </w:p>
        </w:tc>
        <w:tc>
          <w:tcPr>
            <w:tcW w:w="939" w:type="dxa"/>
            <w:vAlign w:val="center"/>
          </w:tcPr>
          <w:p w:rsidRPr="006A173C" w:rsidR="002160C0" w:rsidP="002160C0" w:rsidRDefault="002160C0" w14:paraId="1D77A835"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127CC216"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BB023A">
              <w:rPr>
                <w:rFonts w:cs="Calibri"/>
                <w:color w:val="C00000"/>
                <w:sz w:val="20"/>
                <w:szCs w:val="20"/>
              </w:rPr>
              <w:t>-907</w:t>
            </w:r>
          </w:p>
        </w:tc>
        <w:tc>
          <w:tcPr>
            <w:tcW w:w="940" w:type="dxa"/>
            <w:vAlign w:val="center"/>
          </w:tcPr>
          <w:p w:rsidRPr="002160C0" w:rsidR="002160C0" w:rsidP="002160C0" w:rsidRDefault="002160C0" w14:paraId="572E8EBF"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E10E7A">
              <w:rPr>
                <w:rFonts w:cs="Calibri"/>
                <w:color w:val="C00000"/>
                <w:sz w:val="20"/>
                <w:szCs w:val="20"/>
              </w:rPr>
              <w:t>-994</w:t>
            </w:r>
          </w:p>
        </w:tc>
        <w:tc>
          <w:tcPr>
            <w:tcW w:w="938" w:type="dxa"/>
            <w:vAlign w:val="center"/>
          </w:tcPr>
          <w:p w:rsidRPr="002160C0" w:rsidR="002160C0" w:rsidP="002160C0" w:rsidRDefault="002160C0" w14:paraId="30271D8A"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1.100</w:t>
            </w:r>
          </w:p>
        </w:tc>
        <w:tc>
          <w:tcPr>
            <w:tcW w:w="939" w:type="dxa"/>
            <w:vAlign w:val="center"/>
          </w:tcPr>
          <w:p w:rsidRPr="002160C0" w:rsidR="002160C0" w:rsidP="002160C0" w:rsidRDefault="002160C0" w14:paraId="67A4FD0A"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36022E">
              <w:rPr>
                <w:rFonts w:cs="Calibri"/>
                <w:color w:val="C00000"/>
                <w:sz w:val="20"/>
                <w:szCs w:val="20"/>
              </w:rPr>
              <w:t>-1.285</w:t>
            </w:r>
          </w:p>
        </w:tc>
        <w:tc>
          <w:tcPr>
            <w:tcW w:w="938" w:type="dxa"/>
            <w:vAlign w:val="center"/>
          </w:tcPr>
          <w:p w:rsidRPr="002160C0" w:rsidR="002160C0" w:rsidP="002160C0" w:rsidRDefault="002160C0" w14:paraId="3F8C5488"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1.488</w:t>
            </w:r>
          </w:p>
        </w:tc>
        <w:tc>
          <w:tcPr>
            <w:tcW w:w="938" w:type="dxa"/>
            <w:vAlign w:val="center"/>
          </w:tcPr>
          <w:p w:rsidRPr="002160C0" w:rsidR="002160C0" w:rsidP="002160C0" w:rsidRDefault="002160C0" w14:paraId="0593AE77"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D20F62">
              <w:rPr>
                <w:rFonts w:cs="Calibri"/>
                <w:color w:val="C00000"/>
                <w:sz w:val="20"/>
                <w:szCs w:val="20"/>
              </w:rPr>
              <w:t>-1.637</w:t>
            </w:r>
          </w:p>
        </w:tc>
        <w:tc>
          <w:tcPr>
            <w:tcW w:w="939" w:type="dxa"/>
            <w:vAlign w:val="center"/>
          </w:tcPr>
          <w:p w:rsidRPr="002160C0" w:rsidR="002160C0" w:rsidP="002160C0" w:rsidRDefault="002160C0" w14:paraId="0D98C288"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AC4D9B">
              <w:rPr>
                <w:rFonts w:cs="Calibri"/>
                <w:color w:val="C00000"/>
                <w:sz w:val="20"/>
                <w:szCs w:val="20"/>
              </w:rPr>
              <w:t>-1.751</w:t>
            </w:r>
          </w:p>
        </w:tc>
        <w:tc>
          <w:tcPr>
            <w:tcW w:w="938" w:type="dxa"/>
            <w:vAlign w:val="center"/>
          </w:tcPr>
          <w:p w:rsidRPr="002160C0" w:rsidR="002160C0" w:rsidP="002160C0" w:rsidRDefault="002160C0" w14:paraId="386B90D5"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16242B">
              <w:rPr>
                <w:rFonts w:cs="Calibri"/>
                <w:color w:val="C00000"/>
                <w:sz w:val="20"/>
                <w:szCs w:val="20"/>
              </w:rPr>
              <w:t>-1.790</w:t>
            </w:r>
          </w:p>
        </w:tc>
        <w:tc>
          <w:tcPr>
            <w:tcW w:w="939" w:type="dxa"/>
            <w:vAlign w:val="center"/>
          </w:tcPr>
          <w:p w:rsidRPr="002160C0" w:rsidR="002160C0" w:rsidP="002160C0" w:rsidRDefault="002160C0" w14:paraId="11A0026A"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2160C0">
              <w:rPr>
                <w:rFonts w:cs="Calibri"/>
                <w:color w:val="C00000"/>
                <w:sz w:val="20"/>
                <w:szCs w:val="20"/>
              </w:rPr>
              <w:t>-1.808</w:t>
            </w:r>
          </w:p>
        </w:tc>
        <w:tc>
          <w:tcPr>
            <w:tcW w:w="938" w:type="dxa"/>
            <w:vAlign w:val="center"/>
          </w:tcPr>
          <w:p w:rsidRPr="002160C0" w:rsidR="002160C0" w:rsidP="002160C0" w:rsidRDefault="002160C0" w14:paraId="4289577A"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285</w:t>
            </w:r>
          </w:p>
        </w:tc>
        <w:tc>
          <w:tcPr>
            <w:tcW w:w="939" w:type="dxa"/>
            <w:vAlign w:val="center"/>
          </w:tcPr>
          <w:p w:rsidRPr="002160C0" w:rsidR="002160C0" w:rsidP="002160C0" w:rsidRDefault="002160C0" w14:paraId="29EDBB4A" w14:textId="77777777">
            <w:pPr>
              <w:jc w:val="center"/>
              <w:cnfStyle w:val="000000100000" w:firstRow="0" w:lastRow="0" w:firstColumn="0" w:lastColumn="0" w:oddVBand="0" w:evenVBand="0" w:oddHBand="1"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38C1A169" w14:textId="77777777">
        <w:trPr>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6FDBFFCC" w14:textId="77777777">
            <w:pPr>
              <w:jc w:val="right"/>
              <w:rPr>
                <w:b w:val="0"/>
                <w:bCs w:val="0"/>
                <w:sz w:val="20"/>
                <w:szCs w:val="20"/>
              </w:rPr>
            </w:pPr>
            <w:r w:rsidRPr="00694C4C">
              <w:rPr>
                <w:sz w:val="20"/>
                <w:szCs w:val="20"/>
              </w:rPr>
              <w:t>2042</w:t>
            </w:r>
          </w:p>
        </w:tc>
        <w:tc>
          <w:tcPr>
            <w:tcW w:w="939" w:type="dxa"/>
            <w:vAlign w:val="center"/>
          </w:tcPr>
          <w:p w:rsidRPr="006A173C" w:rsidR="002160C0" w:rsidP="002160C0" w:rsidRDefault="002160C0" w14:paraId="65F12054"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6E723405"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BB023A">
              <w:rPr>
                <w:rFonts w:cs="Calibri"/>
                <w:color w:val="C00000"/>
                <w:sz w:val="20"/>
                <w:szCs w:val="20"/>
              </w:rPr>
              <w:t>-907</w:t>
            </w:r>
          </w:p>
        </w:tc>
        <w:tc>
          <w:tcPr>
            <w:tcW w:w="940" w:type="dxa"/>
            <w:vAlign w:val="center"/>
          </w:tcPr>
          <w:p w:rsidRPr="002160C0" w:rsidR="002160C0" w:rsidP="002160C0" w:rsidRDefault="002160C0" w14:paraId="2E42872C"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E10E7A">
              <w:rPr>
                <w:rFonts w:cs="Calibri"/>
                <w:color w:val="C00000"/>
                <w:sz w:val="20"/>
                <w:szCs w:val="20"/>
              </w:rPr>
              <w:t>-994</w:t>
            </w:r>
          </w:p>
        </w:tc>
        <w:tc>
          <w:tcPr>
            <w:tcW w:w="938" w:type="dxa"/>
            <w:vAlign w:val="center"/>
          </w:tcPr>
          <w:p w:rsidRPr="002160C0" w:rsidR="002160C0" w:rsidP="002160C0" w:rsidRDefault="002160C0" w14:paraId="4948776E"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1.100</w:t>
            </w:r>
          </w:p>
        </w:tc>
        <w:tc>
          <w:tcPr>
            <w:tcW w:w="939" w:type="dxa"/>
            <w:vAlign w:val="center"/>
          </w:tcPr>
          <w:p w:rsidRPr="002160C0" w:rsidR="002160C0" w:rsidP="002160C0" w:rsidRDefault="002160C0" w14:paraId="7C1A85A2"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36022E">
              <w:rPr>
                <w:rFonts w:cs="Calibri"/>
                <w:color w:val="C00000"/>
                <w:sz w:val="20"/>
                <w:szCs w:val="20"/>
              </w:rPr>
              <w:t>-1.285</w:t>
            </w:r>
          </w:p>
        </w:tc>
        <w:tc>
          <w:tcPr>
            <w:tcW w:w="938" w:type="dxa"/>
            <w:vAlign w:val="center"/>
          </w:tcPr>
          <w:p w:rsidRPr="002160C0" w:rsidR="002160C0" w:rsidP="002160C0" w:rsidRDefault="002160C0" w14:paraId="20858D6B"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1.488</w:t>
            </w:r>
          </w:p>
        </w:tc>
        <w:tc>
          <w:tcPr>
            <w:tcW w:w="938" w:type="dxa"/>
            <w:vAlign w:val="center"/>
          </w:tcPr>
          <w:p w:rsidRPr="002160C0" w:rsidR="002160C0" w:rsidP="002160C0" w:rsidRDefault="002160C0" w14:paraId="3E8EF533"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D20F62">
              <w:rPr>
                <w:rFonts w:cs="Calibri"/>
                <w:color w:val="C00000"/>
                <w:sz w:val="20"/>
                <w:szCs w:val="20"/>
              </w:rPr>
              <w:t>-1.637</w:t>
            </w:r>
          </w:p>
        </w:tc>
        <w:tc>
          <w:tcPr>
            <w:tcW w:w="939" w:type="dxa"/>
            <w:vAlign w:val="center"/>
          </w:tcPr>
          <w:p w:rsidRPr="002160C0" w:rsidR="002160C0" w:rsidP="002160C0" w:rsidRDefault="002160C0" w14:paraId="0D616944"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AC4D9B">
              <w:rPr>
                <w:rFonts w:cs="Calibri"/>
                <w:color w:val="C00000"/>
                <w:sz w:val="20"/>
                <w:szCs w:val="20"/>
              </w:rPr>
              <w:t>-1.751</w:t>
            </w:r>
          </w:p>
        </w:tc>
        <w:tc>
          <w:tcPr>
            <w:tcW w:w="938" w:type="dxa"/>
            <w:vAlign w:val="center"/>
          </w:tcPr>
          <w:p w:rsidRPr="002160C0" w:rsidR="002160C0" w:rsidP="002160C0" w:rsidRDefault="002160C0" w14:paraId="6D1010F8"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16242B">
              <w:rPr>
                <w:rFonts w:cs="Calibri"/>
                <w:color w:val="C00000"/>
                <w:sz w:val="20"/>
                <w:szCs w:val="20"/>
              </w:rPr>
              <w:t>-1.790</w:t>
            </w:r>
          </w:p>
        </w:tc>
        <w:tc>
          <w:tcPr>
            <w:tcW w:w="939" w:type="dxa"/>
            <w:vAlign w:val="center"/>
          </w:tcPr>
          <w:p w:rsidRPr="002160C0" w:rsidR="002160C0" w:rsidP="002160C0" w:rsidRDefault="002160C0" w14:paraId="1C67EDEF"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B551CE">
              <w:rPr>
                <w:rFonts w:cs="Calibri"/>
                <w:color w:val="C00000"/>
                <w:sz w:val="20"/>
                <w:szCs w:val="20"/>
              </w:rPr>
              <w:t>-1.808</w:t>
            </w:r>
          </w:p>
        </w:tc>
        <w:tc>
          <w:tcPr>
            <w:tcW w:w="938" w:type="dxa"/>
            <w:vAlign w:val="center"/>
          </w:tcPr>
          <w:p w:rsidRPr="002160C0" w:rsidR="002160C0" w:rsidP="002160C0" w:rsidRDefault="002160C0" w14:paraId="5A1FBCC5" w14:textId="77777777">
            <w:pPr>
              <w:jc w:val="center"/>
              <w:cnfStyle w:val="000000000000" w:firstRow="0" w:lastRow="0" w:firstColumn="0" w:lastColumn="0" w:oddVBand="0" w:evenVBand="0" w:oddHBand="0" w:evenHBand="0" w:firstRowFirstColumn="0" w:firstRowLastColumn="0" w:lastRowFirstColumn="0" w:lastRowLastColumn="0"/>
              <w:rPr>
                <w:color w:val="C00000"/>
                <w:sz w:val="20"/>
                <w:szCs w:val="20"/>
              </w:rPr>
            </w:pPr>
            <w:r w:rsidRPr="002160C0">
              <w:rPr>
                <w:rFonts w:cs="Calibri"/>
                <w:color w:val="C00000"/>
                <w:sz w:val="20"/>
                <w:szCs w:val="20"/>
              </w:rPr>
              <w:t>-1.813</w:t>
            </w:r>
          </w:p>
        </w:tc>
        <w:tc>
          <w:tcPr>
            <w:tcW w:w="939" w:type="dxa"/>
            <w:vAlign w:val="center"/>
          </w:tcPr>
          <w:p w:rsidRPr="002160C0" w:rsidR="002160C0" w:rsidP="002160C0" w:rsidRDefault="002160C0" w14:paraId="0E99AE55" w14:textId="77777777">
            <w:pPr>
              <w:jc w:val="center"/>
              <w:cnfStyle w:val="000000000000" w:firstRow="0" w:lastRow="0" w:firstColumn="0" w:lastColumn="0" w:oddVBand="0" w:evenVBand="0" w:oddHBand="0" w:evenHBand="0" w:firstRowFirstColumn="0" w:firstRowLastColumn="0" w:lastRowFirstColumn="0" w:lastRowLastColumn="0"/>
              <w:rPr>
                <w:color w:val="196B24" w:themeColor="accent3"/>
                <w:sz w:val="20"/>
                <w:szCs w:val="20"/>
              </w:rPr>
            </w:pPr>
            <w:r w:rsidRPr="002160C0">
              <w:rPr>
                <w:rFonts w:cs="Calibri"/>
                <w:color w:val="196B24" w:themeColor="accent3"/>
                <w:sz w:val="20"/>
                <w:szCs w:val="20"/>
              </w:rPr>
              <w:t>149</w:t>
            </w:r>
          </w:p>
        </w:tc>
      </w:tr>
      <w:tr w:rsidRPr="00694C4C" w:rsidR="002160C0" w:rsidTr="002160C0" w14:paraId="150D30F4" w14:textId="77777777">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854" w:type="dxa"/>
            <w:vAlign w:val="center"/>
          </w:tcPr>
          <w:p w:rsidRPr="00694C4C" w:rsidR="002160C0" w:rsidP="002160C0" w:rsidRDefault="002160C0" w14:paraId="775A0B43" w14:textId="77777777">
            <w:pPr>
              <w:jc w:val="right"/>
              <w:rPr>
                <w:b w:val="0"/>
                <w:bCs w:val="0"/>
                <w:sz w:val="20"/>
                <w:szCs w:val="20"/>
              </w:rPr>
            </w:pPr>
            <w:r w:rsidRPr="00694C4C">
              <w:rPr>
                <w:sz w:val="20"/>
                <w:szCs w:val="20"/>
              </w:rPr>
              <w:t xml:space="preserve">2043 </w:t>
            </w:r>
          </w:p>
          <w:p w:rsidRPr="00694C4C" w:rsidR="002160C0" w:rsidP="002160C0" w:rsidRDefault="002160C0" w14:paraId="546F0C8A" w14:textId="77777777">
            <w:pPr>
              <w:jc w:val="right"/>
              <w:rPr>
                <w:b w:val="0"/>
                <w:bCs w:val="0"/>
                <w:sz w:val="20"/>
                <w:szCs w:val="20"/>
              </w:rPr>
            </w:pPr>
            <w:r w:rsidRPr="00694C4C">
              <w:rPr>
                <w:b w:val="0"/>
                <w:bCs w:val="0"/>
                <w:i/>
                <w:iCs/>
                <w:sz w:val="20"/>
                <w:szCs w:val="20"/>
              </w:rPr>
              <w:t>(als fiche 2A)</w:t>
            </w:r>
          </w:p>
        </w:tc>
        <w:tc>
          <w:tcPr>
            <w:tcW w:w="939" w:type="dxa"/>
            <w:vAlign w:val="center"/>
          </w:tcPr>
          <w:p w:rsidRPr="006A173C" w:rsidR="002160C0" w:rsidP="002160C0" w:rsidRDefault="002160C0" w14:paraId="4340E612"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6A173C">
              <w:rPr>
                <w:color w:val="C00000"/>
                <w:sz w:val="20"/>
                <w:szCs w:val="20"/>
              </w:rPr>
              <w:t>-858</w:t>
            </w:r>
          </w:p>
        </w:tc>
        <w:tc>
          <w:tcPr>
            <w:tcW w:w="939" w:type="dxa"/>
            <w:vAlign w:val="center"/>
          </w:tcPr>
          <w:p w:rsidRPr="002160C0" w:rsidR="002160C0" w:rsidP="002160C0" w:rsidRDefault="002160C0" w14:paraId="2BC71582"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BB023A">
              <w:rPr>
                <w:rFonts w:cs="Calibri"/>
                <w:color w:val="C00000"/>
                <w:sz w:val="20"/>
                <w:szCs w:val="20"/>
              </w:rPr>
              <w:t>-907</w:t>
            </w:r>
          </w:p>
        </w:tc>
        <w:tc>
          <w:tcPr>
            <w:tcW w:w="940" w:type="dxa"/>
            <w:vAlign w:val="center"/>
          </w:tcPr>
          <w:p w:rsidRPr="002160C0" w:rsidR="002160C0" w:rsidP="002160C0" w:rsidRDefault="002160C0" w14:paraId="0F90F552"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E10E7A">
              <w:rPr>
                <w:rFonts w:cs="Calibri"/>
                <w:color w:val="C00000"/>
                <w:sz w:val="20"/>
                <w:szCs w:val="20"/>
              </w:rPr>
              <w:t>-994</w:t>
            </w:r>
          </w:p>
        </w:tc>
        <w:tc>
          <w:tcPr>
            <w:tcW w:w="938" w:type="dxa"/>
            <w:vAlign w:val="center"/>
          </w:tcPr>
          <w:p w:rsidRPr="002160C0" w:rsidR="002160C0" w:rsidP="002160C0" w:rsidRDefault="002160C0" w14:paraId="471FFD24"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1.100</w:t>
            </w:r>
          </w:p>
        </w:tc>
        <w:tc>
          <w:tcPr>
            <w:tcW w:w="939" w:type="dxa"/>
            <w:vAlign w:val="center"/>
          </w:tcPr>
          <w:p w:rsidRPr="002160C0" w:rsidR="002160C0" w:rsidP="002160C0" w:rsidRDefault="002160C0" w14:paraId="313F2A51"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36022E">
              <w:rPr>
                <w:rFonts w:cs="Calibri"/>
                <w:color w:val="C00000"/>
                <w:sz w:val="20"/>
                <w:szCs w:val="20"/>
              </w:rPr>
              <w:t>-1.285</w:t>
            </w:r>
          </w:p>
        </w:tc>
        <w:tc>
          <w:tcPr>
            <w:tcW w:w="938" w:type="dxa"/>
            <w:vAlign w:val="center"/>
          </w:tcPr>
          <w:p w:rsidRPr="002160C0" w:rsidR="002160C0" w:rsidP="002160C0" w:rsidRDefault="002160C0" w14:paraId="5F472FE7"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Pr>
                <w:rFonts w:cs="Calibri"/>
                <w:color w:val="C00000"/>
                <w:sz w:val="20"/>
                <w:szCs w:val="20"/>
              </w:rPr>
              <w:t>-</w:t>
            </w:r>
            <w:r w:rsidRPr="002160C0">
              <w:rPr>
                <w:rFonts w:cs="Calibri"/>
                <w:color w:val="C00000"/>
                <w:sz w:val="20"/>
                <w:szCs w:val="20"/>
              </w:rPr>
              <w:t>1.488</w:t>
            </w:r>
          </w:p>
        </w:tc>
        <w:tc>
          <w:tcPr>
            <w:tcW w:w="938" w:type="dxa"/>
            <w:vAlign w:val="center"/>
          </w:tcPr>
          <w:p w:rsidRPr="002160C0" w:rsidR="002160C0" w:rsidP="002160C0" w:rsidRDefault="002160C0" w14:paraId="49059FE3"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D20F62">
              <w:rPr>
                <w:rFonts w:cs="Calibri"/>
                <w:color w:val="C00000"/>
                <w:sz w:val="20"/>
                <w:szCs w:val="20"/>
              </w:rPr>
              <w:t>-1.637</w:t>
            </w:r>
          </w:p>
        </w:tc>
        <w:tc>
          <w:tcPr>
            <w:tcW w:w="939" w:type="dxa"/>
            <w:vAlign w:val="center"/>
          </w:tcPr>
          <w:p w:rsidRPr="002160C0" w:rsidR="002160C0" w:rsidP="002160C0" w:rsidRDefault="002160C0" w14:paraId="77D3A1AD"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AC4D9B">
              <w:rPr>
                <w:rFonts w:cs="Calibri"/>
                <w:color w:val="C00000"/>
                <w:sz w:val="20"/>
                <w:szCs w:val="20"/>
              </w:rPr>
              <w:t>-1.751</w:t>
            </w:r>
          </w:p>
        </w:tc>
        <w:tc>
          <w:tcPr>
            <w:tcW w:w="938" w:type="dxa"/>
            <w:vAlign w:val="center"/>
          </w:tcPr>
          <w:p w:rsidRPr="002160C0" w:rsidR="002160C0" w:rsidP="002160C0" w:rsidRDefault="002160C0" w14:paraId="0CEE5E5D"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16242B">
              <w:rPr>
                <w:rFonts w:cs="Calibri"/>
                <w:color w:val="C00000"/>
                <w:sz w:val="20"/>
                <w:szCs w:val="20"/>
              </w:rPr>
              <w:t>-1.790</w:t>
            </w:r>
          </w:p>
        </w:tc>
        <w:tc>
          <w:tcPr>
            <w:tcW w:w="939" w:type="dxa"/>
            <w:vAlign w:val="center"/>
          </w:tcPr>
          <w:p w:rsidRPr="002160C0" w:rsidR="002160C0" w:rsidP="002160C0" w:rsidRDefault="002160C0" w14:paraId="2FA6DAA5"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B551CE">
              <w:rPr>
                <w:rFonts w:cs="Calibri"/>
                <w:color w:val="C00000"/>
                <w:sz w:val="20"/>
                <w:szCs w:val="20"/>
              </w:rPr>
              <w:t>-1.808</w:t>
            </w:r>
          </w:p>
        </w:tc>
        <w:tc>
          <w:tcPr>
            <w:tcW w:w="938" w:type="dxa"/>
            <w:vAlign w:val="center"/>
          </w:tcPr>
          <w:p w:rsidRPr="002160C0" w:rsidR="002160C0" w:rsidP="002160C0" w:rsidRDefault="002160C0" w14:paraId="2F1EC302"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2160C0">
              <w:rPr>
                <w:rFonts w:cs="Calibri"/>
                <w:color w:val="C00000"/>
                <w:sz w:val="20"/>
                <w:szCs w:val="20"/>
              </w:rPr>
              <w:t>-1.813</w:t>
            </w:r>
          </w:p>
        </w:tc>
        <w:tc>
          <w:tcPr>
            <w:tcW w:w="939" w:type="dxa"/>
            <w:vAlign w:val="center"/>
          </w:tcPr>
          <w:p w:rsidRPr="002160C0" w:rsidR="002160C0" w:rsidP="002160C0" w:rsidRDefault="002160C0" w14:paraId="4A2C001D" w14:textId="77777777">
            <w:pPr>
              <w:jc w:val="center"/>
              <w:cnfStyle w:val="000000100000" w:firstRow="0" w:lastRow="0" w:firstColumn="0" w:lastColumn="0" w:oddVBand="0" w:evenVBand="0" w:oddHBand="1" w:evenHBand="0" w:firstRowFirstColumn="0" w:firstRowLastColumn="0" w:lastRowFirstColumn="0" w:lastRowLastColumn="0"/>
              <w:rPr>
                <w:color w:val="C00000"/>
                <w:sz w:val="20"/>
                <w:szCs w:val="20"/>
              </w:rPr>
            </w:pPr>
            <w:r w:rsidRPr="002160C0">
              <w:rPr>
                <w:rFonts w:cs="Calibri"/>
                <w:color w:val="C00000"/>
                <w:sz w:val="20"/>
                <w:szCs w:val="20"/>
              </w:rPr>
              <w:t>-1.832</w:t>
            </w:r>
          </w:p>
        </w:tc>
      </w:tr>
    </w:tbl>
    <w:p w:rsidRPr="00694C4C" w:rsidR="00694C4C" w:rsidP="00694C4C" w:rsidRDefault="00694C4C" w14:paraId="361BC101" w14:textId="77777777"/>
    <w:p w:rsidR="00694C4C" w:rsidP="00694C4C" w:rsidRDefault="00694C4C" w14:paraId="61C81E53" w14:textId="77777777"/>
    <w:p w:rsidR="00694C4C" w:rsidP="00694C4C" w:rsidRDefault="00694C4C" w14:paraId="5540439F" w14:textId="77777777"/>
    <w:p w:rsidR="00694C4C" w:rsidP="00694C4C" w:rsidRDefault="00694C4C" w14:paraId="1D6F1310" w14:textId="77777777"/>
    <w:p w:rsidR="00694C4C" w:rsidP="00694C4C" w:rsidRDefault="00694C4C" w14:paraId="493B20A8" w14:textId="77777777"/>
    <w:p w:rsidR="00694C4C" w:rsidP="00694C4C" w:rsidRDefault="00694C4C" w14:paraId="7C60B0AF" w14:textId="77777777"/>
    <w:p w:rsidR="00694C4C" w:rsidP="00694C4C" w:rsidRDefault="00694C4C" w14:paraId="246719BE" w14:textId="77777777"/>
    <w:p w:rsidR="00694C4C" w:rsidP="00694C4C" w:rsidRDefault="00694C4C" w14:paraId="225364B8" w14:textId="77777777"/>
    <w:p w:rsidR="00694C4C" w:rsidP="00694C4C" w:rsidRDefault="00694C4C" w14:paraId="744BA063" w14:textId="77777777"/>
    <w:p w:rsidR="00694C4C" w:rsidP="00694C4C" w:rsidRDefault="00694C4C" w14:paraId="1454E2FD" w14:textId="77777777"/>
    <w:p w:rsidR="00694C4C" w:rsidP="00694C4C" w:rsidRDefault="00694C4C" w14:paraId="1794C27A" w14:textId="77777777"/>
    <w:p w:rsidR="00694C4C" w:rsidP="00694C4C" w:rsidRDefault="00694C4C" w14:paraId="40F58F7F" w14:textId="77777777"/>
    <w:p w:rsidR="00694C4C" w:rsidP="00694C4C" w:rsidRDefault="00694C4C" w14:paraId="278ED86D" w14:textId="77777777"/>
    <w:p w:rsidR="00694C4C" w:rsidP="00694C4C" w:rsidRDefault="00694C4C" w14:paraId="2E11868B" w14:textId="77777777"/>
    <w:p w:rsidR="00694C4C" w:rsidP="00694C4C" w:rsidRDefault="00694C4C" w14:paraId="71635E21" w14:textId="77777777"/>
    <w:p w:rsidR="00694C4C" w:rsidP="00694C4C" w:rsidRDefault="00694C4C" w14:paraId="0C1F1DD0" w14:textId="77777777"/>
    <w:p w:rsidR="00694C4C" w:rsidP="00694C4C" w:rsidRDefault="00694C4C" w14:paraId="20C777ED" w14:textId="77777777"/>
    <w:p w:rsidR="00694C4C" w:rsidP="00694C4C" w:rsidRDefault="00694C4C" w14:paraId="1F507DE4" w14:textId="77777777"/>
    <w:p w:rsidR="00694C4C" w:rsidP="00694C4C" w:rsidRDefault="00694C4C" w14:paraId="6DFA4F8B" w14:textId="77777777"/>
    <w:p w:rsidR="00694C4C" w:rsidP="00694C4C" w:rsidRDefault="00694C4C" w14:paraId="36CA7EC8" w14:textId="77777777"/>
    <w:p w:rsidR="00694C4C" w:rsidP="00694C4C" w:rsidRDefault="00694C4C" w14:paraId="116E9F18" w14:textId="77777777"/>
    <w:p w:rsidR="00694C4C" w:rsidP="00694C4C" w:rsidRDefault="00694C4C" w14:paraId="5BDA066D" w14:textId="77777777"/>
    <w:p w:rsidR="00694C4C" w:rsidP="00694C4C" w:rsidRDefault="00694C4C" w14:paraId="563571F7" w14:textId="77777777"/>
    <w:p w:rsidRPr="00694C4C" w:rsidR="00694C4C" w:rsidP="00694C4C" w:rsidRDefault="00694C4C" w14:paraId="5B61FFEC" w14:textId="77777777">
      <w:pPr>
        <w:sectPr w:rsidRPr="00694C4C" w:rsidR="00694C4C" w:rsidSect="00CD62EC">
          <w:pgSz w:w="16837" w:h="11905" w:orient="landscape"/>
          <w:pgMar w:top="964" w:right="1077" w:bottom="964" w:left="2642" w:header="0" w:footer="0" w:gutter="0"/>
          <w:cols w:space="708"/>
          <w:docGrid w:linePitch="245"/>
        </w:sectPr>
      </w:pPr>
    </w:p>
    <w:p w:rsidRPr="00694C4C" w:rsidR="00694C4C" w:rsidP="00B41221" w:rsidRDefault="00694C4C" w14:paraId="59A3EFDA" w14:textId="77777777">
      <w:pPr>
        <w:rPr>
          <w:sz w:val="16"/>
          <w:szCs w:val="16"/>
        </w:rPr>
      </w:pPr>
    </w:p>
    <w:sectPr w:rsidRPr="00694C4C" w:rsidR="00694C4C" w:rsidSect="00694C4C">
      <w:pgSz w:w="16837" w:h="11905" w:orient="landscape"/>
      <w:pgMar w:top="963" w:right="1077" w:bottom="3231" w:left="2641" w:header="0" w:footer="0" w:gutter="0"/>
      <w:pgNumType w:start="1"/>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1CD0" w14:textId="77777777" w:rsidR="00324DAA" w:rsidRDefault="00324DAA">
      <w:pPr>
        <w:spacing w:line="240" w:lineRule="auto"/>
      </w:pPr>
      <w:r>
        <w:separator/>
      </w:r>
    </w:p>
  </w:endnote>
  <w:endnote w:type="continuationSeparator" w:id="0">
    <w:p w14:paraId="36078663" w14:textId="77777777" w:rsidR="00324DAA" w:rsidRDefault="00324D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669E" w14:textId="77777777" w:rsidR="00A62ACD" w:rsidRDefault="00A62A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10D6" w14:textId="77777777" w:rsidR="00A62ACD" w:rsidRDefault="00A62A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0D64" w14:textId="77777777" w:rsidR="00A62ACD" w:rsidRDefault="00A62AC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C37F" w14:textId="77777777" w:rsidR="00AD3A32" w:rsidRDefault="00AD3A3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E3D" w14:textId="77777777" w:rsidR="00AD3A32" w:rsidRDefault="00AD3A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8ECD" w14:textId="77777777" w:rsidR="00324DAA" w:rsidRDefault="00324DAA">
      <w:pPr>
        <w:spacing w:line="240" w:lineRule="auto"/>
      </w:pPr>
      <w:r>
        <w:separator/>
      </w:r>
    </w:p>
  </w:footnote>
  <w:footnote w:type="continuationSeparator" w:id="0">
    <w:p w14:paraId="7408B1F2" w14:textId="77777777" w:rsidR="00324DAA" w:rsidRDefault="00324DAA">
      <w:pPr>
        <w:spacing w:line="240" w:lineRule="auto"/>
      </w:pPr>
      <w:r>
        <w:continuationSeparator/>
      </w:r>
    </w:p>
  </w:footnote>
  <w:footnote w:id="1">
    <w:p w14:paraId="783D17DE" w14:textId="77777777" w:rsidR="00EC795F" w:rsidRDefault="00EC795F">
      <w:pPr>
        <w:pStyle w:val="Voetnoottekst"/>
      </w:pPr>
      <w:r w:rsidRPr="00EC795F">
        <w:rPr>
          <w:rStyle w:val="Voetnootmarkering"/>
          <w:sz w:val="16"/>
          <w:szCs w:val="16"/>
        </w:rPr>
        <w:footnoteRef/>
      </w:r>
      <w:r w:rsidRPr="00EC795F">
        <w:rPr>
          <w:sz w:val="16"/>
          <w:szCs w:val="16"/>
        </w:rPr>
        <w:t xml:space="preserve"> Waar in dit rapport wordt gesproken over HRA wordt gedoeld op</w:t>
      </w:r>
      <w:r>
        <w:rPr>
          <w:sz w:val="16"/>
          <w:szCs w:val="16"/>
        </w:rPr>
        <w:t xml:space="preserve"> d</w:t>
      </w:r>
      <w:r w:rsidRPr="00EC795F">
        <w:rPr>
          <w:sz w:val="16"/>
          <w:szCs w:val="16"/>
        </w:rPr>
        <w:t>e betaalde (hypotheek)rente voor een eigenwoninglening die in mindering komt op het belastbaar inkomen in box 1.</w:t>
      </w:r>
      <w:r>
        <w:t xml:space="preserve"> </w:t>
      </w:r>
    </w:p>
  </w:footnote>
  <w:footnote w:id="2">
    <w:p w14:paraId="5AC9A7DE" w14:textId="77777777" w:rsidR="00927251" w:rsidRPr="002F7ADC" w:rsidRDefault="00927251">
      <w:pPr>
        <w:pStyle w:val="Voetnoottekst"/>
        <w:rPr>
          <w:sz w:val="16"/>
          <w:szCs w:val="16"/>
        </w:rPr>
      </w:pPr>
      <w:r w:rsidRPr="002F7ADC">
        <w:rPr>
          <w:rStyle w:val="Voetnootmarkering"/>
          <w:sz w:val="16"/>
          <w:szCs w:val="16"/>
        </w:rPr>
        <w:footnoteRef/>
      </w:r>
      <w:r w:rsidRPr="002F7ADC">
        <w:rPr>
          <w:sz w:val="16"/>
          <w:szCs w:val="16"/>
        </w:rPr>
        <w:t xml:space="preserve"> De eigen woning gaat niet over naar box 3, maar blijft in box 1. Verkoopwinst van de eigen woning wordt dus niet belast, maar er wordt wel inkomstenbelasting geheven over de waarde van de woning door middel van het eigenwoningforfait.</w:t>
      </w:r>
    </w:p>
  </w:footnote>
  <w:footnote w:id="3">
    <w:p w14:paraId="0539D22F" w14:textId="77777777" w:rsidR="00927251" w:rsidRPr="002F7ADC" w:rsidRDefault="00927251">
      <w:pPr>
        <w:pStyle w:val="Voetnoottekst"/>
        <w:rPr>
          <w:sz w:val="16"/>
          <w:szCs w:val="16"/>
        </w:rPr>
      </w:pPr>
      <w:r w:rsidRPr="002F7ADC">
        <w:rPr>
          <w:rStyle w:val="Voetnootmarkering"/>
          <w:sz w:val="16"/>
          <w:szCs w:val="16"/>
        </w:rPr>
        <w:footnoteRef/>
      </w:r>
      <w:r w:rsidRPr="002F7ADC">
        <w:rPr>
          <w:sz w:val="16"/>
          <w:szCs w:val="16"/>
        </w:rPr>
        <w:t xml:space="preserve"> </w:t>
      </w:r>
      <w:r w:rsidR="006A3F81" w:rsidRPr="002F7ADC">
        <w:rPr>
          <w:sz w:val="16"/>
          <w:szCs w:val="16"/>
        </w:rPr>
        <w:t>Evaluatie complexiteit fiscale eigenwoningregeling, uitgevoerd door Panteia, Kamerstukken II 2019/20, 32 847, nr. 583.</w:t>
      </w:r>
    </w:p>
  </w:footnote>
  <w:footnote w:id="4">
    <w:p w14:paraId="16410315" w14:textId="77777777" w:rsidR="00927251" w:rsidRDefault="00927251">
      <w:pPr>
        <w:pStyle w:val="Voetnoottekst"/>
      </w:pPr>
      <w:r w:rsidRPr="002F7ADC">
        <w:rPr>
          <w:rStyle w:val="Voetnootmarkering"/>
          <w:sz w:val="16"/>
          <w:szCs w:val="16"/>
        </w:rPr>
        <w:footnoteRef/>
      </w:r>
      <w:r w:rsidRPr="002F7ADC">
        <w:rPr>
          <w:sz w:val="16"/>
          <w:szCs w:val="16"/>
        </w:rPr>
        <w:t xml:space="preserve"> </w:t>
      </w:r>
      <w:r w:rsidR="006A3F81" w:rsidRPr="002F7ADC">
        <w:rPr>
          <w:sz w:val="16"/>
          <w:szCs w:val="16"/>
        </w:rPr>
        <w:t>Kamerstukken II 2023/24, 32140, nr 180.</w:t>
      </w:r>
    </w:p>
  </w:footnote>
  <w:footnote w:id="5">
    <w:p w14:paraId="57200456" w14:textId="77777777" w:rsidR="00A10A1F" w:rsidRDefault="00A10A1F">
      <w:pPr>
        <w:pStyle w:val="Voetnoottekst"/>
      </w:pPr>
      <w:r w:rsidRPr="00A10A1F">
        <w:rPr>
          <w:rStyle w:val="Voetnootmarkering"/>
          <w:sz w:val="16"/>
          <w:szCs w:val="16"/>
        </w:rPr>
        <w:footnoteRef/>
      </w:r>
      <w:r w:rsidRPr="00A10A1F">
        <w:rPr>
          <w:sz w:val="16"/>
          <w:szCs w:val="16"/>
        </w:rPr>
        <w:t xml:space="preserve"> De aflossingseis die per 2013 geldt brengt namelijk ook de nodige complexiteit met zich mee. Bij verhuizen of oversluiten moet een lopend annuïtair schema (al dan niet vastgesteld door middel van een aflossingsstand) worden voortgezet. Afwijkingen, hoe beperkt ook, zijn niet toegestaan. In de praktijk komt het voor dat bij aankoop van een nieuwe woning geen rekening wordt gehouden met een lopend schema, bijvoorbeeld doordat voor de hele koopsom van de nieuwe woning één annuïtaire lening wordt afgesloten met een looptijd van 360 maanden. Totdat deze lening is aangepast komt de hele lening dan niet in aanmerking voor HRA en valt deze in box 3</w:t>
      </w:r>
    </w:p>
  </w:footnote>
  <w:footnote w:id="6">
    <w:p w14:paraId="02532A91" w14:textId="77777777" w:rsidR="00CF001C" w:rsidRPr="00E63741" w:rsidRDefault="00CF001C" w:rsidP="00A319CE">
      <w:pPr>
        <w:pStyle w:val="Voetnoottekst"/>
        <w:rPr>
          <w:sz w:val="14"/>
          <w:szCs w:val="14"/>
        </w:rPr>
      </w:pPr>
      <w:r w:rsidRPr="00E63741">
        <w:rPr>
          <w:rStyle w:val="Voetnootmarkering"/>
          <w:sz w:val="14"/>
          <w:szCs w:val="14"/>
        </w:rPr>
        <w:footnoteRef/>
      </w:r>
      <w:r>
        <w:rPr>
          <w:sz w:val="14"/>
          <w:szCs w:val="14"/>
        </w:rPr>
        <w:t xml:space="preserve"> </w:t>
      </w:r>
      <w:r w:rsidRPr="00E63741">
        <w:rPr>
          <w:sz w:val="14"/>
          <w:szCs w:val="14"/>
        </w:rPr>
        <w:t xml:space="preserve">Bij fiches 1A en 1B moet bij leningen die voldoen aan de aflossingseis wel worden vastgesteld of deze leningen classificeren als BEWS om de fiscale gevolgen te bepalen. Bij fiche 1C is deze vaststelling eenvoudiger omdat HRA geldt voor álle leningen die per 1-1-2031 voldoen aan de aflossingseis, ongeacht of deze leningen classificeren als BEWS. </w:t>
      </w:r>
    </w:p>
  </w:footnote>
  <w:footnote w:id="7">
    <w:p w14:paraId="4B94AF8D" w14:textId="77777777" w:rsidR="00CF001C" w:rsidRDefault="00CF001C" w:rsidP="00A319CE">
      <w:pPr>
        <w:pStyle w:val="Voetnoottekst"/>
      </w:pPr>
      <w:r w:rsidRPr="00E63741">
        <w:rPr>
          <w:b/>
          <w:bCs/>
          <w:sz w:val="14"/>
          <w:szCs w:val="14"/>
        </w:rPr>
        <w:t>*</w:t>
      </w:r>
      <w:r w:rsidRPr="00E63741">
        <w:rPr>
          <w:rStyle w:val="Voetnootmarkering"/>
          <w:sz w:val="14"/>
          <w:szCs w:val="14"/>
        </w:rPr>
        <w:t xml:space="preserve">  </w:t>
      </w:r>
      <w:r w:rsidRPr="00E63741">
        <w:rPr>
          <w:sz w:val="14"/>
          <w:szCs w:val="14"/>
        </w:rPr>
        <w:t xml:space="preserve">Deze uitbreiding gaat gepaard met een aanzienlijke, structurele budgettaire derving omdat alle belastingplichtigen bij verhuizen opnieuw 30 jaar HRA krijgen. Dit is een uitbreiding van de </w:t>
      </w:r>
      <w:r>
        <w:rPr>
          <w:sz w:val="14"/>
          <w:szCs w:val="14"/>
        </w:rPr>
        <w:t xml:space="preserve">huidige </w:t>
      </w:r>
      <w:r w:rsidRPr="00E63741">
        <w:rPr>
          <w:sz w:val="14"/>
          <w:szCs w:val="14"/>
        </w:rPr>
        <w:t>fiscale subsidiëring op de eigen woning.</w:t>
      </w:r>
    </w:p>
  </w:footnote>
  <w:footnote w:id="8">
    <w:p w14:paraId="221F9AE1" w14:textId="77777777" w:rsidR="002E18D3" w:rsidRDefault="002E18D3">
      <w:pPr>
        <w:pStyle w:val="Voetnoottekst"/>
      </w:pPr>
      <w:r w:rsidRPr="002E18D3">
        <w:rPr>
          <w:rStyle w:val="Voetnootmarkering"/>
          <w:sz w:val="14"/>
          <w:szCs w:val="14"/>
        </w:rPr>
        <w:footnoteRef/>
      </w:r>
      <w:r w:rsidRPr="002E18D3">
        <w:rPr>
          <w:sz w:val="14"/>
          <w:szCs w:val="14"/>
        </w:rPr>
        <w:t xml:space="preserve"> Startersleningen afgesloten in de periode 2013-2017 blijven in dit rapport buiten beschouwing.</w:t>
      </w:r>
    </w:p>
  </w:footnote>
  <w:footnote w:id="9">
    <w:p w14:paraId="31856E60" w14:textId="77777777" w:rsidR="00117BF6" w:rsidRPr="00781FEA" w:rsidRDefault="00117BF6" w:rsidP="00117BF6">
      <w:pPr>
        <w:pStyle w:val="Voetnoottekst"/>
        <w:rPr>
          <w:sz w:val="16"/>
          <w:szCs w:val="16"/>
        </w:rPr>
      </w:pPr>
      <w:r w:rsidRPr="00781FEA">
        <w:rPr>
          <w:rStyle w:val="Voetnootmarkering"/>
          <w:sz w:val="16"/>
          <w:szCs w:val="16"/>
        </w:rPr>
        <w:footnoteRef/>
      </w:r>
      <w:r w:rsidRPr="00781FEA">
        <w:rPr>
          <w:sz w:val="16"/>
          <w:szCs w:val="16"/>
        </w:rPr>
        <w:t xml:space="preserve"> </w:t>
      </w:r>
      <w:hyperlink r:id="rId1" w:history="1">
        <w:r w:rsidRPr="00781FEA">
          <w:rPr>
            <w:rStyle w:val="Hyperlink"/>
            <w:sz w:val="16"/>
            <w:szCs w:val="16"/>
          </w:rPr>
          <w:t>Belastingen in maatschappelijk perspectief: Bouwstenen voor een beter en eenvoudiger belastingstelsel | Rapport | Rijksoverheid.nl</w:t>
        </w:r>
      </w:hyperlink>
    </w:p>
  </w:footnote>
  <w:footnote w:id="10">
    <w:p w14:paraId="66E81B09" w14:textId="77777777" w:rsidR="00117BF6" w:rsidRPr="00781FEA" w:rsidRDefault="00117BF6" w:rsidP="00117BF6">
      <w:pPr>
        <w:pStyle w:val="Voetnoottekst"/>
        <w:rPr>
          <w:sz w:val="16"/>
          <w:szCs w:val="16"/>
        </w:rPr>
      </w:pPr>
      <w:r w:rsidRPr="00781FEA">
        <w:rPr>
          <w:rStyle w:val="Voetnootmarkering"/>
          <w:sz w:val="16"/>
          <w:szCs w:val="16"/>
        </w:rPr>
        <w:footnoteRef/>
      </w:r>
      <w:r w:rsidRPr="00781FEA">
        <w:rPr>
          <w:sz w:val="16"/>
          <w:szCs w:val="16"/>
        </w:rPr>
        <w:t xml:space="preserve"> Wanneer over HRA wordt gesproken gaat het om de aftrek van rente en kosten van schulden die zijn aan te merken als eigenwoningschulden zoals gedefinieerd in artikel 3.119a Wet IB 2001.</w:t>
      </w:r>
    </w:p>
  </w:footnote>
  <w:footnote w:id="11">
    <w:p w14:paraId="71621104" w14:textId="77777777" w:rsidR="00117BF6" w:rsidRPr="00781FEA" w:rsidRDefault="00117BF6" w:rsidP="00117BF6">
      <w:pPr>
        <w:pStyle w:val="Voetnoottekst"/>
        <w:rPr>
          <w:sz w:val="16"/>
          <w:szCs w:val="16"/>
        </w:rPr>
      </w:pPr>
      <w:r w:rsidRPr="00781FEA">
        <w:rPr>
          <w:rStyle w:val="Voetnootmarkering"/>
          <w:sz w:val="16"/>
          <w:szCs w:val="16"/>
        </w:rPr>
        <w:footnoteRef/>
      </w:r>
      <w:r w:rsidRPr="00781FEA">
        <w:rPr>
          <w:sz w:val="16"/>
          <w:szCs w:val="16"/>
        </w:rPr>
        <w:t xml:space="preserve"> Zie bijvoorbeeld het onderzoek: ‘Evaluatie complexiteit fiscale eigenwoningregeling’, uitgevoerd door Panteia, Kamerstukken II 2019/20, 32 847, nr. 583.</w:t>
      </w:r>
    </w:p>
  </w:footnote>
  <w:footnote w:id="12">
    <w:p w14:paraId="5A33C41B" w14:textId="77777777" w:rsidR="00C95F12" w:rsidRPr="00781FEA" w:rsidRDefault="00C95F12" w:rsidP="00C95F12">
      <w:pPr>
        <w:pStyle w:val="Voetnoottekst"/>
        <w:rPr>
          <w:sz w:val="16"/>
          <w:szCs w:val="16"/>
        </w:rPr>
      </w:pPr>
      <w:r w:rsidRPr="00781FEA">
        <w:rPr>
          <w:rStyle w:val="Voetnootmarkering"/>
          <w:sz w:val="16"/>
          <w:szCs w:val="16"/>
        </w:rPr>
        <w:footnoteRef/>
      </w:r>
      <w:r w:rsidRPr="00781FEA">
        <w:rPr>
          <w:sz w:val="16"/>
          <w:szCs w:val="16"/>
        </w:rPr>
        <w:t xml:space="preserve"> Eerste Kamer der Staten-Generaal. (2024). Verslag van de plenaire vergadering van 10 december 2024. </w:t>
      </w:r>
      <w:hyperlink r:id="rId2" w:tgtFrame="_blank" w:history="1">
        <w:r w:rsidRPr="00781FEA">
          <w:rPr>
            <w:rStyle w:val="Hyperlink"/>
            <w:sz w:val="16"/>
            <w:szCs w:val="16"/>
          </w:rPr>
          <w:t xml:space="preserve">https://www.eerstekamer.nl/verslag/?id=enp20241210 </w:t>
        </w:r>
      </w:hyperlink>
      <w:r w:rsidRPr="00781FEA">
        <w:rPr>
          <w:sz w:val="16"/>
          <w:szCs w:val="16"/>
        </w:rPr>
        <w:t>.</w:t>
      </w:r>
    </w:p>
  </w:footnote>
  <w:footnote w:id="13">
    <w:p w14:paraId="0EF7312E" w14:textId="77777777" w:rsidR="001B2948" w:rsidRPr="00781FEA" w:rsidRDefault="001B2948" w:rsidP="001B2948">
      <w:pPr>
        <w:pStyle w:val="Voetnoottekst"/>
        <w:rPr>
          <w:sz w:val="16"/>
          <w:szCs w:val="16"/>
        </w:rPr>
      </w:pPr>
      <w:r w:rsidRPr="00781FEA">
        <w:rPr>
          <w:rStyle w:val="Voetnootmarkering"/>
          <w:sz w:val="16"/>
          <w:szCs w:val="16"/>
        </w:rPr>
        <w:footnoteRef/>
      </w:r>
      <w:r w:rsidRPr="00781FEA">
        <w:rPr>
          <w:sz w:val="16"/>
          <w:szCs w:val="16"/>
        </w:rPr>
        <w:t xml:space="preserve"> Kamerstukken II 2012/13, 33405.</w:t>
      </w:r>
    </w:p>
  </w:footnote>
  <w:footnote w:id="14">
    <w:p w14:paraId="3C265E5E" w14:textId="77777777" w:rsidR="00FC1B25" w:rsidRPr="00781FEA" w:rsidRDefault="00FC1B25">
      <w:pPr>
        <w:pStyle w:val="Voetnoottekst"/>
        <w:rPr>
          <w:sz w:val="16"/>
          <w:szCs w:val="16"/>
        </w:rPr>
      </w:pPr>
      <w:r w:rsidRPr="00781FEA">
        <w:rPr>
          <w:rStyle w:val="Voetnootmarkering"/>
          <w:sz w:val="16"/>
          <w:szCs w:val="16"/>
        </w:rPr>
        <w:footnoteRef/>
      </w:r>
      <w:r w:rsidRPr="00781FEA">
        <w:rPr>
          <w:sz w:val="16"/>
          <w:szCs w:val="16"/>
        </w:rPr>
        <w:t xml:space="preserve"> Bij een verhuizing wordt de aflossingseis opgeschort. Na de verhuizing naar een nieuwe eigen woning wordt deze hervat, ook als gedurende een bepaalde periode geen sprake is van een eigen woning. Dit is de zogenoemde aflossingsstand.</w:t>
      </w:r>
    </w:p>
  </w:footnote>
  <w:footnote w:id="15">
    <w:p w14:paraId="26FF1FE1" w14:textId="77777777" w:rsidR="001B2948" w:rsidRPr="00781FEA" w:rsidRDefault="001B2948" w:rsidP="001B2948">
      <w:pPr>
        <w:pStyle w:val="Voetnoottekst"/>
        <w:rPr>
          <w:sz w:val="16"/>
          <w:szCs w:val="16"/>
        </w:rPr>
      </w:pPr>
      <w:r w:rsidRPr="00781FEA">
        <w:rPr>
          <w:rStyle w:val="Voetnootmarkering"/>
          <w:sz w:val="16"/>
          <w:szCs w:val="16"/>
        </w:rPr>
        <w:footnoteRef/>
      </w:r>
      <w:r w:rsidRPr="00781FEA">
        <w:rPr>
          <w:sz w:val="16"/>
          <w:szCs w:val="16"/>
        </w:rPr>
        <w:t xml:space="preserve"> Zoals opgenomen in artikel 10bis.1 Wet IB 2001.</w:t>
      </w:r>
    </w:p>
  </w:footnote>
  <w:footnote w:id="16">
    <w:p w14:paraId="2476CB83" w14:textId="77777777" w:rsidR="002B1FD0" w:rsidRDefault="002B1FD0">
      <w:pPr>
        <w:pStyle w:val="Voetnoottekst"/>
      </w:pPr>
      <w:r w:rsidRPr="002B1FD0">
        <w:rPr>
          <w:rStyle w:val="Voetnootmarkering"/>
          <w:sz w:val="16"/>
          <w:szCs w:val="16"/>
        </w:rPr>
        <w:footnoteRef/>
      </w:r>
      <w:r w:rsidRPr="002B1FD0">
        <w:rPr>
          <w:sz w:val="16"/>
          <w:szCs w:val="16"/>
        </w:rPr>
        <w:t xml:space="preserve"> Toch blijft het mogelijk dat een restschuld overblijft. Spaarhypotheken dekken niet altijd de volledige schuld, terwijl bij levens- en beleggingshypotheken het eindkapitaal kan tegenvallen door respectievelijk een tegenvallende rente of rendementen.</w:t>
      </w:r>
    </w:p>
  </w:footnote>
  <w:footnote w:id="17">
    <w:p w14:paraId="7C6A3315" w14:textId="77777777" w:rsidR="00FC1B25" w:rsidRPr="00781FEA" w:rsidRDefault="00FC1B25" w:rsidP="00FC1B25">
      <w:pPr>
        <w:pStyle w:val="Voetnoottekst"/>
        <w:rPr>
          <w:sz w:val="16"/>
          <w:szCs w:val="16"/>
        </w:rPr>
      </w:pPr>
      <w:r w:rsidRPr="00781FEA">
        <w:rPr>
          <w:rStyle w:val="Voetnootmarkering"/>
          <w:sz w:val="16"/>
          <w:szCs w:val="16"/>
        </w:rPr>
        <w:footnoteRef/>
      </w:r>
      <w:r w:rsidRPr="00781FEA">
        <w:rPr>
          <w:sz w:val="16"/>
          <w:szCs w:val="16"/>
        </w:rPr>
        <w:t xml:space="preserve"> DNB-analyse op basis van RRE-data.</w:t>
      </w:r>
    </w:p>
  </w:footnote>
  <w:footnote w:id="18">
    <w:p w14:paraId="1136AC4F" w14:textId="77777777" w:rsidR="00FC1B25" w:rsidRPr="00781FEA" w:rsidRDefault="00FC1B25" w:rsidP="00FC1B25">
      <w:pPr>
        <w:pStyle w:val="Voetnoottekst"/>
        <w:rPr>
          <w:sz w:val="16"/>
          <w:szCs w:val="16"/>
        </w:rPr>
      </w:pPr>
      <w:r w:rsidRPr="00781FEA">
        <w:rPr>
          <w:rStyle w:val="Voetnootmarkering"/>
          <w:sz w:val="16"/>
          <w:szCs w:val="16"/>
        </w:rPr>
        <w:footnoteRef/>
      </w:r>
      <w:r w:rsidRPr="00781FEA">
        <w:rPr>
          <w:sz w:val="16"/>
          <w:szCs w:val="16"/>
        </w:rPr>
        <w:t xml:space="preserve"> DNB-analyse op basis van RRE-data.</w:t>
      </w:r>
    </w:p>
  </w:footnote>
  <w:footnote w:id="19">
    <w:p w14:paraId="797D19F4" w14:textId="77777777" w:rsidR="00FC1B25" w:rsidRPr="00781FEA" w:rsidRDefault="00FC1B25" w:rsidP="00FC1B25">
      <w:pPr>
        <w:pStyle w:val="Voetnoottekst"/>
        <w:rPr>
          <w:sz w:val="16"/>
          <w:szCs w:val="16"/>
        </w:rPr>
      </w:pPr>
      <w:r w:rsidRPr="00781FEA">
        <w:rPr>
          <w:rStyle w:val="Voetnootmarkering"/>
          <w:sz w:val="16"/>
          <w:szCs w:val="16"/>
        </w:rPr>
        <w:footnoteRef/>
      </w:r>
      <w:r w:rsidRPr="00781FEA">
        <w:rPr>
          <w:sz w:val="16"/>
          <w:szCs w:val="16"/>
        </w:rPr>
        <w:t xml:space="preserve"> Bijvoorbeeld in het kader van een verhuizing of verbouwing.</w:t>
      </w:r>
    </w:p>
  </w:footnote>
  <w:footnote w:id="20">
    <w:p w14:paraId="4F599BE0" w14:textId="77777777" w:rsidR="00FC1B25" w:rsidRPr="002F7ADC" w:rsidRDefault="00FC1B25" w:rsidP="00FC1B25">
      <w:pPr>
        <w:pStyle w:val="Voetnoottekst"/>
        <w:rPr>
          <w:sz w:val="16"/>
          <w:szCs w:val="16"/>
        </w:rPr>
      </w:pPr>
      <w:r w:rsidRPr="002F7ADC">
        <w:rPr>
          <w:rStyle w:val="Voetnootmarkering"/>
          <w:sz w:val="16"/>
          <w:szCs w:val="16"/>
        </w:rPr>
        <w:footnoteRef/>
      </w:r>
      <w:r w:rsidRPr="002F7ADC">
        <w:rPr>
          <w:sz w:val="16"/>
          <w:szCs w:val="16"/>
        </w:rPr>
        <w:t xml:space="preserve"> Dit patroon kan ook verklaard worden door lage rentestanden. Het voordeel van de HRA wordt kleiner naarmate de betaalde hypotheekrente lager wordt. Dat vormt mogelijk een prikkel om een aflossingsvrije lening af te sluiten die niet aan de voorwaarden voor HRA voldoet.</w:t>
      </w:r>
    </w:p>
  </w:footnote>
  <w:footnote w:id="21">
    <w:p w14:paraId="3BBDD27E" w14:textId="77777777" w:rsidR="00927251" w:rsidRPr="002F7ADC" w:rsidRDefault="00927251">
      <w:pPr>
        <w:pStyle w:val="Voetnoottekst"/>
        <w:rPr>
          <w:sz w:val="16"/>
          <w:szCs w:val="16"/>
        </w:rPr>
      </w:pPr>
      <w:r w:rsidRPr="002F7ADC">
        <w:rPr>
          <w:rStyle w:val="Voetnootmarkering"/>
          <w:sz w:val="16"/>
          <w:szCs w:val="16"/>
        </w:rPr>
        <w:footnoteRef/>
      </w:r>
      <w:r w:rsidRPr="002F7ADC">
        <w:rPr>
          <w:sz w:val="16"/>
          <w:szCs w:val="16"/>
        </w:rPr>
        <w:t xml:space="preserve"> Evaluatie complexiteit fiscale eigenwoningregeling, uitgevoerd door Panteia, Kamerstukken II 2019/20, 32 847, nr. 583.</w:t>
      </w:r>
    </w:p>
  </w:footnote>
  <w:footnote w:id="22">
    <w:p w14:paraId="7C40F7BF" w14:textId="77777777" w:rsidR="00775DB6" w:rsidRPr="00781FEA" w:rsidRDefault="00775DB6" w:rsidP="00775DB6">
      <w:pPr>
        <w:pStyle w:val="Voetnoottekst"/>
        <w:rPr>
          <w:sz w:val="16"/>
          <w:szCs w:val="16"/>
        </w:rPr>
      </w:pPr>
      <w:r w:rsidRPr="002F7ADC">
        <w:rPr>
          <w:rStyle w:val="Voetnootmarkering"/>
          <w:sz w:val="16"/>
          <w:szCs w:val="16"/>
        </w:rPr>
        <w:footnoteRef/>
      </w:r>
      <w:r w:rsidRPr="002F7ADC">
        <w:rPr>
          <w:sz w:val="16"/>
          <w:szCs w:val="16"/>
        </w:rPr>
        <w:t xml:space="preserve"> Handhavingsbrief Belastingdienst 2018, 12 december 2017.</w:t>
      </w:r>
    </w:p>
  </w:footnote>
  <w:footnote w:id="23">
    <w:p w14:paraId="636D61A1" w14:textId="77777777" w:rsidR="00775DB6" w:rsidRPr="00781FEA" w:rsidRDefault="00775DB6" w:rsidP="00775DB6">
      <w:pPr>
        <w:pStyle w:val="Voetnoottekst"/>
        <w:rPr>
          <w:sz w:val="16"/>
          <w:szCs w:val="16"/>
        </w:rPr>
      </w:pPr>
      <w:r w:rsidRPr="00781FEA">
        <w:rPr>
          <w:rStyle w:val="Voetnootmarkering"/>
          <w:sz w:val="16"/>
          <w:szCs w:val="16"/>
        </w:rPr>
        <w:footnoteRef/>
      </w:r>
      <w:r w:rsidRPr="00781FEA">
        <w:rPr>
          <w:sz w:val="16"/>
          <w:szCs w:val="16"/>
        </w:rPr>
        <w:t xml:space="preserve"> In dit verband is arrest ECLI:NL:HR: 2019:629 relevant. Hier wordt geoordeeld dat de bewijslast voor het aftrekrecht bij belanghebbende ligt. </w:t>
      </w:r>
    </w:p>
  </w:footnote>
  <w:footnote w:id="24">
    <w:p w14:paraId="76475871" w14:textId="77777777" w:rsidR="00775DB6" w:rsidRPr="00781FEA" w:rsidRDefault="00775DB6" w:rsidP="00775DB6">
      <w:pPr>
        <w:pStyle w:val="Voetnoottekst"/>
        <w:rPr>
          <w:sz w:val="16"/>
          <w:szCs w:val="16"/>
        </w:rPr>
      </w:pPr>
      <w:r w:rsidRPr="00781FEA">
        <w:rPr>
          <w:rStyle w:val="Voetnootmarkering"/>
          <w:sz w:val="16"/>
          <w:szCs w:val="16"/>
        </w:rPr>
        <w:footnoteRef/>
      </w:r>
      <w:r w:rsidRPr="00781FEA">
        <w:rPr>
          <w:sz w:val="16"/>
          <w:szCs w:val="16"/>
        </w:rPr>
        <w:t xml:space="preserve"> DNB-analyse op basis van </w:t>
      </w:r>
      <w:r w:rsidR="00A73821" w:rsidRPr="00781FEA">
        <w:rPr>
          <w:sz w:val="16"/>
          <w:szCs w:val="16"/>
        </w:rPr>
        <w:t>RRE-data</w:t>
      </w:r>
      <w:r w:rsidR="00EC71C6" w:rsidRPr="00781FEA">
        <w:rPr>
          <w:sz w:val="16"/>
          <w:szCs w:val="16"/>
        </w:rPr>
        <w:t>.</w:t>
      </w:r>
    </w:p>
  </w:footnote>
  <w:footnote w:id="25">
    <w:p w14:paraId="2A18EA07" w14:textId="77777777" w:rsidR="007D1C17" w:rsidRPr="00781FEA" w:rsidRDefault="007D1C17" w:rsidP="007D1C17">
      <w:pPr>
        <w:pStyle w:val="Voetnoottekst"/>
        <w:rPr>
          <w:sz w:val="16"/>
          <w:szCs w:val="16"/>
        </w:rPr>
      </w:pPr>
      <w:r w:rsidRPr="00781FEA">
        <w:rPr>
          <w:rStyle w:val="Voetnootmarkering"/>
          <w:sz w:val="16"/>
          <w:szCs w:val="16"/>
        </w:rPr>
        <w:footnoteRef/>
      </w:r>
      <w:r w:rsidRPr="00781FEA">
        <w:rPr>
          <w:sz w:val="16"/>
          <w:szCs w:val="16"/>
        </w:rPr>
        <w:t xml:space="preserve"> Hypotheek- en belastingadviseurs</w:t>
      </w:r>
      <w:r w:rsidR="00EC71C6" w:rsidRPr="00781FEA">
        <w:rPr>
          <w:sz w:val="16"/>
          <w:szCs w:val="16"/>
        </w:rPr>
        <w:t>.</w:t>
      </w:r>
    </w:p>
  </w:footnote>
  <w:footnote w:id="26">
    <w:p w14:paraId="18D6D581" w14:textId="77777777" w:rsidR="007D1C17" w:rsidRPr="00781FEA" w:rsidRDefault="007D1C17" w:rsidP="007D1C17">
      <w:pPr>
        <w:pStyle w:val="Voetnoottekst"/>
        <w:rPr>
          <w:sz w:val="16"/>
          <w:szCs w:val="16"/>
        </w:rPr>
      </w:pPr>
      <w:r w:rsidRPr="00781FEA">
        <w:rPr>
          <w:rStyle w:val="Voetnootmarkering"/>
          <w:sz w:val="16"/>
          <w:szCs w:val="16"/>
        </w:rPr>
        <w:footnoteRef/>
      </w:r>
      <w:r w:rsidRPr="00781FEA">
        <w:rPr>
          <w:sz w:val="16"/>
          <w:szCs w:val="16"/>
        </w:rPr>
        <w:t xml:space="preserve"> Kwaliteit Hypotheekadvies 2024, AFM.</w:t>
      </w:r>
    </w:p>
  </w:footnote>
  <w:footnote w:id="27">
    <w:p w14:paraId="04C969DE" w14:textId="77777777" w:rsidR="00FC1B25" w:rsidRPr="00781FEA" w:rsidRDefault="00FC1B25" w:rsidP="00FC1B25">
      <w:pPr>
        <w:pStyle w:val="Voetnoottekst"/>
        <w:rPr>
          <w:sz w:val="16"/>
          <w:szCs w:val="16"/>
        </w:rPr>
      </w:pPr>
      <w:r w:rsidRPr="00781FEA">
        <w:rPr>
          <w:rStyle w:val="Voetnootmarkering"/>
          <w:sz w:val="16"/>
          <w:szCs w:val="16"/>
        </w:rPr>
        <w:footnoteRef/>
      </w:r>
      <w:r w:rsidRPr="00781FEA">
        <w:rPr>
          <w:sz w:val="16"/>
          <w:szCs w:val="16"/>
        </w:rPr>
        <w:t xml:space="preserve"> Gedoeld wordt op de gebrekkige informatie over het hypotheekverleden van personen en huishoudens.</w:t>
      </w:r>
    </w:p>
  </w:footnote>
  <w:footnote w:id="28">
    <w:p w14:paraId="3DEF1F5F" w14:textId="77777777" w:rsidR="00FC1B25" w:rsidRPr="00781FEA" w:rsidRDefault="00FC1B25" w:rsidP="00FC1B25">
      <w:pPr>
        <w:pStyle w:val="Voetnoottekst"/>
        <w:rPr>
          <w:sz w:val="16"/>
          <w:szCs w:val="16"/>
        </w:rPr>
      </w:pPr>
      <w:r w:rsidRPr="00781FEA">
        <w:rPr>
          <w:rStyle w:val="Voetnootmarkering"/>
          <w:sz w:val="16"/>
          <w:szCs w:val="16"/>
        </w:rPr>
        <w:footnoteRef/>
      </w:r>
      <w:r w:rsidRPr="00781FEA">
        <w:rPr>
          <w:sz w:val="16"/>
          <w:szCs w:val="16"/>
        </w:rPr>
        <w:t xml:space="preserve"> Door Panteia gerapporteerd inzicht n.a.v. focusgroep sessie met Belastingdienst.</w:t>
      </w:r>
    </w:p>
  </w:footnote>
  <w:footnote w:id="29">
    <w:p w14:paraId="1993626B" w14:textId="77777777" w:rsidR="00FC1B25" w:rsidRPr="00781FEA" w:rsidRDefault="00FC1B25" w:rsidP="00FC1B25">
      <w:pPr>
        <w:pStyle w:val="Voetnoottekst"/>
        <w:rPr>
          <w:sz w:val="16"/>
          <w:szCs w:val="16"/>
        </w:rPr>
      </w:pPr>
      <w:r w:rsidRPr="00781FEA">
        <w:rPr>
          <w:rStyle w:val="Voetnootmarkering"/>
          <w:sz w:val="16"/>
          <w:szCs w:val="16"/>
        </w:rPr>
        <w:footnoteRef/>
      </w:r>
      <w:r w:rsidRPr="00781FEA">
        <w:rPr>
          <w:sz w:val="16"/>
          <w:szCs w:val="16"/>
        </w:rPr>
        <w:t xml:space="preserve"> Volgens de Archiefwet geldt een maximale bewaartermijn van 14 jaar. Na deze termijn geldt een vernietigingsplicht.</w:t>
      </w:r>
    </w:p>
  </w:footnote>
  <w:footnote w:id="30">
    <w:p w14:paraId="463373B8" w14:textId="77777777" w:rsidR="009017B1" w:rsidRPr="0047375E" w:rsidRDefault="009017B1">
      <w:pPr>
        <w:pStyle w:val="Voetnoottekst"/>
        <w:rPr>
          <w:sz w:val="16"/>
          <w:szCs w:val="16"/>
        </w:rPr>
      </w:pPr>
      <w:r w:rsidRPr="0047375E">
        <w:rPr>
          <w:rStyle w:val="Voetnootmarkering"/>
          <w:sz w:val="16"/>
          <w:szCs w:val="16"/>
        </w:rPr>
        <w:footnoteRef/>
      </w:r>
      <w:r w:rsidRPr="0047375E">
        <w:rPr>
          <w:sz w:val="16"/>
          <w:szCs w:val="16"/>
        </w:rPr>
        <w:t xml:space="preserve"> Hieronder wordt ook begrepen het bijhouden van de verstreken looptijd van BEWS op grond van artikel 3.119a, zevende lid, Wet IB 2001.</w:t>
      </w:r>
    </w:p>
  </w:footnote>
  <w:footnote w:id="31">
    <w:p w14:paraId="3EEB334F" w14:textId="77777777" w:rsidR="000B08FB" w:rsidRPr="0047375E" w:rsidRDefault="000B08FB">
      <w:pPr>
        <w:pStyle w:val="Voetnoottekst"/>
        <w:rPr>
          <w:sz w:val="16"/>
          <w:szCs w:val="16"/>
        </w:rPr>
      </w:pPr>
      <w:r w:rsidRPr="00781FEA">
        <w:rPr>
          <w:rStyle w:val="Voetnootmarkering"/>
          <w:sz w:val="16"/>
          <w:szCs w:val="16"/>
        </w:rPr>
        <w:footnoteRef/>
      </w:r>
      <w:r w:rsidRPr="00781FEA">
        <w:rPr>
          <w:sz w:val="16"/>
          <w:szCs w:val="16"/>
        </w:rPr>
        <w:t xml:space="preserve"> Zie bijlage 2 voor een schematisch overzicht van de voorbeeldsituaties per oplossingsrichting.</w:t>
      </w:r>
    </w:p>
  </w:footnote>
  <w:footnote w:id="32">
    <w:p w14:paraId="601C32E4" w14:textId="77777777" w:rsidR="0019130A" w:rsidRPr="00781FEA" w:rsidRDefault="0019130A" w:rsidP="006A173C">
      <w:pPr>
        <w:pStyle w:val="Voetnoottekst"/>
        <w:rPr>
          <w:sz w:val="16"/>
          <w:szCs w:val="16"/>
        </w:rPr>
      </w:pPr>
      <w:r w:rsidRPr="00781FEA">
        <w:rPr>
          <w:rStyle w:val="Voetnootmarkering"/>
          <w:sz w:val="16"/>
          <w:szCs w:val="16"/>
        </w:rPr>
        <w:footnoteRef/>
      </w:r>
      <w:r w:rsidRPr="00781FEA">
        <w:rPr>
          <w:sz w:val="16"/>
          <w:szCs w:val="16"/>
        </w:rPr>
        <w:t xml:space="preserve"> Leningen waarbij een aflossingsschema door </w:t>
      </w:r>
      <w:r w:rsidR="00E436B4" w:rsidRPr="00781FEA">
        <w:rPr>
          <w:sz w:val="16"/>
          <w:szCs w:val="16"/>
        </w:rPr>
        <w:t>oversluiten</w:t>
      </w:r>
      <w:r w:rsidRPr="00781FEA">
        <w:rPr>
          <w:sz w:val="16"/>
          <w:szCs w:val="16"/>
        </w:rPr>
        <w:t xml:space="preserve"> ongewijzigd wordt voortgezet val</w:t>
      </w:r>
      <w:r w:rsidR="00F8213F" w:rsidRPr="00781FEA">
        <w:rPr>
          <w:sz w:val="16"/>
          <w:szCs w:val="16"/>
        </w:rPr>
        <w:t>len</w:t>
      </w:r>
      <w:r w:rsidRPr="00781FEA">
        <w:rPr>
          <w:sz w:val="16"/>
          <w:szCs w:val="16"/>
        </w:rPr>
        <w:t xml:space="preserve"> hier niet onder.</w:t>
      </w:r>
    </w:p>
  </w:footnote>
  <w:footnote w:id="33">
    <w:p w14:paraId="34D942D3" w14:textId="77777777" w:rsidR="00B7202E" w:rsidRPr="0047375E" w:rsidRDefault="00B7202E" w:rsidP="006A173C">
      <w:pPr>
        <w:pStyle w:val="Voetnoottekst"/>
        <w:rPr>
          <w:sz w:val="16"/>
          <w:szCs w:val="16"/>
        </w:rPr>
      </w:pPr>
      <w:r w:rsidRPr="0047375E">
        <w:rPr>
          <w:rStyle w:val="Voetnootmarkering"/>
          <w:sz w:val="16"/>
          <w:szCs w:val="16"/>
        </w:rPr>
        <w:footnoteRef/>
      </w:r>
      <w:r w:rsidRPr="0047375E">
        <w:rPr>
          <w:sz w:val="16"/>
          <w:szCs w:val="16"/>
        </w:rPr>
        <w:t xml:space="preserve"> </w:t>
      </w:r>
      <w:r w:rsidRPr="00781FEA">
        <w:rPr>
          <w:sz w:val="16"/>
          <w:szCs w:val="16"/>
        </w:rPr>
        <w:t>De budgettaire gevolgen zijn afhankelijk van de keuzes van belastingplichtigen. Zo zal de keuze tussen het meenemen of oversluiten van een hypotheek onder andere afhankelijk zijn van de actuele rentestand, de tijdshorizon van de belastingplichtige en de mogelijkheden die financieel dienstverleners bieden. Daarnaast zijn de budgettaire gevolgen afhankelijk van verhuisfrequentie en de aflosstand ten tijde van de verhuizing. De budgettaire effecten zijn waarschijnlijk sterk afhankelijk van de ontwikkeling van de rentestand. Bij dalende rente zal oversluiten in plaats van meenemen aantrekkelijk zijn voor een groter aantal belastingplichtigen.</w:t>
      </w:r>
    </w:p>
  </w:footnote>
  <w:footnote w:id="34">
    <w:p w14:paraId="0DE56502" w14:textId="77777777" w:rsidR="00EA7F2B" w:rsidRPr="0047375E" w:rsidRDefault="00EA7F2B" w:rsidP="00EA7F2B">
      <w:pPr>
        <w:rPr>
          <w:sz w:val="16"/>
          <w:szCs w:val="16"/>
        </w:rPr>
      </w:pPr>
    </w:p>
    <w:p w14:paraId="3460B4BA" w14:textId="77777777" w:rsidR="00EA7F2B" w:rsidRPr="0047375E" w:rsidRDefault="00EA7F2B" w:rsidP="00EA7F2B">
      <w:pPr>
        <w:rPr>
          <w:sz w:val="16"/>
          <w:szCs w:val="16"/>
        </w:rPr>
      </w:pPr>
    </w:p>
  </w:footnote>
  <w:footnote w:id="35">
    <w:p w14:paraId="7D02037B" w14:textId="77777777" w:rsidR="00E328EB" w:rsidRPr="0047375E" w:rsidRDefault="00E328EB">
      <w:pPr>
        <w:pStyle w:val="Voetnoottekst"/>
        <w:rPr>
          <w:sz w:val="16"/>
          <w:szCs w:val="16"/>
        </w:rPr>
      </w:pPr>
      <w:r w:rsidRPr="00781FEA">
        <w:rPr>
          <w:rStyle w:val="Voetnootmarkering"/>
          <w:sz w:val="16"/>
          <w:szCs w:val="16"/>
        </w:rPr>
        <w:footnoteRef/>
      </w:r>
      <w:r w:rsidRPr="00781FEA">
        <w:rPr>
          <w:sz w:val="16"/>
          <w:szCs w:val="16"/>
        </w:rPr>
        <w:t xml:space="preserve"> Zie bijvoorbeeld </w:t>
      </w:r>
      <w:hyperlink r:id="rId3" w:history="1">
        <w:r w:rsidRPr="00781FEA">
          <w:rPr>
            <w:rStyle w:val="Hyperlink"/>
            <w:sz w:val="16"/>
            <w:szCs w:val="16"/>
          </w:rPr>
          <w:t>https://www.dnb.nl/voor-de-sector/open-boek-toezicht/thema-s/prudentieel-toezicht/aflossingsvrije-hypotheken/</w:t>
        </w:r>
      </w:hyperlink>
      <w:r w:rsidRPr="00781FEA">
        <w:rPr>
          <w:sz w:val="16"/>
          <w:szCs w:val="16"/>
        </w:rPr>
        <w:t xml:space="preserve"> </w:t>
      </w:r>
    </w:p>
  </w:footnote>
  <w:footnote w:id="36">
    <w:p w14:paraId="514C8390" w14:textId="77777777" w:rsidR="00AD67BC" w:rsidRPr="00781FEA" w:rsidRDefault="00AD67BC">
      <w:pPr>
        <w:pStyle w:val="Voetnoottekst"/>
        <w:rPr>
          <w:sz w:val="16"/>
          <w:szCs w:val="16"/>
        </w:rPr>
      </w:pPr>
      <w:r w:rsidRPr="00781FEA">
        <w:rPr>
          <w:rStyle w:val="Voetnootmarkering"/>
          <w:sz w:val="16"/>
          <w:szCs w:val="16"/>
        </w:rPr>
        <w:footnoteRef/>
      </w:r>
      <w:r w:rsidRPr="00781FEA">
        <w:rPr>
          <w:sz w:val="16"/>
          <w:szCs w:val="16"/>
        </w:rPr>
        <w:t xml:space="preserve"> </w:t>
      </w:r>
      <w:hyperlink r:id="rId4" w:history="1">
        <w:r w:rsidRPr="00781FEA">
          <w:rPr>
            <w:rStyle w:val="Hyperlink"/>
            <w:sz w:val="16"/>
            <w:szCs w:val="16"/>
          </w:rPr>
          <w:t>Rapport Advies hypotheeknormen 2026 (2025) - Nibud</w:t>
        </w:r>
      </w:hyperlink>
    </w:p>
  </w:footnote>
  <w:footnote w:id="37">
    <w:p w14:paraId="7F600B24" w14:textId="77777777" w:rsidR="003424AA" w:rsidRPr="0047375E" w:rsidRDefault="003424AA">
      <w:pPr>
        <w:pStyle w:val="Voetnoottekst"/>
        <w:rPr>
          <w:sz w:val="16"/>
          <w:szCs w:val="16"/>
        </w:rPr>
      </w:pPr>
      <w:r w:rsidRPr="00781FEA">
        <w:rPr>
          <w:rStyle w:val="Voetnootmarkering"/>
          <w:sz w:val="16"/>
          <w:szCs w:val="16"/>
        </w:rPr>
        <w:footnoteRef/>
      </w:r>
      <w:r w:rsidRPr="00781FEA">
        <w:rPr>
          <w:sz w:val="16"/>
          <w:szCs w:val="16"/>
        </w:rPr>
        <w:t xml:space="preserve"> Volgens cijfers van het CBS is de gemiddelde woonquote van woningeigenaren 19,4% in 2023.</w:t>
      </w:r>
    </w:p>
  </w:footnote>
  <w:footnote w:id="38">
    <w:p w14:paraId="2298707F" w14:textId="77777777" w:rsidR="00771E6F" w:rsidRPr="00781FEA" w:rsidRDefault="00771E6F">
      <w:pPr>
        <w:pStyle w:val="Voetnoottekst"/>
        <w:rPr>
          <w:sz w:val="16"/>
          <w:szCs w:val="16"/>
        </w:rPr>
      </w:pPr>
      <w:r w:rsidRPr="00781FEA">
        <w:rPr>
          <w:rStyle w:val="Voetnootmarkering"/>
          <w:sz w:val="16"/>
          <w:szCs w:val="16"/>
        </w:rPr>
        <w:footnoteRef/>
      </w:r>
      <w:r w:rsidRPr="00781FEA">
        <w:rPr>
          <w:sz w:val="16"/>
          <w:szCs w:val="16"/>
        </w:rPr>
        <w:t xml:space="preserve"> DNB-analyse op basis van </w:t>
      </w:r>
      <w:r w:rsidR="00A73821" w:rsidRPr="00781FEA">
        <w:rPr>
          <w:sz w:val="16"/>
          <w:szCs w:val="16"/>
        </w:rPr>
        <w:t>RRE-data</w:t>
      </w:r>
      <w:r w:rsidR="00EC71C6" w:rsidRPr="00781FEA">
        <w:rPr>
          <w:sz w:val="16"/>
          <w:szCs w:val="16"/>
        </w:rPr>
        <w:t>.</w:t>
      </w:r>
    </w:p>
  </w:footnote>
  <w:footnote w:id="39">
    <w:p w14:paraId="4D207AE6" w14:textId="77777777" w:rsidR="004A497B" w:rsidRPr="0047375E" w:rsidRDefault="004A497B">
      <w:pPr>
        <w:pStyle w:val="Voetnoottekst"/>
        <w:rPr>
          <w:sz w:val="16"/>
          <w:szCs w:val="16"/>
        </w:rPr>
      </w:pPr>
      <w:r w:rsidRPr="00781FEA">
        <w:rPr>
          <w:rStyle w:val="Voetnootmarkering"/>
          <w:sz w:val="16"/>
          <w:szCs w:val="16"/>
        </w:rPr>
        <w:footnoteRef/>
      </w:r>
      <w:r w:rsidRPr="00781FEA">
        <w:rPr>
          <w:sz w:val="16"/>
          <w:szCs w:val="16"/>
        </w:rPr>
        <w:t xml:space="preserve"> De gevolgen voor </w:t>
      </w:r>
      <w:r w:rsidR="00EE606A" w:rsidRPr="00EE606A">
        <w:rPr>
          <w:sz w:val="16"/>
          <w:szCs w:val="16"/>
        </w:rPr>
        <w:t>spaar-, beleg</w:t>
      </w:r>
      <w:r w:rsidR="00EE606A">
        <w:rPr>
          <w:sz w:val="16"/>
          <w:szCs w:val="16"/>
        </w:rPr>
        <w:t>g</w:t>
      </w:r>
      <w:r w:rsidR="00EE606A" w:rsidRPr="00EE606A">
        <w:rPr>
          <w:sz w:val="16"/>
          <w:szCs w:val="16"/>
        </w:rPr>
        <w:t xml:space="preserve">ings- en levenshypotheken </w:t>
      </w:r>
      <w:r w:rsidRPr="00781FEA">
        <w:rPr>
          <w:sz w:val="16"/>
          <w:szCs w:val="16"/>
        </w:rPr>
        <w:t>zijn niet in beeld gebracht.</w:t>
      </w:r>
      <w:r w:rsidR="00BA118C">
        <w:rPr>
          <w:sz w:val="16"/>
          <w:szCs w:val="16"/>
        </w:rPr>
        <w:t xml:space="preserve"> Op individueel niveau kunnen </w:t>
      </w:r>
      <w:r w:rsidR="005A7603">
        <w:rPr>
          <w:sz w:val="16"/>
          <w:szCs w:val="16"/>
        </w:rPr>
        <w:t>de gevolgen fors zijn als het recht op HRA per 2031 abrupt wordt beëindigd.</w:t>
      </w:r>
    </w:p>
  </w:footnote>
  <w:footnote w:id="40">
    <w:p w14:paraId="72179D52" w14:textId="77777777" w:rsidR="00DB045A" w:rsidRPr="0047375E" w:rsidRDefault="00DB045A" w:rsidP="00DB045A">
      <w:pPr>
        <w:pStyle w:val="Voetnoottekst"/>
        <w:rPr>
          <w:sz w:val="16"/>
          <w:szCs w:val="16"/>
        </w:rPr>
      </w:pPr>
      <w:r w:rsidRPr="00781FEA">
        <w:rPr>
          <w:rStyle w:val="Voetnootmarkering"/>
          <w:sz w:val="16"/>
          <w:szCs w:val="16"/>
        </w:rPr>
        <w:footnoteRef/>
      </w:r>
      <w:r w:rsidRPr="00781FEA">
        <w:rPr>
          <w:sz w:val="16"/>
          <w:szCs w:val="16"/>
        </w:rPr>
        <w:t xml:space="preserve"> De budgettaire reeksen zijn geraamd op basis van DNB RRE data. Deze methode is in lijn met de methode zoals toegepast in het Bouwstenenrapport. Waar nodig wordt onderscheid gemaakt tussen de jaarlijkse effecten in de periode 2031-2042 en de effecten in de periode 2043-2060.</w:t>
      </w:r>
    </w:p>
  </w:footnote>
  <w:footnote w:id="41">
    <w:p w14:paraId="0EFB55D8" w14:textId="77777777" w:rsidR="00771E6F" w:rsidRPr="00781FEA" w:rsidRDefault="00771E6F">
      <w:pPr>
        <w:pStyle w:val="Voetnoottekst"/>
        <w:rPr>
          <w:sz w:val="16"/>
          <w:szCs w:val="16"/>
        </w:rPr>
      </w:pPr>
      <w:r w:rsidRPr="00781FEA">
        <w:rPr>
          <w:rStyle w:val="Voetnootmarkering"/>
          <w:sz w:val="16"/>
          <w:szCs w:val="16"/>
        </w:rPr>
        <w:footnoteRef/>
      </w:r>
      <w:r w:rsidRPr="00781FEA">
        <w:rPr>
          <w:sz w:val="16"/>
          <w:szCs w:val="16"/>
        </w:rPr>
        <w:t xml:space="preserve"> DNB-analyse op basis van </w:t>
      </w:r>
      <w:r w:rsidR="00A73821" w:rsidRPr="00781FEA">
        <w:rPr>
          <w:sz w:val="16"/>
          <w:szCs w:val="16"/>
        </w:rPr>
        <w:t>RRE-data</w:t>
      </w:r>
      <w:r w:rsidRPr="00781FEA">
        <w:rPr>
          <w:sz w:val="16"/>
          <w:szCs w:val="16"/>
        </w:rPr>
        <w:t>.</w:t>
      </w:r>
    </w:p>
  </w:footnote>
  <w:footnote w:id="42">
    <w:p w14:paraId="5B18E71B" w14:textId="77777777" w:rsidR="00771E6F" w:rsidRPr="0047375E" w:rsidRDefault="00771E6F">
      <w:pPr>
        <w:pStyle w:val="Voetnoottekst"/>
        <w:rPr>
          <w:sz w:val="16"/>
          <w:szCs w:val="16"/>
        </w:rPr>
      </w:pPr>
      <w:r w:rsidRPr="00781FEA">
        <w:rPr>
          <w:rStyle w:val="Voetnootmarkering"/>
          <w:sz w:val="16"/>
          <w:szCs w:val="16"/>
        </w:rPr>
        <w:footnoteRef/>
      </w:r>
      <w:r w:rsidRPr="00781FEA">
        <w:rPr>
          <w:sz w:val="16"/>
          <w:szCs w:val="16"/>
        </w:rPr>
        <w:t xml:space="preserve"> Berekeningen op basis van DNB RRE data.</w:t>
      </w:r>
    </w:p>
  </w:footnote>
  <w:footnote w:id="43">
    <w:p w14:paraId="6566D404" w14:textId="77777777" w:rsidR="00CE1BD7" w:rsidRPr="00781FEA" w:rsidRDefault="00CE1BD7">
      <w:pPr>
        <w:pStyle w:val="Voetnoottekst"/>
        <w:rPr>
          <w:sz w:val="16"/>
          <w:szCs w:val="16"/>
        </w:rPr>
      </w:pPr>
      <w:r w:rsidRPr="00781FEA">
        <w:rPr>
          <w:rStyle w:val="Voetnootmarkering"/>
          <w:sz w:val="16"/>
          <w:szCs w:val="16"/>
        </w:rPr>
        <w:footnoteRef/>
      </w:r>
      <w:r w:rsidRPr="00781FEA">
        <w:rPr>
          <w:sz w:val="16"/>
          <w:szCs w:val="16"/>
        </w:rPr>
        <w:t xml:space="preserve"> Bij de verschillende </w:t>
      </w:r>
      <w:r w:rsidR="00A84A8B">
        <w:rPr>
          <w:sz w:val="16"/>
          <w:szCs w:val="16"/>
        </w:rPr>
        <w:t>oplossingsrichtinge</w:t>
      </w:r>
      <w:r w:rsidRPr="00781FEA">
        <w:rPr>
          <w:sz w:val="16"/>
          <w:szCs w:val="16"/>
        </w:rPr>
        <w:t>n is een inschatting gemaakt van de doenlijkheid. Hierbij is gebruik gemaakt van de doenvermogensscan, waarbij wordt gekeken naar de acties en het begrip dat wordt gevergd van de doelgroepen.  Tevens wordt hierbij rekening gehouden met het basisniveau van doenvermogen van de doelgroepen, en wordt ook gekeken naar eventuele effecten van de maatregel op het doenvermogen. Hieruit komt een score met een minimum van -1 en een maximum van +1. Een positieve (negatieve) score geeft aan dat de maatregel leidt tot hogere (lagere) doenlijkheid ten opzichte van de huidige situatie.</w:t>
      </w:r>
    </w:p>
  </w:footnote>
  <w:footnote w:id="44">
    <w:p w14:paraId="34E09C28" w14:textId="77777777" w:rsidR="00637B02" w:rsidRPr="00781FEA" w:rsidRDefault="00637B02" w:rsidP="00637B02">
      <w:pPr>
        <w:pStyle w:val="Voetnoottekst"/>
        <w:rPr>
          <w:sz w:val="16"/>
          <w:szCs w:val="16"/>
        </w:rPr>
      </w:pPr>
      <w:r w:rsidRPr="00781FEA">
        <w:rPr>
          <w:rStyle w:val="Voetnootmarkering"/>
          <w:rFonts w:eastAsiaTheme="majorEastAsia"/>
          <w:sz w:val="16"/>
          <w:szCs w:val="16"/>
        </w:rPr>
        <w:footnoteRef/>
      </w:r>
      <w:r w:rsidRPr="00781FEA">
        <w:rPr>
          <w:sz w:val="16"/>
          <w:szCs w:val="16"/>
        </w:rPr>
        <w:t xml:space="preserve"> Vaak zal het gaan om aflossingsvrije leningen, maar dat is niet per definitie het geval. Het gaat om alle eigenwoningleningen die voor 2013 zijn afgesloten, ongeacht of hier op wordt afgelost of niet of dat sprake is van een spaar- of beleggingsproduct. Als het aflosschema inmiddels is aangepast naar bijvoorbeeld ten minste annuïtair in 360 maanden, dan is nog steeds sprake van een BEWS. </w:t>
      </w:r>
    </w:p>
  </w:footnote>
  <w:footnote w:id="45">
    <w:p w14:paraId="27D38A4B" w14:textId="77777777" w:rsidR="00771E6F" w:rsidRPr="00781FEA" w:rsidRDefault="00771E6F">
      <w:pPr>
        <w:pStyle w:val="Voetnoottekst"/>
        <w:rPr>
          <w:sz w:val="16"/>
          <w:szCs w:val="16"/>
        </w:rPr>
      </w:pPr>
      <w:r w:rsidRPr="00781FEA">
        <w:rPr>
          <w:rStyle w:val="Voetnootmarkering"/>
          <w:sz w:val="16"/>
          <w:szCs w:val="16"/>
        </w:rPr>
        <w:footnoteRef/>
      </w:r>
      <w:r w:rsidRPr="00781FEA">
        <w:rPr>
          <w:sz w:val="16"/>
          <w:szCs w:val="16"/>
        </w:rPr>
        <w:t xml:space="preserve"> DNB-analyse op basis van </w:t>
      </w:r>
      <w:r w:rsidR="00A73821" w:rsidRPr="00781FEA">
        <w:rPr>
          <w:sz w:val="16"/>
          <w:szCs w:val="16"/>
        </w:rPr>
        <w:t>RRE-data</w:t>
      </w:r>
      <w:r w:rsidR="004F0FE2" w:rsidRPr="00781FEA">
        <w:rPr>
          <w:sz w:val="16"/>
          <w:szCs w:val="16"/>
        </w:rPr>
        <w:t>.</w:t>
      </w:r>
    </w:p>
  </w:footnote>
  <w:footnote w:id="46">
    <w:p w14:paraId="796D17F7" w14:textId="77777777" w:rsidR="00637B02" w:rsidRPr="00781FEA" w:rsidRDefault="00637B02" w:rsidP="00637B02">
      <w:pPr>
        <w:pStyle w:val="Voetnoottekst"/>
        <w:rPr>
          <w:sz w:val="16"/>
          <w:szCs w:val="16"/>
        </w:rPr>
      </w:pPr>
      <w:r w:rsidRPr="00781FEA">
        <w:rPr>
          <w:rStyle w:val="Voetnootmarkering"/>
          <w:sz w:val="16"/>
          <w:szCs w:val="16"/>
        </w:rPr>
        <w:footnoteRef/>
      </w:r>
      <w:r w:rsidRPr="00781FEA">
        <w:rPr>
          <w:sz w:val="16"/>
          <w:szCs w:val="16"/>
        </w:rPr>
        <w:t xml:space="preserve"> Dat wil zeggen dat de lasten van de hypotheek van deze huishoudens afgezet tegen het inkomen (het financieringslastpercentage) boven de 25% uitkomt. Een financieringslastpercentage boven deze grens is een indicator van mogelijke betalingsproblemen.</w:t>
      </w:r>
    </w:p>
  </w:footnote>
  <w:footnote w:id="47">
    <w:p w14:paraId="693D4BD3" w14:textId="77777777" w:rsidR="00637B02" w:rsidRPr="00781FEA" w:rsidRDefault="00637B02" w:rsidP="00637B02">
      <w:pPr>
        <w:pStyle w:val="Voetnoottekst"/>
        <w:rPr>
          <w:sz w:val="16"/>
          <w:szCs w:val="16"/>
        </w:rPr>
      </w:pPr>
      <w:r w:rsidRPr="00781FEA">
        <w:rPr>
          <w:rStyle w:val="Voetnootmarkering"/>
          <w:sz w:val="16"/>
          <w:szCs w:val="16"/>
        </w:rPr>
        <w:footnoteRef/>
      </w:r>
      <w:r w:rsidRPr="00781FEA">
        <w:rPr>
          <w:sz w:val="16"/>
          <w:szCs w:val="16"/>
        </w:rPr>
        <w:t xml:space="preserve"> Voor deze groep geldt dat het financieringslastpercentage boven de 35% uitkomt.</w:t>
      </w:r>
    </w:p>
  </w:footnote>
  <w:footnote w:id="48">
    <w:p w14:paraId="6F92C979" w14:textId="77777777" w:rsidR="00771E6F" w:rsidRPr="0047375E" w:rsidRDefault="00771E6F">
      <w:pPr>
        <w:pStyle w:val="Voetnoottekst"/>
        <w:rPr>
          <w:sz w:val="16"/>
          <w:szCs w:val="16"/>
        </w:rPr>
      </w:pPr>
      <w:r w:rsidRPr="00781FEA">
        <w:rPr>
          <w:rStyle w:val="Voetnootmarkering"/>
          <w:sz w:val="16"/>
          <w:szCs w:val="16"/>
        </w:rPr>
        <w:footnoteRef/>
      </w:r>
      <w:r w:rsidRPr="00781FEA">
        <w:rPr>
          <w:sz w:val="16"/>
          <w:szCs w:val="16"/>
        </w:rPr>
        <w:t xml:space="preserve"> Berekeningen op basis van DNB RRE data</w:t>
      </w:r>
      <w:r w:rsidR="004F0FE2" w:rsidRPr="00781FEA">
        <w:rPr>
          <w:sz w:val="16"/>
          <w:szCs w:val="16"/>
        </w:rPr>
        <w:t>.</w:t>
      </w:r>
    </w:p>
  </w:footnote>
  <w:footnote w:id="49">
    <w:p w14:paraId="6D480F68" w14:textId="77777777" w:rsidR="00771E6F" w:rsidRPr="00781FEA" w:rsidRDefault="00771E6F">
      <w:pPr>
        <w:pStyle w:val="Voetnoottekst"/>
        <w:rPr>
          <w:sz w:val="16"/>
          <w:szCs w:val="16"/>
        </w:rPr>
      </w:pPr>
      <w:r w:rsidRPr="00781FEA">
        <w:rPr>
          <w:rStyle w:val="Voetnootmarkering"/>
          <w:sz w:val="16"/>
          <w:szCs w:val="16"/>
        </w:rPr>
        <w:footnoteRef/>
      </w:r>
      <w:r w:rsidRPr="00781FEA">
        <w:rPr>
          <w:sz w:val="16"/>
          <w:szCs w:val="16"/>
        </w:rPr>
        <w:t xml:space="preserve"> DNB-analyse op basis van </w:t>
      </w:r>
      <w:r w:rsidR="00A73821" w:rsidRPr="00781FEA">
        <w:rPr>
          <w:sz w:val="16"/>
          <w:szCs w:val="16"/>
        </w:rPr>
        <w:t>RRE-data</w:t>
      </w:r>
      <w:r w:rsidR="004F0FE2" w:rsidRPr="00781FEA">
        <w:rPr>
          <w:sz w:val="16"/>
          <w:szCs w:val="16"/>
        </w:rPr>
        <w:t>.</w:t>
      </w:r>
    </w:p>
  </w:footnote>
  <w:footnote w:id="50">
    <w:p w14:paraId="0083EAB7" w14:textId="77777777" w:rsidR="00690DAD" w:rsidRPr="00781FEA" w:rsidRDefault="00690DAD" w:rsidP="00690DAD">
      <w:pPr>
        <w:pStyle w:val="Voetnoottekst"/>
        <w:rPr>
          <w:sz w:val="16"/>
          <w:szCs w:val="16"/>
        </w:rPr>
      </w:pPr>
      <w:r w:rsidRPr="00781FEA">
        <w:rPr>
          <w:rStyle w:val="Voetnootmarkering"/>
          <w:sz w:val="16"/>
          <w:szCs w:val="16"/>
        </w:rPr>
        <w:footnoteRef/>
      </w:r>
      <w:r w:rsidRPr="00781FEA">
        <w:rPr>
          <w:sz w:val="16"/>
          <w:szCs w:val="16"/>
        </w:rPr>
        <w:t xml:space="preserve"> Dat wil zeggen dat de lasten van de hypotheek van deze huishoudens afgezet tegen het inkomen (het financieringslastpercentage) boven de 25% uitkomt. Een financieringslastpercentage boven deze grens is een indicator van mogelijke betalingsproblemen.</w:t>
      </w:r>
    </w:p>
  </w:footnote>
  <w:footnote w:id="51">
    <w:p w14:paraId="5FD0318A" w14:textId="77777777" w:rsidR="00690DAD" w:rsidRPr="0047375E" w:rsidRDefault="00690DAD" w:rsidP="00690DAD">
      <w:pPr>
        <w:pStyle w:val="Voetnoottekst"/>
        <w:rPr>
          <w:sz w:val="16"/>
          <w:szCs w:val="16"/>
        </w:rPr>
      </w:pPr>
      <w:r w:rsidRPr="00781FEA">
        <w:rPr>
          <w:rStyle w:val="Voetnootmarkering"/>
          <w:sz w:val="16"/>
          <w:szCs w:val="16"/>
        </w:rPr>
        <w:footnoteRef/>
      </w:r>
      <w:r w:rsidRPr="00781FEA">
        <w:rPr>
          <w:sz w:val="16"/>
          <w:szCs w:val="16"/>
        </w:rPr>
        <w:t xml:space="preserve"> Voor deze groep geldt dat het financieringslastpercentage boven de 35% uitkomt.</w:t>
      </w:r>
    </w:p>
  </w:footnote>
  <w:footnote w:id="52">
    <w:p w14:paraId="51096AC7" w14:textId="77777777" w:rsidR="00771E6F" w:rsidRPr="00781FEA" w:rsidRDefault="00771E6F">
      <w:pPr>
        <w:pStyle w:val="Voetnoottekst"/>
        <w:rPr>
          <w:sz w:val="16"/>
          <w:szCs w:val="16"/>
        </w:rPr>
      </w:pPr>
      <w:r w:rsidRPr="00781FEA">
        <w:rPr>
          <w:rStyle w:val="Voetnootmarkering"/>
          <w:sz w:val="16"/>
          <w:szCs w:val="16"/>
        </w:rPr>
        <w:footnoteRef/>
      </w:r>
      <w:r w:rsidRPr="00781FEA">
        <w:rPr>
          <w:sz w:val="16"/>
          <w:szCs w:val="16"/>
        </w:rPr>
        <w:t xml:space="preserve"> Berekeningen op basis van DNB RRE data</w:t>
      </w:r>
    </w:p>
  </w:footnote>
  <w:footnote w:id="53">
    <w:p w14:paraId="71522BF5" w14:textId="77777777" w:rsidR="00771E6F" w:rsidRPr="0047375E" w:rsidRDefault="00771E6F">
      <w:pPr>
        <w:pStyle w:val="Voetnoottekst"/>
        <w:rPr>
          <w:sz w:val="16"/>
          <w:szCs w:val="16"/>
        </w:rPr>
      </w:pPr>
      <w:r w:rsidRPr="00781FEA">
        <w:rPr>
          <w:rStyle w:val="Voetnootmarkering"/>
          <w:sz w:val="16"/>
          <w:szCs w:val="16"/>
        </w:rPr>
        <w:footnoteRef/>
      </w:r>
      <w:r w:rsidRPr="00781FEA">
        <w:rPr>
          <w:sz w:val="16"/>
          <w:szCs w:val="16"/>
        </w:rPr>
        <w:t xml:space="preserve"> Berekeningen op basis van DNB RRE data</w:t>
      </w:r>
      <w:r w:rsidR="004F0FE2" w:rsidRPr="00781FEA">
        <w:rPr>
          <w:sz w:val="16"/>
          <w:szCs w:val="16"/>
        </w:rPr>
        <w:t>.</w:t>
      </w:r>
    </w:p>
  </w:footnote>
  <w:footnote w:id="54">
    <w:p w14:paraId="786D43C5" w14:textId="77777777" w:rsidR="007B1871" w:rsidRPr="00781FEA" w:rsidRDefault="007B1871" w:rsidP="007B1871">
      <w:pPr>
        <w:pStyle w:val="Voetnoottekst"/>
        <w:rPr>
          <w:sz w:val="16"/>
          <w:szCs w:val="16"/>
        </w:rPr>
      </w:pPr>
      <w:r w:rsidRPr="00781FEA">
        <w:rPr>
          <w:rStyle w:val="Voetnootmarkering"/>
          <w:sz w:val="16"/>
          <w:szCs w:val="16"/>
        </w:rPr>
        <w:footnoteRef/>
      </w:r>
      <w:r w:rsidRPr="00781FEA">
        <w:rPr>
          <w:sz w:val="16"/>
          <w:szCs w:val="16"/>
        </w:rPr>
        <w:t xml:space="preserve"> Als het aflosschema inmiddels is aangepast naar bijvoorbeeld ten minste annuïtair in 360 maanden, dan is de lening nog steeds een BEWS.</w:t>
      </w:r>
    </w:p>
  </w:footnote>
  <w:footnote w:id="55">
    <w:p w14:paraId="12CDE0D1" w14:textId="77777777" w:rsidR="00795AE3" w:rsidRPr="00781FEA" w:rsidRDefault="00795AE3">
      <w:pPr>
        <w:pStyle w:val="Voetnoottekst"/>
        <w:rPr>
          <w:sz w:val="16"/>
          <w:szCs w:val="16"/>
        </w:rPr>
      </w:pPr>
      <w:r w:rsidRPr="00781FEA">
        <w:rPr>
          <w:rStyle w:val="Voetnootmarkering"/>
          <w:sz w:val="16"/>
          <w:szCs w:val="16"/>
        </w:rPr>
        <w:footnoteRef/>
      </w:r>
      <w:r w:rsidRPr="00781FEA">
        <w:rPr>
          <w:sz w:val="16"/>
          <w:szCs w:val="16"/>
        </w:rPr>
        <w:t xml:space="preserve"> Bij afschaffen per 2031 komt slechts een zeer beperkte groep belastingplichtigen mogelijk in de problemen.</w:t>
      </w:r>
    </w:p>
  </w:footnote>
  <w:footnote w:id="56">
    <w:p w14:paraId="7F367C53" w14:textId="77777777" w:rsidR="00771E6F" w:rsidRPr="0047375E" w:rsidRDefault="00771E6F">
      <w:pPr>
        <w:pStyle w:val="Voetnoottekst"/>
        <w:rPr>
          <w:sz w:val="16"/>
          <w:szCs w:val="16"/>
        </w:rPr>
      </w:pPr>
      <w:r w:rsidRPr="00781FEA">
        <w:rPr>
          <w:rStyle w:val="Voetnootmarkering"/>
          <w:sz w:val="16"/>
          <w:szCs w:val="16"/>
        </w:rPr>
        <w:footnoteRef/>
      </w:r>
      <w:r w:rsidRPr="00781FEA">
        <w:rPr>
          <w:sz w:val="16"/>
          <w:szCs w:val="16"/>
        </w:rPr>
        <w:t xml:space="preserve"> Berekeningen op basis van DNB RRE data</w:t>
      </w:r>
      <w:r w:rsidR="004F0FE2" w:rsidRPr="00781FEA">
        <w:rPr>
          <w:sz w:val="16"/>
          <w:szCs w:val="16"/>
        </w:rPr>
        <w:t>.</w:t>
      </w:r>
    </w:p>
  </w:footnote>
  <w:footnote w:id="57">
    <w:p w14:paraId="684C8A84" w14:textId="77777777" w:rsidR="00C36222" w:rsidRPr="0047375E" w:rsidRDefault="00C36222">
      <w:pPr>
        <w:rPr>
          <w:sz w:val="16"/>
          <w:szCs w:val="16"/>
        </w:rPr>
      </w:pPr>
    </w:p>
    <w:p w14:paraId="5B6AC849" w14:textId="77777777" w:rsidR="00A56A31" w:rsidRPr="0047375E" w:rsidRDefault="00A56A31">
      <w:pPr>
        <w:rPr>
          <w:sz w:val="16"/>
          <w:szCs w:val="16"/>
        </w:rPr>
      </w:pPr>
    </w:p>
  </w:footnote>
  <w:footnote w:id="58">
    <w:p w14:paraId="2A928CA9" w14:textId="77777777" w:rsidR="00771E6F" w:rsidRPr="00781FEA" w:rsidRDefault="00771E6F">
      <w:pPr>
        <w:pStyle w:val="Voetnoottekst"/>
        <w:rPr>
          <w:sz w:val="16"/>
          <w:szCs w:val="16"/>
        </w:rPr>
      </w:pPr>
      <w:r w:rsidRPr="00781FEA">
        <w:rPr>
          <w:rStyle w:val="Voetnootmarkering"/>
          <w:sz w:val="16"/>
          <w:szCs w:val="16"/>
        </w:rPr>
        <w:footnoteRef/>
      </w:r>
      <w:r w:rsidRPr="00781FEA">
        <w:rPr>
          <w:sz w:val="16"/>
          <w:szCs w:val="16"/>
        </w:rPr>
        <w:t xml:space="preserve"> DNB-analyse op basis van </w:t>
      </w:r>
      <w:r w:rsidR="00A73821" w:rsidRPr="00781FEA">
        <w:rPr>
          <w:sz w:val="16"/>
          <w:szCs w:val="16"/>
        </w:rPr>
        <w:t>RRE-data</w:t>
      </w:r>
      <w:r w:rsidR="004F0FE2" w:rsidRPr="00781FE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DAC5" w14:textId="77777777" w:rsidR="00A62ACD" w:rsidRDefault="00A62A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E1D8" w14:textId="77777777" w:rsidR="00AD3A32" w:rsidRDefault="003D683F">
    <w:r>
      <w:rPr>
        <w:noProof/>
      </w:rPr>
      <mc:AlternateContent>
        <mc:Choice Requires="wps">
          <w:drawing>
            <wp:anchor distT="0" distB="0" distL="0" distR="0" simplePos="0" relativeHeight="251653632" behindDoc="0" locked="1" layoutInCell="1" allowOverlap="1" wp14:anchorId="1A746DCC" wp14:editId="7FA4DD75">
              <wp:simplePos x="2051685" y="359410"/>
              <wp:positionH relativeFrom="page">
                <wp:posOffset>2051685</wp:posOffset>
              </wp:positionH>
              <wp:positionV relativeFrom="paragraph">
                <wp:posOffset>359410</wp:posOffset>
              </wp:positionV>
              <wp:extent cx="4895850" cy="228600"/>
              <wp:effectExtent l="0" t="0" r="0" b="0"/>
              <wp:wrapNone/>
              <wp:docPr id="1" name="b5bbf5c5-f7d3-4e0f-8432-76a8ddd931f5"/>
              <wp:cNvGraphicFramePr/>
              <a:graphic xmlns:a="http://schemas.openxmlformats.org/drawingml/2006/main">
                <a:graphicData uri="http://schemas.microsoft.com/office/word/2010/wordprocessingShape">
                  <wps:wsp>
                    <wps:cNvSpPr txBox="1"/>
                    <wps:spPr>
                      <a:xfrm>
                        <a:off x="0" y="0"/>
                        <a:ext cx="4895850" cy="228600"/>
                      </a:xfrm>
                      <a:prstGeom prst="rect">
                        <a:avLst/>
                      </a:prstGeom>
                      <a:noFill/>
                    </wps:spPr>
                    <wps:txbx>
                      <w:txbxContent>
                        <w:p w14:paraId="413F8388" w14:textId="77777777" w:rsidR="00AD3A32" w:rsidRDefault="003D683F">
                          <w:pPr>
                            <w:pStyle w:val="Referentiegegevens"/>
                          </w:pPr>
                          <w:r>
                            <w:t xml:space="preserve">Rapport Onderzoek 30-jaarstermijn Hypotheekrenteaftrek | </w:t>
                          </w:r>
                          <w:r w:rsidR="00B41221">
                            <w:t>9</w:t>
                          </w:r>
                          <w:r w:rsidR="006A173C">
                            <w:t xml:space="preserve"> april</w:t>
                          </w:r>
                          <w:r>
                            <w:t xml:space="preserve"> 2026</w:t>
                          </w:r>
                        </w:p>
                      </w:txbxContent>
                    </wps:txbx>
                    <wps:bodyPr vert="horz" wrap="square" lIns="0" tIns="0" rIns="0" bIns="0" anchor="t" anchorCtr="0"/>
                  </wps:wsp>
                </a:graphicData>
              </a:graphic>
            </wp:anchor>
          </w:drawing>
        </mc:Choice>
        <mc:Fallback>
          <w:pict>
            <v:shapetype w14:anchorId="1A746DCC" id="_x0000_t202" coordsize="21600,21600" o:spt="202" path="m,l,21600r21600,l21600,xe">
              <v:stroke joinstyle="miter"/>
              <v:path gradientshapeok="t" o:connecttype="rect"/>
            </v:shapetype>
            <v:shape id="b5bbf5c5-f7d3-4e0f-8432-76a8ddd931f5" o:spid="_x0000_s1029" type="#_x0000_t202" style="position:absolute;margin-left:161.55pt;margin-top:28.3pt;width:385.5pt;height:18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" filled="f" stroked="f">
              <v:textbox inset="0,0,0,0">
                <w:txbxContent>
                  <w:p w14:paraId="413F8388" w14:textId="77777777" w:rsidR="00AD3A32" w:rsidRDefault="003D683F">
                    <w:pPr>
                      <w:pStyle w:val="Referentiegegevens"/>
                    </w:pPr>
                    <w:r>
                      <w:t xml:space="preserve">Rapport Onderzoek 30-jaarstermijn Hypotheekrenteaftrek | </w:t>
                    </w:r>
                    <w:r w:rsidR="00B41221">
                      <w:t>9</w:t>
                    </w:r>
                    <w:r w:rsidR="006A173C">
                      <w:t xml:space="preserve"> april</w:t>
                    </w:r>
                    <w:r>
                      <w:t xml:space="preserve"> 2026</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FCDB" w14:textId="77777777" w:rsidR="00AD3A32" w:rsidRDefault="003D683F">
    <w:pPr>
      <w:spacing w:after="7131" w:line="14" w:lineRule="exact"/>
    </w:pPr>
    <w:r>
      <w:rPr>
        <w:noProof/>
      </w:rPr>
      <mc:AlternateContent>
        <mc:Choice Requires="wps">
          <w:drawing>
            <wp:anchor distT="0" distB="0" distL="0" distR="0" simplePos="0" relativeHeight="251654656" behindDoc="0" locked="1" layoutInCell="1" allowOverlap="1" wp14:anchorId="72D0D41A" wp14:editId="5065DA5D">
              <wp:simplePos x="2051685" y="2429510"/>
              <wp:positionH relativeFrom="page">
                <wp:posOffset>2051685</wp:posOffset>
              </wp:positionH>
              <wp:positionV relativeFrom="paragraph">
                <wp:posOffset>2429510</wp:posOffset>
              </wp:positionV>
              <wp:extent cx="3581400" cy="899794"/>
              <wp:effectExtent l="0" t="0" r="0" b="0"/>
              <wp:wrapNone/>
              <wp:docPr id="2" name="46ffa8a4-aa3c-11ea-a756-beb5f67e67be" descr="Adresvak"/>
              <wp:cNvGraphicFramePr/>
              <a:graphic xmlns:a="http://schemas.openxmlformats.org/drawingml/2006/main">
                <a:graphicData uri="http://schemas.microsoft.com/office/word/2010/wordprocessingShape">
                  <wps:wsp>
                    <wps:cNvSpPr txBox="1"/>
                    <wps:spPr>
                      <a:xfrm>
                        <a:off x="0" y="0"/>
                        <a:ext cx="3581400" cy="899794"/>
                      </a:xfrm>
                      <a:prstGeom prst="rect">
                        <a:avLst/>
                      </a:prstGeom>
                      <a:noFill/>
                    </wps:spPr>
                    <wps:txbx>
                      <w:txbxContent>
                        <w:p w14:paraId="3FF872A3" w14:textId="77777777" w:rsidR="00AD3A32" w:rsidRDefault="003D683F">
                          <w:pPr>
                            <w:pStyle w:val="Ondertitel"/>
                          </w:pPr>
                          <w:r>
                            <w:t>Rapport Onderzoek 30-jaarstermijn Hypotheekrenteaftrek</w:t>
                          </w:r>
                        </w:p>
                      </w:txbxContent>
                    </wps:txbx>
                    <wps:bodyPr vert="horz" wrap="square" lIns="0" tIns="0" rIns="0" bIns="0" anchor="t" anchorCtr="0"/>
                  </wps:wsp>
                </a:graphicData>
              </a:graphic>
            </wp:anchor>
          </w:drawing>
        </mc:Choice>
        <mc:Fallback>
          <w:pict>
            <v:shapetype w14:anchorId="72D0D41A" id="_x0000_t202" coordsize="21600,21600" o:spt="202" path="m,l,21600r21600,l21600,xe">
              <v:stroke joinstyle="miter"/>
              <v:path gradientshapeok="t" o:connecttype="rect"/>
            </v:shapetype>
            <v:shape id="46ffa8a4-aa3c-11ea-a756-beb5f67e67be" o:spid="_x0000_s1030" type="#_x0000_t202" alt="Adresvak" style="position:absolute;margin-left:161.55pt;margin-top:191.3pt;width:282pt;height:70.8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" filled="f" stroked="f">
              <v:textbox inset="0,0,0,0">
                <w:txbxContent>
                  <w:p w14:paraId="3FF872A3" w14:textId="77777777" w:rsidR="00AD3A32" w:rsidRDefault="003D683F">
                    <w:pPr>
                      <w:pStyle w:val="Ondertitel"/>
                    </w:pPr>
                    <w:r>
                      <w:t>Rapport Onderzoek 30-jaarstermijn Hypotheekrenteaftrek</w:t>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6E76F16E" wp14:editId="64190C62">
              <wp:simplePos x="2051685" y="4049395"/>
              <wp:positionH relativeFrom="page">
                <wp:posOffset>2051685</wp:posOffset>
              </wp:positionH>
              <wp:positionV relativeFrom="paragraph">
                <wp:posOffset>4049395</wp:posOffset>
              </wp:positionV>
              <wp:extent cx="4895850" cy="371475"/>
              <wp:effectExtent l="0" t="0" r="0" b="0"/>
              <wp:wrapNone/>
              <wp:docPr id="3" name="46feebd0-aa3c-11ea-a756-beb5f67e67be"/>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D3A32" w14:paraId="645194B9" w14:textId="77777777">
                            <w:trPr>
                              <w:trHeight w:val="240"/>
                            </w:trPr>
                            <w:tc>
                              <w:tcPr>
                                <w:tcW w:w="1140" w:type="dxa"/>
                              </w:tcPr>
                              <w:p w14:paraId="3495D54D" w14:textId="77777777" w:rsidR="00AD3A32" w:rsidRDefault="003D683F">
                                <w:r>
                                  <w:t>Datum</w:t>
                                </w:r>
                              </w:p>
                            </w:tc>
                            <w:tc>
                              <w:tcPr>
                                <w:tcW w:w="5918" w:type="dxa"/>
                              </w:tcPr>
                              <w:p w14:paraId="7324C2C9" w14:textId="77777777" w:rsidR="00AD3A32" w:rsidRDefault="00053786">
                                <w:sdt>
                                  <w:sdtPr>
                                    <w:id w:val="207152297"/>
                                    <w:date w:fullDate="2026-04-09T00:00:00Z">
                                      <w:dateFormat w:val="d MMMM yyyy"/>
                                      <w:lid w:val="nl"/>
                                      <w:storeMappedDataAs w:val="dateTime"/>
                                      <w:calendar w:val="gregorian"/>
                                    </w:date>
                                  </w:sdtPr>
                                  <w:sdtEndPr/>
                                  <w:sdtContent>
                                    <w:r w:rsidR="00B41221">
                                      <w:rPr>
                                        <w:lang w:val="nl"/>
                                      </w:rPr>
                                      <w:t>9 april 2026</w:t>
                                    </w:r>
                                  </w:sdtContent>
                                </w:sdt>
                              </w:p>
                            </w:tc>
                          </w:tr>
                          <w:tr w:rsidR="00AD3A32" w14:paraId="29D85F71" w14:textId="77777777">
                            <w:trPr>
                              <w:trHeight w:val="240"/>
                            </w:trPr>
                            <w:tc>
                              <w:tcPr>
                                <w:tcW w:w="1140" w:type="dxa"/>
                              </w:tcPr>
                              <w:p w14:paraId="28C37937" w14:textId="77777777" w:rsidR="00AD3A32" w:rsidRDefault="003D683F">
                                <w:r>
                                  <w:t>Status</w:t>
                                </w:r>
                              </w:p>
                            </w:tc>
                            <w:tc>
                              <w:tcPr>
                                <w:tcW w:w="5918" w:type="dxa"/>
                              </w:tcPr>
                              <w:p w14:paraId="6E0DFE0E" w14:textId="77777777" w:rsidR="00AD3A32" w:rsidRDefault="006A173C">
                                <w:r>
                                  <w:t>Eindrapport</w:t>
                                </w:r>
                              </w:p>
                            </w:tc>
                          </w:tr>
                        </w:tbl>
                        <w:p w14:paraId="6CD22B5E" w14:textId="77777777" w:rsidR="003D683F" w:rsidRDefault="003D683F"/>
                      </w:txbxContent>
                    </wps:txbx>
                    <wps:bodyPr vert="horz" wrap="square" lIns="0" tIns="0" rIns="0" bIns="0" anchor="t" anchorCtr="0"/>
                  </wps:wsp>
                </a:graphicData>
              </a:graphic>
            </wp:anchor>
          </w:drawing>
        </mc:Choice>
        <mc:Fallback>
          <w:pict>
            <v:shape w14:anchorId="6E76F16E" id="46feebd0-aa3c-11ea-a756-beb5f67e67be" o:spid="_x0000_s1031" type="#_x0000_t202" style="position:absolute;margin-left:161.55pt;margin-top:318.85pt;width:385.5pt;height:29.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918"/>
                    </w:tblGrid>
                    <w:tr w:rsidR="00AD3A32" w14:paraId="645194B9" w14:textId="77777777">
                      <w:trPr>
                        <w:trHeight w:val="240"/>
                      </w:trPr>
                      <w:tc>
                        <w:tcPr>
                          <w:tcW w:w="1140" w:type="dxa"/>
                        </w:tcPr>
                        <w:p w14:paraId="3495D54D" w14:textId="77777777" w:rsidR="00AD3A32" w:rsidRDefault="003D683F">
                          <w:r>
                            <w:t>Datum</w:t>
                          </w:r>
                        </w:p>
                      </w:tc>
                      <w:tc>
                        <w:tcPr>
                          <w:tcW w:w="5918" w:type="dxa"/>
                        </w:tcPr>
                        <w:p w14:paraId="7324C2C9" w14:textId="77777777" w:rsidR="00AD3A32" w:rsidRDefault="00053786">
                          <w:sdt>
                            <w:sdtPr>
                              <w:id w:val="207152297"/>
                              <w:date w:fullDate="2026-04-09T00:00:00Z">
                                <w:dateFormat w:val="d MMMM yyyy"/>
                                <w:lid w:val="nl"/>
                                <w:storeMappedDataAs w:val="dateTime"/>
                                <w:calendar w:val="gregorian"/>
                              </w:date>
                            </w:sdtPr>
                            <w:sdtEndPr/>
                            <w:sdtContent>
                              <w:r w:rsidR="00B41221">
                                <w:rPr>
                                  <w:lang w:val="nl"/>
                                </w:rPr>
                                <w:t>9 april 2026</w:t>
                              </w:r>
                            </w:sdtContent>
                          </w:sdt>
                        </w:p>
                      </w:tc>
                    </w:tr>
                    <w:tr w:rsidR="00AD3A32" w14:paraId="29D85F71" w14:textId="77777777">
                      <w:trPr>
                        <w:trHeight w:val="240"/>
                      </w:trPr>
                      <w:tc>
                        <w:tcPr>
                          <w:tcW w:w="1140" w:type="dxa"/>
                        </w:tcPr>
                        <w:p w14:paraId="28C37937" w14:textId="77777777" w:rsidR="00AD3A32" w:rsidRDefault="003D683F">
                          <w:r>
                            <w:t>Status</w:t>
                          </w:r>
                        </w:p>
                      </w:tc>
                      <w:tc>
                        <w:tcPr>
                          <w:tcW w:w="5918" w:type="dxa"/>
                        </w:tcPr>
                        <w:p w14:paraId="6E0DFE0E" w14:textId="77777777" w:rsidR="00AD3A32" w:rsidRDefault="006A173C">
                          <w:r>
                            <w:t>Eindrapport</w:t>
                          </w:r>
                        </w:p>
                      </w:tc>
                    </w:tr>
                  </w:tbl>
                  <w:p w14:paraId="6CD22B5E" w14:textId="77777777" w:rsidR="003D683F" w:rsidRDefault="003D683F"/>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FFCFC85" wp14:editId="177049E5">
              <wp:simplePos x="3545840" y="0"/>
              <wp:positionH relativeFrom="page">
                <wp:posOffset>3545840</wp:posOffset>
              </wp:positionH>
              <wp:positionV relativeFrom="paragraph">
                <wp:posOffset>0</wp:posOffset>
              </wp:positionV>
              <wp:extent cx="467995" cy="1583055"/>
              <wp:effectExtent l="0" t="0" r="0" b="0"/>
              <wp:wrapNone/>
              <wp:docPr id="4"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8B5F258" w14:textId="77777777" w:rsidR="00AD3A32" w:rsidRDefault="003D683F">
                          <w:pPr>
                            <w:spacing w:line="240" w:lineRule="auto"/>
                          </w:pPr>
                          <w:r>
                            <w:rPr>
                              <w:noProof/>
                            </w:rPr>
                            <w:drawing>
                              <wp:inline distT="0" distB="0" distL="0" distR="0" wp14:anchorId="2655E1F2" wp14:editId="47C9BB6F">
                                <wp:extent cx="467995" cy="1583865"/>
                                <wp:effectExtent l="0" t="0" r="0" b="0"/>
                                <wp:docPr id="7270950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FCFC85" id="46feed0e-aa3c-11ea-a756-beb5f67e67be" o:spid="_x0000_s1032" type="#_x0000_t202" alt="Container voor beeldmerk"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28B5F258" w14:textId="77777777" w:rsidR="00AD3A32" w:rsidRDefault="003D683F">
                    <w:pPr>
                      <w:spacing w:line="240" w:lineRule="auto"/>
                    </w:pPr>
                    <w:r>
                      <w:rPr>
                        <w:noProof/>
                      </w:rPr>
                      <w:drawing>
                        <wp:inline distT="0" distB="0" distL="0" distR="0" wp14:anchorId="2655E1F2" wp14:editId="47C9BB6F">
                          <wp:extent cx="467995" cy="1583865"/>
                          <wp:effectExtent l="0" t="0" r="0" b="0"/>
                          <wp:docPr id="7270950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49CF85EC" wp14:editId="39517D43">
              <wp:simplePos x="3995420" y="0"/>
              <wp:positionH relativeFrom="page">
                <wp:posOffset>3995420</wp:posOffset>
              </wp:positionH>
              <wp:positionV relativeFrom="paragraph">
                <wp:posOffset>0</wp:posOffset>
              </wp:positionV>
              <wp:extent cx="2339975" cy="1583690"/>
              <wp:effectExtent l="0" t="0" r="0" b="0"/>
              <wp:wrapNone/>
              <wp:docPr id="6"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5FE1B2" w14:textId="77777777" w:rsidR="00AD3A32" w:rsidRDefault="003D683F">
                          <w:pPr>
                            <w:spacing w:line="240" w:lineRule="auto"/>
                          </w:pPr>
                          <w:r>
                            <w:rPr>
                              <w:noProof/>
                            </w:rPr>
                            <w:drawing>
                              <wp:inline distT="0" distB="0" distL="0" distR="0" wp14:anchorId="212865D8" wp14:editId="25D7E51D">
                                <wp:extent cx="2339975" cy="1582834"/>
                                <wp:effectExtent l="0" t="0" r="0" b="0"/>
                                <wp:docPr id="2135503473" name="Logotype" descr="Ministerie van Financiën"/>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CF85EC" id="46feed67-aa3c-11ea-a756-beb5f67e67be" o:spid="_x0000_s1033"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265FE1B2" w14:textId="77777777" w:rsidR="00AD3A32" w:rsidRDefault="003D683F">
                    <w:pPr>
                      <w:spacing w:line="240" w:lineRule="auto"/>
                    </w:pPr>
                    <w:r>
                      <w:rPr>
                        <w:noProof/>
                      </w:rPr>
                      <w:drawing>
                        <wp:inline distT="0" distB="0" distL="0" distR="0" wp14:anchorId="212865D8" wp14:editId="25D7E51D">
                          <wp:extent cx="2339975" cy="1582834"/>
                          <wp:effectExtent l="0" t="0" r="0" b="0"/>
                          <wp:docPr id="2135503473" name="Logotype" descr="Ministerie van Financiën"/>
                          <wp:cNvGraphicFramePr/>
                          <a:graphic xmlns:a="http://schemas.openxmlformats.org/drawingml/2006/main">
                            <a:graphicData uri="http://schemas.openxmlformats.org/drawingml/2006/picture">
                              <pic:pic xmlns:pic="http://schemas.openxmlformats.org/drawingml/2006/picture">
                                <pic:nvPicPr>
                                  <pic:cNvPr id="7"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63F349B" wp14:editId="41D1D9CD">
              <wp:simplePos x="2051685" y="3509645"/>
              <wp:positionH relativeFrom="page">
                <wp:posOffset>2051685</wp:posOffset>
              </wp:positionH>
              <wp:positionV relativeFrom="paragraph">
                <wp:posOffset>3509645</wp:posOffset>
              </wp:positionV>
              <wp:extent cx="3581400" cy="269875"/>
              <wp:effectExtent l="0" t="0" r="0" b="0"/>
              <wp:wrapNone/>
              <wp:docPr id="8" name="47001958-aa3c-11ea-a756-beb5f67e67be"/>
              <wp:cNvGraphicFramePr/>
              <a:graphic xmlns:a="http://schemas.openxmlformats.org/drawingml/2006/main">
                <a:graphicData uri="http://schemas.microsoft.com/office/word/2010/wordprocessingShape">
                  <wps:wsp>
                    <wps:cNvSpPr txBox="1"/>
                    <wps:spPr>
                      <a:xfrm>
                        <a:off x="0" y="0"/>
                        <a:ext cx="3581400" cy="269875"/>
                      </a:xfrm>
                      <a:prstGeom prst="rect">
                        <a:avLst/>
                      </a:prstGeom>
                      <a:noFill/>
                    </wps:spPr>
                    <wps:txbx>
                      <w:txbxContent>
                        <w:p w14:paraId="1E4BEE7B" w14:textId="77777777" w:rsidR="00AD3A32" w:rsidRDefault="00AD3A32"/>
                      </w:txbxContent>
                    </wps:txbx>
                    <wps:bodyPr vert="horz" wrap="square" lIns="0" tIns="0" rIns="0" bIns="0" anchor="t" anchorCtr="0"/>
                  </wps:wsp>
                </a:graphicData>
              </a:graphic>
            </wp:anchor>
          </w:drawing>
        </mc:Choice>
        <mc:Fallback>
          <w:pict>
            <v:shape w14:anchorId="063F349B" id="47001958-aa3c-11ea-a756-beb5f67e67be" o:spid="_x0000_s1034" type="#_x0000_t202" style="position:absolute;margin-left:161.55pt;margin-top:276.35pt;width:282pt;height:21.2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" filled="f" stroked="f">
              <v:textbox inset="0,0,0,0">
                <w:txbxContent>
                  <w:p w14:paraId="1E4BEE7B" w14:textId="77777777" w:rsidR="00AD3A32" w:rsidRDefault="00AD3A32"/>
                </w:txbxContent>
              </v:textbox>
              <w10:wrap anchorx="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229F" w14:textId="77777777" w:rsidR="00AD3A32" w:rsidRDefault="003D683F">
    <w:r>
      <w:rPr>
        <w:noProof/>
      </w:rPr>
      <mc:AlternateContent>
        <mc:Choice Requires="wps">
          <w:drawing>
            <wp:anchor distT="0" distB="0" distL="0" distR="0" simplePos="0" relativeHeight="251659776" behindDoc="0" locked="1" layoutInCell="1" allowOverlap="1" wp14:anchorId="2A9D6FDB" wp14:editId="74D8EAFD">
              <wp:simplePos x="2051685" y="359410"/>
              <wp:positionH relativeFrom="page">
                <wp:posOffset>2051685</wp:posOffset>
              </wp:positionH>
              <wp:positionV relativeFrom="paragraph">
                <wp:posOffset>359410</wp:posOffset>
              </wp:positionV>
              <wp:extent cx="4895850" cy="228600"/>
              <wp:effectExtent l="0" t="0" r="0" b="0"/>
              <wp:wrapNone/>
              <wp:docPr id="9" name="e0f55b98-805c-4e37-8af7-753064fd89fd"/>
              <wp:cNvGraphicFramePr/>
              <a:graphic xmlns:a="http://schemas.openxmlformats.org/drawingml/2006/main">
                <a:graphicData uri="http://schemas.microsoft.com/office/word/2010/wordprocessingShape">
                  <wps:wsp>
                    <wps:cNvSpPr txBox="1"/>
                    <wps:spPr>
                      <a:xfrm>
                        <a:off x="0" y="0"/>
                        <a:ext cx="4895850" cy="228600"/>
                      </a:xfrm>
                      <a:prstGeom prst="rect">
                        <a:avLst/>
                      </a:prstGeom>
                      <a:noFill/>
                    </wps:spPr>
                    <wps:txbx>
                      <w:txbxContent>
                        <w:p w14:paraId="7F1B4A8E" w14:textId="77777777" w:rsidR="00AD3A32" w:rsidRDefault="003D683F">
                          <w:pPr>
                            <w:pStyle w:val="Referentiegegevens"/>
                          </w:pPr>
                          <w:r>
                            <w:t xml:space="preserve">Rapport Onderzoek 30-jaarstermijn Hypotheekrenteaftrek | </w:t>
                          </w:r>
                          <w:r w:rsidR="00B41221">
                            <w:t>9</w:t>
                          </w:r>
                          <w:r w:rsidR="006A173C">
                            <w:t xml:space="preserve"> april</w:t>
                          </w:r>
                          <w:r>
                            <w:t xml:space="preserve"> 2026</w:t>
                          </w:r>
                        </w:p>
                      </w:txbxContent>
                    </wps:txbx>
                    <wps:bodyPr vert="horz" wrap="square" lIns="0" tIns="0" rIns="0" bIns="0" anchor="t" anchorCtr="0"/>
                  </wps:wsp>
                </a:graphicData>
              </a:graphic>
            </wp:anchor>
          </w:drawing>
        </mc:Choice>
        <mc:Fallback>
          <w:pict>
            <v:shapetype w14:anchorId="2A9D6FDB" id="_x0000_t202" coordsize="21600,21600" o:spt="202" path="m,l,21600r21600,l21600,xe">
              <v:stroke joinstyle="miter"/>
              <v:path gradientshapeok="t" o:connecttype="rect"/>
            </v:shapetype>
            <v:shape id="e0f55b98-805c-4e37-8af7-753064fd89fd" o:spid="_x0000_s1035" type="#_x0000_t202" style="position:absolute;margin-left:161.55pt;margin-top:28.3pt;width:385.5pt;height:18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" filled="f" stroked="f">
              <v:textbox inset="0,0,0,0">
                <w:txbxContent>
                  <w:p w14:paraId="7F1B4A8E" w14:textId="77777777" w:rsidR="00AD3A32" w:rsidRDefault="003D683F">
                    <w:pPr>
                      <w:pStyle w:val="Referentiegegevens"/>
                    </w:pPr>
                    <w:r>
                      <w:t xml:space="preserve">Rapport Onderzoek 30-jaarstermijn Hypotheekrenteaftrek | </w:t>
                    </w:r>
                    <w:r w:rsidR="00B41221">
                      <w:t>9</w:t>
                    </w:r>
                    <w:r w:rsidR="006A173C">
                      <w:t xml:space="preserve"> april</w:t>
                    </w:r>
                    <w:r>
                      <w:t xml:space="preserve"> 2026</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F402" w14:textId="77777777" w:rsidR="00AD3A32" w:rsidRDefault="003D683F">
    <w:r>
      <w:rPr>
        <w:noProof/>
      </w:rPr>
      <mc:AlternateContent>
        <mc:Choice Requires="wps">
          <w:drawing>
            <wp:anchor distT="0" distB="0" distL="0" distR="0" simplePos="0" relativeHeight="251660800" behindDoc="0" locked="1" layoutInCell="1" allowOverlap="1" wp14:anchorId="40BBE239" wp14:editId="02E2775B">
              <wp:simplePos x="5705475" y="10097770"/>
              <wp:positionH relativeFrom="page">
                <wp:posOffset>5705475</wp:posOffset>
              </wp:positionH>
              <wp:positionV relativeFrom="paragraph">
                <wp:posOffset>10097770</wp:posOffset>
              </wp:positionV>
              <wp:extent cx="1257300" cy="161925"/>
              <wp:effectExtent l="0" t="0" r="0" b="0"/>
              <wp:wrapNone/>
              <wp:docPr id="10" name="fc6137c5-3a4b-49e5-9b24-74d5d7b72a56"/>
              <wp:cNvGraphicFramePr/>
              <a:graphic xmlns:a="http://schemas.openxmlformats.org/drawingml/2006/main">
                <a:graphicData uri="http://schemas.microsoft.com/office/word/2010/wordprocessingShape">
                  <wps:wsp>
                    <wps:cNvSpPr txBox="1"/>
                    <wps:spPr>
                      <a:xfrm>
                        <a:off x="0" y="0"/>
                        <a:ext cx="1257300" cy="161925"/>
                      </a:xfrm>
                      <a:prstGeom prst="rect">
                        <a:avLst/>
                      </a:prstGeom>
                      <a:noFill/>
                    </wps:spPr>
                    <wps:txbx>
                      <w:txbxContent>
                        <w:p w14:paraId="3340F2B0" w14:textId="6E30FD61" w:rsidR="00AD3A32" w:rsidRDefault="003D683F">
                          <w:pPr>
                            <w:pStyle w:val="Referentiegegevens"/>
                          </w:pPr>
                          <w:r>
                            <w:t xml:space="preserve">Pagina </w:t>
                          </w:r>
                          <w:r>
                            <w:fldChar w:fldCharType="begin"/>
                          </w:r>
                          <w:r>
                            <w:instrText>PAGE</w:instrText>
                          </w:r>
                          <w:r>
                            <w:fldChar w:fldCharType="separate"/>
                          </w:r>
                          <w:r w:rsidR="00DF407A">
                            <w:rPr>
                              <w:noProof/>
                            </w:rPr>
                            <w:t>1</w:t>
                          </w:r>
                          <w:r>
                            <w:fldChar w:fldCharType="end"/>
                          </w:r>
                          <w:r>
                            <w:t xml:space="preserve"> van </w:t>
                          </w:r>
                          <w:r>
                            <w:fldChar w:fldCharType="begin"/>
                          </w:r>
                          <w:r>
                            <w:instrText>=</w:instrText>
                          </w:r>
                          <w:r>
                            <w:fldChar w:fldCharType="begin"/>
                          </w:r>
                          <w:r>
                            <w:instrText>NUMPAGES</w:instrText>
                          </w:r>
                          <w:r>
                            <w:fldChar w:fldCharType="separate"/>
                          </w:r>
                          <w:r w:rsidR="00053786">
                            <w:rPr>
                              <w:noProof/>
                            </w:rPr>
                            <w:instrText>63</w:instrText>
                          </w:r>
                          <w:r>
                            <w:fldChar w:fldCharType="end"/>
                          </w:r>
                          <w:r>
                            <w:instrText>-3</w:instrText>
                          </w:r>
                          <w:r>
                            <w:fldChar w:fldCharType="separate"/>
                          </w:r>
                          <w:r w:rsidR="00053786">
                            <w:rPr>
                              <w:noProof/>
                            </w:rPr>
                            <w:t>60</w:t>
                          </w:r>
                          <w:r>
                            <w:fldChar w:fldCharType="end"/>
                          </w:r>
                        </w:p>
                      </w:txbxContent>
                    </wps:txbx>
                    <wps:bodyPr vert="horz" wrap="square" lIns="0" tIns="0" rIns="0" bIns="0" anchor="t" anchorCtr="0"/>
                  </wps:wsp>
                </a:graphicData>
              </a:graphic>
            </wp:anchor>
          </w:drawing>
        </mc:Choice>
        <mc:Fallback>
          <w:pict>
            <v:shapetype w14:anchorId="40BBE239" id="_x0000_t202" coordsize="21600,21600" o:spt="202" path="m,l,21600r21600,l21600,xe">
              <v:stroke joinstyle="miter"/>
              <v:path gradientshapeok="t" o:connecttype="rect"/>
            </v:shapetype>
            <v:shape id="fc6137c5-3a4b-49e5-9b24-74d5d7b72a56" o:spid="_x0000_s1036" type="#_x0000_t202" style="position:absolute;margin-left:449.25pt;margin-top:795.1pt;width:99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" filled="f" stroked="f">
              <v:textbox inset="0,0,0,0">
                <w:txbxContent>
                  <w:p w14:paraId="3340F2B0" w14:textId="6E30FD61" w:rsidR="00AD3A32" w:rsidRDefault="003D683F">
                    <w:pPr>
                      <w:pStyle w:val="Referentiegegevens"/>
                    </w:pPr>
                    <w:r>
                      <w:t xml:space="preserve">Pagina </w:t>
                    </w:r>
                    <w:r>
                      <w:fldChar w:fldCharType="begin"/>
                    </w:r>
                    <w:r>
                      <w:instrText>PAGE</w:instrText>
                    </w:r>
                    <w:r>
                      <w:fldChar w:fldCharType="separate"/>
                    </w:r>
                    <w:r w:rsidR="00DF407A">
                      <w:rPr>
                        <w:noProof/>
                      </w:rPr>
                      <w:t>1</w:t>
                    </w:r>
                    <w:r>
                      <w:fldChar w:fldCharType="end"/>
                    </w:r>
                    <w:r>
                      <w:t xml:space="preserve"> van </w:t>
                    </w:r>
                    <w:r>
                      <w:fldChar w:fldCharType="begin"/>
                    </w:r>
                    <w:r>
                      <w:instrText>=</w:instrText>
                    </w:r>
                    <w:r>
                      <w:fldChar w:fldCharType="begin"/>
                    </w:r>
                    <w:r>
                      <w:instrText>NUMPAGES</w:instrText>
                    </w:r>
                    <w:r>
                      <w:fldChar w:fldCharType="separate"/>
                    </w:r>
                    <w:r w:rsidR="00053786">
                      <w:rPr>
                        <w:noProof/>
                      </w:rPr>
                      <w:instrText>63</w:instrText>
                    </w:r>
                    <w:r>
                      <w:fldChar w:fldCharType="end"/>
                    </w:r>
                    <w:r>
                      <w:instrText>-3</w:instrText>
                    </w:r>
                    <w:r>
                      <w:fldChar w:fldCharType="separate"/>
                    </w:r>
                    <w:r w:rsidR="00053786">
                      <w:rPr>
                        <w:noProof/>
                      </w:rPr>
                      <w:t>60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5099EF2" wp14:editId="1D238F4C">
              <wp:simplePos x="2051685" y="359410"/>
              <wp:positionH relativeFrom="page">
                <wp:posOffset>2051685</wp:posOffset>
              </wp:positionH>
              <wp:positionV relativeFrom="paragraph">
                <wp:posOffset>359410</wp:posOffset>
              </wp:positionV>
              <wp:extent cx="4895850" cy="228600"/>
              <wp:effectExtent l="0" t="0" r="0" b="0"/>
              <wp:wrapNone/>
              <wp:docPr id="11" name="8ec5dedb-d0de-4ed0-b742-8a0a024776de"/>
              <wp:cNvGraphicFramePr/>
              <a:graphic xmlns:a="http://schemas.openxmlformats.org/drawingml/2006/main">
                <a:graphicData uri="http://schemas.microsoft.com/office/word/2010/wordprocessingShape">
                  <wps:wsp>
                    <wps:cNvSpPr txBox="1"/>
                    <wps:spPr>
                      <a:xfrm>
                        <a:off x="0" y="0"/>
                        <a:ext cx="4895850" cy="228600"/>
                      </a:xfrm>
                      <a:prstGeom prst="rect">
                        <a:avLst/>
                      </a:prstGeom>
                      <a:noFill/>
                    </wps:spPr>
                    <wps:txbx>
                      <w:txbxContent>
                        <w:p w14:paraId="084F0911" w14:textId="77777777" w:rsidR="00AD3A32" w:rsidRDefault="003D683F">
                          <w:pPr>
                            <w:pStyle w:val="Referentiegegevens"/>
                          </w:pPr>
                          <w:r>
                            <w:t xml:space="preserve">Rapport Onderzoek 30-jaarstermijn Hypotheekrenteaftrek | </w:t>
                          </w:r>
                          <w:r w:rsidR="00B41221">
                            <w:t>9</w:t>
                          </w:r>
                          <w:r w:rsidR="006A173C">
                            <w:t xml:space="preserve"> april </w:t>
                          </w:r>
                          <w:r>
                            <w:t>2026</w:t>
                          </w:r>
                        </w:p>
                      </w:txbxContent>
                    </wps:txbx>
                    <wps:bodyPr vert="horz" wrap="square" lIns="0" tIns="0" rIns="0" bIns="0" anchor="t" anchorCtr="0"/>
                  </wps:wsp>
                </a:graphicData>
              </a:graphic>
            </wp:anchor>
          </w:drawing>
        </mc:Choice>
        <mc:Fallback>
          <w:pict>
            <v:shape w14:anchorId="45099EF2" id="8ec5dedb-d0de-4ed0-b742-8a0a024776de" o:spid="_x0000_s1037" type="#_x0000_t202" style="position:absolute;margin-left:161.55pt;margin-top:28.3pt;width:385.5pt;height:18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" filled="f" stroked="f">
              <v:textbox inset="0,0,0,0">
                <w:txbxContent>
                  <w:p w14:paraId="084F0911" w14:textId="77777777" w:rsidR="00AD3A32" w:rsidRDefault="003D683F">
                    <w:pPr>
                      <w:pStyle w:val="Referentiegegevens"/>
                    </w:pPr>
                    <w:r>
                      <w:t xml:space="preserve">Rapport Onderzoek 30-jaarstermijn Hypotheekrenteaftrek | </w:t>
                    </w:r>
                    <w:r w:rsidR="00B41221">
                      <w:t>9</w:t>
                    </w:r>
                    <w:r w:rsidR="006A173C">
                      <w:t xml:space="preserve"> april </w:t>
                    </w:r>
                    <w:r>
                      <w:t>2026</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06B38D"/>
    <w:multiLevelType w:val="multilevel"/>
    <w:tmpl w:val="BFA815C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E4192"/>
    <w:multiLevelType w:val="hybridMultilevel"/>
    <w:tmpl w:val="AA82BE2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C9D149E"/>
    <w:multiLevelType w:val="multilevel"/>
    <w:tmpl w:val="2586E8AE"/>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Wingdings" w:eastAsiaTheme="minorHAnsi" w:hAnsi="Wingding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2D5143"/>
    <w:multiLevelType w:val="hybridMultilevel"/>
    <w:tmpl w:val="6DACE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3638C7"/>
    <w:multiLevelType w:val="hybridMultilevel"/>
    <w:tmpl w:val="C26E71A8"/>
    <w:lvl w:ilvl="0" w:tplc="04130001">
      <w:start w:val="1"/>
      <w:numFmt w:val="bullet"/>
      <w:lvlText w:val=""/>
      <w:lvlJc w:val="left"/>
      <w:pPr>
        <w:ind w:left="1919"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3543C31"/>
    <w:multiLevelType w:val="hybridMultilevel"/>
    <w:tmpl w:val="C89A3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5076EB"/>
    <w:multiLevelType w:val="multilevel"/>
    <w:tmpl w:val="EE90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A900D1"/>
    <w:multiLevelType w:val="multilevel"/>
    <w:tmpl w:val="FEF06BBD"/>
    <w:name w:val="Kopnummering"/>
    <w:lvl w:ilvl="0">
      <w:start w:val="1"/>
      <w:numFmt w:val="decimal"/>
      <w:pStyle w:val="Kop1"/>
      <w:lvlText w:val="%1"/>
      <w:lvlJc w:val="left"/>
      <w:pPr>
        <w:ind w:left="0" w:firstLine="0"/>
      </w:pPr>
    </w:lvl>
    <w:lvl w:ilvl="1">
      <w:start w:val="1"/>
      <w:numFmt w:val="decimal"/>
      <w:pStyle w:val="Kop2"/>
      <w:lvlText w:val="%1.%2"/>
      <w:lvlJc w:val="left"/>
      <w:pPr>
        <w:ind w:left="0" w:firstLine="0"/>
      </w:pPr>
    </w:lvl>
    <w:lvl w:ilvl="2">
      <w:start w:val="1"/>
      <w:numFmt w:val="decimal"/>
      <w:pStyle w:val="Kop3"/>
      <w:lvlText w:val="%1.%2.%3"/>
      <w:lvlJc w:val="left"/>
      <w:pPr>
        <w:ind w:left="0" w:firstLine="0"/>
      </w:pPr>
    </w:lvl>
    <w:lvl w:ilvl="3">
      <w:start w:val="1"/>
      <w:numFmt w:val="decimal"/>
      <w:pStyle w:val="Kop4"/>
      <w:lvlText w:val="%1.%2.%3.%4"/>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15EC3E2D"/>
    <w:multiLevelType w:val="hybridMultilevel"/>
    <w:tmpl w:val="2B1AC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2D49F8"/>
    <w:multiLevelType w:val="hybridMultilevel"/>
    <w:tmpl w:val="CA686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2A46DD"/>
    <w:multiLevelType w:val="hybridMultilevel"/>
    <w:tmpl w:val="ACB2AA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C185AEA"/>
    <w:multiLevelType w:val="multilevel"/>
    <w:tmpl w:val="26AAC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62B3B"/>
    <w:multiLevelType w:val="hybridMultilevel"/>
    <w:tmpl w:val="CB564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9D1F47"/>
    <w:multiLevelType w:val="hybridMultilevel"/>
    <w:tmpl w:val="015C8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AC2FCD"/>
    <w:multiLevelType w:val="hybridMultilevel"/>
    <w:tmpl w:val="EBCE0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B8497D"/>
    <w:multiLevelType w:val="hybridMultilevel"/>
    <w:tmpl w:val="01348F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0A756D"/>
    <w:multiLevelType w:val="hybridMultilevel"/>
    <w:tmpl w:val="83BE9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ED01B3"/>
    <w:multiLevelType w:val="hybridMultilevel"/>
    <w:tmpl w:val="18C45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27463B"/>
    <w:multiLevelType w:val="hybridMultilevel"/>
    <w:tmpl w:val="FCB2CD2C"/>
    <w:lvl w:ilvl="0" w:tplc="D6A03ED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22E5D3"/>
    <w:multiLevelType w:val="multilevel"/>
    <w:tmpl w:val="4D30657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436947E8"/>
    <w:multiLevelType w:val="hybridMultilevel"/>
    <w:tmpl w:val="CACED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E74991"/>
    <w:multiLevelType w:val="hybridMultilevel"/>
    <w:tmpl w:val="C0089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EC0BB6"/>
    <w:multiLevelType w:val="hybridMultilevel"/>
    <w:tmpl w:val="F66AE4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48A363D7"/>
    <w:multiLevelType w:val="hybridMultilevel"/>
    <w:tmpl w:val="1A964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724538"/>
    <w:multiLevelType w:val="hybridMultilevel"/>
    <w:tmpl w:val="7E52843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1183C5C"/>
    <w:multiLevelType w:val="hybridMultilevel"/>
    <w:tmpl w:val="BC301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6E403D"/>
    <w:multiLevelType w:val="hybridMultilevel"/>
    <w:tmpl w:val="41921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DC22A8"/>
    <w:multiLevelType w:val="hybridMultilevel"/>
    <w:tmpl w:val="B63E0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FE11E8"/>
    <w:multiLevelType w:val="hybridMultilevel"/>
    <w:tmpl w:val="214CA5B0"/>
    <w:lvl w:ilvl="0" w:tplc="CEE0259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CA9C17"/>
    <w:multiLevelType w:val="multilevel"/>
    <w:tmpl w:val="950DB37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5525422C"/>
    <w:multiLevelType w:val="hybridMultilevel"/>
    <w:tmpl w:val="C694B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567345"/>
    <w:multiLevelType w:val="multilevel"/>
    <w:tmpl w:val="BA80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972D20"/>
    <w:multiLevelType w:val="hybridMultilevel"/>
    <w:tmpl w:val="D8782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202973"/>
    <w:multiLevelType w:val="hybridMultilevel"/>
    <w:tmpl w:val="B7B06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D043F7F"/>
    <w:multiLevelType w:val="multilevel"/>
    <w:tmpl w:val="564E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DD5B82"/>
    <w:multiLevelType w:val="multilevel"/>
    <w:tmpl w:val="8BA0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1A39D3"/>
    <w:multiLevelType w:val="hybridMultilevel"/>
    <w:tmpl w:val="356255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B34ED8"/>
    <w:multiLevelType w:val="hybridMultilevel"/>
    <w:tmpl w:val="DAE4F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CBB1F5F"/>
    <w:multiLevelType w:val="hybridMultilevel"/>
    <w:tmpl w:val="5A889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E2F5D54"/>
    <w:multiLevelType w:val="hybridMultilevel"/>
    <w:tmpl w:val="548AA3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A22312"/>
    <w:multiLevelType w:val="hybridMultilevel"/>
    <w:tmpl w:val="20104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0B514D"/>
    <w:multiLevelType w:val="hybridMultilevel"/>
    <w:tmpl w:val="92A0A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7ADFED"/>
    <w:multiLevelType w:val="multilevel"/>
    <w:tmpl w:val="8EF0A123"/>
    <w:name w:val="Lijst kop zonder nummer"/>
    <w:lvl w:ilvl="0">
      <w:start w:val="1"/>
      <w:numFmt w:val="bullet"/>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3" w15:restartNumberingAfterBreak="0">
    <w:nsid w:val="755471D0"/>
    <w:multiLevelType w:val="hybridMultilevel"/>
    <w:tmpl w:val="EC482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D8540C"/>
    <w:multiLevelType w:val="hybridMultilevel"/>
    <w:tmpl w:val="F8847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5D439B"/>
    <w:multiLevelType w:val="multilevel"/>
    <w:tmpl w:val="83DC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303E0B"/>
    <w:multiLevelType w:val="multilevel"/>
    <w:tmpl w:val="F4F0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BD4F41"/>
    <w:multiLevelType w:val="hybridMultilevel"/>
    <w:tmpl w:val="775EB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BDB4C6E"/>
    <w:multiLevelType w:val="hybridMultilevel"/>
    <w:tmpl w:val="C47452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C3310DC"/>
    <w:multiLevelType w:val="hybridMultilevel"/>
    <w:tmpl w:val="3A1E1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E1122C5"/>
    <w:multiLevelType w:val="hybridMultilevel"/>
    <w:tmpl w:val="31563F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ED170EB"/>
    <w:multiLevelType w:val="hybridMultilevel"/>
    <w:tmpl w:val="861ECA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5670459">
    <w:abstractNumId w:val="19"/>
  </w:num>
  <w:num w:numId="2" w16cid:durableId="2025355345">
    <w:abstractNumId w:val="7"/>
  </w:num>
  <w:num w:numId="3" w16cid:durableId="1681007182">
    <w:abstractNumId w:val="0"/>
  </w:num>
  <w:num w:numId="4" w16cid:durableId="1355110264">
    <w:abstractNumId w:val="42"/>
  </w:num>
  <w:num w:numId="5" w16cid:durableId="1756515644">
    <w:abstractNumId w:val="29"/>
  </w:num>
  <w:num w:numId="6" w16cid:durableId="1826120012">
    <w:abstractNumId w:val="50"/>
  </w:num>
  <w:num w:numId="7" w16cid:durableId="1149206316">
    <w:abstractNumId w:val="51"/>
  </w:num>
  <w:num w:numId="8" w16cid:durableId="806043957">
    <w:abstractNumId w:val="22"/>
  </w:num>
  <w:num w:numId="9" w16cid:durableId="224416153">
    <w:abstractNumId w:val="4"/>
  </w:num>
  <w:num w:numId="10" w16cid:durableId="687029434">
    <w:abstractNumId w:val="36"/>
  </w:num>
  <w:num w:numId="11" w16cid:durableId="1615400032">
    <w:abstractNumId w:val="28"/>
  </w:num>
  <w:num w:numId="12" w16cid:durableId="1666588339">
    <w:abstractNumId w:val="48"/>
  </w:num>
  <w:num w:numId="13" w16cid:durableId="45298019">
    <w:abstractNumId w:val="32"/>
  </w:num>
  <w:num w:numId="14" w16cid:durableId="286543933">
    <w:abstractNumId w:val="41"/>
  </w:num>
  <w:num w:numId="15" w16cid:durableId="836772044">
    <w:abstractNumId w:val="35"/>
  </w:num>
  <w:num w:numId="16" w16cid:durableId="2138141482">
    <w:abstractNumId w:val="33"/>
  </w:num>
  <w:num w:numId="17" w16cid:durableId="562257798">
    <w:abstractNumId w:val="46"/>
  </w:num>
  <w:num w:numId="18" w16cid:durableId="1381441957">
    <w:abstractNumId w:val="47"/>
  </w:num>
  <w:num w:numId="19" w16cid:durableId="1048066987">
    <w:abstractNumId w:val="31"/>
  </w:num>
  <w:num w:numId="20" w16cid:durableId="484712618">
    <w:abstractNumId w:val="25"/>
  </w:num>
  <w:num w:numId="21" w16cid:durableId="1572620722">
    <w:abstractNumId w:val="34"/>
  </w:num>
  <w:num w:numId="22" w16cid:durableId="152841798">
    <w:abstractNumId w:val="43"/>
  </w:num>
  <w:num w:numId="23" w16cid:durableId="861699664">
    <w:abstractNumId w:val="45"/>
  </w:num>
  <w:num w:numId="24" w16cid:durableId="958144684">
    <w:abstractNumId w:val="5"/>
  </w:num>
  <w:num w:numId="25" w16cid:durableId="178398728">
    <w:abstractNumId w:val="6"/>
  </w:num>
  <w:num w:numId="26" w16cid:durableId="175269354">
    <w:abstractNumId w:val="8"/>
  </w:num>
  <w:num w:numId="27" w16cid:durableId="1708094056">
    <w:abstractNumId w:val="17"/>
  </w:num>
  <w:num w:numId="28" w16cid:durableId="416244288">
    <w:abstractNumId w:val="38"/>
  </w:num>
  <w:num w:numId="29" w16cid:durableId="67970540">
    <w:abstractNumId w:val="2"/>
  </w:num>
  <w:num w:numId="30" w16cid:durableId="686515973">
    <w:abstractNumId w:val="44"/>
  </w:num>
  <w:num w:numId="31" w16cid:durableId="938754153">
    <w:abstractNumId w:val="20"/>
  </w:num>
  <w:num w:numId="32" w16cid:durableId="1275820471">
    <w:abstractNumId w:val="21"/>
  </w:num>
  <w:num w:numId="33" w16cid:durableId="1772047316">
    <w:abstractNumId w:val="23"/>
  </w:num>
  <w:num w:numId="34" w16cid:durableId="337199056">
    <w:abstractNumId w:val="16"/>
  </w:num>
  <w:num w:numId="35" w16cid:durableId="1508785120">
    <w:abstractNumId w:val="13"/>
  </w:num>
  <w:num w:numId="36" w16cid:durableId="1044212045">
    <w:abstractNumId w:val="40"/>
  </w:num>
  <w:num w:numId="37" w16cid:durableId="1886288842">
    <w:abstractNumId w:val="15"/>
  </w:num>
  <w:num w:numId="38" w16cid:durableId="1633901154">
    <w:abstractNumId w:val="14"/>
  </w:num>
  <w:num w:numId="39" w16cid:durableId="535853014">
    <w:abstractNumId w:val="9"/>
  </w:num>
  <w:num w:numId="40" w16cid:durableId="1464035197">
    <w:abstractNumId w:val="37"/>
  </w:num>
  <w:num w:numId="41" w16cid:durableId="1454641854">
    <w:abstractNumId w:val="12"/>
  </w:num>
  <w:num w:numId="42" w16cid:durableId="963772936">
    <w:abstractNumId w:val="3"/>
  </w:num>
  <w:num w:numId="43" w16cid:durableId="503865225">
    <w:abstractNumId w:val="30"/>
  </w:num>
  <w:num w:numId="44" w16cid:durableId="2106029749">
    <w:abstractNumId w:val="26"/>
  </w:num>
  <w:num w:numId="45" w16cid:durableId="1309552720">
    <w:abstractNumId w:val="10"/>
  </w:num>
  <w:num w:numId="46" w16cid:durableId="21981974">
    <w:abstractNumId w:val="49"/>
  </w:num>
  <w:num w:numId="47" w16cid:durableId="1708287998">
    <w:abstractNumId w:val="24"/>
  </w:num>
  <w:num w:numId="48" w16cid:durableId="1522208994">
    <w:abstractNumId w:val="39"/>
  </w:num>
  <w:num w:numId="49" w16cid:durableId="927426305">
    <w:abstractNumId w:val="18"/>
  </w:num>
  <w:num w:numId="50" w16cid:durableId="1165366346">
    <w:abstractNumId w:val="11"/>
  </w:num>
  <w:num w:numId="51" w16cid:durableId="1495219115">
    <w:abstractNumId w:val="27"/>
  </w:num>
  <w:num w:numId="52" w16cid:durableId="1232733136">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32"/>
    <w:rsid w:val="0000170C"/>
    <w:rsid w:val="00007281"/>
    <w:rsid w:val="00007CA6"/>
    <w:rsid w:val="00015F5E"/>
    <w:rsid w:val="000201E2"/>
    <w:rsid w:val="00021CCF"/>
    <w:rsid w:val="000238DA"/>
    <w:rsid w:val="00024AA1"/>
    <w:rsid w:val="000502C1"/>
    <w:rsid w:val="000527DD"/>
    <w:rsid w:val="00053786"/>
    <w:rsid w:val="00054DEF"/>
    <w:rsid w:val="000576F8"/>
    <w:rsid w:val="00061727"/>
    <w:rsid w:val="00061BF5"/>
    <w:rsid w:val="0006379F"/>
    <w:rsid w:val="000669CA"/>
    <w:rsid w:val="0007344E"/>
    <w:rsid w:val="0007674B"/>
    <w:rsid w:val="0008275E"/>
    <w:rsid w:val="00091D0F"/>
    <w:rsid w:val="00092AA8"/>
    <w:rsid w:val="00095F10"/>
    <w:rsid w:val="000A1AB7"/>
    <w:rsid w:val="000A41FB"/>
    <w:rsid w:val="000A75A2"/>
    <w:rsid w:val="000A78A9"/>
    <w:rsid w:val="000B08FB"/>
    <w:rsid w:val="000B0955"/>
    <w:rsid w:val="000D36A2"/>
    <w:rsid w:val="000D5D5B"/>
    <w:rsid w:val="000D70D6"/>
    <w:rsid w:val="000D75B9"/>
    <w:rsid w:val="000D7F8F"/>
    <w:rsid w:val="000E1DC8"/>
    <w:rsid w:val="000E2603"/>
    <w:rsid w:val="000F455C"/>
    <w:rsid w:val="000F503B"/>
    <w:rsid w:val="000F5D84"/>
    <w:rsid w:val="000F5F9D"/>
    <w:rsid w:val="00101201"/>
    <w:rsid w:val="00104FD2"/>
    <w:rsid w:val="0010561A"/>
    <w:rsid w:val="001067D9"/>
    <w:rsid w:val="001068DF"/>
    <w:rsid w:val="00107AA4"/>
    <w:rsid w:val="00110F9F"/>
    <w:rsid w:val="00111645"/>
    <w:rsid w:val="00115E52"/>
    <w:rsid w:val="00117BF6"/>
    <w:rsid w:val="001309DC"/>
    <w:rsid w:val="00134659"/>
    <w:rsid w:val="00137B74"/>
    <w:rsid w:val="00140137"/>
    <w:rsid w:val="001427D1"/>
    <w:rsid w:val="00144584"/>
    <w:rsid w:val="00147A05"/>
    <w:rsid w:val="00163EDE"/>
    <w:rsid w:val="001725EF"/>
    <w:rsid w:val="00175A9F"/>
    <w:rsid w:val="001812BA"/>
    <w:rsid w:val="001908C4"/>
    <w:rsid w:val="0019130A"/>
    <w:rsid w:val="0019136E"/>
    <w:rsid w:val="001943D8"/>
    <w:rsid w:val="00194428"/>
    <w:rsid w:val="0019581E"/>
    <w:rsid w:val="001A1B74"/>
    <w:rsid w:val="001B2948"/>
    <w:rsid w:val="001B56D2"/>
    <w:rsid w:val="001C4D8B"/>
    <w:rsid w:val="001D3630"/>
    <w:rsid w:val="001D71AF"/>
    <w:rsid w:val="001E1219"/>
    <w:rsid w:val="001E34F8"/>
    <w:rsid w:val="001E7E10"/>
    <w:rsid w:val="001F11DF"/>
    <w:rsid w:val="00202AE5"/>
    <w:rsid w:val="002047C4"/>
    <w:rsid w:val="0020682F"/>
    <w:rsid w:val="00207C95"/>
    <w:rsid w:val="00211D61"/>
    <w:rsid w:val="002160C0"/>
    <w:rsid w:val="00223A2D"/>
    <w:rsid w:val="002258E6"/>
    <w:rsid w:val="002317F3"/>
    <w:rsid w:val="002346B8"/>
    <w:rsid w:val="002350CF"/>
    <w:rsid w:val="00236E4A"/>
    <w:rsid w:val="0023700B"/>
    <w:rsid w:val="00237833"/>
    <w:rsid w:val="00240EE0"/>
    <w:rsid w:val="002421C4"/>
    <w:rsid w:val="002543B0"/>
    <w:rsid w:val="00254DD0"/>
    <w:rsid w:val="002565C6"/>
    <w:rsid w:val="00256D57"/>
    <w:rsid w:val="0026013E"/>
    <w:rsid w:val="00262953"/>
    <w:rsid w:val="0027040A"/>
    <w:rsid w:val="0027519B"/>
    <w:rsid w:val="0027778D"/>
    <w:rsid w:val="0028068D"/>
    <w:rsid w:val="00282783"/>
    <w:rsid w:val="00297A1F"/>
    <w:rsid w:val="002A0753"/>
    <w:rsid w:val="002A42ED"/>
    <w:rsid w:val="002B1FD0"/>
    <w:rsid w:val="002B297D"/>
    <w:rsid w:val="002B42CC"/>
    <w:rsid w:val="002B591A"/>
    <w:rsid w:val="002C3712"/>
    <w:rsid w:val="002C4000"/>
    <w:rsid w:val="002E00BA"/>
    <w:rsid w:val="002E18D3"/>
    <w:rsid w:val="002E34DF"/>
    <w:rsid w:val="002E56DE"/>
    <w:rsid w:val="002E76C7"/>
    <w:rsid w:val="002F195D"/>
    <w:rsid w:val="002F7ADC"/>
    <w:rsid w:val="00300558"/>
    <w:rsid w:val="00301868"/>
    <w:rsid w:val="0030393B"/>
    <w:rsid w:val="0031270F"/>
    <w:rsid w:val="003148B1"/>
    <w:rsid w:val="00316CD4"/>
    <w:rsid w:val="0032289F"/>
    <w:rsid w:val="00324DAA"/>
    <w:rsid w:val="00332083"/>
    <w:rsid w:val="003424AA"/>
    <w:rsid w:val="00350740"/>
    <w:rsid w:val="00350FED"/>
    <w:rsid w:val="003543D1"/>
    <w:rsid w:val="00354A3B"/>
    <w:rsid w:val="00354A49"/>
    <w:rsid w:val="00356210"/>
    <w:rsid w:val="00357785"/>
    <w:rsid w:val="003626B0"/>
    <w:rsid w:val="00371C70"/>
    <w:rsid w:val="00371E29"/>
    <w:rsid w:val="003745BA"/>
    <w:rsid w:val="0038134D"/>
    <w:rsid w:val="003879D2"/>
    <w:rsid w:val="003906C1"/>
    <w:rsid w:val="00391AE9"/>
    <w:rsid w:val="00392F3B"/>
    <w:rsid w:val="003A1C4E"/>
    <w:rsid w:val="003A44CF"/>
    <w:rsid w:val="003B1757"/>
    <w:rsid w:val="003C1438"/>
    <w:rsid w:val="003C5447"/>
    <w:rsid w:val="003D2BAD"/>
    <w:rsid w:val="003D3ABC"/>
    <w:rsid w:val="003D683F"/>
    <w:rsid w:val="003E4FBE"/>
    <w:rsid w:val="003E6EEA"/>
    <w:rsid w:val="003E70DF"/>
    <w:rsid w:val="003E76B2"/>
    <w:rsid w:val="003F25FB"/>
    <w:rsid w:val="00405812"/>
    <w:rsid w:val="00405B61"/>
    <w:rsid w:val="00411F58"/>
    <w:rsid w:val="00413A73"/>
    <w:rsid w:val="004217A8"/>
    <w:rsid w:val="00421C96"/>
    <w:rsid w:val="00422A15"/>
    <w:rsid w:val="00422B46"/>
    <w:rsid w:val="00434F26"/>
    <w:rsid w:val="004409B9"/>
    <w:rsid w:val="00441E40"/>
    <w:rsid w:val="00445854"/>
    <w:rsid w:val="00450F95"/>
    <w:rsid w:val="00461E9B"/>
    <w:rsid w:val="004639D8"/>
    <w:rsid w:val="004645C4"/>
    <w:rsid w:val="00465010"/>
    <w:rsid w:val="0046688B"/>
    <w:rsid w:val="00470ADC"/>
    <w:rsid w:val="0047160C"/>
    <w:rsid w:val="0047375E"/>
    <w:rsid w:val="00476446"/>
    <w:rsid w:val="00480246"/>
    <w:rsid w:val="00481C82"/>
    <w:rsid w:val="0048497C"/>
    <w:rsid w:val="00486BBD"/>
    <w:rsid w:val="004A497B"/>
    <w:rsid w:val="004A666F"/>
    <w:rsid w:val="004A710E"/>
    <w:rsid w:val="004B7831"/>
    <w:rsid w:val="004C0F6E"/>
    <w:rsid w:val="004C33A7"/>
    <w:rsid w:val="004C7E01"/>
    <w:rsid w:val="004D7418"/>
    <w:rsid w:val="004D7D6E"/>
    <w:rsid w:val="004E57F1"/>
    <w:rsid w:val="004F0FE2"/>
    <w:rsid w:val="0050006C"/>
    <w:rsid w:val="00501D4D"/>
    <w:rsid w:val="00511A94"/>
    <w:rsid w:val="005134A3"/>
    <w:rsid w:val="00515643"/>
    <w:rsid w:val="00520340"/>
    <w:rsid w:val="00521EF1"/>
    <w:rsid w:val="005319F3"/>
    <w:rsid w:val="00536000"/>
    <w:rsid w:val="0054033A"/>
    <w:rsid w:val="00541BCD"/>
    <w:rsid w:val="00541EA4"/>
    <w:rsid w:val="00543DF2"/>
    <w:rsid w:val="00544700"/>
    <w:rsid w:val="00544D50"/>
    <w:rsid w:val="00552A37"/>
    <w:rsid w:val="00553EFA"/>
    <w:rsid w:val="00570D44"/>
    <w:rsid w:val="00575D40"/>
    <w:rsid w:val="00575F4A"/>
    <w:rsid w:val="0058108E"/>
    <w:rsid w:val="00582497"/>
    <w:rsid w:val="005937A0"/>
    <w:rsid w:val="005966FA"/>
    <w:rsid w:val="005A3D28"/>
    <w:rsid w:val="005A7603"/>
    <w:rsid w:val="005B66AE"/>
    <w:rsid w:val="005C217F"/>
    <w:rsid w:val="005C435C"/>
    <w:rsid w:val="005C6B3F"/>
    <w:rsid w:val="005D78CB"/>
    <w:rsid w:val="005D7919"/>
    <w:rsid w:val="005E2E8A"/>
    <w:rsid w:val="005E3943"/>
    <w:rsid w:val="005F063A"/>
    <w:rsid w:val="005F44DA"/>
    <w:rsid w:val="005F5FC7"/>
    <w:rsid w:val="005F6324"/>
    <w:rsid w:val="00600FE9"/>
    <w:rsid w:val="006043C0"/>
    <w:rsid w:val="00605A95"/>
    <w:rsid w:val="0060736A"/>
    <w:rsid w:val="006170CE"/>
    <w:rsid w:val="00631B56"/>
    <w:rsid w:val="006328BE"/>
    <w:rsid w:val="0063381F"/>
    <w:rsid w:val="00636B94"/>
    <w:rsid w:val="00637B02"/>
    <w:rsid w:val="00640F7A"/>
    <w:rsid w:val="006416D4"/>
    <w:rsid w:val="00651757"/>
    <w:rsid w:val="00654016"/>
    <w:rsid w:val="006613D5"/>
    <w:rsid w:val="00664C89"/>
    <w:rsid w:val="00666DCA"/>
    <w:rsid w:val="006715C9"/>
    <w:rsid w:val="0067338C"/>
    <w:rsid w:val="0067420B"/>
    <w:rsid w:val="00675051"/>
    <w:rsid w:val="006753E1"/>
    <w:rsid w:val="00682F4B"/>
    <w:rsid w:val="00684B24"/>
    <w:rsid w:val="006861D5"/>
    <w:rsid w:val="00690DAD"/>
    <w:rsid w:val="00690FB4"/>
    <w:rsid w:val="00694C4C"/>
    <w:rsid w:val="006A173C"/>
    <w:rsid w:val="006A289E"/>
    <w:rsid w:val="006A3F81"/>
    <w:rsid w:val="006A44DB"/>
    <w:rsid w:val="006A7281"/>
    <w:rsid w:val="006B0BAD"/>
    <w:rsid w:val="006B10E8"/>
    <w:rsid w:val="006B20FF"/>
    <w:rsid w:val="006B2A1E"/>
    <w:rsid w:val="006B6FBE"/>
    <w:rsid w:val="006C2F5F"/>
    <w:rsid w:val="006C6319"/>
    <w:rsid w:val="006D264D"/>
    <w:rsid w:val="006D48E5"/>
    <w:rsid w:val="006D79D7"/>
    <w:rsid w:val="006E3DBD"/>
    <w:rsid w:val="006F02BE"/>
    <w:rsid w:val="006F1756"/>
    <w:rsid w:val="006F477A"/>
    <w:rsid w:val="007013EA"/>
    <w:rsid w:val="007049D3"/>
    <w:rsid w:val="00705695"/>
    <w:rsid w:val="00713E56"/>
    <w:rsid w:val="00717792"/>
    <w:rsid w:val="007216FC"/>
    <w:rsid w:val="0072585A"/>
    <w:rsid w:val="0072737F"/>
    <w:rsid w:val="007278F1"/>
    <w:rsid w:val="007317A2"/>
    <w:rsid w:val="00735950"/>
    <w:rsid w:val="00737A8C"/>
    <w:rsid w:val="00740AC0"/>
    <w:rsid w:val="007410CA"/>
    <w:rsid w:val="00765D3B"/>
    <w:rsid w:val="00766900"/>
    <w:rsid w:val="00771E6F"/>
    <w:rsid w:val="00774467"/>
    <w:rsid w:val="00775DB6"/>
    <w:rsid w:val="00776E15"/>
    <w:rsid w:val="00777A8D"/>
    <w:rsid w:val="00781FEA"/>
    <w:rsid w:val="0078279B"/>
    <w:rsid w:val="007837A9"/>
    <w:rsid w:val="007867F2"/>
    <w:rsid w:val="00791946"/>
    <w:rsid w:val="00795AE3"/>
    <w:rsid w:val="00796DE9"/>
    <w:rsid w:val="007A5506"/>
    <w:rsid w:val="007A5EE2"/>
    <w:rsid w:val="007A6DD1"/>
    <w:rsid w:val="007B1871"/>
    <w:rsid w:val="007B199A"/>
    <w:rsid w:val="007B409F"/>
    <w:rsid w:val="007B6E51"/>
    <w:rsid w:val="007C7219"/>
    <w:rsid w:val="007D1C17"/>
    <w:rsid w:val="007D2767"/>
    <w:rsid w:val="007D736D"/>
    <w:rsid w:val="007E524A"/>
    <w:rsid w:val="007F24D2"/>
    <w:rsid w:val="007F2E38"/>
    <w:rsid w:val="007F4E8E"/>
    <w:rsid w:val="007F629B"/>
    <w:rsid w:val="00815267"/>
    <w:rsid w:val="00820EDE"/>
    <w:rsid w:val="008216FD"/>
    <w:rsid w:val="00827849"/>
    <w:rsid w:val="00834DB5"/>
    <w:rsid w:val="0083568C"/>
    <w:rsid w:val="00835CCB"/>
    <w:rsid w:val="008406C8"/>
    <w:rsid w:val="00846FCD"/>
    <w:rsid w:val="00847816"/>
    <w:rsid w:val="00847D8A"/>
    <w:rsid w:val="0085249B"/>
    <w:rsid w:val="00853F81"/>
    <w:rsid w:val="00857B4B"/>
    <w:rsid w:val="00866264"/>
    <w:rsid w:val="00867C05"/>
    <w:rsid w:val="00867EFC"/>
    <w:rsid w:val="00872A4C"/>
    <w:rsid w:val="00873F7C"/>
    <w:rsid w:val="00873FAE"/>
    <w:rsid w:val="008757B4"/>
    <w:rsid w:val="0088102B"/>
    <w:rsid w:val="00882544"/>
    <w:rsid w:val="008872C7"/>
    <w:rsid w:val="008877DB"/>
    <w:rsid w:val="00893E9D"/>
    <w:rsid w:val="00895956"/>
    <w:rsid w:val="008A17C4"/>
    <w:rsid w:val="008A377D"/>
    <w:rsid w:val="008A7AE1"/>
    <w:rsid w:val="008B67D5"/>
    <w:rsid w:val="008B6A6A"/>
    <w:rsid w:val="008B75CF"/>
    <w:rsid w:val="008C3B72"/>
    <w:rsid w:val="008C4BD8"/>
    <w:rsid w:val="008C58CA"/>
    <w:rsid w:val="008C7641"/>
    <w:rsid w:val="008D7E8E"/>
    <w:rsid w:val="008E194A"/>
    <w:rsid w:val="008F1AA6"/>
    <w:rsid w:val="008F23F4"/>
    <w:rsid w:val="008F6480"/>
    <w:rsid w:val="008F72B3"/>
    <w:rsid w:val="0090068E"/>
    <w:rsid w:val="009017B1"/>
    <w:rsid w:val="00904EB7"/>
    <w:rsid w:val="00912F9E"/>
    <w:rsid w:val="00913A96"/>
    <w:rsid w:val="00914FC5"/>
    <w:rsid w:val="00920BE8"/>
    <w:rsid w:val="009227E2"/>
    <w:rsid w:val="0092468A"/>
    <w:rsid w:val="00927251"/>
    <w:rsid w:val="00932669"/>
    <w:rsid w:val="0093436B"/>
    <w:rsid w:val="009344F1"/>
    <w:rsid w:val="009431FD"/>
    <w:rsid w:val="009524D7"/>
    <w:rsid w:val="009526A3"/>
    <w:rsid w:val="00960F75"/>
    <w:rsid w:val="00970BF7"/>
    <w:rsid w:val="00973568"/>
    <w:rsid w:val="009761D0"/>
    <w:rsid w:val="00980E23"/>
    <w:rsid w:val="009811FC"/>
    <w:rsid w:val="009861C9"/>
    <w:rsid w:val="0099426D"/>
    <w:rsid w:val="00994828"/>
    <w:rsid w:val="009A029D"/>
    <w:rsid w:val="009A08D7"/>
    <w:rsid w:val="009A5853"/>
    <w:rsid w:val="009A65DC"/>
    <w:rsid w:val="009B2C36"/>
    <w:rsid w:val="009C0B3A"/>
    <w:rsid w:val="009C1A0B"/>
    <w:rsid w:val="009C3C51"/>
    <w:rsid w:val="009C5CD2"/>
    <w:rsid w:val="009E10AD"/>
    <w:rsid w:val="009E2E09"/>
    <w:rsid w:val="009E3A1F"/>
    <w:rsid w:val="009E3A48"/>
    <w:rsid w:val="009E3CCD"/>
    <w:rsid w:val="009E7131"/>
    <w:rsid w:val="009F25A9"/>
    <w:rsid w:val="00A05AEC"/>
    <w:rsid w:val="00A10A1F"/>
    <w:rsid w:val="00A10C87"/>
    <w:rsid w:val="00A25ECE"/>
    <w:rsid w:val="00A26CDC"/>
    <w:rsid w:val="00A26E03"/>
    <w:rsid w:val="00A26F5E"/>
    <w:rsid w:val="00A301ED"/>
    <w:rsid w:val="00A319CE"/>
    <w:rsid w:val="00A35CED"/>
    <w:rsid w:val="00A4636E"/>
    <w:rsid w:val="00A4637D"/>
    <w:rsid w:val="00A507F3"/>
    <w:rsid w:val="00A560EC"/>
    <w:rsid w:val="00A567A1"/>
    <w:rsid w:val="00A56A31"/>
    <w:rsid w:val="00A62ACD"/>
    <w:rsid w:val="00A64DC4"/>
    <w:rsid w:val="00A7034F"/>
    <w:rsid w:val="00A73821"/>
    <w:rsid w:val="00A80C76"/>
    <w:rsid w:val="00A81EB8"/>
    <w:rsid w:val="00A84A8B"/>
    <w:rsid w:val="00A86EF7"/>
    <w:rsid w:val="00A90779"/>
    <w:rsid w:val="00A90D81"/>
    <w:rsid w:val="00AA1093"/>
    <w:rsid w:val="00AB16F6"/>
    <w:rsid w:val="00AB339B"/>
    <w:rsid w:val="00AB5C88"/>
    <w:rsid w:val="00AC261F"/>
    <w:rsid w:val="00AC5114"/>
    <w:rsid w:val="00AD34D0"/>
    <w:rsid w:val="00AD3A32"/>
    <w:rsid w:val="00AD5FB7"/>
    <w:rsid w:val="00AD675D"/>
    <w:rsid w:val="00AD67BC"/>
    <w:rsid w:val="00AE1008"/>
    <w:rsid w:val="00AE7692"/>
    <w:rsid w:val="00B054BA"/>
    <w:rsid w:val="00B058CB"/>
    <w:rsid w:val="00B067FD"/>
    <w:rsid w:val="00B06C99"/>
    <w:rsid w:val="00B10B6E"/>
    <w:rsid w:val="00B1778E"/>
    <w:rsid w:val="00B2346B"/>
    <w:rsid w:val="00B23DE0"/>
    <w:rsid w:val="00B34211"/>
    <w:rsid w:val="00B35C12"/>
    <w:rsid w:val="00B377A0"/>
    <w:rsid w:val="00B41221"/>
    <w:rsid w:val="00B42F61"/>
    <w:rsid w:val="00B45159"/>
    <w:rsid w:val="00B45962"/>
    <w:rsid w:val="00B4598F"/>
    <w:rsid w:val="00B50E66"/>
    <w:rsid w:val="00B57F89"/>
    <w:rsid w:val="00B61D55"/>
    <w:rsid w:val="00B620D2"/>
    <w:rsid w:val="00B7202E"/>
    <w:rsid w:val="00B72424"/>
    <w:rsid w:val="00B738C8"/>
    <w:rsid w:val="00B76833"/>
    <w:rsid w:val="00B85839"/>
    <w:rsid w:val="00B86E59"/>
    <w:rsid w:val="00B87684"/>
    <w:rsid w:val="00B92340"/>
    <w:rsid w:val="00BA0987"/>
    <w:rsid w:val="00BA118C"/>
    <w:rsid w:val="00BA1B10"/>
    <w:rsid w:val="00BA23ED"/>
    <w:rsid w:val="00BA7E57"/>
    <w:rsid w:val="00BB488E"/>
    <w:rsid w:val="00BC17A8"/>
    <w:rsid w:val="00BC253E"/>
    <w:rsid w:val="00BC25C0"/>
    <w:rsid w:val="00BC5641"/>
    <w:rsid w:val="00BC748D"/>
    <w:rsid w:val="00BD1F57"/>
    <w:rsid w:val="00BD1FBB"/>
    <w:rsid w:val="00BE50D7"/>
    <w:rsid w:val="00BE6C03"/>
    <w:rsid w:val="00BF1CCE"/>
    <w:rsid w:val="00BF378C"/>
    <w:rsid w:val="00BF470E"/>
    <w:rsid w:val="00C01495"/>
    <w:rsid w:val="00C131A9"/>
    <w:rsid w:val="00C14FFD"/>
    <w:rsid w:val="00C1523D"/>
    <w:rsid w:val="00C2093A"/>
    <w:rsid w:val="00C2124D"/>
    <w:rsid w:val="00C2202E"/>
    <w:rsid w:val="00C223FC"/>
    <w:rsid w:val="00C2330D"/>
    <w:rsid w:val="00C26EC9"/>
    <w:rsid w:val="00C311B9"/>
    <w:rsid w:val="00C357AB"/>
    <w:rsid w:val="00C36222"/>
    <w:rsid w:val="00C458B6"/>
    <w:rsid w:val="00C52798"/>
    <w:rsid w:val="00C56C8C"/>
    <w:rsid w:val="00C63CA7"/>
    <w:rsid w:val="00C6598D"/>
    <w:rsid w:val="00C76871"/>
    <w:rsid w:val="00C80E06"/>
    <w:rsid w:val="00C829E2"/>
    <w:rsid w:val="00C95087"/>
    <w:rsid w:val="00C95F12"/>
    <w:rsid w:val="00CA0907"/>
    <w:rsid w:val="00CA758E"/>
    <w:rsid w:val="00CB1F5A"/>
    <w:rsid w:val="00CB39C3"/>
    <w:rsid w:val="00CB4059"/>
    <w:rsid w:val="00CB49C5"/>
    <w:rsid w:val="00CD3577"/>
    <w:rsid w:val="00CD5D92"/>
    <w:rsid w:val="00CD62EC"/>
    <w:rsid w:val="00CD64D6"/>
    <w:rsid w:val="00CE01EB"/>
    <w:rsid w:val="00CE1BD7"/>
    <w:rsid w:val="00CE2C41"/>
    <w:rsid w:val="00CE34F2"/>
    <w:rsid w:val="00CE5063"/>
    <w:rsid w:val="00CE74B7"/>
    <w:rsid w:val="00CF001C"/>
    <w:rsid w:val="00CF1ABF"/>
    <w:rsid w:val="00CF25BD"/>
    <w:rsid w:val="00D0574F"/>
    <w:rsid w:val="00D10746"/>
    <w:rsid w:val="00D14AF3"/>
    <w:rsid w:val="00D15216"/>
    <w:rsid w:val="00D213A0"/>
    <w:rsid w:val="00D23DE8"/>
    <w:rsid w:val="00D25451"/>
    <w:rsid w:val="00D30164"/>
    <w:rsid w:val="00D37868"/>
    <w:rsid w:val="00D40446"/>
    <w:rsid w:val="00D405AA"/>
    <w:rsid w:val="00D4260C"/>
    <w:rsid w:val="00D43C05"/>
    <w:rsid w:val="00D502F1"/>
    <w:rsid w:val="00D51B39"/>
    <w:rsid w:val="00D6070F"/>
    <w:rsid w:val="00D61C3A"/>
    <w:rsid w:val="00D645A7"/>
    <w:rsid w:val="00D65947"/>
    <w:rsid w:val="00D7705A"/>
    <w:rsid w:val="00D81373"/>
    <w:rsid w:val="00D82236"/>
    <w:rsid w:val="00D9160F"/>
    <w:rsid w:val="00D918BE"/>
    <w:rsid w:val="00DA13B6"/>
    <w:rsid w:val="00DA2E79"/>
    <w:rsid w:val="00DA2EB4"/>
    <w:rsid w:val="00DA3655"/>
    <w:rsid w:val="00DB045A"/>
    <w:rsid w:val="00DB20CA"/>
    <w:rsid w:val="00DB3406"/>
    <w:rsid w:val="00DB7F4D"/>
    <w:rsid w:val="00DC01BE"/>
    <w:rsid w:val="00DC0C4E"/>
    <w:rsid w:val="00DD7440"/>
    <w:rsid w:val="00DE7A1A"/>
    <w:rsid w:val="00DF407A"/>
    <w:rsid w:val="00DF4406"/>
    <w:rsid w:val="00DF52E8"/>
    <w:rsid w:val="00E034D9"/>
    <w:rsid w:val="00E0390C"/>
    <w:rsid w:val="00E11B7E"/>
    <w:rsid w:val="00E12347"/>
    <w:rsid w:val="00E151EB"/>
    <w:rsid w:val="00E152E3"/>
    <w:rsid w:val="00E1619F"/>
    <w:rsid w:val="00E16E9B"/>
    <w:rsid w:val="00E1725E"/>
    <w:rsid w:val="00E24A87"/>
    <w:rsid w:val="00E328EB"/>
    <w:rsid w:val="00E355BD"/>
    <w:rsid w:val="00E36749"/>
    <w:rsid w:val="00E41DBB"/>
    <w:rsid w:val="00E436B4"/>
    <w:rsid w:val="00E43E4A"/>
    <w:rsid w:val="00E46E7F"/>
    <w:rsid w:val="00E55D2E"/>
    <w:rsid w:val="00E57195"/>
    <w:rsid w:val="00E60F38"/>
    <w:rsid w:val="00E61467"/>
    <w:rsid w:val="00E62718"/>
    <w:rsid w:val="00E63741"/>
    <w:rsid w:val="00E642FC"/>
    <w:rsid w:val="00E673DB"/>
    <w:rsid w:val="00E82613"/>
    <w:rsid w:val="00E8356F"/>
    <w:rsid w:val="00EA173F"/>
    <w:rsid w:val="00EA1F2F"/>
    <w:rsid w:val="00EA2C3E"/>
    <w:rsid w:val="00EA7A4B"/>
    <w:rsid w:val="00EA7F2B"/>
    <w:rsid w:val="00EB4148"/>
    <w:rsid w:val="00EB4E40"/>
    <w:rsid w:val="00EC56F8"/>
    <w:rsid w:val="00EC71C6"/>
    <w:rsid w:val="00EC76EB"/>
    <w:rsid w:val="00EC795F"/>
    <w:rsid w:val="00ED09CC"/>
    <w:rsid w:val="00ED2451"/>
    <w:rsid w:val="00ED4E4A"/>
    <w:rsid w:val="00ED53C2"/>
    <w:rsid w:val="00EE0466"/>
    <w:rsid w:val="00EE0472"/>
    <w:rsid w:val="00EE2A9B"/>
    <w:rsid w:val="00EE606A"/>
    <w:rsid w:val="00EF464E"/>
    <w:rsid w:val="00EF605B"/>
    <w:rsid w:val="00F03E67"/>
    <w:rsid w:val="00F07120"/>
    <w:rsid w:val="00F10668"/>
    <w:rsid w:val="00F13D71"/>
    <w:rsid w:val="00F2505F"/>
    <w:rsid w:val="00F25D07"/>
    <w:rsid w:val="00F27A76"/>
    <w:rsid w:val="00F349F1"/>
    <w:rsid w:val="00F35F01"/>
    <w:rsid w:val="00F37B93"/>
    <w:rsid w:val="00F4357B"/>
    <w:rsid w:val="00F43AE3"/>
    <w:rsid w:val="00F5023A"/>
    <w:rsid w:val="00F56551"/>
    <w:rsid w:val="00F6051D"/>
    <w:rsid w:val="00F63FFA"/>
    <w:rsid w:val="00F72737"/>
    <w:rsid w:val="00F75B7A"/>
    <w:rsid w:val="00F8213F"/>
    <w:rsid w:val="00F822CE"/>
    <w:rsid w:val="00F840AD"/>
    <w:rsid w:val="00F93D99"/>
    <w:rsid w:val="00F97EB1"/>
    <w:rsid w:val="00FA26AA"/>
    <w:rsid w:val="00FA5D8D"/>
    <w:rsid w:val="00FA69C5"/>
    <w:rsid w:val="00FB06AE"/>
    <w:rsid w:val="00FB440C"/>
    <w:rsid w:val="00FB7C7F"/>
    <w:rsid w:val="00FC1B25"/>
    <w:rsid w:val="00FC7B02"/>
    <w:rsid w:val="00FD3FF5"/>
    <w:rsid w:val="00FD5802"/>
    <w:rsid w:val="00FE3126"/>
    <w:rsid w:val="00FE72C6"/>
    <w:rsid w:val="00FF29D3"/>
    <w:rsid w:val="00FF3304"/>
    <w:rsid w:val="00FF366C"/>
    <w:rsid w:val="00FF5C80"/>
    <w:rsid w:val="00FF70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27EF0"/>
  <w15:docId w15:val="{8BE95021-1A44-41E8-8AA9-C968F508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pPr>
      <w:spacing w:line="240" w:lineRule="exact"/>
    </w:pPr>
    <w:rPr>
      <w:rFonts w:ascii="Verdana" w:hAnsi="Verdana"/>
      <w:color w:val="000000"/>
      <w:sz w:val="18"/>
      <w:szCs w:val="18"/>
    </w:rPr>
  </w:style>
  <w:style w:type="paragraph" w:styleId="Kop1">
    <w:name w:val="heading 1"/>
    <w:basedOn w:val="Standaard"/>
    <w:next w:val="Standaard"/>
    <w:link w:val="Kop1Char"/>
    <w:qFormat/>
    <w:pPr>
      <w:pageBreakBefore/>
      <w:numPr>
        <w:numId w:val="2"/>
      </w:numPr>
      <w:tabs>
        <w:tab w:val="left" w:pos="0"/>
      </w:tabs>
      <w:spacing w:after="720" w:line="300" w:lineRule="exact"/>
      <w:ind w:left="-1120"/>
      <w:outlineLvl w:val="0"/>
    </w:pPr>
    <w:rPr>
      <w:sz w:val="24"/>
      <w:szCs w:val="24"/>
    </w:rPr>
  </w:style>
  <w:style w:type="paragraph" w:styleId="Kop2">
    <w:name w:val="heading 2"/>
    <w:basedOn w:val="Standaard"/>
    <w:next w:val="Standaard"/>
    <w:link w:val="Kop2Char"/>
    <w:uiPriority w:val="1"/>
    <w:qFormat/>
    <w:pPr>
      <w:numPr>
        <w:ilvl w:val="1"/>
        <w:numId w:val="2"/>
      </w:numPr>
      <w:tabs>
        <w:tab w:val="left" w:pos="0"/>
      </w:tabs>
      <w:spacing w:before="240"/>
      <w:ind w:left="-1120"/>
      <w:outlineLvl w:val="1"/>
    </w:pPr>
    <w:rPr>
      <w:b/>
    </w:rPr>
  </w:style>
  <w:style w:type="paragraph" w:styleId="Kop3">
    <w:name w:val="heading 3"/>
    <w:basedOn w:val="Standaard"/>
    <w:next w:val="Standaard"/>
    <w:uiPriority w:val="2"/>
    <w:qFormat/>
    <w:pPr>
      <w:numPr>
        <w:ilvl w:val="2"/>
        <w:numId w:val="2"/>
      </w:numPr>
      <w:tabs>
        <w:tab w:val="left" w:pos="0"/>
      </w:tabs>
      <w:spacing w:before="240"/>
      <w:ind w:left="-1120"/>
      <w:outlineLvl w:val="2"/>
    </w:pPr>
    <w:rPr>
      <w:i/>
    </w:rPr>
  </w:style>
  <w:style w:type="paragraph" w:styleId="Kop4">
    <w:name w:val="heading 4"/>
    <w:basedOn w:val="Standaard"/>
    <w:next w:val="Standaard"/>
    <w:uiPriority w:val="3"/>
    <w:qFormat/>
    <w:pPr>
      <w:numPr>
        <w:ilvl w:val="3"/>
        <w:numId w:val="2"/>
      </w:numPr>
      <w:tabs>
        <w:tab w:val="left" w:pos="0"/>
      </w:tabs>
      <w:spacing w:before="240"/>
      <w:ind w:left="-112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numbering" w:customStyle="1" w:styleId="Genummerdelijst">
    <w:name w:val="Genummerde lijst"/>
    <w:pPr>
      <w:numPr>
        <w:numId w:val="1"/>
      </w:numPr>
    </w:pPr>
  </w:style>
  <w:style w:type="paragraph" w:styleId="Inhopg1">
    <w:name w:val="toc 1"/>
    <w:uiPriority w:val="39"/>
    <w:pPr>
      <w:tabs>
        <w:tab w:val="left" w:pos="0"/>
      </w:tabs>
      <w:spacing w:before="240" w:line="240" w:lineRule="exact"/>
      <w:ind w:hanging="1120"/>
    </w:pPr>
    <w:rPr>
      <w:rFonts w:ascii="Verdana" w:hAnsi="Verdana"/>
      <w:b/>
      <w:sz w:val="18"/>
      <w:szCs w:val="18"/>
    </w:rPr>
  </w:style>
  <w:style w:type="paragraph" w:styleId="Inhopg2">
    <w:name w:val="toc 2"/>
    <w:uiPriority w:val="39"/>
    <w:pPr>
      <w:spacing w:line="240" w:lineRule="exact"/>
      <w:ind w:hanging="1120"/>
    </w:pPr>
    <w:rPr>
      <w:rFonts w:ascii="Verdana" w:hAnsi="Verdana"/>
      <w:sz w:val="18"/>
      <w:szCs w:val="18"/>
    </w:rPr>
  </w:style>
  <w:style w:type="paragraph" w:styleId="Inhopg3">
    <w:name w:val="toc 3"/>
    <w:uiPriority w:val="39"/>
    <w:pPr>
      <w:spacing w:line="240" w:lineRule="exact"/>
      <w:ind w:hanging="1120"/>
    </w:pPr>
    <w:rPr>
      <w:rFonts w:ascii="Verdana" w:hAnsi="Verdana"/>
      <w:sz w:val="18"/>
      <w:szCs w:val="18"/>
    </w:rPr>
  </w:style>
  <w:style w:type="paragraph" w:styleId="Inhopg4">
    <w:name w:val="toc 4"/>
    <w:uiPriority w:val="39"/>
    <w:pPr>
      <w:spacing w:line="240" w:lineRule="exact"/>
      <w:ind w:hanging="1120"/>
    </w:pPr>
    <w:rPr>
      <w:rFonts w:ascii="Verdana" w:hAnsi="Verdana"/>
      <w:color w:val="000000"/>
      <w:sz w:val="18"/>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zondernummering">
    <w:name w:val="Kop 1 zonder nummering"/>
    <w:next w:val="Standaard"/>
    <w:qFormat/>
    <w:pPr>
      <w:pageBreakBefore/>
      <w:tabs>
        <w:tab w:val="left" w:pos="0"/>
      </w:tabs>
      <w:spacing w:after="720" w:line="300" w:lineRule="exact"/>
      <w:ind w:left="-1120"/>
      <w:outlineLvl w:val="0"/>
    </w:pPr>
    <w:rPr>
      <w:rFonts w:ascii="Verdana" w:hAnsi="Verdana"/>
      <w:color w:val="000000"/>
      <w:sz w:val="24"/>
      <w:szCs w:val="24"/>
    </w:rPr>
  </w:style>
  <w:style w:type="paragraph" w:customStyle="1" w:styleId="Kop2zondernummering">
    <w:name w:val="Kop 2 zonder nummering"/>
    <w:basedOn w:val="Kop2"/>
    <w:next w:val="Standaard"/>
    <w:uiPriority w:val="1"/>
    <w:qFormat/>
  </w:style>
  <w:style w:type="paragraph" w:customStyle="1" w:styleId="Kop3zondernummering">
    <w:name w:val="Kop 3 zonder nummering"/>
    <w:basedOn w:val="Kop3"/>
    <w:next w:val="Standaard"/>
    <w:uiPriority w:val="2"/>
    <w:qFormat/>
  </w:style>
  <w:style w:type="paragraph" w:customStyle="1" w:styleId="Kop4zondernummering">
    <w:name w:val="Kop 4 zonder nummering"/>
    <w:next w:val="Standaard"/>
    <w:uiPriority w:val="3"/>
    <w:qFormat/>
    <w:pPr>
      <w:tabs>
        <w:tab w:val="left" w:pos="0"/>
      </w:tabs>
      <w:spacing w:before="240" w:line="240" w:lineRule="exact"/>
      <w:ind w:left="-1120"/>
      <w:outlineLvl w:val="3"/>
    </w:pPr>
    <w:rPr>
      <w:rFonts w:ascii="Verdana" w:hAnsi="Verdana"/>
      <w:color w:val="000000"/>
      <w:sz w:val="18"/>
      <w:szCs w:val="18"/>
    </w:rPr>
  </w:style>
  <w:style w:type="paragraph" w:customStyle="1" w:styleId="Kop-Inhoudsopgave">
    <w:name w:val="Kop-Inhoudsopgave"/>
    <w:basedOn w:val="Standaard"/>
    <w:next w:val="Standaard"/>
    <w:pPr>
      <w:spacing w:after="700" w:line="300" w:lineRule="atLeast"/>
    </w:pPr>
    <w:rPr>
      <w:sz w:val="24"/>
      <w:szCs w:val="24"/>
    </w:rPr>
  </w:style>
  <w:style w:type="numbering" w:customStyle="1" w:styleId="Lijstmetopsommingstekens">
    <w:name w:val="Lijst met opsommingstekens"/>
    <w:pPr>
      <w:numPr>
        <w:numId w:val="5"/>
      </w:numPr>
    </w:pPr>
  </w:style>
  <w:style w:type="paragraph" w:customStyle="1" w:styleId="Lijstniveau1">
    <w:name w:val="Lijst niveau 1"/>
    <w:basedOn w:val="Standaard"/>
    <w:next w:val="Standaard"/>
    <w:pPr>
      <w:numPr>
        <w:numId w:val="3"/>
      </w:numPr>
    </w:pPr>
  </w:style>
  <w:style w:type="paragraph" w:customStyle="1" w:styleId="Lijstniveau2">
    <w:name w:val="Lijst niveau 2"/>
    <w:basedOn w:val="Standaard"/>
    <w:next w:val="Standaard"/>
    <w:pPr>
      <w:numPr>
        <w:ilvl w:val="1"/>
        <w:numId w:val="3"/>
      </w:numPr>
    </w:pPr>
  </w:style>
  <w:style w:type="paragraph" w:customStyle="1" w:styleId="Lijstniveau3">
    <w:name w:val="Lijst niveau 3"/>
    <w:basedOn w:val="Standaard"/>
    <w:next w:val="Standaard"/>
    <w:pPr>
      <w:numPr>
        <w:ilvl w:val="2"/>
        <w:numId w:val="3"/>
      </w:numPr>
    </w:pPr>
  </w:style>
  <w:style w:type="paragraph" w:customStyle="1" w:styleId="Nummering">
    <w:name w:val="Nummering"/>
    <w:basedOn w:val="Standaard"/>
    <w:uiPriority w:val="3"/>
    <w:qFormat/>
    <w:pPr>
      <w:numPr>
        <w:numId w:val="1"/>
      </w:numPr>
    </w:pPr>
  </w:style>
  <w:style w:type="paragraph" w:styleId="Ondertitel">
    <w:name w:val="Subtitle"/>
    <w:basedOn w:val="Standaard"/>
    <w:next w:val="Standaard"/>
    <w:uiPriority w:val="8"/>
    <w:qFormat/>
    <w:pPr>
      <w:spacing w:line="320" w:lineRule="atLeast"/>
    </w:pPr>
    <w:rPr>
      <w:sz w:val="24"/>
      <w:szCs w:val="24"/>
    </w:rPr>
  </w:style>
  <w:style w:type="paragraph" w:customStyle="1" w:styleId="Opsomming">
    <w:name w:val="Opsomming"/>
    <w:basedOn w:val="Standaard"/>
    <w:uiPriority w:val="3"/>
    <w:qFormat/>
    <w:pPr>
      <w:numPr>
        <w:numId w:val="5"/>
      </w:numPr>
    </w:p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uiPriority w:val="10"/>
    <w:qFormat/>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uiPriority w:val="11"/>
    <w:qFormat/>
    <w:pPr>
      <w:spacing w:line="180" w:lineRule="exact"/>
    </w:pPr>
    <w:rPr>
      <w:b/>
      <w:caps/>
      <w:sz w:val="13"/>
      <w:szCs w:val="13"/>
    </w:rPr>
  </w:style>
  <w:style w:type="paragraph" w:customStyle="1" w:styleId="Standaardcursief">
    <w:name w:val="Standaard cursief"/>
    <w:basedOn w:val="Standaard"/>
    <w:next w:val="Standaard"/>
    <w:uiPriority w:val="5"/>
    <w:qFormat/>
    <w:rPr>
      <w:i/>
    </w:rPr>
  </w:style>
  <w:style w:type="paragraph" w:customStyle="1" w:styleId="Standaardvet">
    <w:name w:val="Standaard vet"/>
    <w:basedOn w:val="Standaard"/>
    <w:next w:val="Standaard"/>
    <w:uiPriority w:val="6"/>
    <w:qFormat/>
    <w:rPr>
      <w:b/>
    </w:r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7"/>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F40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407A"/>
    <w:rPr>
      <w:rFonts w:ascii="Verdana" w:hAnsi="Verdana"/>
      <w:color w:val="000000"/>
      <w:sz w:val="18"/>
      <w:szCs w:val="18"/>
    </w:rPr>
  </w:style>
  <w:style w:type="paragraph" w:styleId="Voettekst">
    <w:name w:val="footer"/>
    <w:basedOn w:val="Standaard"/>
    <w:link w:val="VoettekstChar"/>
    <w:uiPriority w:val="99"/>
    <w:unhideWhenUsed/>
    <w:rsid w:val="00DF407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407A"/>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
    <w:basedOn w:val="Standaard"/>
    <w:link w:val="VoetnoottekstChar"/>
    <w:uiPriority w:val="99"/>
    <w:semiHidden/>
    <w:unhideWhenUsed/>
    <w:qFormat/>
    <w:rsid w:val="00117BF6"/>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117BF6"/>
    <w:rPr>
      <w:rFonts w:ascii="Verdana" w:hAnsi="Verdana"/>
      <w:color w:val="00000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117BF6"/>
    <w:rPr>
      <w:vertAlign w:val="superscript"/>
    </w:rPr>
  </w:style>
  <w:style w:type="character" w:styleId="Onopgelostemelding">
    <w:name w:val="Unresolved Mention"/>
    <w:basedOn w:val="Standaardalinea-lettertype"/>
    <w:uiPriority w:val="99"/>
    <w:semiHidden/>
    <w:unhideWhenUsed/>
    <w:rsid w:val="00117BF6"/>
    <w:rPr>
      <w:color w:val="605E5C"/>
      <w:shd w:val="clear" w:color="auto" w:fill="E1DFDD"/>
    </w:rPr>
  </w:style>
  <w:style w:type="character" w:styleId="Verwijzingopmerking">
    <w:name w:val="annotation reference"/>
    <w:basedOn w:val="Standaardalinea-lettertype"/>
    <w:uiPriority w:val="99"/>
    <w:semiHidden/>
    <w:unhideWhenUsed/>
    <w:rsid w:val="00117BF6"/>
    <w:rPr>
      <w:sz w:val="16"/>
      <w:szCs w:val="16"/>
    </w:rPr>
  </w:style>
  <w:style w:type="paragraph" w:styleId="Tekstopmerking">
    <w:name w:val="annotation text"/>
    <w:basedOn w:val="Standaard"/>
    <w:link w:val="TekstopmerkingChar"/>
    <w:uiPriority w:val="99"/>
    <w:unhideWhenUsed/>
    <w:rsid w:val="00117BF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17BF6"/>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543DF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543DF2"/>
    <w:rPr>
      <w:rFonts w:ascii="Verdana" w:eastAsiaTheme="minorHAnsi" w:hAnsi="Verdana" w:cstheme="minorBidi"/>
      <w:b/>
      <w:bCs/>
      <w:color w:val="000000"/>
      <w:kern w:val="2"/>
      <w:lang w:eastAsia="en-US"/>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B2948"/>
    <w:pPr>
      <w:ind w:left="720"/>
      <w:contextualSpacing/>
    </w:pPr>
  </w:style>
  <w:style w:type="paragraph" w:customStyle="1" w:styleId="Char1CharCharCarCarCarCarCarCarCarCarCarCar">
    <w:name w:val="Char1 Char Char Car Car Car Car Car Car Car Car Car Car"/>
    <w:basedOn w:val="Standaard"/>
    <w:next w:val="Standaard"/>
    <w:link w:val="Voetnootmarkering"/>
    <w:uiPriority w:val="99"/>
    <w:rsid w:val="00775DB6"/>
    <w:pPr>
      <w:autoSpaceDN/>
      <w:spacing w:after="160"/>
      <w:textAlignment w:val="auto"/>
    </w:pPr>
    <w:rPr>
      <w:rFonts w:ascii="Times New Roman" w:hAnsi="Times New Roman"/>
      <w:color w:val="auto"/>
      <w:sz w:val="20"/>
      <w:szCs w:val="20"/>
      <w:vertAlign w:val="superscript"/>
    </w:rPr>
  </w:style>
  <w:style w:type="table" w:styleId="Onopgemaaktetabel4">
    <w:name w:val="Plain Table 4"/>
    <w:basedOn w:val="Standaardtabel"/>
    <w:uiPriority w:val="44"/>
    <w:rsid w:val="00775D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E60F38"/>
    <w:rPr>
      <w:rFonts w:ascii="Verdana" w:hAnsi="Verdana"/>
      <w:color w:val="000000"/>
      <w:sz w:val="18"/>
      <w:szCs w:val="18"/>
    </w:rPr>
  </w:style>
  <w:style w:type="character" w:customStyle="1" w:styleId="Kop2Char">
    <w:name w:val="Kop 2 Char"/>
    <w:basedOn w:val="Standaardalinea-lettertype"/>
    <w:link w:val="Kop2"/>
    <w:uiPriority w:val="1"/>
    <w:rsid w:val="00521EF1"/>
    <w:rPr>
      <w:rFonts w:ascii="Verdana" w:hAnsi="Verdana"/>
      <w:b/>
      <w:color w:val="000000"/>
      <w:sz w:val="18"/>
      <w:szCs w:val="18"/>
    </w:rPr>
  </w:style>
  <w:style w:type="table" w:styleId="Onopgemaaktetabel2">
    <w:name w:val="Plain Table 2"/>
    <w:basedOn w:val="Standaardtabel"/>
    <w:uiPriority w:val="42"/>
    <w:rsid w:val="00637B02"/>
    <w:pPr>
      <w:autoSpaceDN/>
      <w:textAlignment w:val="auto"/>
    </w:pPr>
    <w:rPr>
      <w:rFonts w:ascii="Verdana" w:eastAsiaTheme="minorHAnsi" w:hAnsi="Verdana" w:cstheme="minorBidi"/>
      <w:kern w:val="2"/>
      <w:sz w:val="18"/>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e">
    <w:name w:val="Revision"/>
    <w:hidden/>
    <w:uiPriority w:val="99"/>
    <w:semiHidden/>
    <w:rsid w:val="00095F10"/>
    <w:pPr>
      <w:autoSpaceDN/>
      <w:textAlignment w:val="auto"/>
    </w:pPr>
    <w:rPr>
      <w:rFonts w:ascii="Verdana" w:hAnsi="Verdana"/>
      <w:color w:val="000000"/>
      <w:sz w:val="18"/>
      <w:szCs w:val="18"/>
    </w:rPr>
  </w:style>
  <w:style w:type="paragraph" w:customStyle="1" w:styleId="Kop1-nietgenummerd">
    <w:name w:val="Kop 1 - niet genummerd"/>
    <w:basedOn w:val="Kop1"/>
    <w:link w:val="Kop1-nietgenummerdChar"/>
    <w:uiPriority w:val="4"/>
    <w:qFormat/>
    <w:rsid w:val="00AA1093"/>
    <w:pPr>
      <w:numPr>
        <w:numId w:val="0"/>
      </w:numPr>
    </w:pPr>
  </w:style>
  <w:style w:type="character" w:customStyle="1" w:styleId="Kop1Char">
    <w:name w:val="Kop 1 Char"/>
    <w:basedOn w:val="Standaardalinea-lettertype"/>
    <w:link w:val="Kop1"/>
    <w:rsid w:val="00AA1093"/>
    <w:rPr>
      <w:rFonts w:ascii="Verdana" w:hAnsi="Verdana"/>
      <w:color w:val="000000"/>
      <w:sz w:val="24"/>
      <w:szCs w:val="24"/>
    </w:rPr>
  </w:style>
  <w:style w:type="character" w:customStyle="1" w:styleId="Kop1-nietgenummerdChar">
    <w:name w:val="Kop 1 - niet genummerd Char"/>
    <w:basedOn w:val="Kop1Char"/>
    <w:link w:val="Kop1-nietgenummerd"/>
    <w:uiPriority w:val="4"/>
    <w:rsid w:val="00AA1093"/>
    <w:rPr>
      <w:rFonts w:ascii="Verdana" w:hAnsi="Verdana"/>
      <w:color w:val="000000"/>
      <w:sz w:val="24"/>
      <w:szCs w:val="24"/>
    </w:rPr>
  </w:style>
  <w:style w:type="character" w:customStyle="1" w:styleId="elementtoproof1">
    <w:name w:val="elementtoproof1"/>
    <w:basedOn w:val="Standaardalinea-lettertype"/>
    <w:rsid w:val="00E328EB"/>
  </w:style>
  <w:style w:type="character" w:styleId="GevolgdeHyperlink">
    <w:name w:val="FollowedHyperlink"/>
    <w:basedOn w:val="Standaardalinea-lettertype"/>
    <w:uiPriority w:val="99"/>
    <w:semiHidden/>
    <w:unhideWhenUsed/>
    <w:rsid w:val="00111645"/>
    <w:rPr>
      <w:color w:val="96607D" w:themeColor="followedHyperlink"/>
      <w:u w:val="single"/>
    </w:rPr>
  </w:style>
  <w:style w:type="paragraph" w:styleId="Kopvaninhoudsopgave">
    <w:name w:val="TOC Heading"/>
    <w:basedOn w:val="Kop1"/>
    <w:next w:val="Standaard"/>
    <w:uiPriority w:val="39"/>
    <w:unhideWhenUsed/>
    <w:qFormat/>
    <w:rsid w:val="00846FCD"/>
    <w:pPr>
      <w:keepNext/>
      <w:keepLines/>
      <w:pageBreakBefore w:val="0"/>
      <w:numPr>
        <w:numId w:val="0"/>
      </w:numPr>
      <w:tabs>
        <w:tab w:val="clear" w:pos="0"/>
      </w:tabs>
      <w:autoSpaceDN/>
      <w:spacing w:before="240" w:after="0" w:line="259" w:lineRule="auto"/>
      <w:textAlignment w:val="auto"/>
      <w:outlineLvl w:val="9"/>
    </w:pPr>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8247">
      <w:bodyDiv w:val="1"/>
      <w:marLeft w:val="0"/>
      <w:marRight w:val="0"/>
      <w:marTop w:val="0"/>
      <w:marBottom w:val="0"/>
      <w:divBdr>
        <w:top w:val="none" w:sz="0" w:space="0" w:color="auto"/>
        <w:left w:val="none" w:sz="0" w:space="0" w:color="auto"/>
        <w:bottom w:val="none" w:sz="0" w:space="0" w:color="auto"/>
        <w:right w:val="none" w:sz="0" w:space="0" w:color="auto"/>
      </w:divBdr>
    </w:div>
    <w:div w:id="363554758">
      <w:bodyDiv w:val="1"/>
      <w:marLeft w:val="0"/>
      <w:marRight w:val="0"/>
      <w:marTop w:val="0"/>
      <w:marBottom w:val="0"/>
      <w:divBdr>
        <w:top w:val="none" w:sz="0" w:space="0" w:color="auto"/>
        <w:left w:val="none" w:sz="0" w:space="0" w:color="auto"/>
        <w:bottom w:val="none" w:sz="0" w:space="0" w:color="auto"/>
        <w:right w:val="none" w:sz="0" w:space="0" w:color="auto"/>
      </w:divBdr>
    </w:div>
    <w:div w:id="503133257">
      <w:bodyDiv w:val="1"/>
      <w:marLeft w:val="0"/>
      <w:marRight w:val="0"/>
      <w:marTop w:val="0"/>
      <w:marBottom w:val="0"/>
      <w:divBdr>
        <w:top w:val="none" w:sz="0" w:space="0" w:color="auto"/>
        <w:left w:val="none" w:sz="0" w:space="0" w:color="auto"/>
        <w:bottom w:val="none" w:sz="0" w:space="0" w:color="auto"/>
        <w:right w:val="none" w:sz="0" w:space="0" w:color="auto"/>
      </w:divBdr>
    </w:div>
    <w:div w:id="653610908">
      <w:bodyDiv w:val="1"/>
      <w:marLeft w:val="0"/>
      <w:marRight w:val="0"/>
      <w:marTop w:val="0"/>
      <w:marBottom w:val="0"/>
      <w:divBdr>
        <w:top w:val="none" w:sz="0" w:space="0" w:color="auto"/>
        <w:left w:val="none" w:sz="0" w:space="0" w:color="auto"/>
        <w:bottom w:val="none" w:sz="0" w:space="0" w:color="auto"/>
        <w:right w:val="none" w:sz="0" w:space="0" w:color="auto"/>
      </w:divBdr>
    </w:div>
    <w:div w:id="792018637">
      <w:bodyDiv w:val="1"/>
      <w:marLeft w:val="0"/>
      <w:marRight w:val="0"/>
      <w:marTop w:val="0"/>
      <w:marBottom w:val="0"/>
      <w:divBdr>
        <w:top w:val="none" w:sz="0" w:space="0" w:color="auto"/>
        <w:left w:val="none" w:sz="0" w:space="0" w:color="auto"/>
        <w:bottom w:val="none" w:sz="0" w:space="0" w:color="auto"/>
        <w:right w:val="none" w:sz="0" w:space="0" w:color="auto"/>
      </w:divBdr>
    </w:div>
    <w:div w:id="859971209">
      <w:bodyDiv w:val="1"/>
      <w:marLeft w:val="0"/>
      <w:marRight w:val="0"/>
      <w:marTop w:val="0"/>
      <w:marBottom w:val="0"/>
      <w:divBdr>
        <w:top w:val="none" w:sz="0" w:space="0" w:color="auto"/>
        <w:left w:val="none" w:sz="0" w:space="0" w:color="auto"/>
        <w:bottom w:val="none" w:sz="0" w:space="0" w:color="auto"/>
        <w:right w:val="none" w:sz="0" w:space="0" w:color="auto"/>
      </w:divBdr>
    </w:div>
    <w:div w:id="1061295165">
      <w:bodyDiv w:val="1"/>
      <w:marLeft w:val="0"/>
      <w:marRight w:val="0"/>
      <w:marTop w:val="0"/>
      <w:marBottom w:val="0"/>
      <w:divBdr>
        <w:top w:val="none" w:sz="0" w:space="0" w:color="auto"/>
        <w:left w:val="none" w:sz="0" w:space="0" w:color="auto"/>
        <w:bottom w:val="none" w:sz="0" w:space="0" w:color="auto"/>
        <w:right w:val="none" w:sz="0" w:space="0" w:color="auto"/>
      </w:divBdr>
    </w:div>
    <w:div w:id="1061715452">
      <w:bodyDiv w:val="1"/>
      <w:marLeft w:val="0"/>
      <w:marRight w:val="0"/>
      <w:marTop w:val="0"/>
      <w:marBottom w:val="0"/>
      <w:divBdr>
        <w:top w:val="none" w:sz="0" w:space="0" w:color="auto"/>
        <w:left w:val="none" w:sz="0" w:space="0" w:color="auto"/>
        <w:bottom w:val="none" w:sz="0" w:space="0" w:color="auto"/>
        <w:right w:val="none" w:sz="0" w:space="0" w:color="auto"/>
      </w:divBdr>
    </w:div>
    <w:div w:id="1151218137">
      <w:bodyDiv w:val="1"/>
      <w:marLeft w:val="0"/>
      <w:marRight w:val="0"/>
      <w:marTop w:val="0"/>
      <w:marBottom w:val="0"/>
      <w:divBdr>
        <w:top w:val="none" w:sz="0" w:space="0" w:color="auto"/>
        <w:left w:val="none" w:sz="0" w:space="0" w:color="auto"/>
        <w:bottom w:val="none" w:sz="0" w:space="0" w:color="auto"/>
        <w:right w:val="none" w:sz="0" w:space="0" w:color="auto"/>
      </w:divBdr>
    </w:div>
    <w:div w:id="1218009944">
      <w:bodyDiv w:val="1"/>
      <w:marLeft w:val="0"/>
      <w:marRight w:val="0"/>
      <w:marTop w:val="0"/>
      <w:marBottom w:val="0"/>
      <w:divBdr>
        <w:top w:val="none" w:sz="0" w:space="0" w:color="auto"/>
        <w:left w:val="none" w:sz="0" w:space="0" w:color="auto"/>
        <w:bottom w:val="none" w:sz="0" w:space="0" w:color="auto"/>
        <w:right w:val="none" w:sz="0" w:space="0" w:color="auto"/>
      </w:divBdr>
    </w:div>
    <w:div w:id="1348632152">
      <w:bodyDiv w:val="1"/>
      <w:marLeft w:val="0"/>
      <w:marRight w:val="0"/>
      <w:marTop w:val="0"/>
      <w:marBottom w:val="0"/>
      <w:divBdr>
        <w:top w:val="none" w:sz="0" w:space="0" w:color="auto"/>
        <w:left w:val="none" w:sz="0" w:space="0" w:color="auto"/>
        <w:bottom w:val="none" w:sz="0" w:space="0" w:color="auto"/>
        <w:right w:val="none" w:sz="0" w:space="0" w:color="auto"/>
      </w:divBdr>
    </w:div>
    <w:div w:id="1360820309">
      <w:bodyDiv w:val="1"/>
      <w:marLeft w:val="0"/>
      <w:marRight w:val="0"/>
      <w:marTop w:val="0"/>
      <w:marBottom w:val="0"/>
      <w:divBdr>
        <w:top w:val="none" w:sz="0" w:space="0" w:color="auto"/>
        <w:left w:val="none" w:sz="0" w:space="0" w:color="auto"/>
        <w:bottom w:val="none" w:sz="0" w:space="0" w:color="auto"/>
        <w:right w:val="none" w:sz="0" w:space="0" w:color="auto"/>
      </w:divBdr>
    </w:div>
    <w:div w:id="1392653539">
      <w:bodyDiv w:val="1"/>
      <w:marLeft w:val="0"/>
      <w:marRight w:val="0"/>
      <w:marTop w:val="0"/>
      <w:marBottom w:val="0"/>
      <w:divBdr>
        <w:top w:val="none" w:sz="0" w:space="0" w:color="auto"/>
        <w:left w:val="none" w:sz="0" w:space="0" w:color="auto"/>
        <w:bottom w:val="none" w:sz="0" w:space="0" w:color="auto"/>
        <w:right w:val="none" w:sz="0" w:space="0" w:color="auto"/>
      </w:divBdr>
    </w:div>
    <w:div w:id="1465347050">
      <w:bodyDiv w:val="1"/>
      <w:marLeft w:val="0"/>
      <w:marRight w:val="0"/>
      <w:marTop w:val="0"/>
      <w:marBottom w:val="0"/>
      <w:divBdr>
        <w:top w:val="none" w:sz="0" w:space="0" w:color="auto"/>
        <w:left w:val="none" w:sz="0" w:space="0" w:color="auto"/>
        <w:bottom w:val="none" w:sz="0" w:space="0" w:color="auto"/>
        <w:right w:val="none" w:sz="0" w:space="0" w:color="auto"/>
      </w:divBdr>
    </w:div>
    <w:div w:id="1482893354">
      <w:bodyDiv w:val="1"/>
      <w:marLeft w:val="0"/>
      <w:marRight w:val="0"/>
      <w:marTop w:val="0"/>
      <w:marBottom w:val="0"/>
      <w:divBdr>
        <w:top w:val="none" w:sz="0" w:space="0" w:color="auto"/>
        <w:left w:val="none" w:sz="0" w:space="0" w:color="auto"/>
        <w:bottom w:val="none" w:sz="0" w:space="0" w:color="auto"/>
        <w:right w:val="none" w:sz="0" w:space="0" w:color="auto"/>
      </w:divBdr>
    </w:div>
    <w:div w:id="1610432900">
      <w:bodyDiv w:val="1"/>
      <w:marLeft w:val="0"/>
      <w:marRight w:val="0"/>
      <w:marTop w:val="0"/>
      <w:marBottom w:val="0"/>
      <w:divBdr>
        <w:top w:val="none" w:sz="0" w:space="0" w:color="auto"/>
        <w:left w:val="none" w:sz="0" w:space="0" w:color="auto"/>
        <w:bottom w:val="none" w:sz="0" w:space="0" w:color="auto"/>
        <w:right w:val="none" w:sz="0" w:space="0" w:color="auto"/>
      </w:divBdr>
    </w:div>
    <w:div w:id="1623879580">
      <w:bodyDiv w:val="1"/>
      <w:marLeft w:val="0"/>
      <w:marRight w:val="0"/>
      <w:marTop w:val="0"/>
      <w:marBottom w:val="0"/>
      <w:divBdr>
        <w:top w:val="none" w:sz="0" w:space="0" w:color="auto"/>
        <w:left w:val="none" w:sz="0" w:space="0" w:color="auto"/>
        <w:bottom w:val="none" w:sz="0" w:space="0" w:color="auto"/>
        <w:right w:val="none" w:sz="0" w:space="0" w:color="auto"/>
      </w:divBdr>
    </w:div>
    <w:div w:id="1641035135">
      <w:bodyDiv w:val="1"/>
      <w:marLeft w:val="0"/>
      <w:marRight w:val="0"/>
      <w:marTop w:val="0"/>
      <w:marBottom w:val="0"/>
      <w:divBdr>
        <w:top w:val="none" w:sz="0" w:space="0" w:color="auto"/>
        <w:left w:val="none" w:sz="0" w:space="0" w:color="auto"/>
        <w:bottom w:val="none" w:sz="0" w:space="0" w:color="auto"/>
        <w:right w:val="none" w:sz="0" w:space="0" w:color="auto"/>
      </w:divBdr>
    </w:div>
    <w:div w:id="1956861181">
      <w:bodyDiv w:val="1"/>
      <w:marLeft w:val="0"/>
      <w:marRight w:val="0"/>
      <w:marTop w:val="0"/>
      <w:marBottom w:val="0"/>
      <w:divBdr>
        <w:top w:val="none" w:sz="0" w:space="0" w:color="auto"/>
        <w:left w:val="none" w:sz="0" w:space="0" w:color="auto"/>
        <w:bottom w:val="none" w:sz="0" w:space="0" w:color="auto"/>
        <w:right w:val="none" w:sz="0" w:space="0" w:color="auto"/>
      </w:divBdr>
    </w:div>
    <w:div w:id="1957372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33" Type="http://schemas.openxmlformats.org/officeDocument/2006/relationships/webSetting" Target="webSettings0.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hart" Target="charts/chart4.xml"/></Relationships>
</file>

<file path=word/_rels/footnotes.xml.rels><?xml version="1.0" encoding="UTF-8" standalone="yes"?>
<Relationships xmlns="http://schemas.openxmlformats.org/package/2006/relationships"><Relationship Id="rId3" Type="http://schemas.openxmlformats.org/officeDocument/2006/relationships/hyperlink" Target="https://www.dnb.nl/voor-de-sector/open-boek-toezicht/thema-s/prudentieel-toezicht/aflossingsvrije-hypotheken/" TargetMode="External"/><Relationship Id="rId2" Type="http://schemas.openxmlformats.org/officeDocument/2006/relationships/hyperlink" Target="https://www.eerstekamer.nl/verslag/?id=enp20241210" TargetMode="External"/><Relationship Id="rId1" Type="http://schemas.openxmlformats.org/officeDocument/2006/relationships/hyperlink" Target="https://www.rijksoverheid.nl/documenten/rapporten/2024/02/01/belastingen-in-maatschappelijk-perspectief-bouwstenen-voor-een-beter-belastingstelsel" TargetMode="External"/><Relationship Id="rId4" Type="http://schemas.openxmlformats.org/officeDocument/2006/relationships/hyperlink" Target="https://www.nibud.nl/onderzoeksrapporten/rapport-advies-hypotheeknormen-2026-202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'figuur 4'!$E$6</c:f>
              <c:strCache>
                <c:ptCount val="1"/>
                <c:pt idx="0">
                  <c:v>Annuïtair/lineair</c:v>
                </c:pt>
              </c:strCache>
            </c:strRef>
          </c:tx>
          <c:spPr>
            <a:pattFill prst="pct50">
              <a:fgClr>
                <a:srgbClr val="8FCAE7"/>
              </a:fgClr>
              <a:bgClr>
                <a:schemeClr val="bg1"/>
              </a:bgClr>
            </a:pattFill>
            <a:ln>
              <a:noFill/>
            </a:ln>
            <a:effectLst/>
          </c:spPr>
          <c:invertIfNegative val="0"/>
          <c:cat>
            <c:numRef>
              <c:f>'figuur 4'!$D$7:$D$18</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'figuur 4'!$E$7:$E$18</c:f>
              <c:numCache>
                <c:formatCode>0</c:formatCode>
                <c:ptCount val="12"/>
                <c:pt idx="0">
                  <c:v>11.943043178998581</c:v>
                </c:pt>
                <c:pt idx="1">
                  <c:v>14.74418639960221</c:v>
                </c:pt>
                <c:pt idx="2">
                  <c:v>26.657277945829851</c:v>
                </c:pt>
                <c:pt idx="3">
                  <c:v>49.323495358129612</c:v>
                </c:pt>
                <c:pt idx="4">
                  <c:v>75.956182664213856</c:v>
                </c:pt>
                <c:pt idx="5">
                  <c:v>112.3268229792089</c:v>
                </c:pt>
                <c:pt idx="6">
                  <c:v>153.7068736195254</c:v>
                </c:pt>
                <c:pt idx="7">
                  <c:v>187.0045138558184</c:v>
                </c:pt>
                <c:pt idx="8">
                  <c:v>220.85713704674581</c:v>
                </c:pt>
                <c:pt idx="9">
                  <c:v>255.19441930432851</c:v>
                </c:pt>
                <c:pt idx="10">
                  <c:v>297.70470113250047</c:v>
                </c:pt>
                <c:pt idx="11">
                  <c:v>303.14709627429659</c:v>
                </c:pt>
              </c:numCache>
            </c:numRef>
          </c:val>
          <c:extLst>
            <c:ext xmlns:c16="http://schemas.microsoft.com/office/drawing/2014/chart" uri="{C3380CC4-5D6E-409C-BE32-E72D297353CC}">
              <c16:uniqueId val="{00000000-333F-4AAB-AA4A-4AB110F664A1}"/>
            </c:ext>
          </c:extLst>
        </c:ser>
        <c:ser>
          <c:idx val="1"/>
          <c:order val="1"/>
          <c:tx>
            <c:strRef>
              <c:f>'figuur 4'!$F$6</c:f>
              <c:strCache>
                <c:ptCount val="1"/>
                <c:pt idx="0">
                  <c:v>Aflossingvrij</c:v>
                </c:pt>
              </c:strCache>
            </c:strRef>
          </c:tx>
          <c:spPr>
            <a:pattFill prst="pct90">
              <a:fgClr>
                <a:srgbClr val="01689B"/>
              </a:fgClr>
              <a:bgClr>
                <a:schemeClr val="bg1"/>
              </a:bgClr>
            </a:pattFill>
            <a:ln>
              <a:noFill/>
            </a:ln>
            <a:effectLst/>
          </c:spPr>
          <c:invertIfNegative val="0"/>
          <c:cat>
            <c:numRef>
              <c:f>'figuur 4'!$D$7:$D$18</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'figuur 4'!$F$7:$F$18</c:f>
              <c:numCache>
                <c:formatCode>0</c:formatCode>
                <c:ptCount val="12"/>
                <c:pt idx="0">
                  <c:v>383.26385142560378</c:v>
                </c:pt>
                <c:pt idx="1">
                  <c:v>382.04425634048567</c:v>
                </c:pt>
                <c:pt idx="2">
                  <c:v>385.31679674151042</c:v>
                </c:pt>
                <c:pt idx="3">
                  <c:v>375.55255329067552</c:v>
                </c:pt>
                <c:pt idx="4">
                  <c:v>375.62365223679751</c:v>
                </c:pt>
                <c:pt idx="5">
                  <c:v>373.92929378931052</c:v>
                </c:pt>
                <c:pt idx="6">
                  <c:v>369.90695024586751</c:v>
                </c:pt>
                <c:pt idx="7">
                  <c:v>366.82669430711422</c:v>
                </c:pt>
                <c:pt idx="8">
                  <c:v>352.20350094519227</c:v>
                </c:pt>
                <c:pt idx="9">
                  <c:v>331.37011121074318</c:v>
                </c:pt>
                <c:pt idx="10">
                  <c:v>336.41575617327339</c:v>
                </c:pt>
                <c:pt idx="11">
                  <c:v>337.68834033616821</c:v>
                </c:pt>
              </c:numCache>
            </c:numRef>
          </c:val>
          <c:extLst>
            <c:ext xmlns:c16="http://schemas.microsoft.com/office/drawing/2014/chart" uri="{C3380CC4-5D6E-409C-BE32-E72D297353CC}">
              <c16:uniqueId val="{00000001-333F-4AAB-AA4A-4AB110F664A1}"/>
            </c:ext>
          </c:extLst>
        </c:ser>
        <c:ser>
          <c:idx val="2"/>
          <c:order val="2"/>
          <c:tx>
            <c:strRef>
              <c:f>'figuur 4'!$G$6</c:f>
              <c:strCache>
                <c:ptCount val="1"/>
                <c:pt idx="0">
                  <c:v>Spaar/belegging/leven</c:v>
                </c:pt>
              </c:strCache>
            </c:strRef>
          </c:tx>
          <c:spPr>
            <a:solidFill>
              <a:srgbClr val="007BC7"/>
            </a:solidFill>
            <a:ln>
              <a:noFill/>
            </a:ln>
            <a:effectLst/>
          </c:spPr>
          <c:invertIfNegative val="0"/>
          <c:cat>
            <c:numRef>
              <c:f>'figuur 4'!$D$7:$D$18</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'figuur 4'!$G$7:$G$18</c:f>
              <c:numCache>
                <c:formatCode>0</c:formatCode>
                <c:ptCount val="12"/>
                <c:pt idx="0">
                  <c:v>261.46612895693698</c:v>
                </c:pt>
                <c:pt idx="1">
                  <c:v>265.45152634323188</c:v>
                </c:pt>
                <c:pt idx="2">
                  <c:v>242.89989471343671</c:v>
                </c:pt>
                <c:pt idx="3">
                  <c:v>231.9769712526772</c:v>
                </c:pt>
                <c:pt idx="4">
                  <c:v>230.10473286233091</c:v>
                </c:pt>
                <c:pt idx="5">
                  <c:v>212.73914862218541</c:v>
                </c:pt>
                <c:pt idx="6">
                  <c:v>183.32116529301661</c:v>
                </c:pt>
                <c:pt idx="7">
                  <c:v>162.43153131340591</c:v>
                </c:pt>
                <c:pt idx="8">
                  <c:v>149.72683743809731</c:v>
                </c:pt>
                <c:pt idx="9">
                  <c:v>153.3966089206632</c:v>
                </c:pt>
                <c:pt idx="10">
                  <c:v>141.73437784971199</c:v>
                </c:pt>
                <c:pt idx="11">
                  <c:v>137.27165497368011</c:v>
                </c:pt>
              </c:numCache>
            </c:numRef>
          </c:val>
          <c:extLst>
            <c:ext xmlns:c16="http://schemas.microsoft.com/office/drawing/2014/chart" uri="{C3380CC4-5D6E-409C-BE32-E72D297353CC}">
              <c16:uniqueId val="{00000002-333F-4AAB-AA4A-4AB110F664A1}"/>
            </c:ext>
          </c:extLst>
        </c:ser>
        <c:dLbls>
          <c:showLegendKey val="0"/>
          <c:showVal val="0"/>
          <c:showCatName val="0"/>
          <c:showSerName val="0"/>
          <c:showPercent val="0"/>
          <c:showBubbleSize val="0"/>
        </c:dLbls>
        <c:gapWidth val="150"/>
        <c:overlap val="100"/>
        <c:axId val="1072019647"/>
        <c:axId val="1072007647"/>
      </c:barChart>
      <c:catAx>
        <c:axId val="107201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nl-NL"/>
          </a:p>
        </c:txPr>
        <c:crossAx val="1072007647"/>
        <c:crosses val="autoZero"/>
        <c:auto val="1"/>
        <c:lblAlgn val="ctr"/>
        <c:lblOffset val="100"/>
        <c:noMultiLvlLbl val="0"/>
      </c:catAx>
      <c:valAx>
        <c:axId val="1072007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it-IT"/>
                  <a:t>Miljalrd euro</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nl-NL"/>
          </a:p>
        </c:txPr>
        <c:crossAx val="107201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'figuur 6'!$E$5</c:f>
              <c:strCache>
                <c:ptCount val="1"/>
                <c:pt idx="0">
                  <c:v>Aflossingsvrij</c:v>
                </c:pt>
              </c:strCache>
            </c:strRef>
          </c:tx>
          <c:spPr>
            <a:solidFill>
              <a:schemeClr val="accent1"/>
            </a:solidFill>
            <a:ln>
              <a:noFill/>
            </a:ln>
            <a:effectLst/>
          </c:spPr>
          <c:invertIfNegative val="0"/>
          <c:cat>
            <c:strRef>
              <c:f>'figuur 6'!$D$9:$D$10</c:f>
              <c:strCache>
                <c:ptCount val="2"/>
                <c:pt idx="0">
                  <c:v>voor 2012</c:v>
                </c:pt>
                <c:pt idx="1">
                  <c:v>sinds 2013</c:v>
                </c:pt>
              </c:strCache>
            </c:strRef>
          </c:cat>
          <c:val>
            <c:numRef>
              <c:f>'figuur 6'!$E$9:$E$10</c:f>
              <c:numCache>
                <c:formatCode>General</c:formatCode>
                <c:ptCount val="2"/>
              </c:numCache>
            </c:numRef>
          </c:val>
          <c:extLst>
            <c:ext xmlns:c16="http://schemas.microsoft.com/office/drawing/2014/chart" uri="{C3380CC4-5D6E-409C-BE32-E72D297353CC}">
              <c16:uniqueId val="{00000000-9131-4523-9FA0-72C9FFE90E85}"/>
            </c:ext>
          </c:extLst>
        </c:ser>
        <c:ser>
          <c:idx val="1"/>
          <c:order val="1"/>
          <c:tx>
            <c:strRef>
              <c:f>'figuur 6'!$F$5</c:f>
              <c:strCache>
                <c:ptCount val="1"/>
                <c:pt idx="0">
                  <c:v>Annuïtair/lineair</c:v>
                </c:pt>
              </c:strCache>
            </c:strRef>
          </c:tx>
          <c:spPr>
            <a:solidFill>
              <a:schemeClr val="accent2"/>
            </a:solidFill>
            <a:ln>
              <a:noFill/>
            </a:ln>
            <a:effectLst/>
          </c:spPr>
          <c:invertIfNegative val="0"/>
          <c:cat>
            <c:strRef>
              <c:f>'figuur 6'!$D$9:$D$10</c:f>
              <c:strCache>
                <c:ptCount val="2"/>
                <c:pt idx="0">
                  <c:v>voor 2012</c:v>
                </c:pt>
                <c:pt idx="1">
                  <c:v>sinds 2013</c:v>
                </c:pt>
              </c:strCache>
            </c:strRef>
          </c:cat>
          <c:val>
            <c:numRef>
              <c:f>'figuur 6'!$F$9:$F$10</c:f>
              <c:numCache>
                <c:formatCode>General</c:formatCode>
                <c:ptCount val="2"/>
              </c:numCache>
            </c:numRef>
          </c:val>
          <c:extLst>
            <c:ext xmlns:c16="http://schemas.microsoft.com/office/drawing/2014/chart" uri="{C3380CC4-5D6E-409C-BE32-E72D297353CC}">
              <c16:uniqueId val="{00000001-9131-4523-9FA0-72C9FFE90E85}"/>
            </c:ext>
          </c:extLst>
        </c:ser>
        <c:ser>
          <c:idx val="2"/>
          <c:order val="2"/>
          <c:tx>
            <c:strRef>
              <c:f>'figuur 6'!$G$5</c:f>
              <c:strCache>
                <c:ptCount val="1"/>
                <c:pt idx="0">
                  <c:v>Spaar/Leven/Belegging</c:v>
                </c:pt>
              </c:strCache>
            </c:strRef>
          </c:tx>
          <c:spPr>
            <a:solidFill>
              <a:schemeClr val="accent3"/>
            </a:solidFill>
            <a:ln>
              <a:noFill/>
            </a:ln>
            <a:effectLst/>
          </c:spPr>
          <c:invertIfNegative val="0"/>
          <c:cat>
            <c:strRef>
              <c:f>'figuur 6'!$D$9:$D$10</c:f>
              <c:strCache>
                <c:ptCount val="2"/>
                <c:pt idx="0">
                  <c:v>voor 2012</c:v>
                </c:pt>
                <c:pt idx="1">
                  <c:v>sinds 2013</c:v>
                </c:pt>
              </c:strCache>
            </c:strRef>
          </c:cat>
          <c:val>
            <c:numRef>
              <c:f>'figuur 6'!$G$9:$G$10</c:f>
              <c:numCache>
                <c:formatCode>General</c:formatCode>
                <c:ptCount val="2"/>
              </c:numCache>
            </c:numRef>
          </c:val>
          <c:extLst>
            <c:ext xmlns:c16="http://schemas.microsoft.com/office/drawing/2014/chart" uri="{C3380CC4-5D6E-409C-BE32-E72D297353CC}">
              <c16:uniqueId val="{00000002-9131-4523-9FA0-72C9FFE90E85}"/>
            </c:ext>
          </c:extLst>
        </c:ser>
        <c:ser>
          <c:idx val="3"/>
          <c:order val="3"/>
          <c:tx>
            <c:strRef>
              <c:f>'figuur 6'!$H$5</c:f>
              <c:strCache>
                <c:ptCount val="1"/>
                <c:pt idx="0">
                  <c:v>N (rechts)</c:v>
                </c:pt>
              </c:strCache>
            </c:strRef>
          </c:tx>
          <c:spPr>
            <a:solidFill>
              <a:schemeClr val="accent4"/>
            </a:solidFill>
            <a:ln>
              <a:noFill/>
            </a:ln>
            <a:effectLst/>
          </c:spPr>
          <c:invertIfNegative val="0"/>
          <c:dPt>
            <c:idx val="0"/>
            <c:invertIfNegative val="0"/>
            <c:bubble3D val="0"/>
            <c:spPr>
              <a:solidFill>
                <a:srgbClr val="01689B"/>
              </a:solidFill>
              <a:ln>
                <a:noFill/>
              </a:ln>
              <a:effectLst/>
            </c:spPr>
            <c:extLst>
              <c:ext xmlns:c16="http://schemas.microsoft.com/office/drawing/2014/chart" uri="{C3380CC4-5D6E-409C-BE32-E72D297353CC}">
                <c16:uniqueId val="{00000004-9131-4523-9FA0-72C9FFE90E85}"/>
              </c:ext>
            </c:extLst>
          </c:dPt>
          <c:dPt>
            <c:idx val="1"/>
            <c:invertIfNegative val="0"/>
            <c:bubble3D val="0"/>
            <c:spPr>
              <a:solidFill>
                <a:srgbClr val="01689B"/>
              </a:solidFill>
              <a:ln>
                <a:noFill/>
              </a:ln>
              <a:effectLst/>
            </c:spPr>
            <c:extLst>
              <c:ext xmlns:c16="http://schemas.microsoft.com/office/drawing/2014/chart" uri="{C3380CC4-5D6E-409C-BE32-E72D297353CC}">
                <c16:uniqueId val="{00000006-9131-4523-9FA0-72C9FFE90E85}"/>
              </c:ext>
            </c:extLst>
          </c:dPt>
          <c:dLbls>
            <c:dLbl>
              <c:idx val="0"/>
              <c:tx>
                <c:rich>
                  <a:bodyPr/>
                  <a:lstStyle/>
                  <a:p>
                    <a:r>
                      <a:rPr lang="en-US" b="1">
                        <a:solidFill>
                          <a:schemeClr val="bg1"/>
                        </a:solidFill>
                      </a:rPr>
                      <a:t>Circa 2,7 miljoen</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131-4523-9FA0-72C9FFE90E85}"/>
                </c:ext>
              </c:extLst>
            </c:dLbl>
            <c:dLbl>
              <c:idx val="1"/>
              <c:tx>
                <c:rich>
                  <a:bodyPr/>
                  <a:lstStyle/>
                  <a:p>
                    <a:r>
                      <a:rPr lang="en-US" b="1">
                        <a:solidFill>
                          <a:schemeClr val="bg1"/>
                        </a:solidFill>
                      </a:rPr>
                      <a:t>Circa 1,1 miljoen</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131-4523-9FA0-72C9FFE90E85}"/>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'figuur 6'!$D$9:$D$10</c:f>
              <c:strCache>
                <c:ptCount val="2"/>
                <c:pt idx="0">
                  <c:v>voor 2012</c:v>
                </c:pt>
                <c:pt idx="1">
                  <c:v>sinds 2013</c:v>
                </c:pt>
              </c:strCache>
            </c:strRef>
          </c:cat>
          <c:val>
            <c:numRef>
              <c:f>'figuur 6'!$H$9:$H$10</c:f>
              <c:numCache>
                <c:formatCode>_-* #,##0_-;\-* #,##0_-;_-* "-"??_-;_-@_-</c:formatCode>
                <c:ptCount val="2"/>
                <c:pt idx="0">
                  <c:v>2666494</c:v>
                </c:pt>
                <c:pt idx="1">
                  <c:v>1135706</c:v>
                </c:pt>
              </c:numCache>
            </c:numRef>
          </c:val>
          <c:extLst>
            <c:ext xmlns:c16="http://schemas.microsoft.com/office/drawing/2014/chart" uri="{C3380CC4-5D6E-409C-BE32-E72D297353CC}">
              <c16:uniqueId val="{00000007-9131-4523-9FA0-72C9FFE90E85}"/>
            </c:ext>
          </c:extLst>
        </c:ser>
        <c:dLbls>
          <c:showLegendKey val="0"/>
          <c:showVal val="0"/>
          <c:showCatName val="0"/>
          <c:showSerName val="0"/>
          <c:showPercent val="0"/>
          <c:showBubbleSize val="0"/>
        </c:dLbls>
        <c:gapWidth val="60"/>
        <c:overlap val="100"/>
        <c:axId val="921101871"/>
        <c:axId val="921096111"/>
      </c:barChart>
      <c:catAx>
        <c:axId val="92110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nl-NL"/>
          </a:p>
        </c:txPr>
        <c:crossAx val="921096111"/>
        <c:crosses val="autoZero"/>
        <c:auto val="1"/>
        <c:lblAlgn val="ctr"/>
        <c:lblOffset val="100"/>
        <c:noMultiLvlLbl val="0"/>
      </c:catAx>
      <c:valAx>
        <c:axId val="921096111"/>
        <c:scaling>
          <c:orientation val="minMax"/>
        </c:scaling>
        <c:delete val="1"/>
        <c:axPos val="l"/>
        <c:title>
          <c:tx>
            <c:rich>
              <a:bodyPr rot="-54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r>
                  <a:rPr lang="nl-NL"/>
                  <a:t>Aantal</a:t>
                </a:r>
                <a:r>
                  <a:rPr lang="nl-NL" baseline="0"/>
                  <a:t> hypotheken</a:t>
                </a:r>
                <a:endParaRPr lang="nl-NL"/>
              </a:p>
            </c:rich>
          </c:tx>
          <c:overlay val="0"/>
          <c:spPr>
            <a:no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nl-NL"/>
            </a:p>
          </c:txPr>
        </c:title>
        <c:numFmt formatCode="#,##0" sourceLinked="0"/>
        <c:majorTickMark val="out"/>
        <c:minorTickMark val="none"/>
        <c:tickLblPos val="nextTo"/>
        <c:crossAx val="921101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defRPr>
      </a:pPr>
      <a:endParaRPr lang="nl-N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'figuur 6'!$E$5</c:f>
              <c:strCache>
                <c:ptCount val="1"/>
                <c:pt idx="0">
                  <c:v>Aflossingsvrij</c:v>
                </c:pt>
              </c:strCache>
            </c:strRef>
          </c:tx>
          <c:spPr>
            <a:pattFill prst="pct75">
              <a:fgClr>
                <a:srgbClr val="01689B"/>
              </a:fgClr>
              <a:bgClr>
                <a:schemeClr val="bg1"/>
              </a:bgClr>
            </a:pattFill>
            <a:ln>
              <a:solidFill>
                <a:sysClr val="windowText" lastClr="000000"/>
              </a:solidFill>
            </a:ln>
            <a:effectLst/>
          </c:spPr>
          <c:invertIfNegative val="0"/>
          <c:cat>
            <c:strRef>
              <c:f>'figuur 6'!$D$6:$D$7</c:f>
              <c:strCache>
                <c:ptCount val="2"/>
                <c:pt idx="0">
                  <c:v>voor 2012</c:v>
                </c:pt>
                <c:pt idx="1">
                  <c:v>sinds 2013</c:v>
                </c:pt>
              </c:strCache>
            </c:strRef>
          </c:cat>
          <c:val>
            <c:numRef>
              <c:f>'figuur 6'!$E$6:$E$7</c:f>
              <c:numCache>
                <c:formatCode>0</c:formatCode>
                <c:ptCount val="2"/>
                <c:pt idx="0">
                  <c:v>276.86797999999999</c:v>
                </c:pt>
                <c:pt idx="1">
                  <c:v>118.45972999999999</c:v>
                </c:pt>
              </c:numCache>
            </c:numRef>
          </c:val>
          <c:extLst>
            <c:ext xmlns:c16="http://schemas.microsoft.com/office/drawing/2014/chart" uri="{C3380CC4-5D6E-409C-BE32-E72D297353CC}">
              <c16:uniqueId val="{00000000-F6D7-46B1-9012-12A3087FA8A3}"/>
            </c:ext>
          </c:extLst>
        </c:ser>
        <c:ser>
          <c:idx val="1"/>
          <c:order val="1"/>
          <c:tx>
            <c:strRef>
              <c:f>'figuur 6'!$F$5</c:f>
              <c:strCache>
                <c:ptCount val="1"/>
                <c:pt idx="0">
                  <c:v>Annuïtair/lineair</c:v>
                </c:pt>
              </c:strCache>
            </c:strRef>
          </c:tx>
          <c:spPr>
            <a:pattFill prst="dkDnDiag">
              <a:fgClr>
                <a:srgbClr val="007BC7"/>
              </a:fgClr>
              <a:bgClr>
                <a:schemeClr val="bg1"/>
              </a:bgClr>
            </a:pattFill>
            <a:ln>
              <a:solidFill>
                <a:sysClr val="windowText" lastClr="000000"/>
              </a:solidFill>
            </a:ln>
            <a:effectLst/>
          </c:spPr>
          <c:invertIfNegative val="0"/>
          <c:cat>
            <c:strRef>
              <c:f>'figuur 6'!$D$6:$D$7</c:f>
              <c:strCache>
                <c:ptCount val="2"/>
                <c:pt idx="0">
                  <c:v>voor 2012</c:v>
                </c:pt>
                <c:pt idx="1">
                  <c:v>sinds 2013</c:v>
                </c:pt>
              </c:strCache>
            </c:strRef>
          </c:cat>
          <c:val>
            <c:numRef>
              <c:f>'figuur 6'!$F$6:$F$7</c:f>
              <c:numCache>
                <c:formatCode>0</c:formatCode>
                <c:ptCount val="2"/>
                <c:pt idx="0">
                  <c:v>60.717452000000002</c:v>
                </c:pt>
                <c:pt idx="1">
                  <c:v>163.36358000000001</c:v>
                </c:pt>
              </c:numCache>
            </c:numRef>
          </c:val>
          <c:extLst>
            <c:ext xmlns:c16="http://schemas.microsoft.com/office/drawing/2014/chart" uri="{C3380CC4-5D6E-409C-BE32-E72D297353CC}">
              <c16:uniqueId val="{00000001-F6D7-46B1-9012-12A3087FA8A3}"/>
            </c:ext>
          </c:extLst>
        </c:ser>
        <c:ser>
          <c:idx val="2"/>
          <c:order val="2"/>
          <c:tx>
            <c:strRef>
              <c:f>'figuur 6'!$G$5</c:f>
              <c:strCache>
                <c:ptCount val="1"/>
                <c:pt idx="0">
                  <c:v>Spaar/Leven/Belegging</c:v>
                </c:pt>
              </c:strCache>
            </c:strRef>
          </c:tx>
          <c:spPr>
            <a:pattFill prst="wdUpDiag">
              <a:fgClr>
                <a:srgbClr val="8FCAE7"/>
              </a:fgClr>
              <a:bgClr>
                <a:schemeClr val="bg1"/>
              </a:bgClr>
            </a:pattFill>
            <a:ln>
              <a:solidFill>
                <a:sysClr val="windowText" lastClr="000000"/>
              </a:solidFill>
            </a:ln>
            <a:effectLst/>
          </c:spPr>
          <c:invertIfNegative val="0"/>
          <c:cat>
            <c:strRef>
              <c:f>'figuur 6'!$D$6:$D$7</c:f>
              <c:strCache>
                <c:ptCount val="2"/>
                <c:pt idx="0">
                  <c:v>voor 2012</c:v>
                </c:pt>
                <c:pt idx="1">
                  <c:v>sinds 2013</c:v>
                </c:pt>
              </c:strCache>
            </c:strRef>
          </c:cat>
          <c:val>
            <c:numRef>
              <c:f>'figuur 6'!$G$6:$G$7</c:f>
              <c:numCache>
                <c:formatCode>0</c:formatCode>
                <c:ptCount val="2"/>
                <c:pt idx="0">
                  <c:v>148.96780000000001</c:v>
                </c:pt>
                <c:pt idx="1">
                  <c:v>9.7246246999999997</c:v>
                </c:pt>
              </c:numCache>
            </c:numRef>
          </c:val>
          <c:extLst>
            <c:ext xmlns:c16="http://schemas.microsoft.com/office/drawing/2014/chart" uri="{C3380CC4-5D6E-409C-BE32-E72D297353CC}">
              <c16:uniqueId val="{00000002-F6D7-46B1-9012-12A3087FA8A3}"/>
            </c:ext>
          </c:extLst>
        </c:ser>
        <c:dLbls>
          <c:showLegendKey val="0"/>
          <c:showVal val="0"/>
          <c:showCatName val="0"/>
          <c:showSerName val="0"/>
          <c:showPercent val="0"/>
          <c:showBubbleSize val="0"/>
        </c:dLbls>
        <c:gapWidth val="60"/>
        <c:overlap val="100"/>
        <c:axId val="921101871"/>
        <c:axId val="921096111"/>
      </c:barChart>
      <c:catAx>
        <c:axId val="921101871"/>
        <c:scaling>
          <c:orientation val="minMax"/>
        </c:scaling>
        <c:delete val="0"/>
        <c:axPos val="b"/>
        <c:title>
          <c:tx>
            <c:rich>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r>
                  <a:rPr lang="it-IT"/>
                  <a:t>Vermoedelijke  startdatum oudste</a:t>
                </a:r>
                <a:r>
                  <a:rPr lang="it-IT" baseline="0"/>
                  <a:t> lening</a:t>
                </a:r>
                <a:endParaRPr lang="it-IT"/>
              </a:p>
            </c:rich>
          </c:tx>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it-IT"/>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nl-NL"/>
          </a:p>
        </c:txPr>
        <c:crossAx val="921096111"/>
        <c:crosses val="autoZero"/>
        <c:auto val="1"/>
        <c:lblAlgn val="ctr"/>
        <c:lblOffset val="100"/>
        <c:noMultiLvlLbl val="0"/>
      </c:catAx>
      <c:valAx>
        <c:axId val="921096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r>
                  <a:rPr lang="it-IT"/>
                  <a:t>Schuld  (miljard euro)</a:t>
                </a:r>
              </a:p>
            </c:rich>
          </c:tx>
          <c:overlay val="0"/>
          <c:spPr>
            <a:no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nl-NL"/>
          </a:p>
        </c:txPr>
        <c:crossAx val="921101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'verd 30JT'!$C$2</c:f>
              <c:strCache>
                <c:ptCount val="1"/>
                <c:pt idx="0">
                  <c:v>30JT</c:v>
                </c:pt>
              </c:strCache>
            </c:strRef>
          </c:tx>
          <c:spPr>
            <a:solidFill>
              <a:srgbClr val="01689B"/>
            </a:solidFill>
            <a:ln>
              <a:noFill/>
            </a:ln>
            <a:effectLst/>
          </c:spPr>
          <c:invertIfNegative val="0"/>
          <c:cat>
            <c:numRef>
              <c:f>'verd 30JT'!$B$3:$B$14</c:f>
              <c:numCache>
                <c:formatCode>General</c:formatCode>
                <c:ptCount val="12"/>
                <c:pt idx="0">
                  <c:v>2031</c:v>
                </c:pt>
                <c:pt idx="1">
                  <c:v>2032</c:v>
                </c:pt>
                <c:pt idx="2">
                  <c:v>2033</c:v>
                </c:pt>
                <c:pt idx="3">
                  <c:v>2034</c:v>
                </c:pt>
                <c:pt idx="4">
                  <c:v>2035</c:v>
                </c:pt>
                <c:pt idx="5">
                  <c:v>2036</c:v>
                </c:pt>
                <c:pt idx="6">
                  <c:v>2037</c:v>
                </c:pt>
                <c:pt idx="7">
                  <c:v>2038</c:v>
                </c:pt>
                <c:pt idx="8">
                  <c:v>2039</c:v>
                </c:pt>
                <c:pt idx="9">
                  <c:v>2040</c:v>
                </c:pt>
                <c:pt idx="10">
                  <c:v>2041</c:v>
                </c:pt>
                <c:pt idx="11">
                  <c:v>2042</c:v>
                </c:pt>
              </c:numCache>
            </c:numRef>
          </c:cat>
          <c:val>
            <c:numRef>
              <c:f>'verd 30JT'!$C$3:$C$14</c:f>
              <c:numCache>
                <c:formatCode>0.0%</c:formatCode>
                <c:ptCount val="12"/>
                <c:pt idx="0" formatCode="0%">
                  <c:v>0.40817791873067549</c:v>
                </c:pt>
                <c:pt idx="1">
                  <c:v>3.3493074753371412E-2</c:v>
                </c:pt>
                <c:pt idx="2">
                  <c:v>4.7340059780244456E-2</c:v>
                </c:pt>
                <c:pt idx="3">
                  <c:v>5.5947307939982753E-2</c:v>
                </c:pt>
                <c:pt idx="4">
                  <c:v>8.4852007253461065E-2</c:v>
                </c:pt>
                <c:pt idx="5">
                  <c:v>8.5009098010599526E-2</c:v>
                </c:pt>
                <c:pt idx="6">
                  <c:v>6.6196018080639407E-2</c:v>
                </c:pt>
                <c:pt idx="7">
                  <c:v>5.6684815911461621E-2</c:v>
                </c:pt>
                <c:pt idx="8">
                  <c:v>4.2747006699940283E-2</c:v>
                </c:pt>
                <c:pt idx="9">
                  <c:v>3.9881951948159272E-2</c:v>
                </c:pt>
                <c:pt idx="10">
                  <c:v>3.859871926205545E-2</c:v>
                </c:pt>
                <c:pt idx="11">
                  <c:v>4.1072021629409261E-2</c:v>
                </c:pt>
              </c:numCache>
            </c:numRef>
          </c:val>
          <c:extLst>
            <c:ext xmlns:c16="http://schemas.microsoft.com/office/drawing/2014/chart" uri="{C3380CC4-5D6E-409C-BE32-E72D297353CC}">
              <c16:uniqueId val="{00000000-1AF4-479A-BFB0-E9946863EE24}"/>
            </c:ext>
          </c:extLst>
        </c:ser>
        <c:dLbls>
          <c:showLegendKey val="0"/>
          <c:showVal val="0"/>
          <c:showCatName val="0"/>
          <c:showSerName val="0"/>
          <c:showPercent val="0"/>
          <c:showBubbleSize val="0"/>
        </c:dLbls>
        <c:gapWidth val="160"/>
        <c:overlap val="-41"/>
        <c:axId val="2064011727"/>
        <c:axId val="2064015567"/>
      </c:barChart>
      <c:catAx>
        <c:axId val="2064011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ysClr val="windowText" lastClr="000000"/>
                </a:solidFill>
                <a:latin typeface="+mn-lt"/>
                <a:ea typeface="+mn-ea"/>
                <a:cs typeface="+mn-cs"/>
              </a:defRPr>
            </a:pPr>
            <a:endParaRPr lang="nl-NL"/>
          </a:p>
        </c:txPr>
        <c:crossAx val="2064015567"/>
        <c:crosses val="autoZero"/>
        <c:auto val="1"/>
        <c:lblAlgn val="ctr"/>
        <c:lblOffset val="100"/>
        <c:noMultiLvlLbl val="0"/>
      </c:catAx>
      <c:valAx>
        <c:axId val="2064015567"/>
        <c:scaling>
          <c:orientation val="minMax"/>
          <c:max val="0.45"/>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nl-NL"/>
          </a:p>
        </c:txPr>
        <c:crossAx val="20640117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800">
          <a:solidFill>
            <a:sysClr val="windowText" lastClr="000000"/>
          </a:solidFill>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63</ap:Pages>
  <ap:Words>19442</ap:Words>
  <ap:Characters>106932</ap:Characters>
  <ap:DocSecurity>0</ap:DocSecurity>
  <ap:Lines>891</ap:Lines>
  <ap:Paragraphs>252</ap:Paragraphs>
  <ap:ScaleCrop>false</ap:ScaleCrop>
  <ap:HeadingPairs>
    <vt:vector baseType="variant" size="2">
      <vt:variant>
        <vt:lpstr>Titel</vt:lpstr>
      </vt:variant>
      <vt:variant>
        <vt:i4>1</vt:i4>
      </vt:variant>
    </vt:vector>
  </ap:HeadingPairs>
  <ap:TitlesOfParts>
    <vt:vector baseType="lpstr" size="1">
      <vt:lpstr>Rapport enkelzijdig - Rapport Onderzoek 30-jaarstermijn Hypotheekrenteaftrek</vt:lpstr>
    </vt:vector>
  </ap:TitlesOfParts>
  <ap:LinksUpToDate>false</ap:LinksUpToDate>
  <ap:CharactersWithSpaces>126122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2026-05-13T11:04:00.0000000Z</lastPrinted>
  <dcterms:created xsi:type="dcterms:W3CDTF">2026-05-13T11:04:00.0000000Z</dcterms:created>
  <dcterms:modified xsi:type="dcterms:W3CDTF">2026-05-13T11:05:00.0000000Z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Rapport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concept</vt:lpwstr>
  </property>
  <property fmtid="{D5CDD505-2E9C-101B-9397-08002B2CF9AE}" pid="11" name="Aan">
    <vt:lpwstr/>
  </property>
  <property fmtid="{D5CDD505-2E9C-101B-9397-08002B2CF9AE}" pid="12" name="Van">
    <vt:lpwstr/>
  </property>
  <property fmtid="{D5CDD505-2E9C-101B-9397-08002B2CF9AE}" pid="13" name="Datum">
    <vt:lpwstr>12 mei 2026</vt:lpwstr>
  </property>
  <property fmtid="{D5CDD505-2E9C-101B-9397-08002B2CF9AE}" pid="14" name="Opgesteld door, Naam">
    <vt:lpwstr>Tom Maandag</vt:lpwstr>
  </property>
  <property fmtid="{D5CDD505-2E9C-101B-9397-08002B2CF9AE}" pid="15" name="Opgesteld door, Telefoonnummer">
    <vt:lpwstr/>
  </property>
  <property fmtid="{D5CDD505-2E9C-101B-9397-08002B2CF9AE}" pid="16" name="Kenmerk">
    <vt:lpwstr>2026-0000198572</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DocGen_Rapport enkelzijdig_nl_NL</vt:lpwstr>
  </property>
  <property fmtid="{D5CDD505-2E9C-101B-9397-08002B2CF9AE}" pid="31" name="Onderwerp">
    <vt:lpwstr>Rapport Onderzoek 30-jaarstermijn Hypotheekrenteaftrek</vt:lpwstr>
  </property>
  <property fmtid="{D5CDD505-2E9C-101B-9397-08002B2CF9AE}" pid="32" name="MSIP_Label_b2aa6e22-2c82-48c6-bf24-1790f4b9c128_Enabled">
    <vt:lpwstr>true</vt:lpwstr>
  </property>
  <property fmtid="{D5CDD505-2E9C-101B-9397-08002B2CF9AE}" pid="33" name="MSIP_Label_b2aa6e22-2c82-48c6-bf24-1790f4b9c128_SetDate">
    <vt:lpwstr>2026-01-28T14:02:36Z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cb079bd3-a09d-4348-89c0-2697e735a727</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