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2026Z09764</w:t>
        <w:br/>
      </w:r>
      <w:proofErr w:type="spellEnd"/>
    </w:p>
    <w:p>
      <w:pPr>
        <w:pStyle w:val="Normal"/>
        <w:rPr>
          <w:b w:val="1"/>
          <w:bCs w:val="1"/>
        </w:rPr>
      </w:pPr>
      <w:r w:rsidR="250AE766">
        <w:rPr>
          <w:b w:val="0"/>
          <w:bCs w:val="0"/>
        </w:rPr>
        <w:t>(ingezonden 13 mei 2026)</w:t>
        <w:br/>
      </w:r>
    </w:p>
    <w:p>
      <w:r>
        <w:t xml:space="preserve">Vragen van het lid Lahlah (GroenLinks-PvdA) aan de ministers van Werk en Participatie, van Justitie en Veiligheid en van Infrastructuur en Waterstaat over het inwisselen van buitenlandse rijbewijzen in Nederland</w:t>
      </w:r>
      <w:r>
        <w:br/>
      </w:r>
    </w:p>
    <w:p>
      <w:pPr>
        <w:pStyle w:val="ListParagraph"/>
        <w:numPr>
          <w:ilvl w:val="0"/>
          <w:numId w:val="100506980"/>
        </w:numPr>
        <w:ind w:left="360"/>
      </w:pPr>
      <w:r>
        <w:t xml:space="preserve">Bent u bekend met de regels rondom het inwisselen van buitenlandse rijbewijzen in Nederland?</w:t>
      </w:r>
      <w:r>
        <w:br/>
      </w:r>
    </w:p>
    <w:p>
      <w:pPr>
        <w:pStyle w:val="ListParagraph"/>
        <w:numPr>
          <w:ilvl w:val="0"/>
          <w:numId w:val="100506980"/>
        </w:numPr>
        <w:ind w:left="360"/>
      </w:pPr>
      <w:r>
        <w:t xml:space="preserve">Klopt het dat personen die gebruikmaken van de 30%-regeling, zoals kennismigranten, hun buitenlandse rijbewijs uit elk land kunnen omwisselen voor een Nederlands rijbewijs zonder opnieuw examens hoeven af te leggen?</w:t>
      </w:r>
      <w:r>
        <w:br/>
      </w:r>
    </w:p>
    <w:p>
      <w:pPr>
        <w:pStyle w:val="ListParagraph"/>
        <w:numPr>
          <w:ilvl w:val="0"/>
          <w:numId w:val="100506980"/>
        </w:numPr>
        <w:ind w:left="360"/>
      </w:pPr>
      <w:r>
        <w:t xml:space="preserve">Klopt het dat statushouders daarentegen, bijvoorbeeld afkomstig uit Syrië, hun rijbewijs niet kunnen omwisselen en daardoor opnieuw examens moeten afleggen, kosten moeten maken en daardoor vertraagd worden?</w:t>
      </w:r>
      <w:r>
        <w:br/>
      </w:r>
    </w:p>
    <w:p>
      <w:pPr>
        <w:pStyle w:val="ListParagraph"/>
        <w:numPr>
          <w:ilvl w:val="0"/>
          <w:numId w:val="100506980"/>
        </w:numPr>
        <w:ind w:left="360"/>
      </w:pPr>
      <w:r>
        <w:t xml:space="preserve">Hoe verklaart u het verschil in behandeling tussen kennismigranten die onder de 30%-regeling vallen en statushouders bij het omwisselen van rijbewijzen?</w:t>
      </w:r>
      <w:r>
        <w:br/>
      </w:r>
    </w:p>
    <w:p>
      <w:pPr>
        <w:pStyle w:val="ListParagraph"/>
        <w:numPr>
          <w:ilvl w:val="0"/>
          <w:numId w:val="100506980"/>
        </w:numPr>
        <w:ind w:left="360"/>
      </w:pPr>
      <w:r>
        <w:t xml:space="preserve">In hoeverre is dit verschil tussen de behandeling bij bijvoorbeeld een Syrische arbeidsmigrant en een Syrische statushouder gebaseerd op verkeersveiligheid of objectieve kwaliteitseisen, en in hoeverre op andere factoren zoals verblijfsgrond en economische positie?</w:t>
      </w:r>
      <w:r>
        <w:br/>
      </w:r>
    </w:p>
    <w:p>
      <w:pPr>
        <w:pStyle w:val="ListParagraph"/>
        <w:numPr>
          <w:ilvl w:val="0"/>
          <w:numId w:val="100506980"/>
        </w:numPr>
        <w:ind w:left="360"/>
      </w:pPr>
      <w:r>
        <w:t xml:space="preserve">Tot hoeverre acht u het wenselijk dat de afweging of iemand zijn rijbewijs kan omwisselen of niet, gebaseerd is op verblijfsgrond en economische positie?</w:t>
      </w:r>
      <w:r>
        <w:br/>
      </w:r>
    </w:p>
    <w:p>
      <w:pPr>
        <w:pStyle w:val="ListParagraph"/>
        <w:numPr>
          <w:ilvl w:val="0"/>
          <w:numId w:val="100506980"/>
        </w:numPr>
        <w:ind w:left="360"/>
      </w:pPr>
      <w:r>
        <w:t xml:space="preserve">Deelt u de opvatting dat het onderscheid tussen groepen migranten op basis van regeling (zoals de 30%-regeling) moeilijk uitlegbaar is wanneer het niet direct samenhangt met verkeersveiligheid?</w:t>
      </w:r>
      <w:r>
        <w:br/>
      </w:r>
    </w:p>
    <w:p>
      <w:pPr>
        <w:pStyle w:val="ListParagraph"/>
        <w:numPr>
          <w:ilvl w:val="0"/>
          <w:numId w:val="100506980"/>
        </w:numPr>
        <w:ind w:left="360"/>
      </w:pPr>
      <w:r>
        <w:t xml:space="preserve">Bent u bereid te onderzoeken of de regels voor het omwisselen van rijbewijzen eenduidiger en rechtvaardiger kunnen, bijvoorbeeld door één lijn te trekken voor verschillende groepen migranten op basis van objectieve verkeerskwaliteiteisen?</w:t>
      </w:r>
      <w:r>
        <w:br/>
      </w:r>
    </w:p>
    <w:p>
      <w:pPr>
        <w:pStyle w:val="ListParagraph"/>
        <w:numPr>
          <w:ilvl w:val="0"/>
          <w:numId w:val="100506980"/>
        </w:numPr>
        <w:ind w:left="360"/>
      </w:pPr>
      <w:r>
        <w:t xml:space="preserve">Bent u bekend met de motie van het lid Lahlah over het wegnemen van drempels voor asielzoekers met een W-document om een rijbewijs aan te vragen 1) en uw appreciatie waarin u deze motie ontraadt? 2)</w:t>
      </w:r>
      <w:r>
        <w:br/>
      </w:r>
    </w:p>
    <w:p>
      <w:pPr>
        <w:pStyle w:val="ListParagraph"/>
        <w:numPr>
          <w:ilvl w:val="0"/>
          <w:numId w:val="100506980"/>
        </w:numPr>
        <w:ind w:left="360"/>
      </w:pPr>
      <w:r>
        <w:t xml:space="preserve">Klopt het dat asielzoekers met een W-document wel theorie- en praktijkexamens kunnen afleggen bij het CBR, maar vervolgens geen Nederlands rijbewijs kunnen aanvragen?</w:t>
      </w:r>
      <w:r>
        <w:br/>
      </w:r>
    </w:p>
    <w:p>
      <w:pPr>
        <w:pStyle w:val="ListParagraph"/>
        <w:numPr>
          <w:ilvl w:val="0"/>
          <w:numId w:val="100506980"/>
        </w:numPr>
        <w:ind w:left="360"/>
      </w:pPr>
      <w:r>
        <w:t xml:space="preserve">Klopt het dat er op dit moment tussen en binnen gemeentes verschillen zijn in de mogelijkheden voor asielzoekers om een rijbewijs te kunnen aanvragen na afgelegde theorie- en praktijkexamens?</w:t>
      </w:r>
      <w:r>
        <w:br/>
      </w:r>
    </w:p>
    <w:p>
      <w:pPr>
        <w:pStyle w:val="ListParagraph"/>
        <w:numPr>
          <w:ilvl w:val="0"/>
          <w:numId w:val="100506980"/>
        </w:numPr>
        <w:ind w:left="360"/>
      </w:pPr>
      <w:r>
        <w:t xml:space="preserve">Kunt u nader toelichten hoe het woonlandbeginsel uit de Europese rijbewijsrichtlijn wordt geïnterpreteerd in relatie tot asielzoekers met een W-document?</w:t>
      </w:r>
      <w:r>
        <w:br/>
      </w:r>
    </w:p>
    <w:p>
      <w:pPr>
        <w:pStyle w:val="ListParagraph"/>
        <w:numPr>
          <w:ilvl w:val="0"/>
          <w:numId w:val="100506980"/>
        </w:numPr>
        <w:ind w:left="360"/>
      </w:pPr>
      <w:r>
        <w:t xml:space="preserve">In hoeverre biedt dit woonlandbeginsel ruimte voor nationale interpretatie, en benut Nederland deze ruimte maximaal?</w:t>
      </w:r>
      <w:r>
        <w:br/>
      </w:r>
    </w:p>
    <w:p>
      <w:pPr>
        <w:pStyle w:val="ListParagraph"/>
        <w:numPr>
          <w:ilvl w:val="0"/>
          <w:numId w:val="100506980"/>
        </w:numPr>
        <w:ind w:left="360"/>
      </w:pPr>
      <w:r>
        <w:t xml:space="preserve">Hoe gaan andere EU-lidstaten om met asielzoekers die een rijbewijs willen aanvragen voordat zij een definitieve verblijfsstatus hebben? Zijn er voorbeelden van landen waarbij asielzoekers wel een rijbewijs kunnen aanvragen?</w:t>
      </w:r>
      <w:r>
        <w:br/>
      </w:r>
    </w:p>
    <w:p>
      <w:pPr>
        <w:pStyle w:val="ListParagraph"/>
        <w:numPr>
          <w:ilvl w:val="0"/>
          <w:numId w:val="100506980"/>
        </w:numPr>
        <w:ind w:left="360"/>
      </w:pPr>
      <w:r>
        <w:t xml:space="preserve">Deelt u de opvatting dat het toestaan van examens zonder de mogelijkheid om een rijbewijs te verkrijgen kan leiden tot inefficiëntie, kosten en frustratie bij betrokkenen?</w:t>
      </w:r>
      <w:r>
        <w:br/>
      </w:r>
    </w:p>
    <w:p>
      <w:pPr>
        <w:pStyle w:val="ListParagraph"/>
        <w:numPr>
          <w:ilvl w:val="0"/>
          <w:numId w:val="100506980"/>
        </w:numPr>
        <w:ind w:left="360"/>
      </w:pPr>
      <w:r>
        <w:t xml:space="preserve">Deelt u de opvatting dat, indien dit juridisch mogelijk is, wie zijn rijexamens heeft gehaald ook een rijbewijs moet kunnen krijgen?</w:t>
      </w:r>
      <w:r>
        <w:br/>
      </w:r>
    </w:p>
    <w:p>
      <w:pPr>
        <w:pStyle w:val="ListParagraph"/>
        <w:numPr>
          <w:ilvl w:val="0"/>
          <w:numId w:val="100506980"/>
        </w:numPr>
        <w:ind w:left="360"/>
      </w:pPr>
      <w:r>
        <w:t xml:space="preserve">In uw appreciatie van de eerder genoemde motie van het lid Lahlah geeft u aan dat er wordt gewerkt aan een implementatie van de vierde rijbewijsrichtlijn vanuit Brussel; zal deze implementatie ruimte kunnen bieden voor de wetgever om iets te doen aan onze invulling van ‘gewone verblijfplaats’ en het woonlandbeginsel?</w:t>
      </w:r>
      <w:r>
        <w:br/>
      </w:r>
    </w:p>
    <w:p>
      <w:pPr>
        <w:pStyle w:val="ListParagraph"/>
        <w:numPr>
          <w:ilvl w:val="0"/>
          <w:numId w:val="100506980"/>
        </w:numPr>
        <w:ind w:left="360"/>
      </w:pPr>
      <w:r>
        <w:t xml:space="preserve">Welke mogelijkheden ziet u om, binnen de bestaande Europese kaders, deze belemmeringen te verminderen of weg te nemen?</w:t>
      </w:r>
      <w:r>
        <w:br/>
      </w:r>
    </w:p>
    <w:p>
      <w:pPr>
        <w:pStyle w:val="ListParagraph"/>
        <w:numPr>
          <w:ilvl w:val="0"/>
          <w:numId w:val="100506980"/>
        </w:numPr>
        <w:ind w:left="360"/>
      </w:pPr>
      <w:r>
        <w:t xml:space="preserve">In hoeverre bent u bereid zich in te spannen om bestaande belemmeringen weg te nemen voor asielzoekers, met name wanneer deze niet direct voortvloeien uit verkeersveiligheidseisen maar uit administratieve of verblijfsrechtelijke voorwaarden? Op welke manier bent u van plan om die inspanning invulling te geven en met welk tijdspad?</w:t>
      </w:r>
      <w:r>
        <w:br/>
      </w:r>
    </w:p>
    <w:p>
      <w:r>
        <w:t xml:space="preserve">1) Kamerstuk 32824, nr. 484</w:t>
      </w:r>
      <w:r>
        <w:br/>
      </w:r>
    </w:p>
    <w:p>
      <w:r>
        <w:t xml:space="preserve">2) Kamerstuk 29398, nr. 1204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