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Content>
        <w:p w:rsidRPr="00E340DB" w:rsidR="00EE2A9D" w:rsidP="00E340DB" w:rsidRDefault="00EE2A9D" w14:paraId="7636C58D" w14:textId="77777777">
          <w:pPr>
            <w:rPr>
              <w:szCs w:val="18"/>
            </w:rPr>
          </w:pPr>
        </w:p>
        <w:p w:rsidRPr="00E340DB" w:rsidR="00CD5856" w:rsidP="00E340DB" w:rsidRDefault="00000000" w14:paraId="2E45B5A6" w14:textId="77777777">
          <w:pPr>
            <w:spacing w:line="240" w:lineRule="auto"/>
            <w:rPr>
              <w:szCs w:val="18"/>
            </w:rPr>
            <w:sectPr w:rsidRPr="00E340DB"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p w:rsidRPr="00E340DB" w:rsidR="00CD5856" w:rsidP="00E340DB" w:rsidRDefault="00000000" w14:paraId="43566BDC" w14:textId="77777777">
      <w:pPr>
        <w:pStyle w:val="Huisstijl-Aanhef"/>
        <w:rPr>
          <w:szCs w:val="18"/>
        </w:rPr>
      </w:pPr>
      <w:r w:rsidRPr="00E340DB">
        <w:rPr>
          <w:szCs w:val="18"/>
        </w:rPr>
        <w:t xml:space="preserve">Geachte </w:t>
      </w:r>
      <w:r w:rsidRPr="00E340DB" w:rsidR="007C5BD3">
        <w:rPr>
          <w:szCs w:val="18"/>
        </w:rPr>
        <w:t>V</w:t>
      </w:r>
      <w:r w:rsidRPr="00E340DB">
        <w:rPr>
          <w:szCs w:val="18"/>
        </w:rPr>
        <w:t>oorzitter,</w:t>
      </w:r>
    </w:p>
    <w:p w:rsidRPr="00E340DB" w:rsidR="001C506E" w:rsidP="00E340DB" w:rsidRDefault="00000000" w14:paraId="6574A67E" w14:textId="77777777">
      <w:pPr>
        <w:rPr>
          <w:szCs w:val="18"/>
        </w:rPr>
      </w:pPr>
      <w:bookmarkStart w:name="_Hlk219889576" w:id="2"/>
      <w:bookmarkStart w:name="_Hlk219115818" w:id="3"/>
      <w:r w:rsidRPr="00E340DB">
        <w:rPr>
          <w:szCs w:val="18"/>
        </w:rPr>
        <w:t>Hierbij stuur</w:t>
      </w:r>
      <w:r w:rsidRPr="00E340DB" w:rsidR="005C5416">
        <w:rPr>
          <w:szCs w:val="18"/>
        </w:rPr>
        <w:t>t het kabinet de</w:t>
      </w:r>
      <w:r w:rsidRPr="00E340DB">
        <w:rPr>
          <w:szCs w:val="18"/>
        </w:rPr>
        <w:t xml:space="preserve"> Kamer de eindrapportage van het TNO programma (post) COVID-19 (zie bijlage 1). Hiermee voldoe</w:t>
      </w:r>
      <w:r w:rsidRPr="00E340DB" w:rsidR="005C5416">
        <w:rPr>
          <w:szCs w:val="18"/>
        </w:rPr>
        <w:t>t het kabinet</w:t>
      </w:r>
      <w:r w:rsidRPr="00E340DB">
        <w:rPr>
          <w:szCs w:val="18"/>
        </w:rPr>
        <w:t xml:space="preserve"> aan de toezegging </w:t>
      </w:r>
      <w:r w:rsidRPr="00E340DB" w:rsidR="005F69B8">
        <w:rPr>
          <w:szCs w:val="18"/>
        </w:rPr>
        <w:t xml:space="preserve">van </w:t>
      </w:r>
      <w:r w:rsidRPr="00E340DB">
        <w:rPr>
          <w:szCs w:val="18"/>
        </w:rPr>
        <w:t xml:space="preserve">de voormalige staatssecretaris </w:t>
      </w:r>
      <w:r w:rsidRPr="00E340DB" w:rsidR="00845365">
        <w:rPr>
          <w:szCs w:val="18"/>
        </w:rPr>
        <w:t>van Volksgezondheid, Welzijn en Spor</w:t>
      </w:r>
      <w:r w:rsidRPr="00E340DB" w:rsidR="00FC6FCB">
        <w:rPr>
          <w:szCs w:val="18"/>
        </w:rPr>
        <w:t>t</w:t>
      </w:r>
      <w:r w:rsidRPr="00E340DB" w:rsidR="00845365">
        <w:rPr>
          <w:szCs w:val="18"/>
        </w:rPr>
        <w:t xml:space="preserve"> </w:t>
      </w:r>
      <w:r w:rsidRPr="00E340DB">
        <w:rPr>
          <w:szCs w:val="18"/>
        </w:rPr>
        <w:t xml:space="preserve">om de volledige resultaten van het TNO onderzoeksprogramma aan </w:t>
      </w:r>
      <w:r w:rsidRPr="00E340DB" w:rsidR="005C5416">
        <w:rPr>
          <w:szCs w:val="18"/>
        </w:rPr>
        <w:t>de</w:t>
      </w:r>
      <w:r w:rsidRPr="00E340DB" w:rsidR="001328F2">
        <w:rPr>
          <w:szCs w:val="18"/>
        </w:rPr>
        <w:t xml:space="preserve"> </w:t>
      </w:r>
      <w:r w:rsidRPr="00E340DB">
        <w:rPr>
          <w:szCs w:val="18"/>
        </w:rPr>
        <w:t>Kamer aan te bieden</w:t>
      </w:r>
      <w:r w:rsidRPr="00E340DB" w:rsidR="005C5416">
        <w:rPr>
          <w:szCs w:val="18"/>
        </w:rPr>
        <w:t>.</w:t>
      </w:r>
      <w:r w:rsidRPr="00E340DB">
        <w:rPr>
          <w:rStyle w:val="Voetnootmarkering"/>
          <w:szCs w:val="18"/>
        </w:rPr>
        <w:footnoteReference w:id="1"/>
      </w:r>
    </w:p>
    <w:p w:rsidRPr="00E340DB" w:rsidR="001C506E" w:rsidP="00E340DB" w:rsidRDefault="001C506E" w14:paraId="47242C3B" w14:textId="77777777">
      <w:pPr>
        <w:rPr>
          <w:szCs w:val="18"/>
        </w:rPr>
      </w:pPr>
    </w:p>
    <w:p w:rsidRPr="00E340DB" w:rsidR="001C506E" w:rsidP="00E340DB" w:rsidRDefault="00000000" w14:paraId="51C1A1F5" w14:textId="7F33498C">
      <w:pPr>
        <w:rPr>
          <w:szCs w:val="18"/>
        </w:rPr>
      </w:pPr>
      <w:r w:rsidRPr="00E340DB">
        <w:rPr>
          <w:szCs w:val="18"/>
        </w:rPr>
        <w:t>In 2023 is gestart om in voorbereiding op</w:t>
      </w:r>
      <w:r w:rsidRPr="00E340DB" w:rsidR="001328F2">
        <w:rPr>
          <w:szCs w:val="18"/>
        </w:rPr>
        <w:t>,</w:t>
      </w:r>
      <w:r w:rsidRPr="00E340DB">
        <w:rPr>
          <w:szCs w:val="18"/>
        </w:rPr>
        <w:t xml:space="preserve"> en ter voorkoming van</w:t>
      </w:r>
      <w:r w:rsidRPr="00E340DB" w:rsidR="001328F2">
        <w:rPr>
          <w:szCs w:val="18"/>
        </w:rPr>
        <w:t>,</w:t>
      </w:r>
      <w:r w:rsidRPr="00E340DB">
        <w:rPr>
          <w:szCs w:val="18"/>
        </w:rPr>
        <w:t xml:space="preserve"> een nieuwe pandemie kennis en inzichten in beeld te brengen</w:t>
      </w:r>
      <w:r w:rsidRPr="00E340DB" w:rsidR="001328F2">
        <w:rPr>
          <w:szCs w:val="18"/>
        </w:rPr>
        <w:t xml:space="preserve"> waarmee </w:t>
      </w:r>
      <w:r w:rsidRPr="00E340DB">
        <w:rPr>
          <w:szCs w:val="18"/>
        </w:rPr>
        <w:t xml:space="preserve">de juiste beleidskeuzes </w:t>
      </w:r>
      <w:r w:rsidRPr="00E340DB" w:rsidR="001328F2">
        <w:rPr>
          <w:szCs w:val="18"/>
        </w:rPr>
        <w:t>voor de lange termijn gemaakt kunnen worden</w:t>
      </w:r>
      <w:r w:rsidRPr="00E340DB">
        <w:rPr>
          <w:szCs w:val="18"/>
        </w:rPr>
        <w:t xml:space="preserve">. Om zicht te krijgen </w:t>
      </w:r>
      <w:r w:rsidRPr="00E340DB" w:rsidR="001328F2">
        <w:rPr>
          <w:szCs w:val="18"/>
        </w:rPr>
        <w:t xml:space="preserve">op </w:t>
      </w:r>
      <w:r w:rsidRPr="00E340DB">
        <w:rPr>
          <w:szCs w:val="18"/>
        </w:rPr>
        <w:t xml:space="preserve">welke kennis </w:t>
      </w:r>
      <w:r w:rsidRPr="00E340DB" w:rsidR="001328F2">
        <w:rPr>
          <w:szCs w:val="18"/>
        </w:rPr>
        <w:t xml:space="preserve">concreet is vereist, </w:t>
      </w:r>
      <w:r w:rsidRPr="00E340DB">
        <w:rPr>
          <w:szCs w:val="18"/>
        </w:rPr>
        <w:t>en welke kennis prioriteit heeft, is toentertijd een zogenaamde kennisprioritering COVID-19 uitgewerkt. Hierbij werden</w:t>
      </w:r>
      <w:r w:rsidRPr="00E340DB" w:rsidR="001328F2">
        <w:rPr>
          <w:szCs w:val="18"/>
        </w:rPr>
        <w:t>,</w:t>
      </w:r>
      <w:r w:rsidRPr="00E340DB">
        <w:rPr>
          <w:szCs w:val="18"/>
        </w:rPr>
        <w:t xml:space="preserve"> onder andere</w:t>
      </w:r>
      <w:r w:rsidRPr="00E340DB" w:rsidR="001328F2">
        <w:rPr>
          <w:szCs w:val="18"/>
        </w:rPr>
        <w:t>,</w:t>
      </w:r>
      <w:r w:rsidRPr="00E340DB">
        <w:rPr>
          <w:szCs w:val="18"/>
        </w:rPr>
        <w:t xml:space="preserve"> de </w:t>
      </w:r>
      <w:r w:rsidRPr="00E340DB" w:rsidR="00BD0634">
        <w:rPr>
          <w:szCs w:val="18"/>
        </w:rPr>
        <w:t>onderzoeks</w:t>
      </w:r>
      <w:r w:rsidRPr="00E340DB">
        <w:rPr>
          <w:szCs w:val="18"/>
        </w:rPr>
        <w:t xml:space="preserve">domeinen post-COVID, gedrag, immuniteit, monitoring en effectiviteit van maatregelen </w:t>
      </w:r>
      <w:r w:rsidRPr="00E340DB" w:rsidR="001328F2">
        <w:rPr>
          <w:szCs w:val="18"/>
        </w:rPr>
        <w:t>geïdentificeerd</w:t>
      </w:r>
      <w:r w:rsidRPr="00E340DB">
        <w:rPr>
          <w:szCs w:val="18"/>
        </w:rPr>
        <w:t xml:space="preserve">. Deze prioritering is </w:t>
      </w:r>
      <w:r w:rsidRPr="00E340DB" w:rsidR="001328F2">
        <w:rPr>
          <w:szCs w:val="18"/>
        </w:rPr>
        <w:t>vervolgens</w:t>
      </w:r>
      <w:r w:rsidRPr="00E340DB">
        <w:rPr>
          <w:szCs w:val="18"/>
        </w:rPr>
        <w:t xml:space="preserve"> aan</w:t>
      </w:r>
      <w:r w:rsidRPr="00E340DB" w:rsidR="001328F2">
        <w:rPr>
          <w:szCs w:val="18"/>
        </w:rPr>
        <w:t xml:space="preserve"> </w:t>
      </w:r>
      <w:r w:rsidRPr="00E340DB">
        <w:rPr>
          <w:szCs w:val="18"/>
        </w:rPr>
        <w:t xml:space="preserve">experts en kennispartners (zoals ZonMw, het RIVM, de Gezondheidsraad en TNO) </w:t>
      </w:r>
      <w:r w:rsidRPr="00E340DB" w:rsidR="001328F2">
        <w:rPr>
          <w:szCs w:val="18"/>
        </w:rPr>
        <w:t xml:space="preserve">ter validering </w:t>
      </w:r>
      <w:r w:rsidRPr="00E340DB">
        <w:rPr>
          <w:szCs w:val="18"/>
        </w:rPr>
        <w:t>voorgelegd</w:t>
      </w:r>
      <w:r w:rsidRPr="00E340DB" w:rsidR="001328F2">
        <w:rPr>
          <w:szCs w:val="18"/>
        </w:rPr>
        <w:t xml:space="preserve">, alsook om deze aan te laten sluiten bij </w:t>
      </w:r>
      <w:r w:rsidRPr="00E340DB">
        <w:rPr>
          <w:szCs w:val="18"/>
        </w:rPr>
        <w:t>lopende programma’s.</w:t>
      </w:r>
      <w:r w:rsidRPr="00E340DB" w:rsidR="001328F2">
        <w:rPr>
          <w:szCs w:val="18"/>
        </w:rPr>
        <w:t xml:space="preserve"> </w:t>
      </w:r>
      <w:r w:rsidRPr="00E340DB">
        <w:rPr>
          <w:szCs w:val="18"/>
        </w:rPr>
        <w:t xml:space="preserve">Op 25 april 2023 is deze kennisprioritering aan </w:t>
      </w:r>
      <w:r w:rsidRPr="00E340DB" w:rsidR="00E340DB">
        <w:rPr>
          <w:szCs w:val="18"/>
        </w:rPr>
        <w:t>de</w:t>
      </w:r>
      <w:r w:rsidRPr="00E340DB">
        <w:rPr>
          <w:szCs w:val="18"/>
        </w:rPr>
        <w:t xml:space="preserve"> Kamer gestuurd</w:t>
      </w:r>
      <w:r w:rsidRPr="00E340DB" w:rsidR="005C5416">
        <w:rPr>
          <w:szCs w:val="18"/>
        </w:rPr>
        <w:t>.</w:t>
      </w:r>
      <w:r w:rsidRPr="00E340DB">
        <w:rPr>
          <w:rStyle w:val="Voetnootmarkering"/>
          <w:szCs w:val="18"/>
        </w:rPr>
        <w:footnoteReference w:id="2"/>
      </w:r>
      <w:r w:rsidRPr="00E340DB">
        <w:rPr>
          <w:szCs w:val="18"/>
        </w:rPr>
        <w:t xml:space="preserve"> TNO heeft op 25 september 2023 naar aanleiding hiervan </w:t>
      </w:r>
      <w:r w:rsidRPr="00E340DB" w:rsidR="001328F2">
        <w:rPr>
          <w:szCs w:val="18"/>
        </w:rPr>
        <w:t xml:space="preserve">de </w:t>
      </w:r>
      <w:r w:rsidRPr="00E340DB">
        <w:rPr>
          <w:szCs w:val="18"/>
        </w:rPr>
        <w:t>opdracht gekregen van VWS om een (post)</w:t>
      </w:r>
      <w:r w:rsidRPr="00E340DB" w:rsidR="005F69B8">
        <w:rPr>
          <w:szCs w:val="18"/>
        </w:rPr>
        <w:t xml:space="preserve"> </w:t>
      </w:r>
      <w:r w:rsidRPr="00E340DB">
        <w:rPr>
          <w:szCs w:val="18"/>
        </w:rPr>
        <w:t>COVID-19 onderzoeksprogramma op te zetten</w:t>
      </w:r>
      <w:hyperlink w:history="1" w:anchor="bookmark1">
        <w:r w:rsidRPr="00E340DB" w:rsidR="001C506E">
          <w:rPr>
            <w:rStyle w:val="Hyperlink"/>
            <w:i/>
            <w:iCs/>
            <w:szCs w:val="18"/>
            <w:u w:val="none"/>
          </w:rPr>
          <w:t>.</w:t>
        </w:r>
      </w:hyperlink>
      <w:r w:rsidRPr="00E340DB">
        <w:rPr>
          <w:i/>
          <w:iCs/>
          <w:szCs w:val="18"/>
        </w:rPr>
        <w:t xml:space="preserve"> </w:t>
      </w:r>
      <w:r w:rsidRPr="00E340DB">
        <w:rPr>
          <w:szCs w:val="18"/>
        </w:rPr>
        <w:t xml:space="preserve">Dit programma is eind 2025 afgerond. </w:t>
      </w:r>
    </w:p>
    <w:p w:rsidRPr="00E340DB" w:rsidR="00B40E7D" w:rsidP="00E340DB" w:rsidRDefault="00B40E7D" w14:paraId="0C6F1BA2" w14:textId="77777777">
      <w:pPr>
        <w:rPr>
          <w:szCs w:val="18"/>
        </w:rPr>
      </w:pPr>
    </w:p>
    <w:bookmarkEnd w:id="2"/>
    <w:p w:rsidRPr="00E340DB" w:rsidR="001C506E" w:rsidP="00E340DB" w:rsidRDefault="00000000" w14:paraId="1D83D159" w14:textId="77777777">
      <w:pPr>
        <w:rPr>
          <w:b/>
          <w:bCs/>
          <w:szCs w:val="18"/>
        </w:rPr>
      </w:pPr>
      <w:r w:rsidRPr="00E340DB">
        <w:rPr>
          <w:b/>
          <w:bCs/>
          <w:szCs w:val="18"/>
        </w:rPr>
        <w:t>TNO programma (post) COVID-19</w:t>
      </w:r>
    </w:p>
    <w:p w:rsidRPr="00E340DB" w:rsidR="001C506E" w:rsidP="00E340DB" w:rsidRDefault="00000000" w14:paraId="6502FF59" w14:textId="77777777">
      <w:pPr>
        <w:rPr>
          <w:szCs w:val="18"/>
        </w:rPr>
      </w:pPr>
      <w:r w:rsidRPr="00E340DB">
        <w:rPr>
          <w:szCs w:val="18"/>
        </w:rPr>
        <w:t xml:space="preserve">Het TNO programma bestond uit </w:t>
      </w:r>
      <w:r w:rsidRPr="00E340DB" w:rsidR="00BD0634">
        <w:rPr>
          <w:szCs w:val="18"/>
        </w:rPr>
        <w:t>vijf</w:t>
      </w:r>
      <w:r w:rsidRPr="00E340DB">
        <w:rPr>
          <w:szCs w:val="18"/>
        </w:rPr>
        <w:t xml:space="preserve"> deelprogramma's waarin </w:t>
      </w:r>
      <w:r w:rsidRPr="00E340DB" w:rsidR="00BD0634">
        <w:rPr>
          <w:szCs w:val="18"/>
        </w:rPr>
        <w:t xml:space="preserve">negen </w:t>
      </w:r>
      <w:r w:rsidRPr="00E340DB">
        <w:rPr>
          <w:szCs w:val="18"/>
        </w:rPr>
        <w:t xml:space="preserve">deelonderzoeken aan de orde kwamen. Hieronder </w:t>
      </w:r>
      <w:r w:rsidRPr="00E340DB" w:rsidR="00845365">
        <w:rPr>
          <w:szCs w:val="18"/>
        </w:rPr>
        <w:t xml:space="preserve">worden </w:t>
      </w:r>
      <w:r w:rsidRPr="00E340DB">
        <w:rPr>
          <w:szCs w:val="18"/>
        </w:rPr>
        <w:t xml:space="preserve">de belangrijkste </w:t>
      </w:r>
      <w:r w:rsidRPr="00E340DB" w:rsidR="00845365">
        <w:rPr>
          <w:szCs w:val="18"/>
        </w:rPr>
        <w:t xml:space="preserve">bevindingen en </w:t>
      </w:r>
      <w:r w:rsidRPr="00E340DB">
        <w:rPr>
          <w:szCs w:val="18"/>
        </w:rPr>
        <w:t>aanbevelingen</w:t>
      </w:r>
      <w:r w:rsidRPr="00E340DB" w:rsidR="00845365">
        <w:rPr>
          <w:szCs w:val="18"/>
        </w:rPr>
        <w:t xml:space="preserve"> uiteengezet</w:t>
      </w:r>
      <w:r w:rsidRPr="00E340DB">
        <w:rPr>
          <w:szCs w:val="18"/>
        </w:rPr>
        <w:t>.</w:t>
      </w:r>
    </w:p>
    <w:p w:rsidRPr="00E340DB" w:rsidR="001C506E" w:rsidP="00E340DB" w:rsidRDefault="001C506E" w14:paraId="3F0AE621" w14:textId="77777777">
      <w:pPr>
        <w:rPr>
          <w:szCs w:val="18"/>
        </w:rPr>
      </w:pPr>
    </w:p>
    <w:bookmarkEnd w:id="3"/>
    <w:p w:rsidRPr="00E340DB" w:rsidR="001C506E" w:rsidP="00E340DB" w:rsidRDefault="00000000" w14:paraId="202B4FF0" w14:textId="77777777">
      <w:pPr>
        <w:pStyle w:val="Lijstalinea"/>
        <w:numPr>
          <w:ilvl w:val="0"/>
          <w:numId w:val="4"/>
        </w:numPr>
        <w:suppressAutoHyphens/>
        <w:rPr>
          <w:rFonts w:ascii="Verdana" w:hAnsi="Verdana"/>
          <w:sz w:val="18"/>
          <w:szCs w:val="18"/>
          <w:u w:val="single"/>
        </w:rPr>
      </w:pPr>
      <w:r w:rsidRPr="00E340DB">
        <w:rPr>
          <w:rFonts w:ascii="Verdana" w:hAnsi="Verdana"/>
          <w:sz w:val="18"/>
          <w:szCs w:val="18"/>
          <w:u w:val="single"/>
        </w:rPr>
        <w:t xml:space="preserve">Inzicht in post-COVID </w:t>
      </w:r>
    </w:p>
    <w:p w:rsidRPr="00E340DB" w:rsidR="001C506E" w:rsidP="00E340DB" w:rsidRDefault="001C506E" w14:paraId="38A67CC2" w14:textId="77777777">
      <w:pPr>
        <w:pStyle w:val="Lijstalinea"/>
        <w:suppressAutoHyphens/>
        <w:ind w:left="360"/>
        <w:rPr>
          <w:rFonts w:ascii="Verdana" w:hAnsi="Verdana"/>
          <w:sz w:val="18"/>
          <w:szCs w:val="18"/>
          <w:u w:val="single"/>
        </w:rPr>
      </w:pPr>
    </w:p>
    <w:p w:rsidRPr="00E340DB" w:rsidR="001C506E" w:rsidP="00E340DB" w:rsidRDefault="00000000" w14:paraId="660CFEC2" w14:textId="77777777">
      <w:pPr>
        <w:pStyle w:val="Lijstalinea"/>
        <w:numPr>
          <w:ilvl w:val="1"/>
          <w:numId w:val="2"/>
        </w:numPr>
        <w:suppressAutoHyphens/>
        <w:spacing w:after="0"/>
        <w:ind w:left="357" w:hanging="357"/>
        <w:rPr>
          <w:rFonts w:ascii="Verdana" w:hAnsi="Verdana"/>
          <w:i/>
          <w:iCs/>
          <w:sz w:val="18"/>
          <w:szCs w:val="18"/>
        </w:rPr>
      </w:pPr>
      <w:r w:rsidRPr="00E340DB">
        <w:rPr>
          <w:rFonts w:ascii="Verdana" w:hAnsi="Verdana"/>
          <w:i/>
          <w:iCs/>
          <w:sz w:val="18"/>
          <w:szCs w:val="18"/>
        </w:rPr>
        <w:t xml:space="preserve">De invloed van leefstijl op vatbaarheid, beloop en herstel van </w:t>
      </w:r>
      <w:r w:rsidRPr="00E340DB" w:rsidR="00845365">
        <w:rPr>
          <w:rFonts w:ascii="Verdana" w:hAnsi="Verdana"/>
          <w:i/>
          <w:iCs/>
          <w:sz w:val="18"/>
          <w:szCs w:val="18"/>
        </w:rPr>
        <w:t>p</w:t>
      </w:r>
      <w:r w:rsidRPr="00E340DB">
        <w:rPr>
          <w:rFonts w:ascii="Verdana" w:hAnsi="Verdana"/>
          <w:i/>
          <w:iCs/>
          <w:sz w:val="18"/>
          <w:szCs w:val="18"/>
        </w:rPr>
        <w:t>ost-COVID</w:t>
      </w:r>
    </w:p>
    <w:p w:rsidRPr="00E340DB" w:rsidR="001C506E" w:rsidP="00E340DB" w:rsidRDefault="00000000" w14:paraId="1B9641FA" w14:textId="77777777">
      <w:pPr>
        <w:rPr>
          <w:szCs w:val="18"/>
        </w:rPr>
      </w:pPr>
      <w:r w:rsidRPr="00E340DB">
        <w:rPr>
          <w:szCs w:val="18"/>
        </w:rPr>
        <w:t>TNO heeft een uitgebreide kennisinventarisatie gedaan (</w:t>
      </w:r>
      <w:r w:rsidRPr="00E340DB" w:rsidR="00990AEE">
        <w:rPr>
          <w:szCs w:val="18"/>
        </w:rPr>
        <w:t xml:space="preserve">zie </w:t>
      </w:r>
      <w:r w:rsidRPr="00E340DB">
        <w:rPr>
          <w:szCs w:val="18"/>
        </w:rPr>
        <w:t xml:space="preserve">bijlage 2) over de invloed van leefstijlfactoren op post-COVID. Op grond daarvan lijkt het bevorderen van een gezonde leefstijl van belang om de vatbaarheid voor </w:t>
      </w:r>
      <w:r w:rsidRPr="00E340DB" w:rsidR="00845365">
        <w:rPr>
          <w:szCs w:val="18"/>
        </w:rPr>
        <w:t>post-COVID</w:t>
      </w:r>
      <w:r w:rsidRPr="00E340DB">
        <w:rPr>
          <w:szCs w:val="18"/>
        </w:rPr>
        <w:t xml:space="preserve"> te </w:t>
      </w:r>
      <w:r w:rsidRPr="00E340DB">
        <w:rPr>
          <w:szCs w:val="18"/>
        </w:rPr>
        <w:lastRenderedPageBreak/>
        <w:t xml:space="preserve">verminderen. Relevante elementen zijn dan in ieder geval niet roken, voldoende slaap en bevorderen van mentaal welbevinden. Daarnaast vindt TNO revalidatieprogramma's met gecombineerde leefstijlfactoren zoals cognitieve gedragstherapie en/of body-mind therapie en voeding kansrijk. Ook adviseert TNO om het effect van een gecombineerde leefstijlinterventie op beloop en herstel van </w:t>
      </w:r>
      <w:r w:rsidRPr="00E340DB" w:rsidR="00845365">
        <w:rPr>
          <w:szCs w:val="18"/>
        </w:rPr>
        <w:t>post-COVID</w:t>
      </w:r>
      <w:r w:rsidRPr="00E340DB">
        <w:rPr>
          <w:szCs w:val="18"/>
        </w:rPr>
        <w:t xml:space="preserve"> te onderzoeken. </w:t>
      </w:r>
    </w:p>
    <w:p w:rsidRPr="00E340DB" w:rsidR="001C506E" w:rsidP="00E340DB" w:rsidRDefault="001C506E" w14:paraId="6E6DE411" w14:textId="77777777">
      <w:pPr>
        <w:rPr>
          <w:i/>
          <w:iCs/>
          <w:szCs w:val="18"/>
        </w:rPr>
      </w:pPr>
    </w:p>
    <w:p w:rsidRPr="00E340DB" w:rsidR="001C506E" w:rsidP="00E340DB" w:rsidRDefault="00000000" w14:paraId="08D34EA0" w14:textId="77777777">
      <w:pPr>
        <w:pStyle w:val="Lijstalinea"/>
        <w:numPr>
          <w:ilvl w:val="1"/>
          <w:numId w:val="2"/>
        </w:numPr>
        <w:suppressAutoHyphens/>
        <w:spacing w:after="0"/>
        <w:ind w:left="357" w:hanging="357"/>
        <w:rPr>
          <w:rFonts w:ascii="Verdana" w:hAnsi="Verdana"/>
          <w:i/>
          <w:iCs/>
          <w:sz w:val="18"/>
          <w:szCs w:val="18"/>
        </w:rPr>
      </w:pPr>
      <w:r w:rsidRPr="00E340DB">
        <w:rPr>
          <w:rFonts w:ascii="Verdana" w:hAnsi="Verdana"/>
          <w:i/>
          <w:iCs/>
          <w:sz w:val="18"/>
          <w:szCs w:val="18"/>
        </w:rPr>
        <w:t xml:space="preserve">De rol van het microbioom in </w:t>
      </w:r>
      <w:r w:rsidRPr="00E340DB" w:rsidR="00845365">
        <w:rPr>
          <w:rFonts w:ascii="Verdana" w:hAnsi="Verdana"/>
          <w:i/>
          <w:iCs/>
          <w:sz w:val="18"/>
          <w:szCs w:val="18"/>
        </w:rPr>
        <w:t>p</w:t>
      </w:r>
      <w:r w:rsidRPr="00E340DB">
        <w:rPr>
          <w:rFonts w:ascii="Verdana" w:hAnsi="Verdana"/>
          <w:i/>
          <w:iCs/>
          <w:sz w:val="18"/>
          <w:szCs w:val="18"/>
        </w:rPr>
        <w:t>ost-COVID</w:t>
      </w:r>
    </w:p>
    <w:p w:rsidRPr="00E340DB" w:rsidR="001C506E" w:rsidP="00E340DB" w:rsidRDefault="00000000" w14:paraId="2D7BF9B6" w14:textId="77777777">
      <w:pPr>
        <w:rPr>
          <w:szCs w:val="18"/>
        </w:rPr>
      </w:pPr>
      <w:r w:rsidRPr="00E340DB">
        <w:rPr>
          <w:szCs w:val="18"/>
        </w:rPr>
        <w:t>In deze verkennende studie, die bestond uit een literatuurstudie, het onderzoeken van fecaal materiaal van post-COVID patiënten en het testen van het darmmicrobioom in het i-screen fermentatieplatform, is een eerste stap gezet om de rol van het microbioom bij post</w:t>
      </w:r>
      <w:r w:rsidRPr="00E340DB" w:rsidR="001328F2">
        <w:rPr>
          <w:szCs w:val="18"/>
        </w:rPr>
        <w:t>-</w:t>
      </w:r>
      <w:r w:rsidRPr="00E340DB">
        <w:rPr>
          <w:szCs w:val="18"/>
        </w:rPr>
        <w:t xml:space="preserve">COVID </w:t>
      </w:r>
      <w:r w:rsidRPr="00E340DB" w:rsidR="00845365">
        <w:rPr>
          <w:szCs w:val="18"/>
        </w:rPr>
        <w:t xml:space="preserve">klachten </w:t>
      </w:r>
      <w:r w:rsidRPr="00E340DB">
        <w:rPr>
          <w:szCs w:val="18"/>
        </w:rPr>
        <w:t>onder de loep te nemen. TNO beveelt vervolgonderzoek aan om de impact van het microbioom op post-COVID patiënten verder te onderzoeken.</w:t>
      </w:r>
    </w:p>
    <w:p w:rsidRPr="00E340DB" w:rsidR="001C506E" w:rsidP="00E340DB" w:rsidRDefault="001C506E" w14:paraId="08278DB1" w14:textId="77777777">
      <w:pPr>
        <w:rPr>
          <w:szCs w:val="18"/>
        </w:rPr>
      </w:pPr>
    </w:p>
    <w:p w:rsidRPr="00E340DB" w:rsidR="001C506E" w:rsidP="00E340DB" w:rsidRDefault="00000000" w14:paraId="70737938" w14:textId="77777777">
      <w:pPr>
        <w:pStyle w:val="Lijstalinea"/>
        <w:numPr>
          <w:ilvl w:val="1"/>
          <w:numId w:val="2"/>
        </w:numPr>
        <w:suppressAutoHyphens/>
        <w:spacing w:after="0"/>
        <w:ind w:left="357" w:hanging="357"/>
        <w:rPr>
          <w:rFonts w:ascii="Verdana" w:hAnsi="Verdana"/>
          <w:i/>
          <w:iCs/>
          <w:sz w:val="18"/>
          <w:szCs w:val="18"/>
        </w:rPr>
      </w:pPr>
      <w:r w:rsidRPr="00E340DB">
        <w:rPr>
          <w:rFonts w:ascii="Verdana" w:hAnsi="Verdana"/>
          <w:i/>
          <w:iCs/>
          <w:sz w:val="18"/>
          <w:szCs w:val="18"/>
        </w:rPr>
        <w:t xml:space="preserve">Ondersteunende tool voor mensen met </w:t>
      </w:r>
      <w:r w:rsidRPr="00E340DB" w:rsidR="00845365">
        <w:rPr>
          <w:rFonts w:ascii="Verdana" w:hAnsi="Verdana"/>
          <w:i/>
          <w:iCs/>
          <w:sz w:val="18"/>
          <w:szCs w:val="18"/>
        </w:rPr>
        <w:t>p</w:t>
      </w:r>
      <w:r w:rsidRPr="00E340DB">
        <w:rPr>
          <w:rFonts w:ascii="Verdana" w:hAnsi="Verdana"/>
          <w:i/>
          <w:iCs/>
          <w:sz w:val="18"/>
          <w:szCs w:val="18"/>
        </w:rPr>
        <w:t>ost-COVID</w:t>
      </w:r>
    </w:p>
    <w:p w:rsidRPr="00E340DB" w:rsidR="001C506E" w:rsidP="00E340DB" w:rsidRDefault="00000000" w14:paraId="18FE42D8" w14:textId="77777777">
      <w:pPr>
        <w:rPr>
          <w:szCs w:val="18"/>
        </w:rPr>
      </w:pPr>
      <w:r w:rsidRPr="00E340DB">
        <w:rPr>
          <w:color w:val="000000" w:themeColor="text1"/>
          <w:szCs w:val="18"/>
        </w:rPr>
        <w:t>TNO verkende een monitoring-app als middel om post-COVID klachten in beeld te brengen. De</w:t>
      </w:r>
      <w:r w:rsidRPr="00E340DB" w:rsidR="001328F2">
        <w:rPr>
          <w:color w:val="000000" w:themeColor="text1"/>
          <w:szCs w:val="18"/>
        </w:rPr>
        <w:t>ze</w:t>
      </w:r>
      <w:r w:rsidRPr="00E340DB">
        <w:rPr>
          <w:color w:val="000000" w:themeColor="text1"/>
          <w:szCs w:val="18"/>
        </w:rPr>
        <w:t xml:space="preserve"> app monitorde o</w:t>
      </w:r>
      <w:r w:rsidRPr="00E340DB" w:rsidR="00845365">
        <w:rPr>
          <w:color w:val="000000" w:themeColor="text1"/>
          <w:szCs w:val="18"/>
        </w:rPr>
        <w:t xml:space="preserve">nder andere </w:t>
      </w:r>
      <w:r w:rsidRPr="00E340DB">
        <w:rPr>
          <w:color w:val="000000" w:themeColor="text1"/>
          <w:szCs w:val="18"/>
        </w:rPr>
        <w:t>dagelijkse klachten, triggers en energiebronnen van mensen die langdurige klachten ervaren na een COVID-19 infectie. Er was onder patiënten een hoge bereidheid om de app te gebruiken</w:t>
      </w:r>
      <w:r w:rsidRPr="00E340DB" w:rsidR="000F567E">
        <w:rPr>
          <w:color w:val="000000" w:themeColor="text1"/>
          <w:szCs w:val="18"/>
        </w:rPr>
        <w:t xml:space="preserve">. Deze </w:t>
      </w:r>
      <w:r w:rsidRPr="00E340DB">
        <w:rPr>
          <w:color w:val="000000" w:themeColor="text1"/>
          <w:szCs w:val="18"/>
        </w:rPr>
        <w:t xml:space="preserve">gaf </w:t>
      </w:r>
      <w:r w:rsidRPr="00E340DB" w:rsidR="001328F2">
        <w:rPr>
          <w:color w:val="000000" w:themeColor="text1"/>
          <w:szCs w:val="18"/>
        </w:rPr>
        <w:t>patiënten</w:t>
      </w:r>
      <w:r w:rsidRPr="00E340DB">
        <w:rPr>
          <w:color w:val="000000" w:themeColor="text1"/>
          <w:szCs w:val="18"/>
        </w:rPr>
        <w:t xml:space="preserve"> inzicht in het eigen klachtenpatroon. De dagelijkse data over klachten zijn volgens TNO een aanvulling op meer biomedisch gericht onderzoek. TNO beveelt aan om deze Postcovid App verder te optimaliseren en de toegankelijkheid te vergroten. </w:t>
      </w:r>
    </w:p>
    <w:p w:rsidRPr="00E340DB" w:rsidR="001C506E" w:rsidP="00E340DB" w:rsidRDefault="001C506E" w14:paraId="6D5728B7" w14:textId="77777777">
      <w:pPr>
        <w:rPr>
          <w:szCs w:val="18"/>
          <w:u w:val="single"/>
        </w:rPr>
      </w:pPr>
    </w:p>
    <w:p w:rsidRPr="00E340DB" w:rsidR="001C506E" w:rsidP="00E340DB" w:rsidRDefault="00000000" w14:paraId="43C1E2ED" w14:textId="77777777">
      <w:pPr>
        <w:pStyle w:val="Lijstalinea"/>
        <w:numPr>
          <w:ilvl w:val="0"/>
          <w:numId w:val="4"/>
        </w:numPr>
        <w:suppressAutoHyphens/>
        <w:rPr>
          <w:rFonts w:ascii="Verdana" w:hAnsi="Verdana"/>
          <w:sz w:val="18"/>
          <w:szCs w:val="18"/>
          <w:u w:val="single"/>
        </w:rPr>
      </w:pPr>
      <w:r w:rsidRPr="00E340DB">
        <w:rPr>
          <w:rFonts w:ascii="Verdana" w:hAnsi="Verdana"/>
          <w:sz w:val="18"/>
          <w:szCs w:val="18"/>
          <w:u w:val="single"/>
        </w:rPr>
        <w:t xml:space="preserve">Vergelijking van modellen en model infrastructuur </w:t>
      </w:r>
    </w:p>
    <w:p w:rsidRPr="00E340DB" w:rsidR="001C506E" w:rsidP="00E340DB" w:rsidRDefault="00000000" w14:paraId="002B6E0D" w14:textId="77777777">
      <w:pPr>
        <w:rPr>
          <w:b/>
          <w:bCs/>
          <w:szCs w:val="18"/>
        </w:rPr>
      </w:pPr>
      <w:r w:rsidRPr="00E340DB">
        <w:rPr>
          <w:szCs w:val="18"/>
        </w:rPr>
        <w:t xml:space="preserve">De tijdens de pandemie ontwikkelde modellen van TNO en RIVM voor COVID-19 prognoses voor IC opnames zijn </w:t>
      </w:r>
      <w:r w:rsidRPr="00E340DB" w:rsidR="00845365">
        <w:rPr>
          <w:szCs w:val="18"/>
        </w:rPr>
        <w:t xml:space="preserve">met elkaar </w:t>
      </w:r>
      <w:r w:rsidRPr="00E340DB">
        <w:rPr>
          <w:szCs w:val="18"/>
        </w:rPr>
        <w:t xml:space="preserve">vergeleken. De modellen en de gebruikte aannames zijn gedocumenteerd en geborgd, zodat in een toekomstige pandemie gebruik gemaakt kan worden van beide modellen. TNO geeft aan dat het gebruik van verschillende onafhankelijke modellen bijdraagt aan het verbeteren van toekomstige prognoses. TNO beveelt aan om afspraken te maken over de input en output van modellering, zodat het makkelijker wordt om modellen te vergelijken tijdens uitbraken. Daarnaast wordt in het rapport het belang aangegeven </w:t>
      </w:r>
      <w:r w:rsidRPr="00E340DB" w:rsidR="000F567E">
        <w:rPr>
          <w:szCs w:val="18"/>
        </w:rPr>
        <w:t xml:space="preserve">van het ontwikkelen van </w:t>
      </w:r>
      <w:r w:rsidRPr="00E340DB">
        <w:rPr>
          <w:szCs w:val="18"/>
        </w:rPr>
        <w:t>een model infrastructuur die directe vergelijking en benutting van verschillende modellen mogelijk maakt.</w:t>
      </w:r>
    </w:p>
    <w:p w:rsidRPr="00E340DB" w:rsidR="001C506E" w:rsidP="00E340DB" w:rsidRDefault="001C506E" w14:paraId="1D2994EF" w14:textId="77777777">
      <w:pPr>
        <w:rPr>
          <w:szCs w:val="18"/>
          <w:u w:val="single"/>
        </w:rPr>
      </w:pPr>
    </w:p>
    <w:p w:rsidRPr="00E340DB" w:rsidR="001C506E" w:rsidP="00E340DB" w:rsidRDefault="00000000" w14:paraId="5F434EBE" w14:textId="77777777">
      <w:pPr>
        <w:pStyle w:val="Lijstalinea"/>
        <w:numPr>
          <w:ilvl w:val="0"/>
          <w:numId w:val="4"/>
        </w:numPr>
        <w:suppressAutoHyphens/>
        <w:rPr>
          <w:rFonts w:ascii="Verdana" w:hAnsi="Verdana"/>
          <w:sz w:val="18"/>
          <w:szCs w:val="18"/>
          <w:u w:val="single"/>
        </w:rPr>
      </w:pPr>
      <w:r w:rsidRPr="00E340DB">
        <w:rPr>
          <w:rFonts w:ascii="Verdana" w:hAnsi="Verdana"/>
          <w:sz w:val="18"/>
          <w:szCs w:val="18"/>
          <w:u w:val="single"/>
        </w:rPr>
        <w:t>Effectiviteit van maatregelen - Internationale vergelijking gericht op gezondheid van werkenden</w:t>
      </w:r>
    </w:p>
    <w:p w:rsidRPr="00E340DB" w:rsidR="001C506E" w:rsidP="00E340DB" w:rsidRDefault="00000000" w14:paraId="3430C6E9" w14:textId="77777777">
      <w:pPr>
        <w:rPr>
          <w:szCs w:val="18"/>
        </w:rPr>
      </w:pPr>
      <w:r w:rsidRPr="00E340DB">
        <w:rPr>
          <w:szCs w:val="18"/>
        </w:rPr>
        <w:t>De maatregelen die genomen zijn om de coronapandemie te bestrijden hebben direct effect gehad op werk en werknemers. In het TNO onderzoek is de Nederlandse situatie vergeleken met zes andere Europese landen, de Nederlandse situatie is beschreven in het een apart rapport</w:t>
      </w:r>
      <w:r w:rsidRPr="00E340DB">
        <w:rPr>
          <w:i/>
          <w:iCs/>
          <w:szCs w:val="18"/>
        </w:rPr>
        <w:t xml:space="preserve"> </w:t>
      </w:r>
      <w:r w:rsidRPr="00E340DB">
        <w:rPr>
          <w:szCs w:val="18"/>
        </w:rPr>
        <w:t xml:space="preserve">(zie bijlage 3). TNO beveelt aan om bij een eventuele volgende crisis experts op het terrein van veilig en gezond werken te betrekken bij besluitvorming over maatregelen. Ook adviseert TNO om aandacht te hebben voor goede communicatie en ondersteuning bij implementatie van maatregelen in bedrijven. TNO concludeert in haar rapport dat we na de pandemie in Nederland meer thuis zijn gaan werken. TNO geeft </w:t>
      </w:r>
      <w:r w:rsidRPr="00E340DB" w:rsidR="00BD0634">
        <w:rPr>
          <w:szCs w:val="18"/>
        </w:rPr>
        <w:t xml:space="preserve">daarbij </w:t>
      </w:r>
      <w:r w:rsidRPr="00E340DB">
        <w:rPr>
          <w:szCs w:val="18"/>
        </w:rPr>
        <w:t xml:space="preserve">aan dat het belangrijk is om de lange termijneffecten van hybride werken te monitoren. </w:t>
      </w:r>
    </w:p>
    <w:p w:rsidRPr="00E340DB" w:rsidR="001C506E" w:rsidP="00E340DB" w:rsidRDefault="001C506E" w14:paraId="4E4BA419" w14:textId="77777777">
      <w:pPr>
        <w:rPr>
          <w:i/>
          <w:iCs/>
          <w:szCs w:val="18"/>
        </w:rPr>
      </w:pPr>
    </w:p>
    <w:p w:rsidRPr="00E340DB" w:rsidR="00B2390C" w:rsidP="00E340DB" w:rsidRDefault="00B2390C" w14:paraId="1F772E71" w14:textId="77777777">
      <w:pPr>
        <w:rPr>
          <w:i/>
          <w:iCs/>
          <w:szCs w:val="18"/>
        </w:rPr>
      </w:pPr>
    </w:p>
    <w:p w:rsidRPr="00E340DB" w:rsidR="00B2390C" w:rsidP="00E340DB" w:rsidRDefault="00B2390C" w14:paraId="63E5BE80" w14:textId="77777777">
      <w:pPr>
        <w:rPr>
          <w:i/>
          <w:iCs/>
          <w:szCs w:val="18"/>
        </w:rPr>
      </w:pPr>
    </w:p>
    <w:p w:rsidRPr="00E340DB" w:rsidR="001C506E" w:rsidP="00E340DB" w:rsidRDefault="00000000" w14:paraId="46E3298D" w14:textId="77777777">
      <w:pPr>
        <w:pStyle w:val="Lijstalinea"/>
        <w:numPr>
          <w:ilvl w:val="0"/>
          <w:numId w:val="4"/>
        </w:numPr>
        <w:suppressAutoHyphens/>
        <w:rPr>
          <w:rFonts w:ascii="Verdana" w:hAnsi="Verdana"/>
          <w:sz w:val="18"/>
          <w:szCs w:val="18"/>
          <w:u w:val="single"/>
        </w:rPr>
      </w:pPr>
      <w:r w:rsidRPr="00E340DB">
        <w:rPr>
          <w:rFonts w:ascii="Verdana" w:hAnsi="Verdana"/>
          <w:sz w:val="18"/>
          <w:szCs w:val="18"/>
          <w:u w:val="single"/>
        </w:rPr>
        <w:t>Gedragsonderzoek en bereiken van kwetsbare groepen</w:t>
      </w:r>
    </w:p>
    <w:p w:rsidRPr="00E340DB" w:rsidR="001C506E" w:rsidP="00E340DB" w:rsidRDefault="00000000" w14:paraId="13BDD13B" w14:textId="77777777">
      <w:pPr>
        <w:rPr>
          <w:i/>
          <w:iCs/>
          <w:szCs w:val="18"/>
        </w:rPr>
      </w:pPr>
      <w:bookmarkStart w:name="_Hlk146106300" w:id="4"/>
      <w:r w:rsidRPr="00E340DB">
        <w:rPr>
          <w:i/>
          <w:iCs/>
          <w:szCs w:val="18"/>
        </w:rPr>
        <w:t>4.1 Voorspellen gedragsfactoren voor coronabesmettingen</w:t>
      </w:r>
      <w:bookmarkEnd w:id="4"/>
    </w:p>
    <w:p w:rsidRPr="00E340DB" w:rsidR="001C506E" w:rsidP="00E340DB" w:rsidRDefault="00000000" w14:paraId="74107117" w14:textId="77777777">
      <w:pPr>
        <w:rPr>
          <w:szCs w:val="18"/>
        </w:rPr>
      </w:pPr>
      <w:r w:rsidRPr="00E340DB">
        <w:rPr>
          <w:szCs w:val="18"/>
        </w:rPr>
        <w:t>Gedragsdata zijn bruikbaar om tijdens een crisis inzicht te krijgen in verschillen in naleving tussen groepen en over tijd. TNO geeft aan dat het voor toekomstig pandemiebeleid essentieel is om gedrag én de sociale structuren waarin dat gedrag plaatsvindt beter te begrijpen en mee te nemen in interventiestrategieën.</w:t>
      </w:r>
    </w:p>
    <w:p w:rsidRPr="00E340DB" w:rsidR="001C506E" w:rsidP="00E340DB" w:rsidRDefault="001C506E" w14:paraId="35CF6316" w14:textId="77777777">
      <w:pPr>
        <w:rPr>
          <w:szCs w:val="18"/>
        </w:rPr>
      </w:pPr>
    </w:p>
    <w:p w:rsidRPr="00E340DB" w:rsidR="001C506E" w:rsidP="00E340DB" w:rsidRDefault="00000000" w14:paraId="701913D6" w14:textId="77777777">
      <w:pPr>
        <w:rPr>
          <w:i/>
          <w:iCs/>
          <w:szCs w:val="18"/>
        </w:rPr>
      </w:pPr>
      <w:bookmarkStart w:name="_Hlk219889649" w:id="5"/>
      <w:r w:rsidRPr="00E340DB">
        <w:rPr>
          <w:i/>
          <w:iCs/>
          <w:color w:val="002060"/>
          <w:szCs w:val="18"/>
        </w:rPr>
        <w:t xml:space="preserve">4.2 </w:t>
      </w:r>
      <w:r w:rsidRPr="00E340DB">
        <w:rPr>
          <w:i/>
          <w:iCs/>
          <w:szCs w:val="18"/>
        </w:rPr>
        <w:t>Coronapandemie en dalende vaccinatiegraad jonge kinderen</w:t>
      </w:r>
    </w:p>
    <w:p w:rsidRPr="00E340DB" w:rsidR="001C506E" w:rsidP="00E340DB" w:rsidRDefault="00000000" w14:paraId="0D1AF893" w14:textId="77777777">
      <w:pPr>
        <w:rPr>
          <w:szCs w:val="18"/>
        </w:rPr>
      </w:pPr>
      <w:r w:rsidRPr="00E340DB">
        <w:rPr>
          <w:szCs w:val="18"/>
        </w:rPr>
        <w:t xml:space="preserve">Op 21 februari 2025 heeft </w:t>
      </w:r>
      <w:r w:rsidRPr="00E340DB" w:rsidR="00845365">
        <w:rPr>
          <w:szCs w:val="18"/>
        </w:rPr>
        <w:t>de toenmalige staatssecretaris van Volksgezondheid, Welzijn en Sport</w:t>
      </w:r>
      <w:r w:rsidRPr="00E340DB">
        <w:rPr>
          <w:szCs w:val="18"/>
        </w:rPr>
        <w:t xml:space="preserve"> </w:t>
      </w:r>
      <w:r w:rsidRPr="00E340DB" w:rsidR="00430498">
        <w:rPr>
          <w:szCs w:val="18"/>
        </w:rPr>
        <w:t>de Kamer</w:t>
      </w:r>
      <w:r w:rsidRPr="00E340DB">
        <w:rPr>
          <w:szCs w:val="18"/>
        </w:rPr>
        <w:t xml:space="preserve"> over de eerste deelresultaten </w:t>
      </w:r>
      <w:r w:rsidRPr="00E340DB" w:rsidR="00845365">
        <w:rPr>
          <w:szCs w:val="18"/>
        </w:rPr>
        <w:t>van dit programma geïnformeerd</w:t>
      </w:r>
      <w:r w:rsidRPr="00E340DB" w:rsidR="00430498">
        <w:rPr>
          <w:szCs w:val="18"/>
        </w:rPr>
        <w:t>.</w:t>
      </w:r>
      <w:r w:rsidRPr="00E340DB" w:rsidR="00845365">
        <w:rPr>
          <w:szCs w:val="18"/>
          <w:vertAlign w:val="superscript"/>
        </w:rPr>
        <w:t>1</w:t>
      </w:r>
      <w:r w:rsidRPr="00E340DB">
        <w:rPr>
          <w:szCs w:val="18"/>
        </w:rPr>
        <w:t xml:space="preserve"> TNO geeft aan dat transparante communicatie over de veiligheid en effectiviteit van vaccins bij kan dragen aan meer vertrouwen in vaccinaties en overheidsinstanties. Het lijkt zinvol om al tijdens de zwangerschap voorlichting te geven over vaccineren. TNO beveelt verder aan om te zorgen voor zoveel mogelijk rust in het rijksvaccinatieprogramma</w:t>
      </w:r>
      <w:bookmarkStart w:name="_Hlk219889859" w:id="6"/>
      <w:r w:rsidRPr="00E340DB" w:rsidR="00BD0634">
        <w:rPr>
          <w:szCs w:val="18"/>
        </w:rPr>
        <w:t>;</w:t>
      </w:r>
      <w:r w:rsidRPr="00E340DB">
        <w:rPr>
          <w:szCs w:val="18"/>
        </w:rPr>
        <w:t xml:space="preserve"> </w:t>
      </w:r>
      <w:r w:rsidRPr="00E340DB" w:rsidR="00BD0634">
        <w:rPr>
          <w:szCs w:val="18"/>
        </w:rPr>
        <w:t>d</w:t>
      </w:r>
      <w:r w:rsidRPr="00E340DB">
        <w:rPr>
          <w:szCs w:val="18"/>
        </w:rPr>
        <w:t xml:space="preserve">it betekent </w:t>
      </w:r>
      <w:r w:rsidRPr="00E340DB" w:rsidR="00BD0634">
        <w:rPr>
          <w:szCs w:val="18"/>
        </w:rPr>
        <w:t xml:space="preserve">dat </w:t>
      </w:r>
      <w:r w:rsidRPr="00E340DB">
        <w:rPr>
          <w:szCs w:val="18"/>
        </w:rPr>
        <w:t>nieuwe wijzigingen zoveel mogelijk beperk</w:t>
      </w:r>
      <w:r w:rsidRPr="00E340DB" w:rsidR="00BD0634">
        <w:rPr>
          <w:szCs w:val="18"/>
        </w:rPr>
        <w:t xml:space="preserve">t zouden moeten zijn, </w:t>
      </w:r>
      <w:r w:rsidRPr="00E340DB">
        <w:rPr>
          <w:szCs w:val="18"/>
        </w:rPr>
        <w:t xml:space="preserve">en </w:t>
      </w:r>
      <w:r w:rsidRPr="00E340DB" w:rsidR="00BD0634">
        <w:rPr>
          <w:szCs w:val="18"/>
        </w:rPr>
        <w:t xml:space="preserve">dat </w:t>
      </w:r>
      <w:r w:rsidRPr="00E340DB">
        <w:rPr>
          <w:szCs w:val="18"/>
        </w:rPr>
        <w:t xml:space="preserve">ouders en professionals eerder en uitgebreider </w:t>
      </w:r>
      <w:r w:rsidRPr="00E340DB" w:rsidR="00BD0634">
        <w:rPr>
          <w:szCs w:val="18"/>
        </w:rPr>
        <w:t xml:space="preserve">geïnformeerd zouden moeten worden </w:t>
      </w:r>
      <w:r w:rsidRPr="00E340DB">
        <w:rPr>
          <w:szCs w:val="18"/>
        </w:rPr>
        <w:t>over wijzigingen. TNO benadrukt het belang van investeren in een sterke vertrouwensrelatie tussen ouders en JGZ-professionals, onder meer via vaste contactpersonen, scholing en meer tijd voor gesprekken.</w:t>
      </w:r>
    </w:p>
    <w:bookmarkEnd w:id="5"/>
    <w:bookmarkEnd w:id="6"/>
    <w:p w:rsidRPr="00E340DB" w:rsidR="001C506E" w:rsidP="00E340DB" w:rsidRDefault="001C506E" w14:paraId="5EBECE61" w14:textId="77777777">
      <w:pPr>
        <w:rPr>
          <w:rFonts w:eastAsiaTheme="minorEastAsia"/>
          <w:b/>
          <w:bCs/>
          <w:szCs w:val="18"/>
        </w:rPr>
      </w:pPr>
    </w:p>
    <w:p w:rsidRPr="00E340DB" w:rsidR="001C506E" w:rsidP="00E340DB" w:rsidRDefault="00000000" w14:paraId="59005B2B" w14:textId="77777777">
      <w:pPr>
        <w:rPr>
          <w:i/>
          <w:iCs/>
          <w:szCs w:val="18"/>
        </w:rPr>
      </w:pPr>
      <w:r w:rsidRPr="00E340DB">
        <w:rPr>
          <w:i/>
          <w:iCs/>
          <w:szCs w:val="18"/>
        </w:rPr>
        <w:t>4.3 Q impact model om de impact van maatregelen op mentale gezondheid te schatten</w:t>
      </w:r>
    </w:p>
    <w:p w:rsidRPr="00E340DB" w:rsidR="001C506E" w:rsidP="00E340DB" w:rsidRDefault="00000000" w14:paraId="7DB66B17" w14:textId="77777777">
      <w:pPr>
        <w:rPr>
          <w:szCs w:val="18"/>
        </w:rPr>
      </w:pPr>
      <w:r w:rsidRPr="00E340DB">
        <w:rPr>
          <w:szCs w:val="18"/>
        </w:rPr>
        <w:t xml:space="preserve">In dit deelonderzoek is een </w:t>
      </w:r>
      <w:r w:rsidRPr="00E340DB" w:rsidR="00EB7A87">
        <w:rPr>
          <w:szCs w:val="18"/>
        </w:rPr>
        <w:t xml:space="preserve">zogenoemd ‘Q </w:t>
      </w:r>
      <w:r w:rsidRPr="00E340DB">
        <w:rPr>
          <w:szCs w:val="18"/>
        </w:rPr>
        <w:t>impact model</w:t>
      </w:r>
      <w:r w:rsidRPr="00E340DB" w:rsidR="00EB7A87">
        <w:rPr>
          <w:szCs w:val="18"/>
        </w:rPr>
        <w:t>’</w:t>
      </w:r>
      <w:r w:rsidRPr="00E340DB" w:rsidR="00BD0634">
        <w:rPr>
          <w:szCs w:val="18"/>
        </w:rPr>
        <w:t xml:space="preserve"> </w:t>
      </w:r>
      <w:r w:rsidRPr="00E340DB">
        <w:rPr>
          <w:szCs w:val="18"/>
        </w:rPr>
        <w:t xml:space="preserve">ontworpen dat de ontwikkeling van </w:t>
      </w:r>
      <w:r w:rsidRPr="00E340DB" w:rsidR="00BD0634">
        <w:rPr>
          <w:szCs w:val="18"/>
        </w:rPr>
        <w:t xml:space="preserve">het </w:t>
      </w:r>
      <w:r w:rsidRPr="00E340DB">
        <w:rPr>
          <w:szCs w:val="18"/>
        </w:rPr>
        <w:t xml:space="preserve">welbevinden tijdens </w:t>
      </w:r>
      <w:r w:rsidRPr="00E340DB" w:rsidR="00BD0634">
        <w:rPr>
          <w:szCs w:val="18"/>
        </w:rPr>
        <w:t xml:space="preserve">de COVID-19 epidemie, </w:t>
      </w:r>
      <w:r w:rsidRPr="00E340DB">
        <w:rPr>
          <w:szCs w:val="18"/>
        </w:rPr>
        <w:t>en de factoren die hierin een rol spelen</w:t>
      </w:r>
      <w:r w:rsidRPr="00E340DB" w:rsidR="00BD0634">
        <w:rPr>
          <w:szCs w:val="18"/>
        </w:rPr>
        <w:t>,</w:t>
      </w:r>
      <w:r w:rsidRPr="00E340DB">
        <w:rPr>
          <w:szCs w:val="18"/>
        </w:rPr>
        <w:t xml:space="preserve"> weergeeft.</w:t>
      </w:r>
      <w:r w:rsidRPr="00E340DB" w:rsidR="00FC6FCB">
        <w:rPr>
          <w:szCs w:val="18"/>
        </w:rPr>
        <w:t xml:space="preserve"> </w:t>
      </w:r>
      <w:r w:rsidRPr="00E340DB">
        <w:rPr>
          <w:szCs w:val="18"/>
        </w:rPr>
        <w:t xml:space="preserve">TNO geeft aan dat het van belang is om meer aandacht te besteden aan het monitoren en verbeteren van het mentale en sociale welzijn van mensen. Op grond van dit </w:t>
      </w:r>
      <w:r w:rsidRPr="00E340DB" w:rsidR="00BD0634">
        <w:rPr>
          <w:szCs w:val="18"/>
        </w:rPr>
        <w:t>impact model</w:t>
      </w:r>
      <w:r w:rsidRPr="00E340DB">
        <w:rPr>
          <w:szCs w:val="18"/>
        </w:rPr>
        <w:t xml:space="preserve"> beveelt TNO aan om een dynamisch systeemmodel te ontwikkelen dat beleidsmakers kan helpen bij het nemen van geïnformeerde beslissingen tijdens toekomstige pandemieën. In zo’n model staan vraagstukken centraal die zich ontwikkelen gedurende de tijd. Het gebruik van het </w:t>
      </w:r>
      <w:r w:rsidRPr="00E340DB" w:rsidR="00BD0634">
        <w:rPr>
          <w:szCs w:val="18"/>
        </w:rPr>
        <w:t>impact model</w:t>
      </w:r>
      <w:r w:rsidRPr="00E340DB">
        <w:rPr>
          <w:szCs w:val="18"/>
        </w:rPr>
        <w:t xml:space="preserve"> in dit programma heeft waardevolle inzichten opgeleverd, maar er is meer onderzoek nodig om de voorlopige bevindingen te valideren en te verfijnen. </w:t>
      </w:r>
    </w:p>
    <w:p w:rsidRPr="00E340DB" w:rsidR="001C506E" w:rsidP="00E340DB" w:rsidRDefault="001C506E" w14:paraId="5A3755D4" w14:textId="77777777">
      <w:pPr>
        <w:rPr>
          <w:szCs w:val="18"/>
        </w:rPr>
      </w:pPr>
    </w:p>
    <w:p w:rsidRPr="00E340DB" w:rsidR="001C506E" w:rsidP="00E340DB" w:rsidRDefault="00000000" w14:paraId="17E48541" w14:textId="77777777">
      <w:pPr>
        <w:pStyle w:val="Lijstalinea"/>
        <w:numPr>
          <w:ilvl w:val="0"/>
          <w:numId w:val="4"/>
        </w:numPr>
        <w:suppressAutoHyphens/>
        <w:rPr>
          <w:rFonts w:ascii="Verdana" w:hAnsi="Verdana"/>
          <w:sz w:val="18"/>
          <w:szCs w:val="18"/>
          <w:u w:val="single"/>
        </w:rPr>
      </w:pPr>
      <w:r w:rsidRPr="00E340DB">
        <w:rPr>
          <w:rFonts w:ascii="Verdana" w:hAnsi="Verdana"/>
          <w:sz w:val="18"/>
          <w:szCs w:val="18"/>
          <w:u w:val="single"/>
        </w:rPr>
        <w:t>Biologische inzichten in COVID - Voorspellende biomarkers voor de ernst van het ziekteverloop in kinderen</w:t>
      </w:r>
    </w:p>
    <w:p w:rsidRPr="00E340DB" w:rsidR="001C506E" w:rsidP="00E340DB" w:rsidRDefault="00000000" w14:paraId="34D8BCEC" w14:textId="77777777">
      <w:pPr>
        <w:rPr>
          <w:szCs w:val="18"/>
        </w:rPr>
      </w:pPr>
      <w:r w:rsidRPr="00E340DB">
        <w:rPr>
          <w:szCs w:val="18"/>
        </w:rPr>
        <w:t xml:space="preserve">Er is </w:t>
      </w:r>
      <w:bookmarkStart w:name="_Hlk226979999" w:id="7"/>
      <w:r w:rsidRPr="00E340DB">
        <w:rPr>
          <w:szCs w:val="18"/>
        </w:rPr>
        <w:t xml:space="preserve">nog relatief beperkt </w:t>
      </w:r>
      <w:bookmarkEnd w:id="7"/>
      <w:r w:rsidRPr="00E340DB">
        <w:rPr>
          <w:szCs w:val="18"/>
        </w:rPr>
        <w:t xml:space="preserve">onderzoek gedaan naar COVID-19 bij kinderen. </w:t>
      </w:r>
      <w:r w:rsidRPr="00E340DB" w:rsidR="00FC6FCB">
        <w:rPr>
          <w:szCs w:val="18"/>
        </w:rPr>
        <w:t>Dit t</w:t>
      </w:r>
      <w:r w:rsidRPr="00E340DB">
        <w:rPr>
          <w:szCs w:val="18"/>
        </w:rPr>
        <w:t xml:space="preserve">erwijl sommige kinderen, met name kinderen met obesitas, wel degelijk een risico hadden op corona met ernstige gezondheidsklachten. In dit deelprogramma werden unieke bloedmonsters van </w:t>
      </w:r>
      <w:r w:rsidRPr="00E340DB" w:rsidR="00FC6FCB">
        <w:rPr>
          <w:szCs w:val="18"/>
        </w:rPr>
        <w:t xml:space="preserve">verschillende </w:t>
      </w:r>
      <w:r w:rsidRPr="00E340DB">
        <w:rPr>
          <w:szCs w:val="18"/>
        </w:rPr>
        <w:t xml:space="preserve">cohorten </w:t>
      </w:r>
      <w:r w:rsidRPr="00E340DB" w:rsidR="00FC6FCB">
        <w:rPr>
          <w:szCs w:val="18"/>
        </w:rPr>
        <w:t xml:space="preserve">kinderen </w:t>
      </w:r>
      <w:r w:rsidRPr="00E340DB">
        <w:rPr>
          <w:szCs w:val="18"/>
        </w:rPr>
        <w:t>onderzocht om biomarkers te identificeren die de vatbaarheid en ziekteverloop van COVID</w:t>
      </w:r>
      <w:r w:rsidRPr="00E340DB" w:rsidR="00B76563">
        <w:rPr>
          <w:szCs w:val="18"/>
        </w:rPr>
        <w:t>-19</w:t>
      </w:r>
      <w:r w:rsidRPr="00E340DB">
        <w:rPr>
          <w:szCs w:val="18"/>
        </w:rPr>
        <w:t xml:space="preserve"> kunnen voorspellen. Van de 40 onderzochte biomarkers </w:t>
      </w:r>
      <w:r w:rsidRPr="00E340DB" w:rsidR="00FC6FCB">
        <w:rPr>
          <w:szCs w:val="18"/>
        </w:rPr>
        <w:t xml:space="preserve">zijn er drie </w:t>
      </w:r>
      <w:r w:rsidRPr="00E340DB">
        <w:rPr>
          <w:szCs w:val="18"/>
        </w:rPr>
        <w:t>geïdentificeerd  die mogelijk voorspellend</w:t>
      </w:r>
      <w:r w:rsidRPr="00E340DB" w:rsidR="00FC6FCB">
        <w:rPr>
          <w:szCs w:val="18"/>
        </w:rPr>
        <w:t>e waarde hebben</w:t>
      </w:r>
      <w:r w:rsidRPr="00E340DB">
        <w:rPr>
          <w:szCs w:val="18"/>
        </w:rPr>
        <w:t xml:space="preserve">. Naar aanleiding van dit deelprogramma beveelt TNO aanvullend onderzoek aan om de voorspellende waarde van deze </w:t>
      </w:r>
      <w:r w:rsidRPr="00E340DB" w:rsidR="00FC6FCB">
        <w:rPr>
          <w:szCs w:val="18"/>
        </w:rPr>
        <w:t>drie</w:t>
      </w:r>
      <w:r w:rsidRPr="00E340DB">
        <w:rPr>
          <w:szCs w:val="18"/>
        </w:rPr>
        <w:t xml:space="preserve"> geïdentificeerde biomarkers in andere cohorten te valideren. Deze biomarkers zouden vervolgens gebruikt kunnen worden om het risico van </w:t>
      </w:r>
      <w:r w:rsidRPr="00E340DB" w:rsidR="00FC6FCB">
        <w:rPr>
          <w:szCs w:val="18"/>
        </w:rPr>
        <w:t xml:space="preserve">COVID-19, en andere infectieziekten, op kinderen </w:t>
      </w:r>
      <w:r w:rsidRPr="00E340DB">
        <w:rPr>
          <w:szCs w:val="18"/>
        </w:rPr>
        <w:t>te voorspellen.</w:t>
      </w:r>
    </w:p>
    <w:p w:rsidRPr="00E340DB" w:rsidR="00B2390C" w:rsidP="00E340DB" w:rsidRDefault="00B2390C" w14:paraId="5633D1AA" w14:textId="77777777">
      <w:pPr>
        <w:rPr>
          <w:szCs w:val="18"/>
        </w:rPr>
      </w:pPr>
    </w:p>
    <w:p w:rsidRPr="00E340DB" w:rsidR="00B2390C" w:rsidP="00E340DB" w:rsidRDefault="00B2390C" w14:paraId="2A1378AF" w14:textId="77777777">
      <w:pPr>
        <w:rPr>
          <w:szCs w:val="18"/>
        </w:rPr>
      </w:pPr>
    </w:p>
    <w:p w:rsidRPr="00E340DB" w:rsidR="00B2390C" w:rsidP="00E340DB" w:rsidRDefault="00B2390C" w14:paraId="77D7B009" w14:textId="77777777">
      <w:pPr>
        <w:rPr>
          <w:szCs w:val="18"/>
        </w:rPr>
      </w:pPr>
    </w:p>
    <w:p w:rsidRPr="00E340DB" w:rsidR="00B76563" w:rsidP="00E340DB" w:rsidRDefault="00B76563" w14:paraId="79D466F3" w14:textId="77777777">
      <w:pPr>
        <w:rPr>
          <w:szCs w:val="18"/>
          <w:u w:val="single"/>
        </w:rPr>
      </w:pPr>
    </w:p>
    <w:p w:rsidRPr="00E340DB" w:rsidR="001C506E" w:rsidP="00E340DB" w:rsidRDefault="00000000" w14:paraId="647E617A" w14:textId="77777777">
      <w:pPr>
        <w:rPr>
          <w:b/>
          <w:bCs/>
          <w:szCs w:val="18"/>
        </w:rPr>
      </w:pPr>
      <w:r w:rsidRPr="00E340DB">
        <w:rPr>
          <w:b/>
          <w:bCs/>
          <w:szCs w:val="18"/>
        </w:rPr>
        <w:t>Opvolging aanbevelingen</w:t>
      </w:r>
    </w:p>
    <w:p w:rsidRPr="00E340DB" w:rsidR="00EB7A87" w:rsidP="00E340DB" w:rsidRDefault="00000000" w14:paraId="5F6E600F" w14:textId="77777777">
      <w:pPr>
        <w:rPr>
          <w:szCs w:val="18"/>
        </w:rPr>
      </w:pPr>
      <w:r w:rsidRPr="00E340DB">
        <w:rPr>
          <w:szCs w:val="18"/>
        </w:rPr>
        <w:t>Het kabinet</w:t>
      </w:r>
      <w:r w:rsidRPr="00E340DB" w:rsidR="001C506E">
        <w:rPr>
          <w:szCs w:val="18"/>
        </w:rPr>
        <w:t xml:space="preserve"> dank</w:t>
      </w:r>
      <w:r w:rsidRPr="00E340DB">
        <w:rPr>
          <w:szCs w:val="18"/>
        </w:rPr>
        <w:t>t</w:t>
      </w:r>
      <w:r w:rsidRPr="00E340DB" w:rsidR="001C506E">
        <w:rPr>
          <w:szCs w:val="18"/>
        </w:rPr>
        <w:t xml:space="preserve"> TNO voor de uitvoering van dit onderzoeksprogramma. De resultaten van de onderzoeken zijn gepubliceerd in verschillende artikelen en ook gepresenteerd op een symposium op 9 april 2025 waar relevante stakeholders aanwezig waren. Een aantal aanbevelingen </w:t>
      </w:r>
      <w:r w:rsidRPr="00E340DB" w:rsidR="005F69B8">
        <w:rPr>
          <w:szCs w:val="18"/>
        </w:rPr>
        <w:t xml:space="preserve">is </w:t>
      </w:r>
      <w:r w:rsidRPr="00E340DB" w:rsidR="001C506E">
        <w:rPr>
          <w:szCs w:val="18"/>
        </w:rPr>
        <w:t xml:space="preserve">gericht aan veldpartijen. Andere aanbevelingen zijn gericht op beleid. Een aantal hiervan </w:t>
      </w:r>
      <w:r w:rsidRPr="00E340DB" w:rsidR="005F69B8">
        <w:rPr>
          <w:szCs w:val="18"/>
        </w:rPr>
        <w:t xml:space="preserve">is </w:t>
      </w:r>
      <w:r w:rsidRPr="00E340DB" w:rsidR="001C506E">
        <w:rPr>
          <w:szCs w:val="18"/>
        </w:rPr>
        <w:t>parallel aan het TNO onderzoek meegenomen in de kennisagenda van het programma pandemische paraatheid</w:t>
      </w:r>
      <w:r w:rsidRPr="00E340DB" w:rsidR="00684AD0">
        <w:rPr>
          <w:szCs w:val="18"/>
        </w:rPr>
        <w:t xml:space="preserve"> uit 2023</w:t>
      </w:r>
      <w:r w:rsidRPr="00E340DB">
        <w:rPr>
          <w:szCs w:val="18"/>
        </w:rPr>
        <w:t>.</w:t>
      </w:r>
      <w:r w:rsidRPr="00E340DB">
        <w:rPr>
          <w:rStyle w:val="Voetnootmarkering"/>
          <w:szCs w:val="18"/>
        </w:rPr>
        <w:footnoteReference w:id="3"/>
      </w:r>
      <w:r w:rsidRPr="00E340DB" w:rsidR="001C506E">
        <w:rPr>
          <w:szCs w:val="18"/>
        </w:rPr>
        <w:t xml:space="preserve"> In de recente Kamerbrief van 27 maart 2026</w:t>
      </w:r>
      <w:r w:rsidRPr="00E340DB">
        <w:rPr>
          <w:szCs w:val="18"/>
          <w:vertAlign w:val="superscript"/>
        </w:rPr>
        <w:footnoteReference w:id="4"/>
      </w:r>
      <w:r w:rsidRPr="00E340DB" w:rsidR="001C506E">
        <w:rPr>
          <w:szCs w:val="18"/>
        </w:rPr>
        <w:t xml:space="preserve"> heeft het kabinet aangegeven dat in de VWS-begroting €177 miljoen structureel beschikbaar is gesteld om versterkingen van de publieke en curatieve gezondheidszorg voort te zetten, waarbij versterkingen van de (pandemische) paraatheid voortgezet kunnen worden.</w:t>
      </w:r>
      <w:r w:rsidRPr="00E340DB">
        <w:rPr>
          <w:szCs w:val="18"/>
        </w:rPr>
        <w:t xml:space="preserve"> Onderdeel daarvan is een structureel bedrag voor kennis en innovatie voor (pandemische) paraatheid.</w:t>
      </w:r>
      <w:r w:rsidRPr="00E340DB" w:rsidR="001C506E">
        <w:rPr>
          <w:szCs w:val="18"/>
        </w:rPr>
        <w:t xml:space="preserve"> </w:t>
      </w:r>
      <w:r w:rsidRPr="00E340DB">
        <w:rPr>
          <w:szCs w:val="18"/>
        </w:rPr>
        <w:t>De nu beschikbare financiering is lager dan destijds was begroot</w:t>
      </w:r>
      <w:r w:rsidRPr="00E340DB" w:rsidR="00566484">
        <w:rPr>
          <w:szCs w:val="18"/>
        </w:rPr>
        <w:t xml:space="preserve"> voor de kennisagenda pandemische paraatheid</w:t>
      </w:r>
      <w:r w:rsidRPr="00E340DB">
        <w:rPr>
          <w:szCs w:val="18"/>
        </w:rPr>
        <w:t xml:space="preserve">. Tevens zijn sindsdien diverse onderzoeken, </w:t>
      </w:r>
      <w:r w:rsidRPr="00E340DB" w:rsidR="00A33D7B">
        <w:rPr>
          <w:szCs w:val="18"/>
        </w:rPr>
        <w:t>waaronder</w:t>
      </w:r>
      <w:r w:rsidRPr="00E340DB">
        <w:rPr>
          <w:szCs w:val="18"/>
        </w:rPr>
        <w:t xml:space="preserve"> </w:t>
      </w:r>
      <w:r w:rsidRPr="00E340DB" w:rsidR="00684AD0">
        <w:rPr>
          <w:szCs w:val="18"/>
        </w:rPr>
        <w:t>het TNO (post) COVID-19 onderzoek</w:t>
      </w:r>
      <w:r w:rsidRPr="00E340DB" w:rsidR="00A33D7B">
        <w:rPr>
          <w:szCs w:val="18"/>
        </w:rPr>
        <w:t>,</w:t>
      </w:r>
      <w:r w:rsidRPr="00E340DB">
        <w:rPr>
          <w:szCs w:val="18"/>
        </w:rPr>
        <w:t xml:space="preserve"> opgeleverd en de inzichten hieruit maken dat het kabinet de structurele kennisprogrammering zal bijstellen. Niet alleen gericht op paraatheid tegen toekomstige pandemieën, maar binnen de brede</w:t>
      </w:r>
      <w:r w:rsidRPr="00E340DB" w:rsidR="00684AD0">
        <w:rPr>
          <w:szCs w:val="18"/>
        </w:rPr>
        <w:t>re</w:t>
      </w:r>
      <w:r w:rsidRPr="00E340DB">
        <w:rPr>
          <w:szCs w:val="18"/>
        </w:rPr>
        <w:t xml:space="preserve"> context van versterking van infectieziektebeleid.</w:t>
      </w:r>
      <w:r w:rsidRPr="00E340DB" w:rsidR="00441860">
        <w:rPr>
          <w:szCs w:val="18"/>
        </w:rPr>
        <w:t xml:space="preserve"> Hierbij wordt onder andere geïnvesteerd in kennis en onderzoek over gedrag en modelleren.</w:t>
      </w:r>
    </w:p>
    <w:p w:rsidRPr="00E340DB" w:rsidR="00CD5856" w:rsidP="00E340DB" w:rsidRDefault="00000000" w14:paraId="37A27FC1" w14:textId="77777777">
      <w:pPr>
        <w:pStyle w:val="Huisstijl-Slotzin"/>
        <w:rPr>
          <w:szCs w:val="18"/>
        </w:rPr>
      </w:pPr>
      <w:r w:rsidRPr="00E340DB">
        <w:rPr>
          <w:szCs w:val="18"/>
        </w:rPr>
        <w:t>Hoogachtend,</w:t>
      </w:r>
    </w:p>
    <w:p w:rsidRPr="00E340DB" w:rsidR="00BC481F" w:rsidP="00E340DB" w:rsidRDefault="00BC481F" w14:paraId="700BE1D5" w14:textId="77777777">
      <w:pPr>
        <w:spacing w:line="240" w:lineRule="auto"/>
        <w:rPr>
          <w:noProof/>
          <w:szCs w:val="18"/>
        </w:rPr>
      </w:pPr>
    </w:p>
    <w:p w:rsidRPr="00E340DB" w:rsidR="00B2390C" w:rsidP="00E340DB" w:rsidRDefault="00000000" w14:paraId="2314BC72" w14:textId="77777777">
      <w:pPr>
        <w:spacing w:line="240" w:lineRule="atLeast"/>
        <w:rPr>
          <w:szCs w:val="18"/>
        </w:rPr>
      </w:pPr>
      <w:r w:rsidRPr="00E340DB">
        <w:rPr>
          <w:szCs w:val="18"/>
        </w:rPr>
        <w:t xml:space="preserve">de minister van Volksgezondheid, </w:t>
      </w:r>
    </w:p>
    <w:p w:rsidRPr="00E340DB" w:rsidR="00C62B6C" w:rsidP="00E340DB" w:rsidRDefault="00000000" w14:paraId="12E3969A" w14:textId="0E5CE24F">
      <w:pPr>
        <w:spacing w:line="240" w:lineRule="atLeast"/>
        <w:rPr>
          <w:szCs w:val="18"/>
        </w:rPr>
      </w:pPr>
      <w:r w:rsidRPr="00E340DB">
        <w:rPr>
          <w:szCs w:val="18"/>
        </w:rPr>
        <w:t>Welzijn en Sport</w:t>
      </w:r>
      <w:r w:rsidRPr="00E340DB" w:rsidR="00B2390C">
        <w:rPr>
          <w:szCs w:val="18"/>
        </w:rPr>
        <w:t>,</w:t>
      </w:r>
    </w:p>
    <w:p w:rsidRPr="00E340DB" w:rsidR="00C62B6C" w:rsidP="00E340DB" w:rsidRDefault="00C62B6C" w14:paraId="40154CEA" w14:textId="77777777">
      <w:pPr>
        <w:spacing w:line="240" w:lineRule="atLeast"/>
        <w:rPr>
          <w:szCs w:val="18"/>
        </w:rPr>
      </w:pPr>
      <w:bookmarkStart w:name="bmkHandtekening" w:id="8"/>
    </w:p>
    <w:bookmarkEnd w:id="8"/>
    <w:p w:rsidR="00B2390C" w:rsidP="00E340DB" w:rsidRDefault="00000000" w14:paraId="053736AA" w14:textId="77777777">
      <w:pPr>
        <w:spacing w:line="240" w:lineRule="atLeast"/>
        <w:rPr>
          <w:szCs w:val="18"/>
        </w:rPr>
      </w:pPr>
      <w:r w:rsidRPr="00E340DB">
        <w:rPr>
          <w:szCs w:val="18"/>
        </w:rPr>
        <w:cr/>
      </w:r>
    </w:p>
    <w:p w:rsidRPr="00E340DB" w:rsidR="00E340DB" w:rsidP="00E340DB" w:rsidRDefault="00E340DB" w14:paraId="590C5550" w14:textId="77777777">
      <w:pPr>
        <w:spacing w:line="240" w:lineRule="atLeast"/>
        <w:rPr>
          <w:szCs w:val="18"/>
        </w:rPr>
      </w:pPr>
    </w:p>
    <w:p w:rsidRPr="00E340DB" w:rsidR="00C62B6C" w:rsidP="00E340DB" w:rsidRDefault="00000000" w14:paraId="0C3484FA" w14:textId="3C362BB3">
      <w:pPr>
        <w:spacing w:line="240" w:lineRule="atLeast"/>
        <w:rPr>
          <w:szCs w:val="18"/>
        </w:rPr>
      </w:pPr>
      <w:r w:rsidRPr="00E340DB">
        <w:rPr>
          <w:szCs w:val="18"/>
        </w:rPr>
        <w:cr/>
      </w:r>
    </w:p>
    <w:p w:rsidRPr="00E340DB" w:rsidR="00C62B6C" w:rsidP="00E340DB" w:rsidRDefault="00000000" w14:paraId="55DE27BC" w14:textId="77777777">
      <w:pPr>
        <w:spacing w:line="240" w:lineRule="atLeast"/>
        <w:rPr>
          <w:szCs w:val="18"/>
        </w:rPr>
      </w:pPr>
      <w:r w:rsidRPr="00E340DB">
        <w:rPr>
          <w:szCs w:val="18"/>
        </w:rPr>
        <w:t>Sophie Hermans</w:t>
      </w:r>
    </w:p>
    <w:p w:rsidRPr="00E340DB" w:rsidR="00C95CA9" w:rsidP="00E340DB" w:rsidRDefault="00C95CA9" w14:paraId="46A74AFC" w14:textId="77777777">
      <w:pPr>
        <w:spacing w:line="240" w:lineRule="auto"/>
        <w:rPr>
          <w:noProof/>
          <w:szCs w:val="18"/>
        </w:rPr>
      </w:pPr>
    </w:p>
    <w:p w:rsidRPr="00E340DB" w:rsidR="00235AED" w:rsidP="00E340DB" w:rsidRDefault="00235AED" w14:paraId="1AF490C6" w14:textId="77777777">
      <w:pPr>
        <w:spacing w:line="240" w:lineRule="auto"/>
        <w:rPr>
          <w:noProof/>
          <w:szCs w:val="18"/>
        </w:rPr>
      </w:pPr>
    </w:p>
    <w:sectPr w:rsidRPr="00E340DB"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CFFE3" w14:textId="77777777" w:rsidR="002F7194" w:rsidRDefault="002F7194">
      <w:pPr>
        <w:spacing w:line="240" w:lineRule="auto"/>
      </w:pPr>
      <w:r>
        <w:separator/>
      </w:r>
    </w:p>
  </w:endnote>
  <w:endnote w:type="continuationSeparator" w:id="0">
    <w:p w14:paraId="2B9708E9" w14:textId="77777777" w:rsidR="002F7194" w:rsidRDefault="002F7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824C" w14:textId="7454865D" w:rsidR="00DC7639" w:rsidRDefault="00C11E07">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58FA847B" wp14:editId="00DE89AE">
              <wp:simplePos x="0" y="0"/>
              <wp:positionH relativeFrom="page">
                <wp:posOffset>5922645</wp:posOffset>
              </wp:positionH>
              <wp:positionV relativeFrom="page">
                <wp:posOffset>10225405</wp:posOffset>
              </wp:positionV>
              <wp:extent cx="1259840" cy="185420"/>
              <wp:effectExtent l="7620" t="5080" r="8890" b="9525"/>
              <wp:wrapNone/>
              <wp:docPr id="166450731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B85AFC3"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FA847B"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0B85AFC3"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3B3A6" w14:textId="77777777" w:rsidR="002F7194" w:rsidRDefault="002F7194">
      <w:pPr>
        <w:spacing w:line="240" w:lineRule="auto"/>
      </w:pPr>
      <w:r>
        <w:separator/>
      </w:r>
    </w:p>
  </w:footnote>
  <w:footnote w:type="continuationSeparator" w:id="0">
    <w:p w14:paraId="24FABD5D" w14:textId="77777777" w:rsidR="002F7194" w:rsidRDefault="002F7194">
      <w:pPr>
        <w:spacing w:line="240" w:lineRule="auto"/>
      </w:pPr>
      <w:r>
        <w:continuationSeparator/>
      </w:r>
    </w:p>
  </w:footnote>
  <w:footnote w:id="1">
    <w:p w14:paraId="4102D3D7" w14:textId="77777777" w:rsidR="00FC6FCB" w:rsidRPr="005C5416" w:rsidRDefault="00000000" w:rsidP="00FC6FCB">
      <w:pPr>
        <w:pStyle w:val="Voetnoottekst"/>
        <w:rPr>
          <w:rFonts w:ascii="Verdana" w:hAnsi="Verdana"/>
          <w:sz w:val="14"/>
          <w:szCs w:val="14"/>
        </w:rPr>
      </w:pPr>
      <w:r w:rsidRPr="005C5416">
        <w:rPr>
          <w:rStyle w:val="Voetnootmarkering"/>
          <w:rFonts w:ascii="Verdana" w:hAnsi="Verdana"/>
          <w:sz w:val="14"/>
          <w:szCs w:val="14"/>
        </w:rPr>
        <w:footnoteRef/>
      </w:r>
      <w:r w:rsidRPr="005C5416">
        <w:rPr>
          <w:rFonts w:ascii="Verdana" w:hAnsi="Verdana"/>
          <w:sz w:val="14"/>
          <w:szCs w:val="14"/>
        </w:rPr>
        <w:t xml:space="preserve"> Kamerstuk II 32 793, nr. 811</w:t>
      </w:r>
    </w:p>
  </w:footnote>
  <w:footnote w:id="2">
    <w:p w14:paraId="2485AB76" w14:textId="77777777" w:rsidR="001C506E" w:rsidRDefault="00000000" w:rsidP="001C506E">
      <w:pPr>
        <w:pStyle w:val="Voetnoottekst"/>
      </w:pPr>
      <w:r w:rsidRPr="005C5416">
        <w:rPr>
          <w:rStyle w:val="Voetnootmarkering"/>
          <w:rFonts w:ascii="Verdana" w:hAnsi="Verdana"/>
          <w:sz w:val="14"/>
          <w:szCs w:val="14"/>
        </w:rPr>
        <w:footnoteRef/>
      </w:r>
      <w:r w:rsidRPr="005C5416">
        <w:rPr>
          <w:rFonts w:ascii="Verdana" w:hAnsi="Verdana"/>
          <w:sz w:val="14"/>
          <w:szCs w:val="14"/>
        </w:rPr>
        <w:t xml:space="preserve"> Kamerstuk II 25 295, nr. 2046</w:t>
      </w:r>
    </w:p>
  </w:footnote>
  <w:footnote w:id="3">
    <w:p w14:paraId="370F84DE" w14:textId="77777777" w:rsidR="00684AD0" w:rsidRDefault="00000000">
      <w:pPr>
        <w:pStyle w:val="Voetnoottekst"/>
      </w:pPr>
      <w:r>
        <w:rPr>
          <w:rStyle w:val="Voetnootmarkering"/>
        </w:rPr>
        <w:footnoteRef/>
      </w:r>
      <w:r>
        <w:t xml:space="preserve"> Kamerstuk II 25 295, nr 2147</w:t>
      </w:r>
    </w:p>
  </w:footnote>
  <w:footnote w:id="4">
    <w:p w14:paraId="6968F88F" w14:textId="77777777" w:rsidR="001C506E" w:rsidRDefault="00000000" w:rsidP="001C506E">
      <w:pPr>
        <w:pStyle w:val="Voetnoottekst"/>
      </w:pPr>
      <w:r>
        <w:rPr>
          <w:rStyle w:val="Voetnootmarkering"/>
        </w:rPr>
        <w:footnoteRef/>
      </w:r>
      <w:r>
        <w:t xml:space="preserve"> </w:t>
      </w:r>
      <w:r w:rsidRPr="00FC6FCB">
        <w:t>Kamerstuk II 25 295, nr. 2265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B3B6" w14:textId="6A4779BD" w:rsidR="00CD5856" w:rsidRDefault="00000000">
    <w:pPr>
      <w:pStyle w:val="Koptekst"/>
    </w:pPr>
    <w:r>
      <w:rPr>
        <w:noProof/>
        <w:lang w:eastAsia="nl-NL" w:bidi="ar-SA"/>
      </w:rPr>
      <w:drawing>
        <wp:anchor distT="0" distB="0" distL="114300" distR="114300" simplePos="0" relativeHeight="251652096" behindDoc="1" locked="0" layoutInCell="1" allowOverlap="1" wp14:anchorId="7AA988A0" wp14:editId="54EB4ED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623CA3E3" wp14:editId="4B68192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C11E07">
      <w:rPr>
        <w:noProof/>
        <w:lang w:eastAsia="nl-NL" w:bidi="ar-SA"/>
      </w:rPr>
      <mc:AlternateContent>
        <mc:Choice Requires="wps">
          <w:drawing>
            <wp:anchor distT="0" distB="0" distL="114300" distR="114300" simplePos="0" relativeHeight="251658240" behindDoc="0" locked="0" layoutInCell="1" allowOverlap="1" wp14:anchorId="7398BC69" wp14:editId="1C46FC3D">
              <wp:simplePos x="0" y="0"/>
              <wp:positionH relativeFrom="page">
                <wp:posOffset>5922645</wp:posOffset>
              </wp:positionH>
              <wp:positionV relativeFrom="page">
                <wp:posOffset>1965960</wp:posOffset>
              </wp:positionV>
              <wp:extent cx="1259840" cy="8009890"/>
              <wp:effectExtent l="7620" t="13335" r="8890" b="6350"/>
              <wp:wrapNone/>
              <wp:docPr id="187975606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D123BD9" w14:textId="77777777" w:rsidR="00CD5856" w:rsidRDefault="00000000">
                          <w:pPr>
                            <w:pStyle w:val="Huisstijl-AfzendgegevensW1"/>
                          </w:pPr>
                          <w:r>
                            <w:t>Bezoekadres</w:t>
                          </w:r>
                        </w:p>
                        <w:p w14:paraId="1F8ED9F6" w14:textId="77777777" w:rsidR="00CD5856" w:rsidRDefault="00000000">
                          <w:pPr>
                            <w:pStyle w:val="Huisstijl-Afzendgegevens"/>
                          </w:pPr>
                          <w:r>
                            <w:t>Parnassusplein 5</w:t>
                          </w:r>
                        </w:p>
                        <w:p w14:paraId="464C7BF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F3BDAFC" w14:textId="77777777" w:rsidR="00CD5856" w:rsidRDefault="00000000">
                          <w:pPr>
                            <w:pStyle w:val="Huisstijl-Afzendgegevens"/>
                          </w:pPr>
                          <w:r w:rsidRPr="008D59C5">
                            <w:t>www.rijksoverheid.nl</w:t>
                          </w:r>
                        </w:p>
                        <w:p w14:paraId="364D0137" w14:textId="77777777" w:rsidR="00CD5856" w:rsidRDefault="00000000">
                          <w:pPr>
                            <w:pStyle w:val="Huisstijl-ReferentiegegevenskopW2"/>
                          </w:pPr>
                          <w:r w:rsidRPr="008D59C5">
                            <w:t>Kenmerk</w:t>
                          </w:r>
                        </w:p>
                        <w:p w14:paraId="433464A3" w14:textId="77777777" w:rsidR="00CD5856" w:rsidRDefault="00000000">
                          <w:pPr>
                            <w:pStyle w:val="Huisstijl-Referentiegegevens"/>
                          </w:pPr>
                          <w:bookmarkStart w:id="0" w:name="_Hlk117784077"/>
                          <w:r>
                            <w:t>4376815-1097637-IZB</w:t>
                          </w:r>
                        </w:p>
                        <w:bookmarkEnd w:id="0"/>
                        <w:p w14:paraId="52E6FF22" w14:textId="77777777" w:rsidR="00B2390C" w:rsidRDefault="00000000">
                          <w:pPr>
                            <w:pStyle w:val="Huisstijl-ReferentiegegevenskopW1"/>
                          </w:pPr>
                          <w:r w:rsidRPr="008D59C5">
                            <w:t>Bijlage</w:t>
                          </w:r>
                        </w:p>
                        <w:p w14:paraId="4C0589E5" w14:textId="280528B6" w:rsidR="00CD5856" w:rsidRPr="00B2390C" w:rsidRDefault="001C506E">
                          <w:pPr>
                            <w:pStyle w:val="Huisstijl-ReferentiegegevenskopW1"/>
                            <w:rPr>
                              <w:b w:val="0"/>
                              <w:bCs/>
                            </w:rPr>
                          </w:pPr>
                          <w:r w:rsidRPr="00B2390C">
                            <w:rPr>
                              <w:b w:val="0"/>
                              <w:bCs/>
                            </w:rPr>
                            <w:t>3</w:t>
                          </w:r>
                        </w:p>
                        <w:p w14:paraId="0B87F760" w14:textId="77777777" w:rsidR="00215CB5" w:rsidRDefault="00215CB5">
                          <w:pPr>
                            <w:pStyle w:val="Huisstijl-ReferentiegegevenskopW1"/>
                          </w:pPr>
                        </w:p>
                        <w:p w14:paraId="7A29E7E7" w14:textId="77777777" w:rsidR="00CD5856" w:rsidRDefault="00000000">
                          <w:pPr>
                            <w:pStyle w:val="Huisstijl-ReferentiegegevenskopW1"/>
                          </w:pPr>
                          <w:r>
                            <w:t>Kenmerk afzender</w:t>
                          </w:r>
                        </w:p>
                        <w:p w14:paraId="34B27471" w14:textId="77777777" w:rsidR="00CD5856" w:rsidRDefault="00CD5856">
                          <w:pPr>
                            <w:pStyle w:val="Huisstijl-Referentiegegevens"/>
                          </w:pPr>
                        </w:p>
                        <w:p w14:paraId="3D29DFB4" w14:textId="77777777" w:rsidR="00CD5856" w:rsidRDefault="00000000">
                          <w:pPr>
                            <w:pStyle w:val="Huisstijl-Algemenevoorwaarden"/>
                          </w:pPr>
                          <w:r>
                            <w:t>Correspondentie uitsluitend richten aan het retouradres met vermelding van de datum en het kenmerk van deze brief.</w:t>
                          </w:r>
                        </w:p>
                        <w:p w14:paraId="0A77CF44"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98BC69"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5D123BD9" w14:textId="77777777" w:rsidR="00CD5856" w:rsidRDefault="00000000">
                    <w:pPr>
                      <w:pStyle w:val="Huisstijl-AfzendgegevensW1"/>
                    </w:pPr>
                    <w:r>
                      <w:t>Bezoekadres</w:t>
                    </w:r>
                  </w:p>
                  <w:p w14:paraId="1F8ED9F6" w14:textId="77777777" w:rsidR="00CD5856" w:rsidRDefault="00000000">
                    <w:pPr>
                      <w:pStyle w:val="Huisstijl-Afzendgegevens"/>
                    </w:pPr>
                    <w:r>
                      <w:t>Parnassusplein 5</w:t>
                    </w:r>
                  </w:p>
                  <w:p w14:paraId="464C7BF2"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7F3BDAFC" w14:textId="77777777" w:rsidR="00CD5856" w:rsidRDefault="00000000">
                    <w:pPr>
                      <w:pStyle w:val="Huisstijl-Afzendgegevens"/>
                    </w:pPr>
                    <w:r w:rsidRPr="008D59C5">
                      <w:t>www.rijksoverheid.nl</w:t>
                    </w:r>
                  </w:p>
                  <w:p w14:paraId="364D0137" w14:textId="77777777" w:rsidR="00CD5856" w:rsidRDefault="00000000">
                    <w:pPr>
                      <w:pStyle w:val="Huisstijl-ReferentiegegevenskopW2"/>
                    </w:pPr>
                    <w:r w:rsidRPr="008D59C5">
                      <w:t>Kenmerk</w:t>
                    </w:r>
                  </w:p>
                  <w:p w14:paraId="433464A3" w14:textId="77777777" w:rsidR="00CD5856" w:rsidRDefault="00000000">
                    <w:pPr>
                      <w:pStyle w:val="Huisstijl-Referentiegegevens"/>
                    </w:pPr>
                    <w:bookmarkStart w:id="1" w:name="_Hlk117784077"/>
                    <w:r>
                      <w:t>4376815-1097637-IZB</w:t>
                    </w:r>
                  </w:p>
                  <w:bookmarkEnd w:id="1"/>
                  <w:p w14:paraId="52E6FF22" w14:textId="77777777" w:rsidR="00B2390C" w:rsidRDefault="00000000">
                    <w:pPr>
                      <w:pStyle w:val="Huisstijl-ReferentiegegevenskopW1"/>
                    </w:pPr>
                    <w:r w:rsidRPr="008D59C5">
                      <w:t>Bijlage</w:t>
                    </w:r>
                  </w:p>
                  <w:p w14:paraId="4C0589E5" w14:textId="280528B6" w:rsidR="00CD5856" w:rsidRPr="00B2390C" w:rsidRDefault="001C506E">
                    <w:pPr>
                      <w:pStyle w:val="Huisstijl-ReferentiegegevenskopW1"/>
                      <w:rPr>
                        <w:b w:val="0"/>
                        <w:bCs/>
                      </w:rPr>
                    </w:pPr>
                    <w:r w:rsidRPr="00B2390C">
                      <w:rPr>
                        <w:b w:val="0"/>
                        <w:bCs/>
                      </w:rPr>
                      <w:t>3</w:t>
                    </w:r>
                  </w:p>
                  <w:p w14:paraId="0B87F760" w14:textId="77777777" w:rsidR="00215CB5" w:rsidRDefault="00215CB5">
                    <w:pPr>
                      <w:pStyle w:val="Huisstijl-ReferentiegegevenskopW1"/>
                    </w:pPr>
                  </w:p>
                  <w:p w14:paraId="7A29E7E7" w14:textId="77777777" w:rsidR="00CD5856" w:rsidRDefault="00000000">
                    <w:pPr>
                      <w:pStyle w:val="Huisstijl-ReferentiegegevenskopW1"/>
                    </w:pPr>
                    <w:r>
                      <w:t>Kenmerk afzender</w:t>
                    </w:r>
                  </w:p>
                  <w:p w14:paraId="34B27471" w14:textId="77777777" w:rsidR="00CD5856" w:rsidRDefault="00CD5856">
                    <w:pPr>
                      <w:pStyle w:val="Huisstijl-Referentiegegevens"/>
                    </w:pPr>
                  </w:p>
                  <w:p w14:paraId="3D29DFB4" w14:textId="77777777" w:rsidR="00CD5856" w:rsidRDefault="00000000">
                    <w:pPr>
                      <w:pStyle w:val="Huisstijl-Algemenevoorwaarden"/>
                    </w:pPr>
                    <w:r>
                      <w:t>Correspondentie uitsluitend richten aan het retouradres met vermelding van de datum en het kenmerk van deze brief.</w:t>
                    </w:r>
                  </w:p>
                  <w:p w14:paraId="0A77CF44" w14:textId="77777777" w:rsidR="00CD5856" w:rsidRDefault="00CD5856"/>
                </w:txbxContent>
              </v:textbox>
              <w10:wrap anchorx="page" anchory="page"/>
            </v:shape>
          </w:pict>
        </mc:Fallback>
      </mc:AlternateContent>
    </w:r>
    <w:r w:rsidR="00C11E07">
      <w:rPr>
        <w:noProof/>
        <w:lang w:eastAsia="nl-NL" w:bidi="ar-SA"/>
      </w:rPr>
      <mc:AlternateContent>
        <mc:Choice Requires="wps">
          <w:drawing>
            <wp:anchor distT="0" distB="0" distL="114300" distR="114300" simplePos="0" relativeHeight="251657216" behindDoc="0" locked="0" layoutInCell="1" allowOverlap="1" wp14:anchorId="4580F58A" wp14:editId="6403E80A">
              <wp:simplePos x="0" y="0"/>
              <wp:positionH relativeFrom="page">
                <wp:posOffset>1011555</wp:posOffset>
              </wp:positionH>
              <wp:positionV relativeFrom="page">
                <wp:posOffset>3769995</wp:posOffset>
              </wp:positionV>
              <wp:extent cx="4103370" cy="466725"/>
              <wp:effectExtent l="11430" t="7620" r="9525" b="11430"/>
              <wp:wrapNone/>
              <wp:docPr id="53458635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7485D85D" w14:textId="26128282" w:rsidR="00CD5856" w:rsidRDefault="00000000">
                          <w:pPr>
                            <w:pStyle w:val="Huisstijl-Datumenbetreft"/>
                            <w:tabs>
                              <w:tab w:val="clear" w:pos="737"/>
                              <w:tab w:val="left" w:pos="-5954"/>
                              <w:tab w:val="left" w:pos="-5670"/>
                              <w:tab w:val="left" w:pos="1134"/>
                            </w:tabs>
                          </w:pPr>
                          <w:r>
                            <w:t>Datum</w:t>
                          </w:r>
                          <w:r w:rsidR="00E1490C">
                            <w:tab/>
                          </w:r>
                          <w:r w:rsidR="00E340DB">
                            <w:t>1</w:t>
                          </w:r>
                          <w:r w:rsidR="00307D6A">
                            <w:t>3</w:t>
                          </w:r>
                          <w:r w:rsidR="00E340DB">
                            <w:t xml:space="preserve"> mei 2026</w:t>
                          </w:r>
                        </w:p>
                        <w:p w14:paraId="4DCA5FE5" w14:textId="77777777" w:rsidR="00CD5856" w:rsidRDefault="00000000">
                          <w:pPr>
                            <w:pStyle w:val="Huisstijl-Datumenbetreft"/>
                            <w:tabs>
                              <w:tab w:val="clear" w:pos="737"/>
                              <w:tab w:val="left" w:pos="-5954"/>
                              <w:tab w:val="left" w:pos="-5670"/>
                              <w:tab w:val="left" w:pos="1134"/>
                            </w:tabs>
                          </w:pPr>
                          <w:r>
                            <w:t>Betreft</w:t>
                          </w:r>
                          <w:r w:rsidR="00E1490C">
                            <w:tab/>
                          </w:r>
                          <w:r w:rsidR="005F69B8">
                            <w:t>E</w:t>
                          </w:r>
                          <w:r w:rsidR="001C506E">
                            <w:t>indrapportage TNO (post) COVID-19 programma</w:t>
                          </w:r>
                        </w:p>
                        <w:p w14:paraId="67CDB49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580F58A"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7485D85D" w14:textId="26128282" w:rsidR="00CD5856" w:rsidRDefault="00000000">
                    <w:pPr>
                      <w:pStyle w:val="Huisstijl-Datumenbetreft"/>
                      <w:tabs>
                        <w:tab w:val="clear" w:pos="737"/>
                        <w:tab w:val="left" w:pos="-5954"/>
                        <w:tab w:val="left" w:pos="-5670"/>
                        <w:tab w:val="left" w:pos="1134"/>
                      </w:tabs>
                    </w:pPr>
                    <w:r>
                      <w:t>Datum</w:t>
                    </w:r>
                    <w:r w:rsidR="00E1490C">
                      <w:tab/>
                    </w:r>
                    <w:r w:rsidR="00E340DB">
                      <w:t>1</w:t>
                    </w:r>
                    <w:r w:rsidR="00307D6A">
                      <w:t>3</w:t>
                    </w:r>
                    <w:r w:rsidR="00E340DB">
                      <w:t xml:space="preserve"> mei 2026</w:t>
                    </w:r>
                  </w:p>
                  <w:p w14:paraId="4DCA5FE5" w14:textId="77777777" w:rsidR="00CD5856" w:rsidRDefault="00000000">
                    <w:pPr>
                      <w:pStyle w:val="Huisstijl-Datumenbetreft"/>
                      <w:tabs>
                        <w:tab w:val="clear" w:pos="737"/>
                        <w:tab w:val="left" w:pos="-5954"/>
                        <w:tab w:val="left" w:pos="-5670"/>
                        <w:tab w:val="left" w:pos="1134"/>
                      </w:tabs>
                    </w:pPr>
                    <w:r>
                      <w:t>Betreft</w:t>
                    </w:r>
                    <w:r w:rsidR="00E1490C">
                      <w:tab/>
                    </w:r>
                    <w:r w:rsidR="005F69B8">
                      <w:t>E</w:t>
                    </w:r>
                    <w:r w:rsidR="001C506E">
                      <w:t>indrapportage TNO (post) COVID-19 programma</w:t>
                    </w:r>
                  </w:p>
                  <w:p w14:paraId="67CDB49F" w14:textId="77777777" w:rsidR="00CD5856" w:rsidRDefault="00CD5856">
                    <w:pPr>
                      <w:pStyle w:val="Huisstijl-Datumenbetreft"/>
                      <w:tabs>
                        <w:tab w:val="left" w:pos="-5954"/>
                        <w:tab w:val="left" w:pos="-5670"/>
                      </w:tabs>
                    </w:pPr>
                  </w:p>
                </w:txbxContent>
              </v:textbox>
              <w10:wrap anchorx="page" anchory="page"/>
            </v:shape>
          </w:pict>
        </mc:Fallback>
      </mc:AlternateContent>
    </w:r>
    <w:r w:rsidR="00C11E07">
      <w:rPr>
        <w:noProof/>
        <w:lang w:eastAsia="nl-NL" w:bidi="ar-SA"/>
      </w:rPr>
      <mc:AlternateContent>
        <mc:Choice Requires="wps">
          <w:drawing>
            <wp:anchor distT="0" distB="0" distL="114300" distR="114300" simplePos="0" relativeHeight="251656192" behindDoc="0" locked="0" layoutInCell="1" allowOverlap="1" wp14:anchorId="7F589076" wp14:editId="3DBFDEA4">
              <wp:simplePos x="0" y="0"/>
              <wp:positionH relativeFrom="page">
                <wp:posOffset>1008380</wp:posOffset>
              </wp:positionH>
              <wp:positionV relativeFrom="page">
                <wp:posOffset>3384550</wp:posOffset>
              </wp:positionV>
              <wp:extent cx="4104005" cy="179705"/>
              <wp:effectExtent l="8255" t="12700" r="12065" b="7620"/>
              <wp:wrapNone/>
              <wp:docPr id="130662704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7FA7F89"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589076"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17FA7F89" w14:textId="77777777" w:rsidR="00CD5856" w:rsidRDefault="00CD5856">
                    <w:pPr>
                      <w:pStyle w:val="Huisstijl-Toezendgegevens"/>
                    </w:pPr>
                  </w:p>
                </w:txbxContent>
              </v:textbox>
              <w10:wrap anchorx="page" anchory="page"/>
            </v:shape>
          </w:pict>
        </mc:Fallback>
      </mc:AlternateContent>
    </w:r>
    <w:r w:rsidR="00C11E07">
      <w:rPr>
        <w:noProof/>
        <w:lang w:eastAsia="nl-NL" w:bidi="ar-SA"/>
      </w:rPr>
      <mc:AlternateContent>
        <mc:Choice Requires="wps">
          <w:drawing>
            <wp:anchor distT="0" distB="0" distL="114300" distR="114300" simplePos="0" relativeHeight="251655168" behindDoc="0" locked="0" layoutInCell="1" allowOverlap="1" wp14:anchorId="03AAFD33" wp14:editId="236F06F1">
              <wp:simplePos x="0" y="0"/>
              <wp:positionH relativeFrom="page">
                <wp:posOffset>1008380</wp:posOffset>
              </wp:positionH>
              <wp:positionV relativeFrom="page">
                <wp:posOffset>1944370</wp:posOffset>
              </wp:positionV>
              <wp:extent cx="3347720" cy="1080135"/>
              <wp:effectExtent l="8255" t="10795" r="6350" b="13970"/>
              <wp:wrapNone/>
              <wp:docPr id="200008975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C8EA3B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AFD33"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6C8EA3B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C11E07">
      <w:rPr>
        <w:noProof/>
        <w:lang w:eastAsia="nl-NL" w:bidi="ar-SA"/>
      </w:rPr>
      <mc:AlternateContent>
        <mc:Choice Requires="wps">
          <w:drawing>
            <wp:anchor distT="0" distB="0" distL="114300" distR="114300" simplePos="0" relativeHeight="251654144" behindDoc="0" locked="1" layoutInCell="1" allowOverlap="1" wp14:anchorId="51C04A98" wp14:editId="59948B3D">
              <wp:simplePos x="0" y="0"/>
              <wp:positionH relativeFrom="page">
                <wp:posOffset>1008380</wp:posOffset>
              </wp:positionH>
              <wp:positionV relativeFrom="page">
                <wp:posOffset>1713865</wp:posOffset>
              </wp:positionV>
              <wp:extent cx="3590925" cy="144145"/>
              <wp:effectExtent l="8255" t="8890" r="10795" b="8890"/>
              <wp:wrapNone/>
              <wp:docPr id="1774405447"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59C7492"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C04A98"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059C7492"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4881" w14:textId="334620EE" w:rsidR="00CD5856" w:rsidRDefault="00C11E07">
    <w:pPr>
      <w:pStyle w:val="Koptekst"/>
    </w:pPr>
    <w:r>
      <w:rPr>
        <w:noProof/>
        <w:lang w:eastAsia="nl-NL" w:bidi="ar-SA"/>
      </w:rPr>
      <mc:AlternateContent>
        <mc:Choice Requires="wps">
          <w:drawing>
            <wp:anchor distT="0" distB="0" distL="114300" distR="114300" simplePos="0" relativeHeight="251659264" behindDoc="0" locked="0" layoutInCell="1" allowOverlap="1" wp14:anchorId="1DB945AB" wp14:editId="3FDD9912">
              <wp:simplePos x="0" y="0"/>
              <wp:positionH relativeFrom="page">
                <wp:posOffset>5922645</wp:posOffset>
              </wp:positionH>
              <wp:positionV relativeFrom="page">
                <wp:posOffset>1936750</wp:posOffset>
              </wp:positionV>
              <wp:extent cx="1259840" cy="8009890"/>
              <wp:effectExtent l="7620" t="12700" r="8890" b="6985"/>
              <wp:wrapNone/>
              <wp:docPr id="962725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19EF6F0" w14:textId="77777777" w:rsidR="00CD5856" w:rsidRDefault="00000000">
                          <w:pPr>
                            <w:pStyle w:val="Huisstijl-ReferentiegegevenskopW2"/>
                          </w:pPr>
                          <w:r w:rsidRPr="008D59C5">
                            <w:t>Kenmerk</w:t>
                          </w:r>
                        </w:p>
                        <w:p w14:paraId="4A74097D" w14:textId="77777777" w:rsidR="00C95CA9" w:rsidRPr="00C95CA9" w:rsidRDefault="00000000" w:rsidP="00C95CA9">
                          <w:pPr>
                            <w:pStyle w:val="Huisstijl-Referentiegegevens"/>
                          </w:pPr>
                          <w:r w:rsidRPr="00C95CA9">
                            <w:t>4376815-1097637-IZB</w:t>
                          </w:r>
                        </w:p>
                        <w:p w14:paraId="609CD202"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B945AB"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019EF6F0" w14:textId="77777777" w:rsidR="00CD5856" w:rsidRDefault="00000000">
                    <w:pPr>
                      <w:pStyle w:val="Huisstijl-ReferentiegegevenskopW2"/>
                    </w:pPr>
                    <w:r w:rsidRPr="008D59C5">
                      <w:t>Kenmerk</w:t>
                    </w:r>
                  </w:p>
                  <w:p w14:paraId="4A74097D" w14:textId="77777777" w:rsidR="00C95CA9" w:rsidRPr="00C95CA9" w:rsidRDefault="00000000" w:rsidP="00C95CA9">
                    <w:pPr>
                      <w:pStyle w:val="Huisstijl-Referentiegegevens"/>
                    </w:pPr>
                    <w:r w:rsidRPr="00C95CA9">
                      <w:t>4376815-1097637-IZB</w:t>
                    </w:r>
                  </w:p>
                  <w:p w14:paraId="609CD202"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7B26292" wp14:editId="55A42908">
              <wp:simplePos x="0" y="0"/>
              <wp:positionH relativeFrom="page">
                <wp:posOffset>5922645</wp:posOffset>
              </wp:positionH>
              <wp:positionV relativeFrom="page">
                <wp:posOffset>10225405</wp:posOffset>
              </wp:positionV>
              <wp:extent cx="1259840" cy="213995"/>
              <wp:effectExtent l="7620" t="5080" r="8890" b="9525"/>
              <wp:wrapNone/>
              <wp:docPr id="23276129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353755D" w14:textId="71BDF206"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30498">
                            <w:fldChar w:fldCharType="begin"/>
                          </w:r>
                          <w:r>
                            <w:instrText xml:space="preserve"> SECTIONPAGES  \* Arabic  \* MERGEFORMAT </w:instrText>
                          </w:r>
                          <w:r w:rsidR="00430498">
                            <w:fldChar w:fldCharType="separate"/>
                          </w:r>
                          <w:r w:rsidR="00C11E07">
                            <w:rPr>
                              <w:noProof/>
                            </w:rPr>
                            <w:t>4</w:t>
                          </w:r>
                          <w:r w:rsidR="00430498">
                            <w:rPr>
                              <w:noProof/>
                            </w:rPr>
                            <w:fldChar w:fldCharType="end"/>
                          </w:r>
                        </w:p>
                        <w:p w14:paraId="23CA51D2" w14:textId="77777777" w:rsidR="00CD5856" w:rsidRDefault="00CD5856"/>
                        <w:p w14:paraId="23B1A162" w14:textId="77777777" w:rsidR="00CD5856" w:rsidRDefault="00CD5856">
                          <w:pPr>
                            <w:pStyle w:val="Huisstijl-Paginanummer"/>
                          </w:pPr>
                        </w:p>
                        <w:p w14:paraId="7088FA00"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B26292"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3353755D" w14:textId="71BDF206"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30498">
                      <w:fldChar w:fldCharType="begin"/>
                    </w:r>
                    <w:r>
                      <w:instrText xml:space="preserve"> SECTIONPAGES  \* Arabic  \* MERGEFORMAT </w:instrText>
                    </w:r>
                    <w:r w:rsidR="00430498">
                      <w:fldChar w:fldCharType="separate"/>
                    </w:r>
                    <w:r w:rsidR="00C11E07">
                      <w:rPr>
                        <w:noProof/>
                      </w:rPr>
                      <w:t>4</w:t>
                    </w:r>
                    <w:r w:rsidR="00430498">
                      <w:rPr>
                        <w:noProof/>
                      </w:rPr>
                      <w:fldChar w:fldCharType="end"/>
                    </w:r>
                  </w:p>
                  <w:p w14:paraId="23CA51D2" w14:textId="77777777" w:rsidR="00CD5856" w:rsidRDefault="00CD5856"/>
                  <w:p w14:paraId="23B1A162" w14:textId="77777777" w:rsidR="00CD5856" w:rsidRDefault="00CD5856">
                    <w:pPr>
                      <w:pStyle w:val="Huisstijl-Paginanummer"/>
                    </w:pPr>
                  </w:p>
                  <w:p w14:paraId="7088FA00"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CAEF" w14:textId="68CA1585" w:rsidR="00CD5856" w:rsidRDefault="00C11E07">
    <w:pPr>
      <w:pStyle w:val="Koptekst"/>
    </w:pPr>
    <w:r>
      <w:rPr>
        <w:noProof/>
        <w:lang w:eastAsia="nl-NL" w:bidi="ar-SA"/>
      </w:rPr>
      <mc:AlternateContent>
        <mc:Choice Requires="wps">
          <w:drawing>
            <wp:anchor distT="0" distB="0" distL="114300" distR="114300" simplePos="0" relativeHeight="251664384" behindDoc="0" locked="0" layoutInCell="1" allowOverlap="1" wp14:anchorId="417C76BF" wp14:editId="60E914A6">
              <wp:simplePos x="0" y="0"/>
              <wp:positionH relativeFrom="page">
                <wp:posOffset>1009650</wp:posOffset>
              </wp:positionH>
              <wp:positionV relativeFrom="page">
                <wp:posOffset>3768725</wp:posOffset>
              </wp:positionV>
              <wp:extent cx="4103370" cy="457200"/>
              <wp:effectExtent l="9525" t="6350" r="11430" b="12700"/>
              <wp:wrapTopAndBottom/>
              <wp:docPr id="28954975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CD25EB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2390C">
                                <w:t>26 juni 2014</w:t>
                              </w:r>
                            </w:sdtContent>
                          </w:sdt>
                        </w:p>
                        <w:p w14:paraId="0D89A227" w14:textId="77777777" w:rsidR="00CD5856" w:rsidRDefault="00000000">
                          <w:pPr>
                            <w:pStyle w:val="Huisstijl-Datumenbetreft"/>
                            <w:tabs>
                              <w:tab w:val="left" w:pos="-5954"/>
                              <w:tab w:val="left" w:pos="-5670"/>
                            </w:tabs>
                          </w:pPr>
                          <w:r>
                            <w:t>Betreft</w:t>
                          </w:r>
                          <w:r>
                            <w:tab/>
                          </w:r>
                          <w:r w:rsidR="008D59C5">
                            <w:t>BETREFT</w:t>
                          </w:r>
                        </w:p>
                        <w:p w14:paraId="741E60B2"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7C76BF"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5CD25EB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B2390C">
                          <w:t>26 juni 2014</w:t>
                        </w:r>
                      </w:sdtContent>
                    </w:sdt>
                  </w:p>
                  <w:p w14:paraId="0D89A227" w14:textId="77777777" w:rsidR="00CD5856" w:rsidRDefault="00000000">
                    <w:pPr>
                      <w:pStyle w:val="Huisstijl-Datumenbetreft"/>
                      <w:tabs>
                        <w:tab w:val="left" w:pos="-5954"/>
                        <w:tab w:val="left" w:pos="-5670"/>
                      </w:tabs>
                    </w:pPr>
                    <w:r>
                      <w:t>Betreft</w:t>
                    </w:r>
                    <w:r>
                      <w:tab/>
                    </w:r>
                    <w:r w:rsidR="008D59C5">
                      <w:t>BETREFT</w:t>
                    </w:r>
                  </w:p>
                  <w:p w14:paraId="741E60B2"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5EE452F4" wp14:editId="784F451C">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141B47A6" wp14:editId="7598642C">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247E704" wp14:editId="0723522A">
              <wp:simplePos x="0" y="0"/>
              <wp:positionH relativeFrom="page">
                <wp:posOffset>5922645</wp:posOffset>
              </wp:positionH>
              <wp:positionV relativeFrom="page">
                <wp:posOffset>1964690</wp:posOffset>
              </wp:positionV>
              <wp:extent cx="1259840" cy="8009890"/>
              <wp:effectExtent l="7620" t="12065" r="8890" b="7620"/>
              <wp:wrapNone/>
              <wp:docPr id="207694679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3B0DFA5" w14:textId="77777777" w:rsidR="00CD5856" w:rsidRDefault="00000000">
                          <w:pPr>
                            <w:pStyle w:val="Huisstijl-Afzendgegevens"/>
                          </w:pPr>
                          <w:r w:rsidRPr="008D59C5">
                            <w:t>Rijnstraat 50</w:t>
                          </w:r>
                        </w:p>
                        <w:p w14:paraId="03807272" w14:textId="77777777" w:rsidR="00CD5856" w:rsidRDefault="00000000">
                          <w:pPr>
                            <w:pStyle w:val="Huisstijl-Afzendgegevens"/>
                          </w:pPr>
                          <w:r w:rsidRPr="008D59C5">
                            <w:t>Den Haag</w:t>
                          </w:r>
                        </w:p>
                        <w:p w14:paraId="71B3270C" w14:textId="77777777" w:rsidR="00CD5856" w:rsidRDefault="00000000">
                          <w:pPr>
                            <w:pStyle w:val="Huisstijl-Afzendgegevens"/>
                          </w:pPr>
                          <w:r w:rsidRPr="008D59C5">
                            <w:t>www.rijksoverheid.nl</w:t>
                          </w:r>
                        </w:p>
                        <w:p w14:paraId="00EDFAF0" w14:textId="77777777" w:rsidR="00CD5856" w:rsidRDefault="00000000">
                          <w:pPr>
                            <w:pStyle w:val="Huisstijl-AfzendgegevenskopW1"/>
                          </w:pPr>
                          <w:r>
                            <w:t>Contactpersoon</w:t>
                          </w:r>
                        </w:p>
                        <w:p w14:paraId="44C07B2A" w14:textId="77777777" w:rsidR="00CD5856" w:rsidRDefault="00000000">
                          <w:pPr>
                            <w:pStyle w:val="Huisstijl-Afzendgegevens"/>
                          </w:pPr>
                          <w:r w:rsidRPr="008D59C5">
                            <w:t>ing. J.A. Ramlal</w:t>
                          </w:r>
                        </w:p>
                        <w:p w14:paraId="2741DA05" w14:textId="77777777" w:rsidR="00CD5856" w:rsidRDefault="00000000">
                          <w:pPr>
                            <w:pStyle w:val="Huisstijl-Afzendgegevens"/>
                          </w:pPr>
                          <w:r w:rsidRPr="008D59C5">
                            <w:t>ja.ramlal@minvws.nl</w:t>
                          </w:r>
                        </w:p>
                        <w:p w14:paraId="2455B601" w14:textId="77777777" w:rsidR="00CD5856" w:rsidRDefault="00000000">
                          <w:pPr>
                            <w:pStyle w:val="Huisstijl-ReferentiegegevenskopW2"/>
                          </w:pPr>
                          <w:r>
                            <w:t>Ons kenmerk</w:t>
                          </w:r>
                        </w:p>
                        <w:p w14:paraId="07340315" w14:textId="77777777" w:rsidR="00CD5856" w:rsidRDefault="00000000">
                          <w:pPr>
                            <w:pStyle w:val="Huisstijl-Referentiegegevens"/>
                          </w:pPr>
                          <w:r>
                            <w:t>KENMERK</w:t>
                          </w:r>
                        </w:p>
                        <w:p w14:paraId="7166F160" w14:textId="77777777" w:rsidR="00CD5856" w:rsidRDefault="00000000">
                          <w:pPr>
                            <w:pStyle w:val="Huisstijl-ReferentiegegevenskopW1"/>
                          </w:pPr>
                          <w:r>
                            <w:t>Uw kenmerk</w:t>
                          </w:r>
                        </w:p>
                        <w:p w14:paraId="1546EB49"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7E70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3B0DFA5" w14:textId="77777777" w:rsidR="00CD5856" w:rsidRDefault="00000000">
                    <w:pPr>
                      <w:pStyle w:val="Huisstijl-Afzendgegevens"/>
                    </w:pPr>
                    <w:r w:rsidRPr="008D59C5">
                      <w:t>Rijnstraat 50</w:t>
                    </w:r>
                  </w:p>
                  <w:p w14:paraId="03807272" w14:textId="77777777" w:rsidR="00CD5856" w:rsidRDefault="00000000">
                    <w:pPr>
                      <w:pStyle w:val="Huisstijl-Afzendgegevens"/>
                    </w:pPr>
                    <w:r w:rsidRPr="008D59C5">
                      <w:t>Den Haag</w:t>
                    </w:r>
                  </w:p>
                  <w:p w14:paraId="71B3270C" w14:textId="77777777" w:rsidR="00CD5856" w:rsidRDefault="00000000">
                    <w:pPr>
                      <w:pStyle w:val="Huisstijl-Afzendgegevens"/>
                    </w:pPr>
                    <w:r w:rsidRPr="008D59C5">
                      <w:t>www.rijksoverheid.nl</w:t>
                    </w:r>
                  </w:p>
                  <w:p w14:paraId="00EDFAF0" w14:textId="77777777" w:rsidR="00CD5856" w:rsidRDefault="00000000">
                    <w:pPr>
                      <w:pStyle w:val="Huisstijl-AfzendgegevenskopW1"/>
                    </w:pPr>
                    <w:r>
                      <w:t>Contactpersoon</w:t>
                    </w:r>
                  </w:p>
                  <w:p w14:paraId="44C07B2A" w14:textId="77777777" w:rsidR="00CD5856" w:rsidRDefault="00000000">
                    <w:pPr>
                      <w:pStyle w:val="Huisstijl-Afzendgegevens"/>
                    </w:pPr>
                    <w:r w:rsidRPr="008D59C5">
                      <w:t>ing. J.A. Ramlal</w:t>
                    </w:r>
                  </w:p>
                  <w:p w14:paraId="2741DA05" w14:textId="77777777" w:rsidR="00CD5856" w:rsidRDefault="00000000">
                    <w:pPr>
                      <w:pStyle w:val="Huisstijl-Afzendgegevens"/>
                    </w:pPr>
                    <w:r w:rsidRPr="008D59C5">
                      <w:t>ja.ramlal@minvws.nl</w:t>
                    </w:r>
                  </w:p>
                  <w:p w14:paraId="2455B601" w14:textId="77777777" w:rsidR="00CD5856" w:rsidRDefault="00000000">
                    <w:pPr>
                      <w:pStyle w:val="Huisstijl-ReferentiegegevenskopW2"/>
                    </w:pPr>
                    <w:r>
                      <w:t>Ons kenmerk</w:t>
                    </w:r>
                  </w:p>
                  <w:p w14:paraId="07340315" w14:textId="77777777" w:rsidR="00CD5856" w:rsidRDefault="00000000">
                    <w:pPr>
                      <w:pStyle w:val="Huisstijl-Referentiegegevens"/>
                    </w:pPr>
                    <w:r>
                      <w:t>KENMERK</w:t>
                    </w:r>
                  </w:p>
                  <w:p w14:paraId="7166F160" w14:textId="77777777" w:rsidR="00CD5856" w:rsidRDefault="00000000">
                    <w:pPr>
                      <w:pStyle w:val="Huisstijl-ReferentiegegevenskopW1"/>
                    </w:pPr>
                    <w:r>
                      <w:t>Uw kenmerk</w:t>
                    </w:r>
                  </w:p>
                  <w:p w14:paraId="1546EB49"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4B76682F" wp14:editId="5AD12C4E">
              <wp:simplePos x="0" y="0"/>
              <wp:positionH relativeFrom="page">
                <wp:posOffset>1008380</wp:posOffset>
              </wp:positionH>
              <wp:positionV relativeFrom="page">
                <wp:posOffset>1942465</wp:posOffset>
              </wp:positionV>
              <wp:extent cx="2988310" cy="1080135"/>
              <wp:effectExtent l="8255" t="8890" r="13335" b="6350"/>
              <wp:wrapNone/>
              <wp:docPr id="211873681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B1A377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76682F"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B1A3772"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887A3ED" wp14:editId="17587AAD">
              <wp:simplePos x="0" y="0"/>
              <wp:positionH relativeFrom="page">
                <wp:posOffset>5922645</wp:posOffset>
              </wp:positionH>
              <wp:positionV relativeFrom="page">
                <wp:posOffset>10224770</wp:posOffset>
              </wp:positionV>
              <wp:extent cx="730885" cy="107950"/>
              <wp:effectExtent l="7620" t="13970" r="13970" b="11430"/>
              <wp:wrapNone/>
              <wp:docPr id="1261924422"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16CD39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87A3ED"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516CD39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6A86E33" wp14:editId="68C5BF15">
              <wp:simplePos x="0" y="0"/>
              <wp:positionH relativeFrom="page">
                <wp:posOffset>1008380</wp:posOffset>
              </wp:positionH>
              <wp:positionV relativeFrom="page">
                <wp:posOffset>3384550</wp:posOffset>
              </wp:positionV>
              <wp:extent cx="4104005" cy="179705"/>
              <wp:effectExtent l="8255" t="12700" r="12065" b="7620"/>
              <wp:wrapNone/>
              <wp:docPr id="11781856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06AF339"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A86E33"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106AF33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6986FB9" wp14:editId="0FAE2E92">
              <wp:simplePos x="0" y="0"/>
              <wp:positionH relativeFrom="page">
                <wp:posOffset>1008380</wp:posOffset>
              </wp:positionH>
              <wp:positionV relativeFrom="page">
                <wp:posOffset>1715135</wp:posOffset>
              </wp:positionV>
              <wp:extent cx="3590925" cy="144145"/>
              <wp:effectExtent l="8255" t="10160" r="10795" b="7620"/>
              <wp:wrapNone/>
              <wp:docPr id="99808365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102DADD"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986FB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4102DADD"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75935"/>
    <w:multiLevelType w:val="hybridMultilevel"/>
    <w:tmpl w:val="C8C6DC8E"/>
    <w:lvl w:ilvl="0" w:tplc="0A584908">
      <w:start w:val="1"/>
      <w:numFmt w:val="decimal"/>
      <w:lvlText w:val="%1."/>
      <w:lvlJc w:val="left"/>
      <w:pPr>
        <w:ind w:left="360" w:hanging="360"/>
      </w:pPr>
      <w:rPr>
        <w:rFonts w:hint="default"/>
      </w:rPr>
    </w:lvl>
    <w:lvl w:ilvl="1" w:tplc="47F02D20" w:tentative="1">
      <w:start w:val="1"/>
      <w:numFmt w:val="lowerLetter"/>
      <w:lvlText w:val="%2."/>
      <w:lvlJc w:val="left"/>
      <w:pPr>
        <w:ind w:left="1080" w:hanging="360"/>
      </w:pPr>
    </w:lvl>
    <w:lvl w:ilvl="2" w:tplc="9D400CD2" w:tentative="1">
      <w:start w:val="1"/>
      <w:numFmt w:val="lowerRoman"/>
      <w:lvlText w:val="%3."/>
      <w:lvlJc w:val="right"/>
      <w:pPr>
        <w:ind w:left="1800" w:hanging="180"/>
      </w:pPr>
    </w:lvl>
    <w:lvl w:ilvl="3" w:tplc="3D347CE0" w:tentative="1">
      <w:start w:val="1"/>
      <w:numFmt w:val="decimal"/>
      <w:lvlText w:val="%4."/>
      <w:lvlJc w:val="left"/>
      <w:pPr>
        <w:ind w:left="2520" w:hanging="360"/>
      </w:pPr>
    </w:lvl>
    <w:lvl w:ilvl="4" w:tplc="0D000118" w:tentative="1">
      <w:start w:val="1"/>
      <w:numFmt w:val="lowerLetter"/>
      <w:lvlText w:val="%5."/>
      <w:lvlJc w:val="left"/>
      <w:pPr>
        <w:ind w:left="3240" w:hanging="360"/>
      </w:pPr>
    </w:lvl>
    <w:lvl w:ilvl="5" w:tplc="451A6BFA" w:tentative="1">
      <w:start w:val="1"/>
      <w:numFmt w:val="lowerRoman"/>
      <w:lvlText w:val="%6."/>
      <w:lvlJc w:val="right"/>
      <w:pPr>
        <w:ind w:left="3960" w:hanging="180"/>
      </w:pPr>
    </w:lvl>
    <w:lvl w:ilvl="6" w:tplc="EB0CE0F2" w:tentative="1">
      <w:start w:val="1"/>
      <w:numFmt w:val="decimal"/>
      <w:lvlText w:val="%7."/>
      <w:lvlJc w:val="left"/>
      <w:pPr>
        <w:ind w:left="4680" w:hanging="360"/>
      </w:pPr>
    </w:lvl>
    <w:lvl w:ilvl="7" w:tplc="4A46EF5A" w:tentative="1">
      <w:start w:val="1"/>
      <w:numFmt w:val="lowerLetter"/>
      <w:lvlText w:val="%8."/>
      <w:lvlJc w:val="left"/>
      <w:pPr>
        <w:ind w:left="5400" w:hanging="360"/>
      </w:pPr>
    </w:lvl>
    <w:lvl w:ilvl="8" w:tplc="0D44369C" w:tentative="1">
      <w:start w:val="1"/>
      <w:numFmt w:val="lowerRoman"/>
      <w:lvlText w:val="%9."/>
      <w:lvlJc w:val="right"/>
      <w:pPr>
        <w:ind w:left="6120" w:hanging="180"/>
      </w:pPr>
    </w:lvl>
  </w:abstractNum>
  <w:abstractNum w:abstractNumId="1" w15:restartNumberingAfterBreak="0">
    <w:nsid w:val="503E144F"/>
    <w:multiLevelType w:val="hybridMultilevel"/>
    <w:tmpl w:val="534863F6"/>
    <w:lvl w:ilvl="0" w:tplc="3580C016">
      <w:start w:val="1"/>
      <w:numFmt w:val="decimal"/>
      <w:lvlText w:val="%1."/>
      <w:lvlJc w:val="left"/>
      <w:pPr>
        <w:ind w:left="720" w:hanging="360"/>
      </w:pPr>
      <w:rPr>
        <w:rFonts w:hint="default"/>
      </w:rPr>
    </w:lvl>
    <w:lvl w:ilvl="1" w:tplc="B41C2654" w:tentative="1">
      <w:start w:val="1"/>
      <w:numFmt w:val="lowerLetter"/>
      <w:lvlText w:val="%2."/>
      <w:lvlJc w:val="left"/>
      <w:pPr>
        <w:ind w:left="1440" w:hanging="360"/>
      </w:pPr>
    </w:lvl>
    <w:lvl w:ilvl="2" w:tplc="B094CC5C" w:tentative="1">
      <w:start w:val="1"/>
      <w:numFmt w:val="lowerRoman"/>
      <w:lvlText w:val="%3."/>
      <w:lvlJc w:val="right"/>
      <w:pPr>
        <w:ind w:left="2160" w:hanging="180"/>
      </w:pPr>
    </w:lvl>
    <w:lvl w:ilvl="3" w:tplc="A21CA6BA" w:tentative="1">
      <w:start w:val="1"/>
      <w:numFmt w:val="decimal"/>
      <w:lvlText w:val="%4."/>
      <w:lvlJc w:val="left"/>
      <w:pPr>
        <w:ind w:left="2880" w:hanging="360"/>
      </w:pPr>
    </w:lvl>
    <w:lvl w:ilvl="4" w:tplc="B0E612DC" w:tentative="1">
      <w:start w:val="1"/>
      <w:numFmt w:val="lowerLetter"/>
      <w:lvlText w:val="%5."/>
      <w:lvlJc w:val="left"/>
      <w:pPr>
        <w:ind w:left="3600" w:hanging="360"/>
      </w:pPr>
    </w:lvl>
    <w:lvl w:ilvl="5" w:tplc="E8EE927E" w:tentative="1">
      <w:start w:val="1"/>
      <w:numFmt w:val="lowerRoman"/>
      <w:lvlText w:val="%6."/>
      <w:lvlJc w:val="right"/>
      <w:pPr>
        <w:ind w:left="4320" w:hanging="180"/>
      </w:pPr>
    </w:lvl>
    <w:lvl w:ilvl="6" w:tplc="8B4A3CDA" w:tentative="1">
      <w:start w:val="1"/>
      <w:numFmt w:val="decimal"/>
      <w:lvlText w:val="%7."/>
      <w:lvlJc w:val="left"/>
      <w:pPr>
        <w:ind w:left="5040" w:hanging="360"/>
      </w:pPr>
    </w:lvl>
    <w:lvl w:ilvl="7" w:tplc="E474BC3A" w:tentative="1">
      <w:start w:val="1"/>
      <w:numFmt w:val="lowerLetter"/>
      <w:lvlText w:val="%8."/>
      <w:lvlJc w:val="left"/>
      <w:pPr>
        <w:ind w:left="5760" w:hanging="360"/>
      </w:pPr>
    </w:lvl>
    <w:lvl w:ilvl="8" w:tplc="A90CBB8C" w:tentative="1">
      <w:start w:val="1"/>
      <w:numFmt w:val="lowerRoman"/>
      <w:lvlText w:val="%9."/>
      <w:lvlJc w:val="right"/>
      <w:pPr>
        <w:ind w:left="6480" w:hanging="180"/>
      </w:pPr>
    </w:lvl>
  </w:abstractNum>
  <w:abstractNum w:abstractNumId="2" w15:restartNumberingAfterBreak="0">
    <w:nsid w:val="558A576F"/>
    <w:multiLevelType w:val="hybridMultilevel"/>
    <w:tmpl w:val="DB8AF5D4"/>
    <w:lvl w:ilvl="0" w:tplc="CB0E5700">
      <w:numFmt w:val="bullet"/>
      <w:lvlText w:val=""/>
      <w:lvlJc w:val="left"/>
      <w:pPr>
        <w:ind w:left="720" w:hanging="360"/>
      </w:pPr>
      <w:rPr>
        <w:rFonts w:ascii="Wingdings" w:eastAsia="DejaVu Sans" w:hAnsi="Wingdings" w:cs="Lohit Hindi" w:hint="default"/>
      </w:rPr>
    </w:lvl>
    <w:lvl w:ilvl="1" w:tplc="1DDE15C0" w:tentative="1">
      <w:start w:val="1"/>
      <w:numFmt w:val="bullet"/>
      <w:lvlText w:val="o"/>
      <w:lvlJc w:val="left"/>
      <w:pPr>
        <w:ind w:left="1440" w:hanging="360"/>
      </w:pPr>
      <w:rPr>
        <w:rFonts w:ascii="Courier New" w:hAnsi="Courier New" w:cs="Courier New" w:hint="default"/>
      </w:rPr>
    </w:lvl>
    <w:lvl w:ilvl="2" w:tplc="B602D8BA" w:tentative="1">
      <w:start w:val="1"/>
      <w:numFmt w:val="bullet"/>
      <w:lvlText w:val=""/>
      <w:lvlJc w:val="left"/>
      <w:pPr>
        <w:ind w:left="2160" w:hanging="360"/>
      </w:pPr>
      <w:rPr>
        <w:rFonts w:ascii="Wingdings" w:hAnsi="Wingdings" w:hint="default"/>
      </w:rPr>
    </w:lvl>
    <w:lvl w:ilvl="3" w:tplc="E5EC2532" w:tentative="1">
      <w:start w:val="1"/>
      <w:numFmt w:val="bullet"/>
      <w:lvlText w:val=""/>
      <w:lvlJc w:val="left"/>
      <w:pPr>
        <w:ind w:left="2880" w:hanging="360"/>
      </w:pPr>
      <w:rPr>
        <w:rFonts w:ascii="Symbol" w:hAnsi="Symbol" w:hint="default"/>
      </w:rPr>
    </w:lvl>
    <w:lvl w:ilvl="4" w:tplc="66A894DE" w:tentative="1">
      <w:start w:val="1"/>
      <w:numFmt w:val="bullet"/>
      <w:lvlText w:val="o"/>
      <w:lvlJc w:val="left"/>
      <w:pPr>
        <w:ind w:left="3600" w:hanging="360"/>
      </w:pPr>
      <w:rPr>
        <w:rFonts w:ascii="Courier New" w:hAnsi="Courier New" w:cs="Courier New" w:hint="default"/>
      </w:rPr>
    </w:lvl>
    <w:lvl w:ilvl="5" w:tplc="B024E9E0" w:tentative="1">
      <w:start w:val="1"/>
      <w:numFmt w:val="bullet"/>
      <w:lvlText w:val=""/>
      <w:lvlJc w:val="left"/>
      <w:pPr>
        <w:ind w:left="4320" w:hanging="360"/>
      </w:pPr>
      <w:rPr>
        <w:rFonts w:ascii="Wingdings" w:hAnsi="Wingdings" w:hint="default"/>
      </w:rPr>
    </w:lvl>
    <w:lvl w:ilvl="6" w:tplc="D6D8A390" w:tentative="1">
      <w:start w:val="1"/>
      <w:numFmt w:val="bullet"/>
      <w:lvlText w:val=""/>
      <w:lvlJc w:val="left"/>
      <w:pPr>
        <w:ind w:left="5040" w:hanging="360"/>
      </w:pPr>
      <w:rPr>
        <w:rFonts w:ascii="Symbol" w:hAnsi="Symbol" w:hint="default"/>
      </w:rPr>
    </w:lvl>
    <w:lvl w:ilvl="7" w:tplc="56F2E1DE" w:tentative="1">
      <w:start w:val="1"/>
      <w:numFmt w:val="bullet"/>
      <w:lvlText w:val="o"/>
      <w:lvlJc w:val="left"/>
      <w:pPr>
        <w:ind w:left="5760" w:hanging="360"/>
      </w:pPr>
      <w:rPr>
        <w:rFonts w:ascii="Courier New" w:hAnsi="Courier New" w:cs="Courier New" w:hint="default"/>
      </w:rPr>
    </w:lvl>
    <w:lvl w:ilvl="8" w:tplc="95B23AD0" w:tentative="1">
      <w:start w:val="1"/>
      <w:numFmt w:val="bullet"/>
      <w:lvlText w:val=""/>
      <w:lvlJc w:val="left"/>
      <w:pPr>
        <w:ind w:left="6480" w:hanging="360"/>
      </w:pPr>
      <w:rPr>
        <w:rFonts w:ascii="Wingdings" w:hAnsi="Wingdings" w:hint="default"/>
      </w:rPr>
    </w:lvl>
  </w:abstractNum>
  <w:abstractNum w:abstractNumId="3" w15:restartNumberingAfterBreak="0">
    <w:nsid w:val="704D0D34"/>
    <w:multiLevelType w:val="multilevel"/>
    <w:tmpl w:val="4C5A76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20644311">
    <w:abstractNumId w:val="2"/>
  </w:num>
  <w:num w:numId="2" w16cid:durableId="1062293750">
    <w:abstractNumId w:val="3"/>
  </w:num>
  <w:num w:numId="3" w16cid:durableId="1716732642">
    <w:abstractNumId w:val="1"/>
  </w:num>
  <w:num w:numId="4" w16cid:durableId="95879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0F567E"/>
    <w:rsid w:val="000F7B34"/>
    <w:rsid w:val="00113778"/>
    <w:rsid w:val="001208D7"/>
    <w:rsid w:val="00125BDF"/>
    <w:rsid w:val="001328F2"/>
    <w:rsid w:val="00136589"/>
    <w:rsid w:val="00172CD9"/>
    <w:rsid w:val="001B41E1"/>
    <w:rsid w:val="001B7303"/>
    <w:rsid w:val="001C506E"/>
    <w:rsid w:val="00215CB5"/>
    <w:rsid w:val="00235AED"/>
    <w:rsid w:val="00241BB9"/>
    <w:rsid w:val="00297795"/>
    <w:rsid w:val="002B1D9F"/>
    <w:rsid w:val="002B504F"/>
    <w:rsid w:val="002D3CEE"/>
    <w:rsid w:val="002F4886"/>
    <w:rsid w:val="002F7194"/>
    <w:rsid w:val="00307D6A"/>
    <w:rsid w:val="00334C45"/>
    <w:rsid w:val="003451E2"/>
    <w:rsid w:val="00347F1B"/>
    <w:rsid w:val="003B287C"/>
    <w:rsid w:val="003B48D4"/>
    <w:rsid w:val="003C472B"/>
    <w:rsid w:val="003C6ED5"/>
    <w:rsid w:val="003C700C"/>
    <w:rsid w:val="003C7185"/>
    <w:rsid w:val="003D27F8"/>
    <w:rsid w:val="003F3A47"/>
    <w:rsid w:val="00430498"/>
    <w:rsid w:val="0043480A"/>
    <w:rsid w:val="00437B5F"/>
    <w:rsid w:val="00441860"/>
    <w:rsid w:val="004509BE"/>
    <w:rsid w:val="0045486D"/>
    <w:rsid w:val="00463DBC"/>
    <w:rsid w:val="004934A8"/>
    <w:rsid w:val="004A317B"/>
    <w:rsid w:val="004A323D"/>
    <w:rsid w:val="004F0B09"/>
    <w:rsid w:val="004F229A"/>
    <w:rsid w:val="00516D6A"/>
    <w:rsid w:val="00523C02"/>
    <w:rsid w:val="00543B34"/>
    <w:rsid w:val="00544135"/>
    <w:rsid w:val="005600D7"/>
    <w:rsid w:val="00566484"/>
    <w:rsid w:val="005677D6"/>
    <w:rsid w:val="00582E97"/>
    <w:rsid w:val="00587714"/>
    <w:rsid w:val="005B2627"/>
    <w:rsid w:val="005C3CD4"/>
    <w:rsid w:val="005C5416"/>
    <w:rsid w:val="005D327A"/>
    <w:rsid w:val="005D7F17"/>
    <w:rsid w:val="005F69B8"/>
    <w:rsid w:val="006311A3"/>
    <w:rsid w:val="0063555A"/>
    <w:rsid w:val="00680EDF"/>
    <w:rsid w:val="00684AD0"/>
    <w:rsid w:val="00686885"/>
    <w:rsid w:val="006922AC"/>
    <w:rsid w:val="00697032"/>
    <w:rsid w:val="006B16C1"/>
    <w:rsid w:val="006B2075"/>
    <w:rsid w:val="0074479B"/>
    <w:rsid w:val="0074764C"/>
    <w:rsid w:val="00763E81"/>
    <w:rsid w:val="00776965"/>
    <w:rsid w:val="007A4F37"/>
    <w:rsid w:val="007B028B"/>
    <w:rsid w:val="007B6A41"/>
    <w:rsid w:val="007C5BD3"/>
    <w:rsid w:val="007D0F21"/>
    <w:rsid w:val="007D23C6"/>
    <w:rsid w:val="007E36BA"/>
    <w:rsid w:val="007F380D"/>
    <w:rsid w:val="007F4A98"/>
    <w:rsid w:val="00821D74"/>
    <w:rsid w:val="00845365"/>
    <w:rsid w:val="00855C3E"/>
    <w:rsid w:val="00874B0C"/>
    <w:rsid w:val="0087691C"/>
    <w:rsid w:val="00881348"/>
    <w:rsid w:val="00893C24"/>
    <w:rsid w:val="008A21F4"/>
    <w:rsid w:val="008C3AF4"/>
    <w:rsid w:val="008D59C5"/>
    <w:rsid w:val="008D618A"/>
    <w:rsid w:val="008E210E"/>
    <w:rsid w:val="008E4B89"/>
    <w:rsid w:val="008F33AD"/>
    <w:rsid w:val="0092101E"/>
    <w:rsid w:val="0092413A"/>
    <w:rsid w:val="00960E2B"/>
    <w:rsid w:val="00985A65"/>
    <w:rsid w:val="00990AEE"/>
    <w:rsid w:val="009946AC"/>
    <w:rsid w:val="009A31BF"/>
    <w:rsid w:val="009B0191"/>
    <w:rsid w:val="009B2459"/>
    <w:rsid w:val="009C4777"/>
    <w:rsid w:val="009D3C77"/>
    <w:rsid w:val="009D7D63"/>
    <w:rsid w:val="009E3AC7"/>
    <w:rsid w:val="009E6DF4"/>
    <w:rsid w:val="009F419D"/>
    <w:rsid w:val="00A15912"/>
    <w:rsid w:val="00A33D7B"/>
    <w:rsid w:val="00A35B28"/>
    <w:rsid w:val="00A52DBE"/>
    <w:rsid w:val="00A83BE3"/>
    <w:rsid w:val="00AA61EA"/>
    <w:rsid w:val="00AC6D2D"/>
    <w:rsid w:val="00AF6BEC"/>
    <w:rsid w:val="00B2390C"/>
    <w:rsid w:val="00B40E7D"/>
    <w:rsid w:val="00B44D79"/>
    <w:rsid w:val="00B62C24"/>
    <w:rsid w:val="00B76563"/>
    <w:rsid w:val="00B8296E"/>
    <w:rsid w:val="00B82F43"/>
    <w:rsid w:val="00BA7566"/>
    <w:rsid w:val="00BC481F"/>
    <w:rsid w:val="00BD0634"/>
    <w:rsid w:val="00BD75C1"/>
    <w:rsid w:val="00C005F7"/>
    <w:rsid w:val="00C11E07"/>
    <w:rsid w:val="00C3438D"/>
    <w:rsid w:val="00C61F82"/>
    <w:rsid w:val="00C62B6C"/>
    <w:rsid w:val="00C81260"/>
    <w:rsid w:val="00C95CA9"/>
    <w:rsid w:val="00CA061B"/>
    <w:rsid w:val="00CC5856"/>
    <w:rsid w:val="00CD4AED"/>
    <w:rsid w:val="00CD5856"/>
    <w:rsid w:val="00CF0F2E"/>
    <w:rsid w:val="00CF3E82"/>
    <w:rsid w:val="00D01755"/>
    <w:rsid w:val="00D06125"/>
    <w:rsid w:val="00D54679"/>
    <w:rsid w:val="00D67BAF"/>
    <w:rsid w:val="00DA15A1"/>
    <w:rsid w:val="00DC7639"/>
    <w:rsid w:val="00E1490C"/>
    <w:rsid w:val="00E340DB"/>
    <w:rsid w:val="00E37122"/>
    <w:rsid w:val="00E85195"/>
    <w:rsid w:val="00EA275E"/>
    <w:rsid w:val="00EB7A87"/>
    <w:rsid w:val="00EE23CE"/>
    <w:rsid w:val="00EE2A9D"/>
    <w:rsid w:val="00F32EA9"/>
    <w:rsid w:val="00F56EBE"/>
    <w:rsid w:val="00F72360"/>
    <w:rsid w:val="00F847BF"/>
    <w:rsid w:val="00F87E88"/>
    <w:rsid w:val="00F90F7B"/>
    <w:rsid w:val="00FC6FCB"/>
    <w:rsid w:val="00FC776C"/>
    <w:rsid w:val="00FD036B"/>
    <w:rsid w:val="00FE4200"/>
    <w:rsid w:val="00FF5A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6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1C506E"/>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 w:type="character" w:styleId="Hyperlink">
    <w:name w:val="Hyperlink"/>
    <w:basedOn w:val="Standaardalinea-lettertype"/>
    <w:uiPriority w:val="99"/>
    <w:unhideWhenUsed/>
    <w:rsid w:val="001C506E"/>
    <w:rPr>
      <w:color w:val="0000FF" w:themeColor="hyperlink"/>
      <w:u w:val="single"/>
    </w:rPr>
  </w:style>
  <w:style w:type="paragraph" w:styleId="Voetnoottekst">
    <w:name w:val="footnote text"/>
    <w:basedOn w:val="Standaard"/>
    <w:link w:val="VoetnoottekstChar"/>
    <w:uiPriority w:val="99"/>
    <w:semiHidden/>
    <w:unhideWhenUsed/>
    <w:rsid w:val="001C506E"/>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1C506E"/>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1C506E"/>
    <w:rPr>
      <w:vertAlign w:val="superscript"/>
    </w:rPr>
  </w:style>
  <w:style w:type="character" w:styleId="GevolgdeHyperlink">
    <w:name w:val="FollowedHyperlink"/>
    <w:basedOn w:val="Standaardalinea-lettertype"/>
    <w:uiPriority w:val="99"/>
    <w:semiHidden/>
    <w:unhideWhenUsed/>
    <w:rsid w:val="00FC6FCB"/>
    <w:rPr>
      <w:color w:val="800080" w:themeColor="followedHyperlink"/>
      <w:u w:val="single"/>
    </w:rPr>
  </w:style>
  <w:style w:type="paragraph" w:styleId="Revisie">
    <w:name w:val="Revision"/>
    <w:hidden/>
    <w:uiPriority w:val="99"/>
    <w:semiHidden/>
    <w:rsid w:val="005F69B8"/>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5F69B8"/>
    <w:rPr>
      <w:sz w:val="16"/>
      <w:szCs w:val="16"/>
    </w:rPr>
  </w:style>
  <w:style w:type="paragraph" w:styleId="Tekstopmerking">
    <w:name w:val="annotation text"/>
    <w:basedOn w:val="Standaard"/>
    <w:link w:val="TekstopmerkingChar"/>
    <w:uiPriority w:val="99"/>
    <w:unhideWhenUsed/>
    <w:rsid w:val="005F69B8"/>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5F69B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5F69B8"/>
    <w:rPr>
      <w:b/>
      <w:bCs/>
    </w:rPr>
  </w:style>
  <w:style w:type="character" w:customStyle="1" w:styleId="OnderwerpvanopmerkingChar">
    <w:name w:val="Onderwerp van opmerking Char"/>
    <w:basedOn w:val="TekstopmerkingChar"/>
    <w:link w:val="Onderwerpvanopmerking"/>
    <w:uiPriority w:val="99"/>
    <w:semiHidden/>
    <w:rsid w:val="005F69B8"/>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1496</ap:Words>
  <ap:Characters>8233</ap:Characters>
  <ap:DocSecurity>0</ap:DocSecurity>
  <ap:Lines>68</ap:Lines>
  <ap:Paragraphs>19</ap:Paragraphs>
  <ap:ScaleCrop>false</ap:ScaleCrop>
  <ap:LinksUpToDate>false</ap:LinksUpToDate>
  <ap:CharactersWithSpaces>9710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2026-05-13T08:18:00.0000000Z</dcterms:created>
  <dcterms:modified xsi:type="dcterms:W3CDTF">2026-05-13T08:18:00.0000000Z</dcterms:modified>
  <dc:description>------------------------</dc:description>
  <dc:subject/>
  <dc:title/>
  <keywords/>
  <version/>
  <category/>
</coreProperties>
</file>