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468C7" w:rsidP="000468C7" w:rsidRDefault="000468C7" w14:paraId="30DE71F4" w14:textId="3FB07326">
      <w:pPr>
        <w:pStyle w:val="Geenafstand"/>
        <w:rPr>
          <w:rFonts w:ascii="Verdana" w:hAnsi="Verdana"/>
          <w:sz w:val="18"/>
          <w:szCs w:val="18"/>
        </w:rPr>
      </w:pPr>
      <w:r>
        <w:rPr>
          <w:rFonts w:ascii="Verdana" w:hAnsi="Verdana"/>
          <w:sz w:val="18"/>
          <w:szCs w:val="18"/>
        </w:rPr>
        <w:t>AH 1890</w:t>
      </w:r>
    </w:p>
    <w:p w:rsidR="000468C7" w:rsidP="000468C7" w:rsidRDefault="000468C7" w14:paraId="6562037E" w14:textId="77777777">
      <w:pPr>
        <w:pStyle w:val="Geenafstand"/>
        <w:rPr>
          <w:rFonts w:ascii="Verdana" w:hAnsi="Verdana"/>
          <w:sz w:val="18"/>
          <w:szCs w:val="18"/>
        </w:rPr>
      </w:pPr>
    </w:p>
    <w:p w:rsidR="000468C7" w:rsidP="000468C7" w:rsidRDefault="000468C7" w14:paraId="45C16C6E" w14:textId="63956E39">
      <w:pPr>
        <w:pStyle w:val="Geenafstand"/>
        <w:rPr>
          <w:rFonts w:ascii="Verdana" w:hAnsi="Verdana"/>
          <w:sz w:val="18"/>
          <w:szCs w:val="18"/>
        </w:rPr>
      </w:pPr>
      <w:r>
        <w:rPr>
          <w:rFonts w:ascii="Verdana" w:hAnsi="Verdana"/>
          <w:sz w:val="18"/>
          <w:szCs w:val="18"/>
        </w:rPr>
        <w:t>2026Z06768</w:t>
      </w:r>
    </w:p>
    <w:p w:rsidR="000468C7" w:rsidP="000468C7" w:rsidRDefault="000468C7" w14:paraId="60BDAA01" w14:textId="77777777">
      <w:pPr>
        <w:pStyle w:val="Geenafstand"/>
        <w:rPr>
          <w:rFonts w:ascii="Verdana" w:hAnsi="Verdana"/>
          <w:sz w:val="18"/>
          <w:szCs w:val="18"/>
        </w:rPr>
      </w:pPr>
    </w:p>
    <w:p w:rsidR="000468C7" w:rsidP="000468C7" w:rsidRDefault="000468C7" w14:paraId="36A117FE" w14:textId="56052498">
      <w:pPr>
        <w:pStyle w:val="Geenafstand"/>
        <w:rPr>
          <w:rFonts w:ascii="Verdana" w:hAnsi="Verdana"/>
          <w:sz w:val="24"/>
          <w:szCs w:val="24"/>
        </w:rPr>
      </w:pPr>
      <w:r w:rsidRPr="000468C7">
        <w:rPr>
          <w:rFonts w:ascii="Verdana" w:hAnsi="Verdana"/>
          <w:sz w:val="24"/>
          <w:szCs w:val="24"/>
        </w:rPr>
        <w:t xml:space="preserve">Antwoord van minister Vijlbrief (Sociale Zaken en Werkgelegenheid) (ontvangen </w:t>
      </w:r>
      <w:r>
        <w:rPr>
          <w:rFonts w:ascii="Verdana" w:hAnsi="Verdana"/>
          <w:sz w:val="24"/>
          <w:szCs w:val="24"/>
        </w:rPr>
        <w:t xml:space="preserve"> 12 mei 2026)</w:t>
      </w:r>
    </w:p>
    <w:p w:rsidR="000468C7" w:rsidP="000468C7" w:rsidRDefault="000468C7" w14:paraId="30F1B744" w14:textId="77777777">
      <w:pPr>
        <w:pStyle w:val="Geenafstand"/>
        <w:rPr>
          <w:rFonts w:ascii="Verdana" w:hAnsi="Verdana"/>
          <w:sz w:val="24"/>
          <w:szCs w:val="24"/>
        </w:rPr>
      </w:pPr>
    </w:p>
    <w:p w:rsidRPr="007F394E" w:rsidR="000468C7" w:rsidP="000468C7" w:rsidRDefault="000468C7" w14:paraId="74A5F98C" w14:textId="77777777">
      <w:pPr>
        <w:pStyle w:val="Geenafstand"/>
        <w:rPr>
          <w:rFonts w:ascii="Verdana" w:hAnsi="Verdana"/>
          <w:sz w:val="18"/>
          <w:szCs w:val="18"/>
        </w:rPr>
      </w:pPr>
    </w:p>
    <w:p w:rsidRPr="007F394E" w:rsidR="000468C7" w:rsidP="000468C7" w:rsidRDefault="000468C7" w14:paraId="60C67049" w14:textId="77777777">
      <w:pPr>
        <w:pStyle w:val="Geenafstand"/>
        <w:rPr>
          <w:rFonts w:ascii="Verdana" w:hAnsi="Verdana"/>
          <w:sz w:val="18"/>
          <w:szCs w:val="18"/>
        </w:rPr>
      </w:pPr>
      <w:r w:rsidRPr="007F394E">
        <w:rPr>
          <w:rFonts w:ascii="Verdana" w:hAnsi="Verdana"/>
          <w:sz w:val="18"/>
          <w:szCs w:val="18"/>
        </w:rPr>
        <w:t>1. Bent u bekend met de uitspraak van de Rechtbank Den Haag van 18 februari 2026 1), waarin is</w:t>
      </w:r>
    </w:p>
    <w:p w:rsidRPr="007F394E" w:rsidR="000468C7" w:rsidP="000468C7" w:rsidRDefault="000468C7" w14:paraId="37CE87C6" w14:textId="77777777">
      <w:pPr>
        <w:pStyle w:val="Geenafstand"/>
        <w:rPr>
          <w:rFonts w:ascii="Verdana" w:hAnsi="Verdana"/>
          <w:sz w:val="18"/>
          <w:szCs w:val="18"/>
        </w:rPr>
      </w:pPr>
      <w:r w:rsidRPr="007F394E">
        <w:rPr>
          <w:rFonts w:ascii="Verdana" w:hAnsi="Verdana"/>
          <w:sz w:val="18"/>
          <w:szCs w:val="18"/>
        </w:rPr>
        <w:t>geoordeeld dat de European Space Agency (ESA) geen onderneming is in de zin van de Wet op de</w:t>
      </w:r>
    </w:p>
    <w:p w:rsidR="000468C7" w:rsidP="000468C7" w:rsidRDefault="000468C7" w14:paraId="093B75F3" w14:textId="77777777">
      <w:pPr>
        <w:pStyle w:val="Geenafstand"/>
        <w:rPr>
          <w:rFonts w:ascii="Verdana" w:hAnsi="Verdana"/>
          <w:sz w:val="18"/>
          <w:szCs w:val="18"/>
        </w:rPr>
      </w:pPr>
      <w:r w:rsidRPr="007F394E">
        <w:rPr>
          <w:rFonts w:ascii="Verdana" w:hAnsi="Verdana"/>
          <w:sz w:val="18"/>
          <w:szCs w:val="18"/>
        </w:rPr>
        <w:t>ondernemingsraden (WOR) en dat daarom de artikelen 8 en 8a van de Wet allocatie arbeidskrachten</w:t>
      </w:r>
      <w:r>
        <w:rPr>
          <w:rFonts w:ascii="Verdana" w:hAnsi="Verdana"/>
          <w:sz w:val="18"/>
          <w:szCs w:val="18"/>
        </w:rPr>
        <w:t xml:space="preserve"> </w:t>
      </w:r>
      <w:r w:rsidRPr="007F394E">
        <w:rPr>
          <w:rFonts w:ascii="Verdana" w:hAnsi="Verdana"/>
          <w:sz w:val="18"/>
          <w:szCs w:val="18"/>
        </w:rPr>
        <w:t>door intermediairs (</w:t>
      </w:r>
      <w:proofErr w:type="spellStart"/>
      <w:r w:rsidRPr="007F394E">
        <w:rPr>
          <w:rFonts w:ascii="Verdana" w:hAnsi="Verdana"/>
          <w:sz w:val="18"/>
          <w:szCs w:val="18"/>
        </w:rPr>
        <w:t>Waadi</w:t>
      </w:r>
      <w:proofErr w:type="spellEnd"/>
      <w:r w:rsidRPr="007F394E">
        <w:rPr>
          <w:rFonts w:ascii="Verdana" w:hAnsi="Verdana"/>
          <w:sz w:val="18"/>
          <w:szCs w:val="18"/>
        </w:rPr>
        <w:t>) niet van toepassing zijn?</w:t>
      </w:r>
    </w:p>
    <w:p w:rsidR="000468C7" w:rsidP="000468C7" w:rsidRDefault="000468C7" w14:paraId="49289589" w14:textId="77777777">
      <w:pPr>
        <w:pStyle w:val="Geenafstand"/>
        <w:rPr>
          <w:rFonts w:ascii="Verdana" w:hAnsi="Verdana"/>
          <w:sz w:val="18"/>
          <w:szCs w:val="18"/>
        </w:rPr>
      </w:pPr>
    </w:p>
    <w:p w:rsidR="000468C7" w:rsidP="000468C7" w:rsidRDefault="000468C7" w14:paraId="34FD93B1" w14:textId="77777777">
      <w:pPr>
        <w:pStyle w:val="Geenafstand"/>
        <w:rPr>
          <w:rFonts w:ascii="Verdana" w:hAnsi="Verdana"/>
          <w:b/>
          <w:bCs/>
          <w:sz w:val="18"/>
          <w:szCs w:val="18"/>
        </w:rPr>
      </w:pPr>
      <w:r>
        <w:rPr>
          <w:rFonts w:ascii="Verdana" w:hAnsi="Verdana"/>
          <w:b/>
          <w:bCs/>
          <w:sz w:val="18"/>
          <w:szCs w:val="18"/>
        </w:rPr>
        <w:t>Antwoord 1</w:t>
      </w:r>
    </w:p>
    <w:p w:rsidRPr="007F394E" w:rsidR="000468C7" w:rsidP="000468C7" w:rsidRDefault="000468C7" w14:paraId="7F17CEDB" w14:textId="77777777">
      <w:pPr>
        <w:pStyle w:val="Geenafstand"/>
        <w:rPr>
          <w:rFonts w:ascii="Verdana" w:hAnsi="Verdana"/>
          <w:sz w:val="18"/>
          <w:szCs w:val="18"/>
        </w:rPr>
      </w:pPr>
      <w:r>
        <w:rPr>
          <w:rFonts w:ascii="Verdana" w:hAnsi="Verdana"/>
          <w:sz w:val="18"/>
          <w:szCs w:val="18"/>
        </w:rPr>
        <w:t xml:space="preserve">Ja. </w:t>
      </w:r>
      <w:r>
        <w:rPr>
          <w:rFonts w:ascii="Verdana" w:hAnsi="Verdana"/>
          <w:sz w:val="18"/>
          <w:szCs w:val="18"/>
        </w:rPr>
        <w:br/>
      </w:r>
    </w:p>
    <w:p w:rsidRPr="007F394E" w:rsidR="000468C7" w:rsidP="000468C7" w:rsidRDefault="000468C7" w14:paraId="4F67946E" w14:textId="77777777">
      <w:pPr>
        <w:pStyle w:val="Geenafstand"/>
        <w:rPr>
          <w:rFonts w:ascii="Verdana" w:hAnsi="Verdana"/>
          <w:sz w:val="18"/>
          <w:szCs w:val="18"/>
        </w:rPr>
      </w:pPr>
      <w:r w:rsidRPr="007F394E">
        <w:rPr>
          <w:rFonts w:ascii="Verdana" w:hAnsi="Verdana"/>
          <w:sz w:val="18"/>
          <w:szCs w:val="18"/>
        </w:rPr>
        <w:t>2. Deelt u de opvatting dat deze uitspraak ertoe leidt dat werknemers die via een werkgever ter</w:t>
      </w:r>
    </w:p>
    <w:p w:rsidRPr="007F394E" w:rsidR="000468C7" w:rsidP="000468C7" w:rsidRDefault="000468C7" w14:paraId="53B616F4" w14:textId="77777777">
      <w:pPr>
        <w:pStyle w:val="Geenafstand"/>
        <w:rPr>
          <w:rFonts w:ascii="Verdana" w:hAnsi="Verdana"/>
          <w:sz w:val="18"/>
          <w:szCs w:val="18"/>
        </w:rPr>
      </w:pPr>
      <w:r w:rsidRPr="007F394E">
        <w:rPr>
          <w:rFonts w:ascii="Verdana" w:hAnsi="Verdana"/>
          <w:sz w:val="18"/>
          <w:szCs w:val="18"/>
        </w:rPr>
        <w:t>beschikking worden gesteld aan internationale organisaties zoals ESA, geen aanspraak kunnen</w:t>
      </w:r>
    </w:p>
    <w:p w:rsidR="000468C7" w:rsidP="000468C7" w:rsidRDefault="000468C7" w14:paraId="0B9B6410" w14:textId="77777777">
      <w:pPr>
        <w:pStyle w:val="Geenafstand"/>
        <w:rPr>
          <w:rFonts w:ascii="Verdana" w:hAnsi="Verdana"/>
          <w:sz w:val="18"/>
          <w:szCs w:val="18"/>
        </w:rPr>
      </w:pPr>
      <w:r w:rsidRPr="007F394E">
        <w:rPr>
          <w:rFonts w:ascii="Verdana" w:hAnsi="Verdana"/>
          <w:sz w:val="18"/>
          <w:szCs w:val="18"/>
        </w:rPr>
        <w:t xml:space="preserve">maken op gelijke arbeidsvoorwaarden zoals bedoeld in de </w:t>
      </w:r>
      <w:proofErr w:type="spellStart"/>
      <w:r w:rsidRPr="007F394E">
        <w:rPr>
          <w:rFonts w:ascii="Verdana" w:hAnsi="Verdana"/>
          <w:sz w:val="18"/>
          <w:szCs w:val="18"/>
        </w:rPr>
        <w:t>Waadi</w:t>
      </w:r>
      <w:proofErr w:type="spellEnd"/>
      <w:r w:rsidRPr="007F394E">
        <w:rPr>
          <w:rFonts w:ascii="Verdana" w:hAnsi="Verdana"/>
          <w:sz w:val="18"/>
          <w:szCs w:val="18"/>
        </w:rPr>
        <w:t xml:space="preserve"> en de Europese Uitzendrichtlijn? Zo</w:t>
      </w:r>
      <w:r>
        <w:rPr>
          <w:rFonts w:ascii="Verdana" w:hAnsi="Verdana"/>
          <w:sz w:val="18"/>
          <w:szCs w:val="18"/>
        </w:rPr>
        <w:t xml:space="preserve"> </w:t>
      </w:r>
      <w:r w:rsidRPr="007F394E">
        <w:rPr>
          <w:rFonts w:ascii="Verdana" w:hAnsi="Verdana"/>
          <w:sz w:val="18"/>
          <w:szCs w:val="18"/>
        </w:rPr>
        <w:t>nee, waarom niet en zo ja, wat gaat u dan nu doen?</w:t>
      </w:r>
      <w:r>
        <w:rPr>
          <w:rFonts w:ascii="Verdana" w:hAnsi="Verdana"/>
          <w:sz w:val="18"/>
          <w:szCs w:val="18"/>
        </w:rPr>
        <w:br/>
      </w:r>
    </w:p>
    <w:p w:rsidR="000468C7" w:rsidP="000468C7" w:rsidRDefault="000468C7" w14:paraId="635A6FFC" w14:textId="77777777">
      <w:pPr>
        <w:pStyle w:val="Geenafstand"/>
        <w:rPr>
          <w:rFonts w:ascii="Verdana" w:hAnsi="Verdana"/>
          <w:b/>
          <w:bCs/>
          <w:sz w:val="18"/>
          <w:szCs w:val="18"/>
        </w:rPr>
      </w:pPr>
      <w:r>
        <w:rPr>
          <w:rFonts w:ascii="Verdana" w:hAnsi="Verdana"/>
          <w:b/>
          <w:bCs/>
          <w:sz w:val="18"/>
          <w:szCs w:val="18"/>
        </w:rPr>
        <w:t>Antwoord 2</w:t>
      </w:r>
    </w:p>
    <w:p w:rsidR="000468C7" w:rsidP="000468C7" w:rsidRDefault="000468C7" w14:paraId="1F86FCE7" w14:textId="77777777">
      <w:pPr>
        <w:pStyle w:val="Geenafstand"/>
        <w:rPr>
          <w:rFonts w:ascii="Verdana" w:hAnsi="Verdana"/>
          <w:sz w:val="18"/>
          <w:szCs w:val="18"/>
        </w:rPr>
      </w:pPr>
      <w:r>
        <w:rPr>
          <w:rFonts w:ascii="Verdana" w:hAnsi="Verdana"/>
          <w:sz w:val="18"/>
          <w:szCs w:val="18"/>
        </w:rPr>
        <w:t>Nee.</w:t>
      </w:r>
      <w:r w:rsidRPr="00C3599A">
        <w:rPr>
          <w:rFonts w:ascii="Verdana" w:hAnsi="Verdana"/>
          <w:sz w:val="18"/>
          <w:szCs w:val="18"/>
        </w:rPr>
        <w:t xml:space="preserve"> </w:t>
      </w:r>
      <w:r>
        <w:rPr>
          <w:rFonts w:ascii="Verdana" w:hAnsi="Verdana"/>
          <w:sz w:val="18"/>
          <w:szCs w:val="18"/>
        </w:rPr>
        <w:t xml:space="preserve">De uitspraak is nog niet onherroepelijk; de mogelijkheid van hoger beroep tegen de uitspraak staat nog open. Vooralsnog zie ik aanleiding voor een andere uitleg van de </w:t>
      </w:r>
      <w:proofErr w:type="spellStart"/>
      <w:r>
        <w:rPr>
          <w:rFonts w:ascii="Verdana" w:hAnsi="Verdana"/>
          <w:sz w:val="18"/>
          <w:szCs w:val="18"/>
        </w:rPr>
        <w:t>Waadi</w:t>
      </w:r>
      <w:proofErr w:type="spellEnd"/>
      <w:r>
        <w:rPr>
          <w:rFonts w:ascii="Verdana" w:hAnsi="Verdana"/>
          <w:sz w:val="18"/>
          <w:szCs w:val="18"/>
        </w:rPr>
        <w:t xml:space="preserve"> dan de uitleg die in de uitspraak wordt gegeven. Naar mijn oordeel vallen namelijk ook overheidsorganisaties, waaronder internationale organisaties als ESA, onder het begrip ‘onderneming’ uit de WOR. Uit</w:t>
      </w:r>
      <w:r w:rsidRPr="00141D54">
        <w:rPr>
          <w:rFonts w:ascii="Verdana" w:hAnsi="Verdana"/>
          <w:sz w:val="18"/>
          <w:szCs w:val="18"/>
        </w:rPr>
        <w:t xml:space="preserve"> de </w:t>
      </w:r>
      <w:r>
        <w:rPr>
          <w:rFonts w:ascii="Verdana" w:hAnsi="Verdana"/>
          <w:sz w:val="18"/>
          <w:szCs w:val="18"/>
        </w:rPr>
        <w:t xml:space="preserve">wettelijke </w:t>
      </w:r>
      <w:r w:rsidRPr="00141D54">
        <w:rPr>
          <w:rFonts w:ascii="Verdana" w:hAnsi="Verdana"/>
          <w:sz w:val="18"/>
          <w:szCs w:val="18"/>
        </w:rPr>
        <w:t>reikwijdte van dat begrip blijkt niet dat</w:t>
      </w:r>
      <w:r>
        <w:rPr>
          <w:rFonts w:ascii="Verdana" w:hAnsi="Verdana"/>
          <w:sz w:val="18"/>
          <w:szCs w:val="18"/>
        </w:rPr>
        <w:t xml:space="preserve"> organisaties die werken met</w:t>
      </w:r>
      <w:r w:rsidRPr="00141D54">
        <w:rPr>
          <w:rFonts w:ascii="Verdana" w:hAnsi="Verdana"/>
          <w:sz w:val="18"/>
          <w:szCs w:val="18"/>
        </w:rPr>
        <w:t xml:space="preserve"> internationale publiekrechtelijke aanstellingen of buitenlandse arbeidsovereenkomsten hiervan zijn uitgezonderd.</w:t>
      </w:r>
      <w:r>
        <w:rPr>
          <w:rFonts w:ascii="Verdana" w:hAnsi="Verdana"/>
          <w:sz w:val="18"/>
          <w:szCs w:val="18"/>
        </w:rPr>
        <w:t xml:space="preserve"> Daarbij is bovendien relevant dat het Europees Hof van Justitie van de Europese Unie eerder heeft geoordeeld dat ook</w:t>
      </w:r>
      <w:r w:rsidRPr="00141D54">
        <w:rPr>
          <w:rFonts w:ascii="Verdana" w:hAnsi="Verdana"/>
          <w:sz w:val="18"/>
          <w:szCs w:val="18"/>
        </w:rPr>
        <w:t xml:space="preserve"> een </w:t>
      </w:r>
      <w:r>
        <w:rPr>
          <w:rFonts w:ascii="Verdana" w:hAnsi="Verdana"/>
          <w:sz w:val="18"/>
          <w:szCs w:val="18"/>
        </w:rPr>
        <w:t xml:space="preserve">andere </w:t>
      </w:r>
      <w:r w:rsidRPr="00141D54">
        <w:rPr>
          <w:rFonts w:ascii="Verdana" w:hAnsi="Verdana"/>
          <w:sz w:val="18"/>
          <w:szCs w:val="18"/>
        </w:rPr>
        <w:t xml:space="preserve">organisatie die alleen aanstellingen </w:t>
      </w:r>
      <w:r>
        <w:rPr>
          <w:rFonts w:ascii="Verdana" w:hAnsi="Verdana"/>
          <w:sz w:val="18"/>
          <w:szCs w:val="18"/>
        </w:rPr>
        <w:t>volgens</w:t>
      </w:r>
      <w:r w:rsidRPr="00141D54">
        <w:rPr>
          <w:rFonts w:ascii="Verdana" w:hAnsi="Verdana"/>
          <w:sz w:val="18"/>
          <w:szCs w:val="18"/>
        </w:rPr>
        <w:t xml:space="preserve"> internationaal publiekrecht </w:t>
      </w:r>
      <w:r>
        <w:rPr>
          <w:rFonts w:ascii="Verdana" w:hAnsi="Verdana"/>
          <w:sz w:val="18"/>
          <w:szCs w:val="18"/>
        </w:rPr>
        <w:t xml:space="preserve">heeft (EIGE </w:t>
      </w:r>
      <w:r w:rsidRPr="00141D54">
        <w:rPr>
          <w:rFonts w:ascii="Verdana" w:hAnsi="Verdana"/>
          <w:sz w:val="18"/>
          <w:szCs w:val="18"/>
        </w:rPr>
        <w:t xml:space="preserve">een agentschap met ambtenaren aangesteld </w:t>
      </w:r>
      <w:r>
        <w:rPr>
          <w:rFonts w:ascii="Verdana" w:hAnsi="Verdana"/>
          <w:sz w:val="18"/>
          <w:szCs w:val="18"/>
        </w:rPr>
        <w:t>op basis van</w:t>
      </w:r>
      <w:r w:rsidRPr="00141D54">
        <w:rPr>
          <w:rFonts w:ascii="Verdana" w:hAnsi="Verdana"/>
          <w:sz w:val="18"/>
          <w:szCs w:val="18"/>
        </w:rPr>
        <w:t xml:space="preserve"> het Statuut van de ambtenaren van de Europese Unie</w:t>
      </w:r>
      <w:r>
        <w:rPr>
          <w:rFonts w:ascii="Verdana" w:hAnsi="Verdana"/>
          <w:sz w:val="18"/>
          <w:szCs w:val="18"/>
        </w:rPr>
        <w:t>) onder de reikwijdte van de Uitzendrichtlijn valt.</w:t>
      </w:r>
      <w:r>
        <w:rPr>
          <w:rStyle w:val="Voetnootmarkering"/>
          <w:rFonts w:ascii="Verdana" w:hAnsi="Verdana"/>
          <w:sz w:val="18"/>
          <w:szCs w:val="18"/>
        </w:rPr>
        <w:footnoteReference w:id="1"/>
      </w:r>
      <w:r w:rsidRPr="00141D54">
        <w:rPr>
          <w:rFonts w:ascii="Verdana" w:hAnsi="Verdana"/>
          <w:sz w:val="18"/>
          <w:szCs w:val="18"/>
        </w:rPr>
        <w:t xml:space="preserve"> </w:t>
      </w:r>
    </w:p>
    <w:p w:rsidR="000468C7" w:rsidP="000468C7" w:rsidRDefault="000468C7" w14:paraId="18A0E20B" w14:textId="77777777">
      <w:pPr>
        <w:pStyle w:val="Geenafstand"/>
        <w:rPr>
          <w:rFonts w:ascii="Verdana" w:hAnsi="Verdana"/>
          <w:sz w:val="18"/>
          <w:szCs w:val="18"/>
        </w:rPr>
      </w:pPr>
    </w:p>
    <w:p w:rsidR="000468C7" w:rsidP="000468C7" w:rsidRDefault="000468C7" w14:paraId="6F0C7558" w14:textId="77777777">
      <w:pPr>
        <w:pStyle w:val="Geenafstand"/>
        <w:rPr>
          <w:rFonts w:ascii="Verdana" w:hAnsi="Verdana"/>
          <w:sz w:val="18"/>
          <w:szCs w:val="18"/>
        </w:rPr>
      </w:pPr>
      <w:r>
        <w:rPr>
          <w:rFonts w:ascii="Verdana" w:hAnsi="Verdana"/>
          <w:sz w:val="18"/>
          <w:szCs w:val="18"/>
        </w:rPr>
        <w:t xml:space="preserve">Deze jurisprudentie, </w:t>
      </w:r>
      <w:r w:rsidRPr="00201A51">
        <w:rPr>
          <w:rFonts w:ascii="Verdana" w:hAnsi="Verdana"/>
          <w:sz w:val="18"/>
          <w:szCs w:val="18"/>
        </w:rPr>
        <w:t xml:space="preserve">en de uitzendrichtlijn, lijkt niet te zijn meegewogen in de uitspraak van de Rechtbank Den Haag. Daarnaast moeten de WOR en </w:t>
      </w:r>
      <w:proofErr w:type="spellStart"/>
      <w:r w:rsidRPr="00201A51">
        <w:rPr>
          <w:rFonts w:ascii="Verdana" w:hAnsi="Verdana"/>
          <w:sz w:val="18"/>
          <w:szCs w:val="18"/>
        </w:rPr>
        <w:t>Waadi</w:t>
      </w:r>
      <w:proofErr w:type="spellEnd"/>
      <w:r w:rsidRPr="00201A51">
        <w:rPr>
          <w:rFonts w:ascii="Verdana" w:hAnsi="Verdana"/>
          <w:sz w:val="18"/>
          <w:szCs w:val="18"/>
        </w:rPr>
        <w:t xml:space="preserve"> in samenhang worden bezien met de oprichtingsverdragen van internationale organisaties, zoals ESA, en met die organisaties gesloten zetelverdragen</w:t>
      </w:r>
      <w:r>
        <w:rPr>
          <w:rFonts w:ascii="Verdana" w:hAnsi="Verdana"/>
          <w:sz w:val="18"/>
          <w:szCs w:val="18"/>
        </w:rPr>
        <w:t>.</w:t>
      </w:r>
      <w:r w:rsidRPr="00201A51">
        <w:rPr>
          <w:rFonts w:ascii="Verdana" w:hAnsi="Verdana"/>
          <w:sz w:val="18"/>
          <w:szCs w:val="18"/>
        </w:rPr>
        <w:t xml:space="preserve"> </w:t>
      </w:r>
      <w:r>
        <w:rPr>
          <w:rFonts w:ascii="Verdana" w:hAnsi="Verdana"/>
          <w:sz w:val="18"/>
          <w:szCs w:val="18"/>
        </w:rPr>
        <w:t>D</w:t>
      </w:r>
      <w:r w:rsidRPr="00201A51">
        <w:rPr>
          <w:rFonts w:ascii="Verdana" w:hAnsi="Verdana"/>
          <w:sz w:val="18"/>
          <w:szCs w:val="18"/>
        </w:rPr>
        <w:t xml:space="preserve">aarin </w:t>
      </w:r>
      <w:r>
        <w:rPr>
          <w:rFonts w:ascii="Verdana" w:hAnsi="Verdana"/>
          <w:sz w:val="18"/>
          <w:szCs w:val="18"/>
        </w:rPr>
        <w:t xml:space="preserve">zijn </w:t>
      </w:r>
      <w:r w:rsidRPr="00201A51">
        <w:rPr>
          <w:rFonts w:ascii="Verdana" w:hAnsi="Verdana"/>
          <w:sz w:val="18"/>
          <w:szCs w:val="18"/>
        </w:rPr>
        <w:t>naast bepalingen over het toepassen van nationale wetgeving ook bepalingen opgenomen over onschendbaarheid en immuniteiten. Om die reden kan het zijn dat het Nederlandse arbeidsrecht (en het daarin geïmplementeerde Unierecht) niet in alle situaties op dezelfde manier kan worden toegepast en dat naleving niet op dezelfde manier kan worden gehandhaafd ten opzichte van internationale organisaties.</w:t>
      </w:r>
    </w:p>
    <w:p w:rsidR="000468C7" w:rsidP="000468C7" w:rsidRDefault="000468C7" w14:paraId="4BFE9765" w14:textId="77777777">
      <w:pPr>
        <w:pStyle w:val="Geenafstand"/>
        <w:rPr>
          <w:rFonts w:ascii="Verdana" w:hAnsi="Verdana"/>
          <w:sz w:val="18"/>
          <w:szCs w:val="18"/>
        </w:rPr>
      </w:pPr>
    </w:p>
    <w:p w:rsidR="000468C7" w:rsidP="000468C7" w:rsidRDefault="000468C7" w14:paraId="0102E339" w14:textId="77777777">
      <w:pPr>
        <w:pStyle w:val="Geenafstand"/>
        <w:rPr>
          <w:rFonts w:ascii="Verdana" w:hAnsi="Verdana"/>
          <w:sz w:val="18"/>
          <w:szCs w:val="18"/>
        </w:rPr>
      </w:pPr>
      <w:r>
        <w:rPr>
          <w:rFonts w:ascii="Verdana" w:hAnsi="Verdana"/>
          <w:sz w:val="18"/>
          <w:szCs w:val="18"/>
        </w:rPr>
        <w:t xml:space="preserve">De Nederlandse Staat is geen procespartij, maar zal het eventuele vervolg van de procedure met interesse volgen. </w:t>
      </w:r>
    </w:p>
    <w:p w:rsidR="000468C7" w:rsidP="000468C7" w:rsidRDefault="000468C7" w14:paraId="66D3B9E7" w14:textId="77777777">
      <w:pPr>
        <w:pStyle w:val="Geenafstand"/>
        <w:rPr>
          <w:rFonts w:ascii="Verdana" w:hAnsi="Verdana"/>
          <w:sz w:val="18"/>
          <w:szCs w:val="18"/>
        </w:rPr>
      </w:pPr>
    </w:p>
    <w:p w:rsidRPr="007F394E" w:rsidR="000468C7" w:rsidP="000468C7" w:rsidRDefault="000468C7" w14:paraId="638FB599" w14:textId="77777777">
      <w:pPr>
        <w:pStyle w:val="Geenafstand"/>
        <w:rPr>
          <w:rFonts w:ascii="Verdana" w:hAnsi="Verdana"/>
          <w:sz w:val="18"/>
          <w:szCs w:val="18"/>
        </w:rPr>
      </w:pPr>
      <w:r w:rsidRPr="007F394E">
        <w:rPr>
          <w:rFonts w:ascii="Verdana" w:hAnsi="Verdana"/>
          <w:sz w:val="18"/>
          <w:szCs w:val="18"/>
        </w:rPr>
        <w:t>3. Hoe beoordeelt u, in het licht van artikel 5, eerste lid, van de Uitzendrichtlijn, dat een groep ter</w:t>
      </w:r>
    </w:p>
    <w:p w:rsidRPr="007F394E" w:rsidR="000468C7" w:rsidP="000468C7" w:rsidRDefault="000468C7" w14:paraId="1B369C5B" w14:textId="77777777">
      <w:pPr>
        <w:pStyle w:val="Geenafstand"/>
        <w:rPr>
          <w:rFonts w:ascii="Verdana" w:hAnsi="Verdana"/>
          <w:sz w:val="18"/>
          <w:szCs w:val="18"/>
        </w:rPr>
      </w:pPr>
      <w:r w:rsidRPr="007F394E">
        <w:rPr>
          <w:rFonts w:ascii="Verdana" w:hAnsi="Verdana"/>
          <w:sz w:val="18"/>
          <w:szCs w:val="18"/>
        </w:rPr>
        <w:t>beschikking gestelde werknemers die feitelijk arbeid verricht bij een in Nederland gevestigde</w:t>
      </w:r>
    </w:p>
    <w:p w:rsidRPr="007F394E" w:rsidR="000468C7" w:rsidP="000468C7" w:rsidRDefault="000468C7" w14:paraId="19190682" w14:textId="77777777">
      <w:pPr>
        <w:pStyle w:val="Geenafstand"/>
        <w:rPr>
          <w:rFonts w:ascii="Verdana" w:hAnsi="Verdana"/>
          <w:sz w:val="18"/>
          <w:szCs w:val="18"/>
        </w:rPr>
      </w:pPr>
      <w:r w:rsidRPr="007F394E">
        <w:rPr>
          <w:rFonts w:ascii="Verdana" w:hAnsi="Verdana"/>
          <w:sz w:val="18"/>
          <w:szCs w:val="18"/>
        </w:rPr>
        <w:t>organisatie volledig buiten het beginsel van gelijke behandeling valt enkel vanwege de kwalificatie</w:t>
      </w:r>
    </w:p>
    <w:p w:rsidR="000468C7" w:rsidP="000468C7" w:rsidRDefault="000468C7" w14:paraId="701B6C96" w14:textId="77777777">
      <w:pPr>
        <w:pStyle w:val="Geenafstand"/>
        <w:rPr>
          <w:rFonts w:ascii="Verdana" w:hAnsi="Verdana"/>
          <w:sz w:val="18"/>
          <w:szCs w:val="18"/>
        </w:rPr>
      </w:pPr>
      <w:r w:rsidRPr="007F394E">
        <w:rPr>
          <w:rFonts w:ascii="Verdana" w:hAnsi="Verdana"/>
          <w:sz w:val="18"/>
          <w:szCs w:val="18"/>
        </w:rPr>
        <w:t>van de inlener? Acht u dat richtlijnconform?</w:t>
      </w:r>
    </w:p>
    <w:p w:rsidR="000468C7" w:rsidP="000468C7" w:rsidRDefault="000468C7" w14:paraId="67219BA5" w14:textId="77777777">
      <w:pPr>
        <w:pStyle w:val="Geenafstand"/>
        <w:rPr>
          <w:rFonts w:ascii="Verdana" w:hAnsi="Verdana"/>
          <w:sz w:val="18"/>
          <w:szCs w:val="18"/>
        </w:rPr>
      </w:pPr>
    </w:p>
    <w:p w:rsidR="000468C7" w:rsidP="000468C7" w:rsidRDefault="000468C7" w14:paraId="0F5CEB2D" w14:textId="77777777">
      <w:pPr>
        <w:pStyle w:val="Geenafstand"/>
        <w:rPr>
          <w:rFonts w:ascii="Verdana" w:hAnsi="Verdana"/>
          <w:b/>
          <w:bCs/>
          <w:sz w:val="18"/>
          <w:szCs w:val="18"/>
        </w:rPr>
      </w:pPr>
      <w:r>
        <w:rPr>
          <w:rFonts w:ascii="Verdana" w:hAnsi="Verdana"/>
          <w:b/>
          <w:bCs/>
          <w:sz w:val="18"/>
          <w:szCs w:val="18"/>
        </w:rPr>
        <w:t>Antwoord 3</w:t>
      </w:r>
    </w:p>
    <w:p w:rsidRPr="007F394E" w:rsidR="000468C7" w:rsidP="000468C7" w:rsidRDefault="000468C7" w14:paraId="7AB6D5D7" w14:textId="77777777">
      <w:pPr>
        <w:pStyle w:val="Geenafstand"/>
        <w:rPr>
          <w:rFonts w:ascii="Verdana" w:hAnsi="Verdana"/>
          <w:sz w:val="18"/>
          <w:szCs w:val="18"/>
        </w:rPr>
      </w:pPr>
      <w:r>
        <w:rPr>
          <w:rFonts w:ascii="Verdana" w:hAnsi="Verdana"/>
          <w:sz w:val="18"/>
          <w:szCs w:val="18"/>
        </w:rPr>
        <w:t xml:space="preserve">Nee. Zoals hierboven beschreven staat, kan niet zonder meer worden gezegd dat de </w:t>
      </w:r>
      <w:proofErr w:type="spellStart"/>
      <w:r>
        <w:rPr>
          <w:rFonts w:ascii="Verdana" w:hAnsi="Verdana"/>
          <w:sz w:val="18"/>
          <w:szCs w:val="18"/>
        </w:rPr>
        <w:t>Waadi</w:t>
      </w:r>
      <w:proofErr w:type="spellEnd"/>
      <w:r>
        <w:rPr>
          <w:rFonts w:ascii="Verdana" w:hAnsi="Verdana"/>
          <w:sz w:val="18"/>
          <w:szCs w:val="18"/>
        </w:rPr>
        <w:t xml:space="preserve"> niet van toepassing is op eventuele terbeschikkingstellingen die bij ESA plaats zouden vinden. Daarnaast is de uitspraak nog niet onherroepelijk. Naar aanleiding van de eventuele vervolgprocedure zal de Staat moeten beoordelen of de eisen die de Uitzendrichtlijn aan Nederland stelt, voldoende doorwerken. </w:t>
      </w:r>
      <w:r>
        <w:rPr>
          <w:rFonts w:ascii="Verdana" w:hAnsi="Verdana"/>
          <w:sz w:val="18"/>
          <w:szCs w:val="18"/>
        </w:rPr>
        <w:br/>
      </w:r>
    </w:p>
    <w:p w:rsidR="000468C7" w:rsidP="000468C7" w:rsidRDefault="000468C7" w14:paraId="533697A9" w14:textId="77777777">
      <w:pPr>
        <w:rPr>
          <w:rFonts w:ascii="Verdana" w:hAnsi="Verdana"/>
          <w:sz w:val="18"/>
          <w:szCs w:val="18"/>
        </w:rPr>
      </w:pPr>
      <w:r w:rsidRPr="007F394E">
        <w:rPr>
          <w:rFonts w:ascii="Verdana" w:hAnsi="Verdana"/>
          <w:sz w:val="18"/>
          <w:szCs w:val="18"/>
        </w:rPr>
        <w:t>4. Was het bij de implementatie van de Uitzendrichtlijn beoogd dat ter beschikking gestelde</w:t>
      </w:r>
      <w:r>
        <w:rPr>
          <w:rFonts w:ascii="Verdana" w:hAnsi="Verdana"/>
          <w:sz w:val="18"/>
          <w:szCs w:val="18"/>
        </w:rPr>
        <w:t xml:space="preserve"> </w:t>
      </w:r>
      <w:r w:rsidRPr="007F394E">
        <w:rPr>
          <w:rFonts w:ascii="Verdana" w:hAnsi="Verdana"/>
          <w:sz w:val="18"/>
          <w:szCs w:val="18"/>
        </w:rPr>
        <w:t>werknemers die werken bij internationale organisaties in Nederland buiten het beginsel van gelijke</w:t>
      </w:r>
      <w:r>
        <w:rPr>
          <w:rFonts w:ascii="Verdana" w:hAnsi="Verdana"/>
          <w:sz w:val="18"/>
          <w:szCs w:val="18"/>
        </w:rPr>
        <w:t xml:space="preserve"> </w:t>
      </w:r>
      <w:r w:rsidRPr="007F394E">
        <w:rPr>
          <w:rFonts w:ascii="Verdana" w:hAnsi="Verdana"/>
          <w:sz w:val="18"/>
          <w:szCs w:val="18"/>
        </w:rPr>
        <w:lastRenderedPageBreak/>
        <w:t>behandeling zouden vallen? Zo ja, waar blijkt dat uit? Zo nee, erkent u dan dat hier sprake is van een</w:t>
      </w:r>
      <w:r>
        <w:rPr>
          <w:rFonts w:ascii="Verdana" w:hAnsi="Verdana"/>
          <w:sz w:val="18"/>
          <w:szCs w:val="18"/>
        </w:rPr>
        <w:t xml:space="preserve"> </w:t>
      </w:r>
      <w:r w:rsidRPr="007F394E">
        <w:rPr>
          <w:rFonts w:ascii="Verdana" w:hAnsi="Verdana"/>
          <w:sz w:val="18"/>
          <w:szCs w:val="18"/>
        </w:rPr>
        <w:t>lacune in de wetgeving?</w:t>
      </w:r>
    </w:p>
    <w:p w:rsidR="000468C7" w:rsidP="000468C7" w:rsidRDefault="000468C7" w14:paraId="7065004A" w14:textId="77777777">
      <w:pPr>
        <w:pStyle w:val="Geenafstand"/>
        <w:rPr>
          <w:rFonts w:ascii="Verdana" w:hAnsi="Verdana"/>
          <w:sz w:val="18"/>
          <w:szCs w:val="18"/>
        </w:rPr>
      </w:pPr>
    </w:p>
    <w:p w:rsidR="000468C7" w:rsidP="000468C7" w:rsidRDefault="000468C7" w14:paraId="6DC9052D" w14:textId="77777777">
      <w:pPr>
        <w:pStyle w:val="Geenafstand"/>
        <w:rPr>
          <w:rFonts w:ascii="Verdana" w:hAnsi="Verdana"/>
          <w:b/>
          <w:bCs/>
          <w:sz w:val="18"/>
          <w:szCs w:val="18"/>
        </w:rPr>
      </w:pPr>
    </w:p>
    <w:p w:rsidR="000468C7" w:rsidP="000468C7" w:rsidRDefault="000468C7" w14:paraId="53D87792" w14:textId="77777777">
      <w:pPr>
        <w:pStyle w:val="Geenafstand"/>
        <w:rPr>
          <w:rFonts w:ascii="Verdana" w:hAnsi="Verdana"/>
          <w:b/>
          <w:bCs/>
          <w:sz w:val="18"/>
          <w:szCs w:val="18"/>
        </w:rPr>
      </w:pPr>
      <w:r>
        <w:rPr>
          <w:rFonts w:ascii="Verdana" w:hAnsi="Verdana"/>
          <w:b/>
          <w:bCs/>
          <w:sz w:val="18"/>
          <w:szCs w:val="18"/>
        </w:rPr>
        <w:t>Antwoord 4</w:t>
      </w:r>
    </w:p>
    <w:p w:rsidRPr="007F394E" w:rsidR="000468C7" w:rsidP="000468C7" w:rsidRDefault="000468C7" w14:paraId="32700F5B" w14:textId="77777777">
      <w:pPr>
        <w:pStyle w:val="Geenafstand"/>
        <w:rPr>
          <w:rFonts w:ascii="Verdana" w:hAnsi="Verdana"/>
          <w:sz w:val="18"/>
          <w:szCs w:val="18"/>
        </w:rPr>
      </w:pPr>
      <w:r>
        <w:rPr>
          <w:rFonts w:ascii="Verdana" w:hAnsi="Verdana"/>
          <w:sz w:val="18"/>
          <w:szCs w:val="18"/>
        </w:rPr>
        <w:t xml:space="preserve">Nee. Wel volg ik de procedure met interesse, omdat zo’n lacune wel kan ontstaan na het eventuele hoger beroep of uiteindelijk cassatie bij de Hoge Raad. </w:t>
      </w:r>
      <w:r>
        <w:rPr>
          <w:rFonts w:ascii="Verdana" w:hAnsi="Verdana"/>
          <w:sz w:val="18"/>
          <w:szCs w:val="18"/>
        </w:rPr>
        <w:br/>
      </w:r>
    </w:p>
    <w:p w:rsidRPr="00201A51" w:rsidR="000468C7" w:rsidP="000468C7" w:rsidRDefault="000468C7" w14:paraId="1009DE71" w14:textId="77777777">
      <w:pPr>
        <w:pStyle w:val="Geenafstand"/>
        <w:rPr>
          <w:rFonts w:ascii="Verdana" w:hAnsi="Verdana"/>
          <w:sz w:val="18"/>
          <w:szCs w:val="18"/>
        </w:rPr>
      </w:pPr>
      <w:r w:rsidRPr="007F394E">
        <w:rPr>
          <w:rFonts w:ascii="Verdana" w:hAnsi="Verdana"/>
          <w:sz w:val="18"/>
          <w:szCs w:val="18"/>
        </w:rPr>
        <w:t>5. Deelt u de opvatting dat artikel 8 van het Verdrag tussen Nederland en ESA inzake ESTEC, waarin is</w:t>
      </w:r>
      <w:r>
        <w:rPr>
          <w:rFonts w:ascii="Verdana" w:hAnsi="Verdana"/>
          <w:sz w:val="18"/>
          <w:szCs w:val="18"/>
        </w:rPr>
        <w:t xml:space="preserve"> </w:t>
      </w:r>
      <w:r w:rsidRPr="007F394E">
        <w:rPr>
          <w:rFonts w:ascii="Verdana" w:hAnsi="Verdana"/>
          <w:sz w:val="18"/>
          <w:szCs w:val="18"/>
        </w:rPr>
        <w:t>bepaald dat Nederlands recht van toepassing is op de activiteiten van ESA in Nederland, meebrengt</w:t>
      </w:r>
      <w:r>
        <w:rPr>
          <w:rFonts w:ascii="Verdana" w:hAnsi="Verdana"/>
          <w:sz w:val="18"/>
          <w:szCs w:val="18"/>
        </w:rPr>
        <w:t xml:space="preserve"> </w:t>
      </w:r>
      <w:r w:rsidRPr="00201A51">
        <w:rPr>
          <w:rFonts w:ascii="Verdana" w:hAnsi="Verdana"/>
          <w:sz w:val="18"/>
          <w:szCs w:val="18"/>
        </w:rPr>
        <w:t xml:space="preserve">dat het onwenselijk is dat ter beschikking gestelde werknemers daar feitelijk buiten de bescherming van de </w:t>
      </w:r>
      <w:proofErr w:type="spellStart"/>
      <w:r w:rsidRPr="00201A51">
        <w:rPr>
          <w:rFonts w:ascii="Verdana" w:hAnsi="Verdana"/>
          <w:sz w:val="18"/>
          <w:szCs w:val="18"/>
        </w:rPr>
        <w:t>Waadi</w:t>
      </w:r>
      <w:proofErr w:type="spellEnd"/>
      <w:r w:rsidRPr="00201A51">
        <w:rPr>
          <w:rFonts w:ascii="Verdana" w:hAnsi="Verdana"/>
          <w:sz w:val="18"/>
          <w:szCs w:val="18"/>
        </w:rPr>
        <w:t xml:space="preserve"> vallen? Zo nee, waarom niet?</w:t>
      </w:r>
    </w:p>
    <w:p w:rsidRPr="00201A51" w:rsidR="000468C7" w:rsidP="000468C7" w:rsidRDefault="000468C7" w14:paraId="65A75A5C" w14:textId="77777777">
      <w:pPr>
        <w:pStyle w:val="Geenafstand"/>
        <w:rPr>
          <w:rFonts w:ascii="Verdana" w:hAnsi="Verdana"/>
          <w:sz w:val="18"/>
          <w:szCs w:val="18"/>
        </w:rPr>
      </w:pPr>
    </w:p>
    <w:p w:rsidRPr="00201A51" w:rsidR="000468C7" w:rsidP="000468C7" w:rsidRDefault="000468C7" w14:paraId="604255EF" w14:textId="77777777">
      <w:pPr>
        <w:pStyle w:val="Geenafstand"/>
        <w:rPr>
          <w:rFonts w:ascii="Verdana" w:hAnsi="Verdana"/>
          <w:b/>
          <w:bCs/>
          <w:sz w:val="18"/>
          <w:szCs w:val="18"/>
        </w:rPr>
      </w:pPr>
      <w:r w:rsidRPr="00201A51">
        <w:rPr>
          <w:rFonts w:ascii="Verdana" w:hAnsi="Verdana"/>
          <w:b/>
          <w:bCs/>
          <w:sz w:val="18"/>
          <w:szCs w:val="18"/>
        </w:rPr>
        <w:t xml:space="preserve">Antwoord 5 </w:t>
      </w:r>
    </w:p>
    <w:p w:rsidRPr="00201A51" w:rsidR="000468C7" w:rsidP="000468C7" w:rsidRDefault="000468C7" w14:paraId="6BE79BD8" w14:textId="77777777">
      <w:pPr>
        <w:pStyle w:val="Geenafstand"/>
        <w:rPr>
          <w:rFonts w:ascii="Verdana" w:hAnsi="Verdana"/>
          <w:sz w:val="18"/>
          <w:szCs w:val="18"/>
        </w:rPr>
      </w:pPr>
      <w:r w:rsidRPr="00201A51">
        <w:rPr>
          <w:rFonts w:ascii="Verdana" w:hAnsi="Verdana"/>
          <w:sz w:val="18"/>
          <w:szCs w:val="18"/>
        </w:rPr>
        <w:t xml:space="preserve">Die opvatting deel ik, maar zoals bij de beantwoording van vraag 2 uitgelegd, is er nog geen definitieve uitspraak </w:t>
      </w:r>
      <w:r>
        <w:rPr>
          <w:rFonts w:ascii="Verdana" w:hAnsi="Verdana"/>
          <w:sz w:val="18"/>
          <w:szCs w:val="18"/>
        </w:rPr>
        <w:t>dat</w:t>
      </w:r>
      <w:r w:rsidRPr="00201A51">
        <w:rPr>
          <w:rFonts w:ascii="Verdana" w:hAnsi="Verdana"/>
          <w:sz w:val="18"/>
          <w:szCs w:val="18"/>
        </w:rPr>
        <w:t xml:space="preserve"> dit</w:t>
      </w:r>
      <w:r>
        <w:rPr>
          <w:rFonts w:ascii="Verdana" w:hAnsi="Verdana"/>
          <w:sz w:val="18"/>
          <w:szCs w:val="18"/>
        </w:rPr>
        <w:t xml:space="preserve"> daadwerkelijk ook</w:t>
      </w:r>
      <w:r w:rsidRPr="00201A51">
        <w:rPr>
          <w:rFonts w:ascii="Verdana" w:hAnsi="Verdana"/>
          <w:sz w:val="18"/>
          <w:szCs w:val="18"/>
        </w:rPr>
        <w:t xml:space="preserve"> het geval is. Daarnaast zijn er ook andere verdragsbepalingen die in overweging moeten worden genomen. </w:t>
      </w:r>
      <w:r w:rsidRPr="00201A51">
        <w:rPr>
          <w:rFonts w:ascii="Verdana" w:hAnsi="Verdana"/>
          <w:sz w:val="18"/>
          <w:szCs w:val="18"/>
        </w:rPr>
        <w:br/>
      </w:r>
    </w:p>
    <w:p w:rsidRPr="00201A51" w:rsidR="000468C7" w:rsidP="000468C7" w:rsidRDefault="000468C7" w14:paraId="2F52AE7F" w14:textId="77777777">
      <w:pPr>
        <w:pStyle w:val="Geenafstand"/>
        <w:rPr>
          <w:rFonts w:ascii="Verdana" w:hAnsi="Verdana"/>
          <w:sz w:val="18"/>
          <w:szCs w:val="18"/>
        </w:rPr>
      </w:pPr>
      <w:r w:rsidRPr="00201A51">
        <w:rPr>
          <w:rFonts w:ascii="Verdana" w:hAnsi="Verdana"/>
          <w:sz w:val="18"/>
          <w:szCs w:val="18"/>
        </w:rPr>
        <w:t xml:space="preserve">6. Kunt u aangeven hoe groot de groep werknemers in Nederland is die via vergelijkbare constructies werken bij internationale organisaties en mogelijk buiten de werking van de </w:t>
      </w:r>
      <w:proofErr w:type="spellStart"/>
      <w:r w:rsidRPr="00201A51">
        <w:rPr>
          <w:rFonts w:ascii="Verdana" w:hAnsi="Verdana"/>
          <w:sz w:val="18"/>
          <w:szCs w:val="18"/>
        </w:rPr>
        <w:t>Waadi</w:t>
      </w:r>
      <w:proofErr w:type="spellEnd"/>
      <w:r w:rsidRPr="00201A51">
        <w:rPr>
          <w:rFonts w:ascii="Verdana" w:hAnsi="Verdana"/>
          <w:sz w:val="18"/>
          <w:szCs w:val="18"/>
        </w:rPr>
        <w:t xml:space="preserve"> vallen? Zo nee, bent u bereid dit in kaart te laten brengen?</w:t>
      </w:r>
    </w:p>
    <w:p w:rsidRPr="00201A51" w:rsidR="000468C7" w:rsidP="000468C7" w:rsidRDefault="000468C7" w14:paraId="11FD0FE3" w14:textId="77777777">
      <w:pPr>
        <w:pStyle w:val="Geenafstand"/>
        <w:rPr>
          <w:rFonts w:ascii="Verdana" w:hAnsi="Verdana"/>
          <w:sz w:val="18"/>
          <w:szCs w:val="18"/>
        </w:rPr>
      </w:pPr>
    </w:p>
    <w:p w:rsidRPr="00201A51" w:rsidR="000468C7" w:rsidP="000468C7" w:rsidRDefault="000468C7" w14:paraId="34573176" w14:textId="77777777">
      <w:pPr>
        <w:pStyle w:val="Geenafstand"/>
        <w:rPr>
          <w:rFonts w:ascii="Verdana" w:hAnsi="Verdana"/>
          <w:b/>
          <w:bCs/>
          <w:sz w:val="18"/>
          <w:szCs w:val="18"/>
        </w:rPr>
      </w:pPr>
      <w:r w:rsidRPr="00201A51">
        <w:rPr>
          <w:rFonts w:ascii="Verdana" w:hAnsi="Verdana"/>
          <w:b/>
          <w:bCs/>
          <w:sz w:val="18"/>
          <w:szCs w:val="18"/>
        </w:rPr>
        <w:t>Antwoord 6</w:t>
      </w:r>
    </w:p>
    <w:p w:rsidRPr="007F394E" w:rsidR="000468C7" w:rsidP="000468C7" w:rsidRDefault="000468C7" w14:paraId="101145F9" w14:textId="77777777">
      <w:pPr>
        <w:pStyle w:val="Geenafstand"/>
        <w:rPr>
          <w:rFonts w:ascii="Verdana" w:hAnsi="Verdana"/>
          <w:sz w:val="18"/>
          <w:szCs w:val="18"/>
        </w:rPr>
      </w:pPr>
      <w:r w:rsidRPr="00201A51">
        <w:rPr>
          <w:rFonts w:ascii="Verdana" w:hAnsi="Verdana"/>
          <w:sz w:val="18"/>
          <w:szCs w:val="18"/>
        </w:rPr>
        <w:t xml:space="preserve">Het aantal werknemers die door inlening ter beschikking is gesteld aan internationale organisaties is mij onbekend. Het volledig in kaart brengen van het aantal inlenende krachten bij internationale organisaties is zeer ingewikkeld. Bovendien zie ik de meerwaarde daarvan niet. Deze groep van werknemers valt naar mijn oordeel, zoals aangegeven in de beantwoording van voorgaande vragen, binnen de werking van de </w:t>
      </w:r>
      <w:proofErr w:type="spellStart"/>
      <w:r w:rsidRPr="00201A51">
        <w:rPr>
          <w:rFonts w:ascii="Verdana" w:hAnsi="Verdana"/>
          <w:sz w:val="18"/>
          <w:szCs w:val="18"/>
        </w:rPr>
        <w:t>Waadi</w:t>
      </w:r>
      <w:proofErr w:type="spellEnd"/>
      <w:r w:rsidRPr="00201A51">
        <w:rPr>
          <w:rFonts w:ascii="Verdana" w:hAnsi="Verdana"/>
          <w:sz w:val="18"/>
          <w:szCs w:val="18"/>
        </w:rPr>
        <w:t xml:space="preserve"> waarbij voor de toepassing en naleving rekening moet worden gehouden met de bepalingen in de van toepassing zijnde verdragen.</w:t>
      </w:r>
      <w:r>
        <w:rPr>
          <w:rFonts w:ascii="Verdana" w:hAnsi="Verdana"/>
          <w:sz w:val="18"/>
          <w:szCs w:val="18"/>
        </w:rPr>
        <w:t xml:space="preserve"> </w:t>
      </w:r>
      <w:r>
        <w:rPr>
          <w:rFonts w:ascii="Verdana" w:hAnsi="Verdana"/>
          <w:sz w:val="18"/>
          <w:szCs w:val="18"/>
        </w:rPr>
        <w:br/>
      </w:r>
    </w:p>
    <w:p w:rsidR="000468C7" w:rsidP="000468C7" w:rsidRDefault="000468C7" w14:paraId="01B62D97" w14:textId="77777777">
      <w:pPr>
        <w:pStyle w:val="Geenafstand"/>
        <w:rPr>
          <w:rFonts w:ascii="Verdana" w:hAnsi="Verdana"/>
          <w:sz w:val="18"/>
          <w:szCs w:val="18"/>
        </w:rPr>
      </w:pPr>
      <w:r w:rsidRPr="007F394E">
        <w:rPr>
          <w:rFonts w:ascii="Verdana" w:hAnsi="Verdana"/>
          <w:sz w:val="18"/>
          <w:szCs w:val="18"/>
        </w:rPr>
        <w:t xml:space="preserve">7. Welke mogelijkheden ziet u om in de herziening van de </w:t>
      </w:r>
      <w:proofErr w:type="spellStart"/>
      <w:r w:rsidRPr="007F394E">
        <w:rPr>
          <w:rFonts w:ascii="Verdana" w:hAnsi="Verdana"/>
          <w:sz w:val="18"/>
          <w:szCs w:val="18"/>
        </w:rPr>
        <w:t>Waadi</w:t>
      </w:r>
      <w:proofErr w:type="spellEnd"/>
      <w:r w:rsidRPr="007F394E">
        <w:rPr>
          <w:rFonts w:ascii="Verdana" w:hAnsi="Verdana"/>
          <w:sz w:val="18"/>
          <w:szCs w:val="18"/>
        </w:rPr>
        <w:t>, die momenteel in de Tweede Kamer</w:t>
      </w:r>
      <w:r>
        <w:rPr>
          <w:rFonts w:ascii="Verdana" w:hAnsi="Verdana"/>
          <w:sz w:val="18"/>
          <w:szCs w:val="18"/>
        </w:rPr>
        <w:t xml:space="preserve"> </w:t>
      </w:r>
      <w:r w:rsidRPr="007F394E">
        <w:rPr>
          <w:rFonts w:ascii="Verdana" w:hAnsi="Verdana"/>
          <w:sz w:val="18"/>
          <w:szCs w:val="18"/>
        </w:rPr>
        <w:t>wordt behandeld, te waarborgen dat werknemers die feitelijk structureel arbeid verrichten binnen</w:t>
      </w:r>
      <w:r>
        <w:rPr>
          <w:rFonts w:ascii="Verdana" w:hAnsi="Verdana"/>
          <w:sz w:val="18"/>
          <w:szCs w:val="18"/>
        </w:rPr>
        <w:t xml:space="preserve"> </w:t>
      </w:r>
      <w:r w:rsidRPr="007F394E">
        <w:rPr>
          <w:rFonts w:ascii="Verdana" w:hAnsi="Verdana"/>
          <w:sz w:val="18"/>
          <w:szCs w:val="18"/>
        </w:rPr>
        <w:t>organisaties als ESA, niet structureel slechtere arbeidsvoorwaarden hebben dan direct aangestelde</w:t>
      </w:r>
      <w:r>
        <w:rPr>
          <w:rFonts w:ascii="Verdana" w:hAnsi="Verdana"/>
          <w:sz w:val="18"/>
          <w:szCs w:val="18"/>
        </w:rPr>
        <w:t xml:space="preserve"> </w:t>
      </w:r>
      <w:r w:rsidRPr="007F394E">
        <w:rPr>
          <w:rFonts w:ascii="Verdana" w:hAnsi="Verdana"/>
          <w:sz w:val="18"/>
          <w:szCs w:val="18"/>
        </w:rPr>
        <w:t>collega’s?</w:t>
      </w:r>
    </w:p>
    <w:p w:rsidR="000468C7" w:rsidP="000468C7" w:rsidRDefault="000468C7" w14:paraId="44FF9BF3" w14:textId="77777777">
      <w:pPr>
        <w:pStyle w:val="Geenafstand"/>
        <w:rPr>
          <w:rFonts w:ascii="Verdana" w:hAnsi="Verdana"/>
          <w:sz w:val="18"/>
          <w:szCs w:val="18"/>
        </w:rPr>
      </w:pPr>
    </w:p>
    <w:p w:rsidR="000468C7" w:rsidP="000468C7" w:rsidRDefault="000468C7" w14:paraId="1D0E858F" w14:textId="77777777">
      <w:pPr>
        <w:pStyle w:val="Geenafstand"/>
        <w:rPr>
          <w:rFonts w:ascii="Verdana" w:hAnsi="Verdana"/>
          <w:b/>
          <w:bCs/>
          <w:sz w:val="18"/>
          <w:szCs w:val="18"/>
        </w:rPr>
      </w:pPr>
      <w:r>
        <w:rPr>
          <w:rFonts w:ascii="Verdana" w:hAnsi="Verdana"/>
          <w:b/>
          <w:bCs/>
          <w:sz w:val="18"/>
          <w:szCs w:val="18"/>
        </w:rPr>
        <w:t>Antwoord 7</w:t>
      </w:r>
    </w:p>
    <w:p w:rsidRPr="007F394E" w:rsidR="000468C7" w:rsidP="000468C7" w:rsidRDefault="000468C7" w14:paraId="512685FB" w14:textId="77777777">
      <w:pPr>
        <w:pStyle w:val="Geenafstand"/>
        <w:rPr>
          <w:rFonts w:ascii="Verdana" w:hAnsi="Verdana"/>
          <w:sz w:val="18"/>
          <w:szCs w:val="18"/>
        </w:rPr>
      </w:pPr>
      <w:r>
        <w:rPr>
          <w:rFonts w:ascii="Verdana" w:hAnsi="Verdana"/>
          <w:sz w:val="18"/>
          <w:szCs w:val="18"/>
        </w:rPr>
        <w:t xml:space="preserve">Ik ben van mening dat dit al met de huidige </w:t>
      </w:r>
      <w:proofErr w:type="spellStart"/>
      <w:r>
        <w:rPr>
          <w:rFonts w:ascii="Verdana" w:hAnsi="Verdana"/>
          <w:sz w:val="18"/>
          <w:szCs w:val="18"/>
        </w:rPr>
        <w:t>Waadi</w:t>
      </w:r>
      <w:proofErr w:type="spellEnd"/>
      <w:r>
        <w:rPr>
          <w:rFonts w:ascii="Verdana" w:hAnsi="Verdana"/>
          <w:sz w:val="18"/>
          <w:szCs w:val="18"/>
        </w:rPr>
        <w:t xml:space="preserve"> voldoende gewaarborgd is en met het wetsvoorstel “meer zekerheid flexwerkers” verder versterkt wordt. Op grond van </w:t>
      </w:r>
      <w:r w:rsidRPr="00F964C1">
        <w:rPr>
          <w:rFonts w:ascii="Verdana" w:hAnsi="Verdana"/>
          <w:sz w:val="18"/>
          <w:szCs w:val="18"/>
        </w:rPr>
        <w:t xml:space="preserve">de </w:t>
      </w:r>
      <w:proofErr w:type="spellStart"/>
      <w:r>
        <w:rPr>
          <w:rFonts w:ascii="Verdana" w:hAnsi="Verdana"/>
          <w:sz w:val="18"/>
          <w:szCs w:val="18"/>
        </w:rPr>
        <w:t>Waadi</w:t>
      </w:r>
      <w:proofErr w:type="spellEnd"/>
      <w:r>
        <w:rPr>
          <w:rFonts w:ascii="Verdana" w:hAnsi="Verdana"/>
          <w:sz w:val="18"/>
          <w:szCs w:val="18"/>
        </w:rPr>
        <w:t xml:space="preserve"> hebben </w:t>
      </w:r>
      <w:r w:rsidRPr="00F964C1">
        <w:rPr>
          <w:rFonts w:ascii="Verdana" w:hAnsi="Verdana"/>
          <w:sz w:val="18"/>
          <w:szCs w:val="18"/>
        </w:rPr>
        <w:t>uitzendkrachten recht op hetzelfde loon, overige vergoedingen en arbeids- en rusttijden als werknemers bij de inlener. Hieraan wordt</w:t>
      </w:r>
      <w:r>
        <w:rPr>
          <w:rFonts w:ascii="Verdana" w:hAnsi="Verdana"/>
          <w:sz w:val="18"/>
          <w:szCs w:val="18"/>
        </w:rPr>
        <w:t xml:space="preserve"> met het wetsvoorstel meer zekerheid flexwerkers</w:t>
      </w:r>
      <w:r w:rsidRPr="00F964C1">
        <w:rPr>
          <w:rFonts w:ascii="Verdana" w:hAnsi="Verdana"/>
          <w:sz w:val="18"/>
          <w:szCs w:val="18"/>
        </w:rPr>
        <w:t xml:space="preserve"> toegevoegd dat de overige arbeidsvoorwaarden ten minste gelijkwaardig dienen te zijn</w:t>
      </w:r>
      <w:r>
        <w:rPr>
          <w:rFonts w:ascii="Verdana" w:hAnsi="Verdana"/>
          <w:sz w:val="18"/>
          <w:szCs w:val="18"/>
        </w:rPr>
        <w:t xml:space="preserve">. Zoals uitgelegd bij de beantwoording van vraag 2, gelden deze regels voor alle arbeidskrachten die in Nederland ter beschikking worden gesteld aan organisaties om onder diens leiding en toezicht arbeid te verrichten. Internationale organisaties zijn daar naar oordeel van de regering in beginsel niet van uitgezonderd. Daarmee zijn de rechten van ingeleende werknemers bij dergelijke internationale organisaties voldoende geborgd. </w:t>
      </w:r>
      <w:r>
        <w:rPr>
          <w:rFonts w:ascii="Verdana" w:hAnsi="Verdana"/>
          <w:sz w:val="18"/>
          <w:szCs w:val="18"/>
        </w:rPr>
        <w:br/>
      </w:r>
    </w:p>
    <w:p w:rsidRPr="007F394E" w:rsidR="000468C7" w:rsidP="000468C7" w:rsidRDefault="000468C7" w14:paraId="4DEECF84" w14:textId="77777777">
      <w:pPr>
        <w:pStyle w:val="Geenafstand"/>
        <w:rPr>
          <w:rFonts w:ascii="Verdana" w:hAnsi="Verdana"/>
          <w:sz w:val="18"/>
          <w:szCs w:val="18"/>
        </w:rPr>
      </w:pPr>
      <w:r w:rsidRPr="007F394E">
        <w:rPr>
          <w:rFonts w:ascii="Verdana" w:hAnsi="Verdana"/>
          <w:sz w:val="18"/>
          <w:szCs w:val="18"/>
        </w:rPr>
        <w:t>8. Bent u bereid om in het kader van deze wetswijziging te bezien of het begrip “inlenende</w:t>
      </w:r>
    </w:p>
    <w:p w:rsidRPr="007F394E" w:rsidR="000468C7" w:rsidP="000468C7" w:rsidRDefault="000468C7" w14:paraId="5D9BD2EB" w14:textId="77777777">
      <w:pPr>
        <w:pStyle w:val="Geenafstand"/>
        <w:rPr>
          <w:rFonts w:ascii="Verdana" w:hAnsi="Verdana"/>
          <w:sz w:val="18"/>
          <w:szCs w:val="18"/>
        </w:rPr>
      </w:pPr>
      <w:r w:rsidRPr="007F394E">
        <w:rPr>
          <w:rFonts w:ascii="Verdana" w:hAnsi="Verdana"/>
          <w:sz w:val="18"/>
          <w:szCs w:val="18"/>
        </w:rPr>
        <w:t xml:space="preserve">onderneming” in de </w:t>
      </w:r>
      <w:proofErr w:type="spellStart"/>
      <w:r w:rsidRPr="007F394E">
        <w:rPr>
          <w:rFonts w:ascii="Verdana" w:hAnsi="Verdana"/>
          <w:sz w:val="18"/>
          <w:szCs w:val="18"/>
        </w:rPr>
        <w:t>Waadi</w:t>
      </w:r>
      <w:proofErr w:type="spellEnd"/>
      <w:r w:rsidRPr="007F394E">
        <w:rPr>
          <w:rFonts w:ascii="Verdana" w:hAnsi="Verdana"/>
          <w:sz w:val="18"/>
          <w:szCs w:val="18"/>
        </w:rPr>
        <w:t xml:space="preserve"> moet worden aangepast, zodat ook internationale organisaties hieronder</w:t>
      </w:r>
    </w:p>
    <w:p w:rsidR="000468C7" w:rsidP="000468C7" w:rsidRDefault="000468C7" w14:paraId="3DF764A7" w14:textId="77777777">
      <w:pPr>
        <w:pStyle w:val="Geenafstand"/>
        <w:rPr>
          <w:rFonts w:ascii="Verdana" w:hAnsi="Verdana"/>
          <w:sz w:val="18"/>
          <w:szCs w:val="18"/>
        </w:rPr>
      </w:pPr>
      <w:r w:rsidRPr="007F394E">
        <w:rPr>
          <w:rFonts w:ascii="Verdana" w:hAnsi="Verdana"/>
          <w:sz w:val="18"/>
          <w:szCs w:val="18"/>
        </w:rPr>
        <w:t>kunnen vallen? Zo nee, waarom niet?</w:t>
      </w:r>
    </w:p>
    <w:p w:rsidR="000468C7" w:rsidP="000468C7" w:rsidRDefault="000468C7" w14:paraId="56DD27FE" w14:textId="77777777">
      <w:pPr>
        <w:pStyle w:val="Geenafstand"/>
        <w:rPr>
          <w:rFonts w:ascii="Verdana" w:hAnsi="Verdana"/>
          <w:sz w:val="18"/>
          <w:szCs w:val="18"/>
        </w:rPr>
      </w:pPr>
    </w:p>
    <w:p w:rsidRPr="00DD12AD" w:rsidR="000468C7" w:rsidP="000468C7" w:rsidRDefault="000468C7" w14:paraId="7D54267E" w14:textId="77777777">
      <w:pPr>
        <w:pStyle w:val="Geenafstand"/>
        <w:rPr>
          <w:rFonts w:ascii="Verdana" w:hAnsi="Verdana"/>
          <w:b/>
          <w:bCs/>
          <w:sz w:val="18"/>
          <w:szCs w:val="18"/>
        </w:rPr>
      </w:pPr>
      <w:r>
        <w:rPr>
          <w:rFonts w:ascii="Verdana" w:hAnsi="Verdana"/>
          <w:b/>
          <w:bCs/>
          <w:sz w:val="18"/>
          <w:szCs w:val="18"/>
        </w:rPr>
        <w:t>Antwoord 8</w:t>
      </w:r>
    </w:p>
    <w:p w:rsidR="000468C7" w:rsidP="000468C7" w:rsidRDefault="000468C7" w14:paraId="2055AD35" w14:textId="77777777">
      <w:pPr>
        <w:pStyle w:val="Geenafstand"/>
        <w:rPr>
          <w:rFonts w:ascii="Verdana" w:hAnsi="Verdana"/>
          <w:sz w:val="18"/>
          <w:szCs w:val="18"/>
        </w:rPr>
      </w:pPr>
      <w:r>
        <w:rPr>
          <w:rFonts w:ascii="Verdana" w:hAnsi="Verdana"/>
          <w:sz w:val="18"/>
          <w:szCs w:val="18"/>
        </w:rPr>
        <w:t xml:space="preserve">Zoals bij de beantwoording van vraag 2 uitgelegd, zie ik aanleiding voor een andere interpretatie van de </w:t>
      </w:r>
      <w:proofErr w:type="spellStart"/>
      <w:r>
        <w:rPr>
          <w:rFonts w:ascii="Verdana" w:hAnsi="Verdana"/>
          <w:sz w:val="18"/>
          <w:szCs w:val="18"/>
        </w:rPr>
        <w:t>Waadi</w:t>
      </w:r>
      <w:proofErr w:type="spellEnd"/>
      <w:r>
        <w:rPr>
          <w:rFonts w:ascii="Verdana" w:hAnsi="Verdana"/>
          <w:sz w:val="18"/>
          <w:szCs w:val="18"/>
        </w:rPr>
        <w:t xml:space="preserve"> dan de uitleg die is gegeven in de uitspraak.  Ik acht het daarom vooralsnog niet nodig om de </w:t>
      </w:r>
      <w:proofErr w:type="spellStart"/>
      <w:r>
        <w:rPr>
          <w:rFonts w:ascii="Verdana" w:hAnsi="Verdana"/>
          <w:sz w:val="18"/>
          <w:szCs w:val="18"/>
        </w:rPr>
        <w:t>Waadi</w:t>
      </w:r>
      <w:proofErr w:type="spellEnd"/>
      <w:r>
        <w:rPr>
          <w:rFonts w:ascii="Verdana" w:hAnsi="Verdana"/>
          <w:sz w:val="18"/>
          <w:szCs w:val="18"/>
        </w:rPr>
        <w:t xml:space="preserve"> op dit punt aan te passen. </w:t>
      </w:r>
    </w:p>
    <w:p w:rsidR="000468C7" w:rsidP="000468C7" w:rsidRDefault="000468C7" w14:paraId="11E2806E" w14:textId="77777777">
      <w:pPr>
        <w:pStyle w:val="Geenafstand"/>
        <w:rPr>
          <w:rFonts w:ascii="Verdana" w:hAnsi="Verdana"/>
          <w:b/>
          <w:bCs/>
          <w:sz w:val="18"/>
          <w:szCs w:val="18"/>
        </w:rPr>
      </w:pPr>
      <w:r>
        <w:rPr>
          <w:rFonts w:ascii="Verdana" w:hAnsi="Verdana"/>
          <w:sz w:val="18"/>
          <w:szCs w:val="18"/>
        </w:rPr>
        <w:br/>
      </w:r>
      <w:r w:rsidRPr="007F394E">
        <w:rPr>
          <w:rFonts w:ascii="Verdana" w:hAnsi="Verdana"/>
          <w:sz w:val="18"/>
          <w:szCs w:val="18"/>
        </w:rPr>
        <w:t>9. Bent u bereid om hierover in overleg te treden met sociale partner</w:t>
      </w:r>
      <w:r>
        <w:rPr>
          <w:rFonts w:ascii="Verdana" w:hAnsi="Verdana"/>
          <w:sz w:val="18"/>
          <w:szCs w:val="18"/>
        </w:rPr>
        <w:t>s</w:t>
      </w:r>
      <w:r w:rsidRPr="007F394E">
        <w:rPr>
          <w:rFonts w:ascii="Verdana" w:hAnsi="Verdana"/>
          <w:sz w:val="18"/>
          <w:szCs w:val="18"/>
        </w:rPr>
        <w:t xml:space="preserve"> en een nadere analyse naar de</w:t>
      </w:r>
      <w:r>
        <w:rPr>
          <w:rFonts w:ascii="Verdana" w:hAnsi="Verdana"/>
          <w:sz w:val="18"/>
          <w:szCs w:val="18"/>
        </w:rPr>
        <w:t xml:space="preserve"> </w:t>
      </w:r>
      <w:r w:rsidRPr="007F394E">
        <w:rPr>
          <w:rFonts w:ascii="Verdana" w:hAnsi="Verdana"/>
          <w:sz w:val="18"/>
          <w:szCs w:val="18"/>
        </w:rPr>
        <w:t>Kamer te sturen? Zo nee, waarom niet?</w:t>
      </w:r>
      <w:r>
        <w:rPr>
          <w:rFonts w:ascii="Verdana" w:hAnsi="Verdana"/>
          <w:sz w:val="18"/>
          <w:szCs w:val="18"/>
        </w:rPr>
        <w:br/>
      </w:r>
      <w:r>
        <w:rPr>
          <w:rFonts w:ascii="Verdana" w:hAnsi="Verdana"/>
          <w:sz w:val="18"/>
          <w:szCs w:val="18"/>
        </w:rPr>
        <w:br/>
      </w:r>
      <w:r>
        <w:rPr>
          <w:rFonts w:ascii="Verdana" w:hAnsi="Verdana"/>
          <w:b/>
          <w:bCs/>
          <w:sz w:val="18"/>
          <w:szCs w:val="18"/>
        </w:rPr>
        <w:t xml:space="preserve">Antwoord 9 </w:t>
      </w:r>
    </w:p>
    <w:p w:rsidR="000468C7" w:rsidP="000468C7" w:rsidRDefault="000468C7" w14:paraId="3965BBF3" w14:textId="77777777">
      <w:pPr>
        <w:pStyle w:val="Geenafstand"/>
        <w:rPr>
          <w:rFonts w:ascii="Verdana" w:hAnsi="Verdana"/>
          <w:sz w:val="18"/>
          <w:szCs w:val="18"/>
        </w:rPr>
      </w:pPr>
      <w:r>
        <w:rPr>
          <w:rFonts w:ascii="Verdana" w:hAnsi="Verdana"/>
          <w:sz w:val="18"/>
          <w:szCs w:val="18"/>
        </w:rPr>
        <w:t xml:space="preserve">Nu het vraagstuk nog onder de rechter is, en ik aanleiding zie voor een andere interpretatie, vind ik een nadere analyse in deze fase niet opportuun. </w:t>
      </w:r>
    </w:p>
    <w:p w:rsidR="000468C7" w:rsidP="000468C7" w:rsidRDefault="000468C7" w14:paraId="0EE837C4" w14:textId="77777777">
      <w:pPr>
        <w:pStyle w:val="Geenafstand"/>
        <w:rPr>
          <w:rFonts w:ascii="Verdana" w:hAnsi="Verdana"/>
          <w:sz w:val="18"/>
          <w:szCs w:val="18"/>
        </w:rPr>
      </w:pPr>
    </w:p>
    <w:p w:rsidRPr="007F394E" w:rsidR="000468C7" w:rsidP="000468C7" w:rsidRDefault="000468C7" w14:paraId="7DB00F8C" w14:textId="77777777">
      <w:pPr>
        <w:pStyle w:val="Geenafstand"/>
        <w:rPr>
          <w:rFonts w:ascii="Verdana" w:hAnsi="Verdana"/>
          <w:sz w:val="18"/>
          <w:szCs w:val="18"/>
        </w:rPr>
      </w:pPr>
    </w:p>
    <w:p w:rsidRPr="007F394E" w:rsidR="000468C7" w:rsidP="000468C7" w:rsidRDefault="000468C7" w14:paraId="66517AA6" w14:textId="77777777">
      <w:pPr>
        <w:pStyle w:val="Geenafstand"/>
        <w:rPr>
          <w:rFonts w:ascii="Verdana" w:hAnsi="Verdana"/>
          <w:sz w:val="18"/>
          <w:szCs w:val="18"/>
        </w:rPr>
      </w:pPr>
      <w:r w:rsidRPr="007F394E">
        <w:rPr>
          <w:rFonts w:ascii="Verdana" w:hAnsi="Verdana"/>
          <w:sz w:val="18"/>
          <w:szCs w:val="18"/>
        </w:rPr>
        <w:t>1) Rechtbank Den Haag, 18 februari 2026, ECLI:NL:RBDHA:2026:3221.</w:t>
      </w:r>
    </w:p>
    <w:p w:rsidR="0017597E" w:rsidRDefault="0017597E" w14:paraId="5EDB17D5" w14:textId="77777777"/>
    <w:sectPr w:rsidR="0017597E" w:rsidSect="000468C7">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0CCF0" w14:textId="77777777" w:rsidR="000468C7" w:rsidRDefault="000468C7" w:rsidP="000468C7">
      <w:pPr>
        <w:spacing w:after="0" w:line="240" w:lineRule="auto"/>
      </w:pPr>
      <w:r>
        <w:separator/>
      </w:r>
    </w:p>
  </w:endnote>
  <w:endnote w:type="continuationSeparator" w:id="0">
    <w:p w14:paraId="6047C977" w14:textId="77777777" w:rsidR="000468C7" w:rsidRDefault="000468C7" w:rsidP="000468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6ECA0" w14:textId="77777777" w:rsidR="000468C7" w:rsidRPr="000468C7" w:rsidRDefault="000468C7" w:rsidP="000468C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DDB23" w14:textId="77777777" w:rsidR="000468C7" w:rsidRPr="000468C7" w:rsidRDefault="000468C7" w:rsidP="000468C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C19EE" w14:textId="77777777" w:rsidR="000468C7" w:rsidRPr="000468C7" w:rsidRDefault="000468C7" w:rsidP="000468C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4B473B" w14:textId="77777777" w:rsidR="000468C7" w:rsidRDefault="000468C7" w:rsidP="000468C7">
      <w:pPr>
        <w:spacing w:after="0" w:line="240" w:lineRule="auto"/>
      </w:pPr>
      <w:r>
        <w:separator/>
      </w:r>
    </w:p>
  </w:footnote>
  <w:footnote w:type="continuationSeparator" w:id="0">
    <w:p w14:paraId="7D34CD13" w14:textId="77777777" w:rsidR="000468C7" w:rsidRDefault="000468C7" w:rsidP="000468C7">
      <w:pPr>
        <w:spacing w:after="0" w:line="240" w:lineRule="auto"/>
      </w:pPr>
      <w:r>
        <w:continuationSeparator/>
      </w:r>
    </w:p>
  </w:footnote>
  <w:footnote w:id="1">
    <w:p w14:paraId="076EE402" w14:textId="77777777" w:rsidR="000468C7" w:rsidRDefault="000468C7" w:rsidP="000468C7">
      <w:pPr>
        <w:pStyle w:val="Voetnoottekst"/>
      </w:pPr>
      <w:r>
        <w:rPr>
          <w:rStyle w:val="Voetnootmarkering"/>
        </w:rPr>
        <w:footnoteRef/>
      </w:r>
      <w:r>
        <w:t xml:space="preserve"> </w:t>
      </w:r>
      <w:hyperlink r:id="rId1" w:history="1">
        <w:r w:rsidRPr="00141D54">
          <w:rPr>
            <w:rStyle w:val="Hyperlink"/>
            <w:rFonts w:ascii="Verdana" w:hAnsi="Verdana"/>
            <w:sz w:val="18"/>
            <w:szCs w:val="18"/>
          </w:rPr>
          <w:t>Manpower Lit</w:t>
        </w:r>
      </w:hyperlink>
      <w:r w:rsidRPr="00141D54">
        <w:rPr>
          <w:rFonts w:ascii="Verdana" w:hAnsi="Verdana"/>
          <w:sz w:val="18"/>
          <w:szCs w:val="18"/>
        </w:rPr>
        <w:t xml:space="preserve">, zie bijv. </w:t>
      </w:r>
      <w:proofErr w:type="spellStart"/>
      <w:r w:rsidRPr="00141D54">
        <w:rPr>
          <w:rFonts w:ascii="Verdana" w:hAnsi="Verdana"/>
          <w:sz w:val="18"/>
          <w:szCs w:val="18"/>
        </w:rPr>
        <w:t>ro</w:t>
      </w:r>
      <w:proofErr w:type="spellEnd"/>
      <w:r w:rsidRPr="00141D54">
        <w:rPr>
          <w:rFonts w:ascii="Verdana" w:hAnsi="Verdana"/>
          <w:sz w:val="18"/>
          <w:szCs w:val="18"/>
        </w:rPr>
        <w:t>. 47 en 48</w:t>
      </w:r>
      <w:r>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13C8" w14:textId="77777777" w:rsidR="000468C7" w:rsidRPr="000468C7" w:rsidRDefault="000468C7" w:rsidP="000468C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64FFE" w14:textId="77777777" w:rsidR="000468C7" w:rsidRPr="000468C7" w:rsidRDefault="000468C7" w:rsidP="000468C7">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3AA65" w14:textId="77777777" w:rsidR="000468C7" w:rsidRPr="000468C7" w:rsidRDefault="000468C7" w:rsidP="000468C7">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8C7"/>
    <w:rsid w:val="000468C7"/>
    <w:rsid w:val="0017597E"/>
    <w:rsid w:val="002318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08F11"/>
  <w15:chartTrackingRefBased/>
  <w15:docId w15:val="{6E7DF472-43EA-48ED-A44B-5418E846A8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468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0468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0468C7"/>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0468C7"/>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0468C7"/>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0468C7"/>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468C7"/>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468C7"/>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468C7"/>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468C7"/>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0468C7"/>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0468C7"/>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0468C7"/>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0468C7"/>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0468C7"/>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468C7"/>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468C7"/>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468C7"/>
    <w:rPr>
      <w:rFonts w:eastAsiaTheme="majorEastAsia" w:cstheme="majorBidi"/>
      <w:color w:val="272727" w:themeColor="text1" w:themeTint="D8"/>
    </w:rPr>
  </w:style>
  <w:style w:type="paragraph" w:styleId="Titel">
    <w:name w:val="Title"/>
    <w:basedOn w:val="Standaard"/>
    <w:next w:val="Standaard"/>
    <w:link w:val="TitelChar"/>
    <w:uiPriority w:val="10"/>
    <w:qFormat/>
    <w:rsid w:val="000468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468C7"/>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468C7"/>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468C7"/>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468C7"/>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468C7"/>
    <w:rPr>
      <w:i/>
      <w:iCs/>
      <w:color w:val="404040" w:themeColor="text1" w:themeTint="BF"/>
    </w:rPr>
  </w:style>
  <w:style w:type="paragraph" w:styleId="Lijstalinea">
    <w:name w:val="List Paragraph"/>
    <w:basedOn w:val="Standaard"/>
    <w:uiPriority w:val="34"/>
    <w:qFormat/>
    <w:rsid w:val="000468C7"/>
    <w:pPr>
      <w:ind w:left="720"/>
      <w:contextualSpacing/>
    </w:pPr>
  </w:style>
  <w:style w:type="character" w:styleId="Intensievebenadrukking">
    <w:name w:val="Intense Emphasis"/>
    <w:basedOn w:val="Standaardalinea-lettertype"/>
    <w:uiPriority w:val="21"/>
    <w:qFormat/>
    <w:rsid w:val="000468C7"/>
    <w:rPr>
      <w:i/>
      <w:iCs/>
      <w:color w:val="2F5496" w:themeColor="accent1" w:themeShade="BF"/>
    </w:rPr>
  </w:style>
  <w:style w:type="paragraph" w:styleId="Duidelijkcitaat">
    <w:name w:val="Intense Quote"/>
    <w:basedOn w:val="Standaard"/>
    <w:next w:val="Standaard"/>
    <w:link w:val="DuidelijkcitaatChar"/>
    <w:uiPriority w:val="30"/>
    <w:qFormat/>
    <w:rsid w:val="000468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0468C7"/>
    <w:rPr>
      <w:i/>
      <w:iCs/>
      <w:color w:val="2F5496" w:themeColor="accent1" w:themeShade="BF"/>
    </w:rPr>
  </w:style>
  <w:style w:type="character" w:styleId="Intensieveverwijzing">
    <w:name w:val="Intense Reference"/>
    <w:basedOn w:val="Standaardalinea-lettertype"/>
    <w:uiPriority w:val="32"/>
    <w:qFormat/>
    <w:rsid w:val="000468C7"/>
    <w:rPr>
      <w:b/>
      <w:bCs/>
      <w:smallCaps/>
      <w:color w:val="2F5496" w:themeColor="accent1" w:themeShade="BF"/>
      <w:spacing w:val="5"/>
    </w:rPr>
  </w:style>
  <w:style w:type="paragraph" w:styleId="Geenafstand">
    <w:name w:val="No Spacing"/>
    <w:uiPriority w:val="1"/>
    <w:qFormat/>
    <w:rsid w:val="000468C7"/>
    <w:pPr>
      <w:spacing w:after="0" w:line="240" w:lineRule="auto"/>
    </w:pPr>
  </w:style>
  <w:style w:type="paragraph" w:styleId="Koptekst">
    <w:name w:val="header"/>
    <w:basedOn w:val="Standaard"/>
    <w:link w:val="KoptekstChar"/>
    <w:uiPriority w:val="99"/>
    <w:unhideWhenUsed/>
    <w:rsid w:val="000468C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468C7"/>
  </w:style>
  <w:style w:type="paragraph" w:styleId="Voettekst">
    <w:name w:val="footer"/>
    <w:basedOn w:val="Standaard"/>
    <w:link w:val="VoettekstChar"/>
    <w:uiPriority w:val="99"/>
    <w:unhideWhenUsed/>
    <w:rsid w:val="000468C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468C7"/>
  </w:style>
  <w:style w:type="character" w:styleId="Hyperlink">
    <w:name w:val="Hyperlink"/>
    <w:basedOn w:val="Standaardalinea-lettertype"/>
    <w:uiPriority w:val="99"/>
    <w:unhideWhenUsed/>
    <w:rsid w:val="000468C7"/>
    <w:rPr>
      <w:color w:val="0563C1" w:themeColor="hyperlink"/>
      <w:u w:val="single"/>
    </w:rPr>
  </w:style>
  <w:style w:type="paragraph" w:styleId="Voetnoottekst">
    <w:name w:val="footnote text"/>
    <w:basedOn w:val="Standaard"/>
    <w:link w:val="VoetnoottekstChar"/>
    <w:uiPriority w:val="99"/>
    <w:semiHidden/>
    <w:unhideWhenUsed/>
    <w:rsid w:val="000468C7"/>
    <w:pPr>
      <w:spacing w:after="0" w:line="240" w:lineRule="auto"/>
    </w:pPr>
    <w:rPr>
      <w:kern w:val="0"/>
      <w:sz w:val="20"/>
      <w:szCs w:val="20"/>
      <w14:ligatures w14:val="none"/>
    </w:rPr>
  </w:style>
  <w:style w:type="character" w:customStyle="1" w:styleId="VoetnoottekstChar">
    <w:name w:val="Voetnoottekst Char"/>
    <w:basedOn w:val="Standaardalinea-lettertype"/>
    <w:link w:val="Voetnoottekst"/>
    <w:uiPriority w:val="99"/>
    <w:semiHidden/>
    <w:rsid w:val="000468C7"/>
    <w:rPr>
      <w:kern w:val="0"/>
      <w:sz w:val="20"/>
      <w:szCs w:val="20"/>
      <w14:ligatures w14:val="none"/>
    </w:rPr>
  </w:style>
  <w:style w:type="character" w:styleId="Voetnootmarkering">
    <w:name w:val="footnote reference"/>
    <w:basedOn w:val="Standaardalinea-lettertype"/>
    <w:uiPriority w:val="99"/>
    <w:semiHidden/>
    <w:unhideWhenUsed/>
    <w:rsid w:val="000468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NL/TXT/PDF/?uri=CELEX:62019CJ0948"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1119</ap:Words>
  <ap:Characters>6159</ap:Characters>
  <ap:DocSecurity>0</ap:DocSecurity>
  <ap:Lines>51</ap:Lines>
  <ap:Paragraphs>14</ap:Paragraphs>
  <ap:ScaleCrop>false</ap:ScaleCrop>
  <ap:LinksUpToDate>false</ap:LinksUpToDate>
  <ap:CharactersWithSpaces>7264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2026-05-12T10:09:00.0000000Z</dcterms:created>
  <dcterms:modified xsi:type="dcterms:W3CDTF">2026-05-12T10:09:00.0000000Z</dcterms:modified>
  <version/>
  <category/>
</coreProperties>
</file>