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C2D55" w:rsidR="001C2D55" w:rsidP="001C2D55" w:rsidRDefault="00585443" w14:paraId="326729D2" w14:textId="77777777">
      <w:pPr>
        <w:ind w:left="2124" w:hanging="2124"/>
        <w:rPr>
          <w:rFonts w:ascii="Calibri" w:hAnsi="Calibri" w:cs="Calibri"/>
        </w:rPr>
      </w:pPr>
      <w:r w:rsidRPr="001C2D55">
        <w:rPr>
          <w:rFonts w:ascii="Calibri" w:hAnsi="Calibri" w:cs="Calibri"/>
        </w:rPr>
        <w:t>29502</w:t>
      </w:r>
      <w:r w:rsidRPr="001C2D55" w:rsidR="001C2D55">
        <w:rPr>
          <w:rFonts w:ascii="Calibri" w:hAnsi="Calibri" w:cs="Calibri"/>
        </w:rPr>
        <w:tab/>
        <w:t>Toekomstige ontwikkeling van de Nederlandse postsector</w:t>
      </w:r>
    </w:p>
    <w:p w:rsidRPr="001C2D55" w:rsidR="001C2D55" w:rsidP="001C2D55" w:rsidRDefault="00585443" w14:paraId="62058151" w14:textId="6327D8C0">
      <w:pPr>
        <w:ind w:left="2124" w:hanging="2121"/>
        <w:rPr>
          <w:rFonts w:ascii="Calibri" w:hAnsi="Calibri" w:cs="Calibri"/>
        </w:rPr>
      </w:pPr>
      <w:r w:rsidRPr="001C2D55">
        <w:rPr>
          <w:rFonts w:ascii="Calibri" w:hAnsi="Calibri" w:cs="Calibri"/>
        </w:rPr>
        <w:t>35423</w:t>
      </w:r>
      <w:r w:rsidRPr="001C2D55" w:rsidR="001C2D55">
        <w:rPr>
          <w:rFonts w:ascii="Calibri" w:hAnsi="Calibri" w:cs="Calibri"/>
        </w:rPr>
        <w:tab/>
        <w:t>Wijziging van de Postwet 2009 in verband met de wijziging van de toegangsregulering van postvervoerders tot een landelijk netwerk voor postaanbieding, de borging van de continuïteit van de universele postdienst, de flexibilisering van de eisen aan de universele postdienst en de bescherming van de arbeidspositie van postbezorgers</w:t>
      </w:r>
    </w:p>
    <w:p w:rsidRPr="001C2D55" w:rsidR="001C2D55" w:rsidP="001C2D55" w:rsidRDefault="001C2D55" w14:paraId="634A7C39" w14:textId="0A929A6D">
      <w:pPr>
        <w:ind w:left="2124" w:hanging="2124"/>
        <w:rPr>
          <w:rFonts w:ascii="Calibri" w:hAnsi="Calibri" w:cs="Calibri"/>
          <w:color w:val="000000"/>
        </w:rPr>
      </w:pPr>
      <w:r w:rsidRPr="001C2D55">
        <w:rPr>
          <w:rFonts w:ascii="Calibri" w:hAnsi="Calibri" w:cs="Calibri"/>
        </w:rPr>
        <w:t xml:space="preserve">Nr. </w:t>
      </w:r>
      <w:r w:rsidRPr="001C2D55">
        <w:rPr>
          <w:rFonts w:ascii="Calibri" w:hAnsi="Calibri" w:cs="Calibri"/>
        </w:rPr>
        <w:t>209</w:t>
      </w:r>
      <w:r w:rsidRPr="001C2D55">
        <w:rPr>
          <w:rFonts w:ascii="Calibri" w:hAnsi="Calibri" w:cs="Calibri"/>
        </w:rPr>
        <w:tab/>
        <w:t>Brief van de minister van Economische Zaken en Klimaat</w:t>
      </w:r>
    </w:p>
    <w:p w:rsidRPr="001C2D55" w:rsidR="001C2D55" w:rsidP="001C2D55" w:rsidRDefault="001C2D55" w14:paraId="54F5BCFF" w14:textId="77777777">
      <w:pPr>
        <w:ind w:left="2124" w:hanging="2124"/>
        <w:rPr>
          <w:rFonts w:ascii="Calibri" w:hAnsi="Calibri" w:cs="Calibri"/>
        </w:rPr>
      </w:pPr>
      <w:r w:rsidRPr="001C2D55">
        <w:rPr>
          <w:rFonts w:ascii="Calibri" w:hAnsi="Calibri" w:cs="Calibri"/>
        </w:rPr>
        <w:t>Aan de Voorzitter van de Tweede Kamer der Staten-Generaal</w:t>
      </w:r>
    </w:p>
    <w:p w:rsidRPr="001C2D55" w:rsidR="00585443" w:rsidP="001C2D55" w:rsidRDefault="001C2D55" w14:paraId="4AE00D24" w14:textId="77CE5CCE">
      <w:pPr>
        <w:ind w:left="2124" w:hanging="2124"/>
        <w:rPr>
          <w:rFonts w:ascii="Calibri" w:hAnsi="Calibri" w:cs="Calibri"/>
        </w:rPr>
      </w:pPr>
      <w:r w:rsidRPr="001C2D55">
        <w:rPr>
          <w:rFonts w:ascii="Calibri" w:hAnsi="Calibri" w:cs="Calibri"/>
        </w:rPr>
        <w:t>Den Haag, 11 mei 2026</w:t>
      </w:r>
      <w:r w:rsidRPr="001C2D55" w:rsidR="00585443">
        <w:rPr>
          <w:rFonts w:ascii="Calibri" w:hAnsi="Calibri" w:cs="Calibri"/>
        </w:rPr>
        <w:br/>
      </w:r>
    </w:p>
    <w:p w:rsidRPr="001C2D55" w:rsidR="002D4D74" w:rsidP="002D4D74" w:rsidRDefault="002D4D74" w14:paraId="4CB5CCC5" w14:textId="1064EB7B">
      <w:pPr>
        <w:rPr>
          <w:rFonts w:ascii="Calibri" w:hAnsi="Calibri" w:cs="Calibri"/>
        </w:rPr>
      </w:pPr>
      <w:r w:rsidRPr="001C2D55">
        <w:rPr>
          <w:rFonts w:ascii="Calibri" w:hAnsi="Calibri" w:cs="Calibri"/>
        </w:rPr>
        <w:t>In de nota naar aanleiding van het nader verslag inzake het wetsvoorstel tot wijziging van de Postwet 2009</w:t>
      </w:r>
      <w:r w:rsidRPr="001C2D55">
        <w:rPr>
          <w:rStyle w:val="Voetnootmarkering"/>
          <w:rFonts w:ascii="Calibri" w:hAnsi="Calibri" w:cs="Calibri"/>
        </w:rPr>
        <w:footnoteReference w:id="1"/>
      </w:r>
      <w:r w:rsidRPr="001C2D55">
        <w:rPr>
          <w:rFonts w:ascii="Calibri" w:hAnsi="Calibri" w:cs="Calibri"/>
        </w:rPr>
        <w:t xml:space="preserve"> van 10 februari jl. heeft mijn ambtsvoorganger aangekondigd om duidelijkheid te geven over de samenloop van toegang tot het landelijke postnetwerk in het voorstel tot wijziging van de Postwet en het mededingingsonderzoek van de Autoriteit Consument en Markt (ACM) naar PostNL. In deze brief geef ik die duidelijkheid met een voorstel om een toegangsverplichting op te nemen in de Postwet, in lijn met de moties van uw Kamer en rekening houdend met het mededingingsonderzoek. </w:t>
      </w:r>
    </w:p>
    <w:p w:rsidRPr="001C2D55" w:rsidR="002D4D74" w:rsidP="002D4D74" w:rsidRDefault="002D4D74" w14:paraId="6B4FE6CD" w14:textId="77777777">
      <w:pPr>
        <w:rPr>
          <w:rFonts w:ascii="Calibri" w:hAnsi="Calibri" w:cs="Calibri"/>
          <w:i/>
          <w:iCs/>
        </w:rPr>
      </w:pPr>
      <w:r w:rsidRPr="001C2D55">
        <w:rPr>
          <w:rFonts w:ascii="Calibri" w:hAnsi="Calibri" w:cs="Calibri"/>
          <w:i/>
          <w:iCs/>
        </w:rPr>
        <w:t>Mededingingsonderzoek ACM</w:t>
      </w:r>
    </w:p>
    <w:p w:rsidRPr="001C2D55" w:rsidR="002D4D74" w:rsidP="002D4D74" w:rsidRDefault="002D4D74" w14:paraId="7356465F" w14:textId="77777777">
      <w:pPr>
        <w:rPr>
          <w:rFonts w:ascii="Calibri" w:hAnsi="Calibri" w:cs="Calibri"/>
        </w:rPr>
      </w:pPr>
      <w:r w:rsidRPr="001C2D55">
        <w:rPr>
          <w:rFonts w:ascii="Calibri" w:hAnsi="Calibri" w:cs="Calibri"/>
        </w:rPr>
        <w:t>Op 2 december 2025 heeft het College van Beroep voor het bedrijfsleven (</w:t>
      </w:r>
      <w:proofErr w:type="spellStart"/>
      <w:r w:rsidRPr="001C2D55">
        <w:rPr>
          <w:rFonts w:ascii="Calibri" w:hAnsi="Calibri" w:cs="Calibri"/>
        </w:rPr>
        <w:t>CBb</w:t>
      </w:r>
      <w:proofErr w:type="spellEnd"/>
      <w:r w:rsidRPr="001C2D55">
        <w:rPr>
          <w:rFonts w:ascii="Calibri" w:hAnsi="Calibri" w:cs="Calibri"/>
        </w:rPr>
        <w:t>) geoordeeld</w:t>
      </w:r>
      <w:r w:rsidRPr="001C2D55">
        <w:rPr>
          <w:rStyle w:val="Voetnootmarkering"/>
          <w:rFonts w:ascii="Calibri" w:hAnsi="Calibri" w:cs="Calibri"/>
        </w:rPr>
        <w:footnoteReference w:id="2"/>
      </w:r>
      <w:r w:rsidRPr="001C2D55">
        <w:rPr>
          <w:rFonts w:ascii="Calibri" w:hAnsi="Calibri" w:cs="Calibri"/>
        </w:rPr>
        <w:t xml:space="preserve"> dat de ACM, gezien de feiten en omstandigheden op het moment van het besluit, terecht heeft besloten om geen vergunning te verlenen voor de overname van </w:t>
      </w:r>
      <w:proofErr w:type="spellStart"/>
      <w:r w:rsidRPr="001C2D55">
        <w:rPr>
          <w:rFonts w:ascii="Calibri" w:hAnsi="Calibri" w:cs="Calibri"/>
        </w:rPr>
        <w:t>Sandd</w:t>
      </w:r>
      <w:proofErr w:type="spellEnd"/>
      <w:r w:rsidRPr="001C2D55">
        <w:rPr>
          <w:rFonts w:ascii="Calibri" w:hAnsi="Calibri" w:cs="Calibri"/>
        </w:rPr>
        <w:t xml:space="preserve"> door PostNL. Het </w:t>
      </w:r>
      <w:proofErr w:type="spellStart"/>
      <w:r w:rsidRPr="001C2D55">
        <w:rPr>
          <w:rFonts w:ascii="Calibri" w:hAnsi="Calibri" w:cs="Calibri"/>
        </w:rPr>
        <w:t>CBb</w:t>
      </w:r>
      <w:proofErr w:type="spellEnd"/>
      <w:r w:rsidRPr="001C2D55">
        <w:rPr>
          <w:rFonts w:ascii="Calibri" w:hAnsi="Calibri" w:cs="Calibri"/>
        </w:rPr>
        <w:t xml:space="preserve"> heeft in haar uitspraak niet bepaald wat de gevolgen zijn van dit oordeel. De ACM heeft naar aanleiding van de uitspraak van het </w:t>
      </w:r>
      <w:proofErr w:type="spellStart"/>
      <w:r w:rsidRPr="001C2D55">
        <w:rPr>
          <w:rFonts w:ascii="Calibri" w:hAnsi="Calibri" w:cs="Calibri"/>
        </w:rPr>
        <w:t>CBb</w:t>
      </w:r>
      <w:proofErr w:type="spellEnd"/>
      <w:r w:rsidRPr="001C2D55">
        <w:rPr>
          <w:rFonts w:ascii="Calibri" w:hAnsi="Calibri" w:cs="Calibri"/>
        </w:rPr>
        <w:t xml:space="preserve"> gesprekken gevoerd met betrokken partijen zoals PostNL, andere postvervoerders en gebruikers. De ACM is medio februari een onderzoek gestart naar PostNL op grond van de Mededingingswet. Als de ACM op basis van dit onderzoek oordeelt dat er sprake is van strijdigheid met de mededingingsregels, dan kan zij passende maatregelen opleggen aan PostNL ten behoeve van het herstel van de postmarkt. Het is aan de ACM om, binnen haar wettelijke bevoegdheden, te beoordelen of en welke maatregelen daarbij aangewezen zijn. Het kabinet heeft daarbij geen rol. </w:t>
      </w:r>
    </w:p>
    <w:p w:rsidRPr="001C2D55" w:rsidR="002D4D74" w:rsidP="002D4D74" w:rsidRDefault="002D4D74" w14:paraId="79BBFC16" w14:textId="77777777">
      <w:pPr>
        <w:rPr>
          <w:rFonts w:ascii="Calibri" w:hAnsi="Calibri" w:cs="Calibri"/>
        </w:rPr>
      </w:pPr>
      <w:r w:rsidRPr="001C2D55">
        <w:rPr>
          <w:rFonts w:ascii="Calibri" w:hAnsi="Calibri" w:cs="Calibri"/>
        </w:rPr>
        <w:t xml:space="preserve">Eventuele maatregelen die de ACM op basis van haar onderzoek op een later moment kan opleggen, zullen in dat geval hoogstwaarschijnlijk van invloed zijn op </w:t>
      </w:r>
      <w:r w:rsidRPr="001C2D55">
        <w:rPr>
          <w:rFonts w:ascii="Calibri" w:hAnsi="Calibri" w:cs="Calibri"/>
        </w:rPr>
        <w:lastRenderedPageBreak/>
        <w:t>de toegang tot het landelijke postnetwerk van PostNL en daarmee relevant zijn voor de vormgeving van de toegangsverplichting in de Postwet.</w:t>
      </w:r>
    </w:p>
    <w:p w:rsidRPr="001C2D55" w:rsidR="002D4D74" w:rsidP="002D4D74" w:rsidRDefault="002D4D74" w14:paraId="5F124ADA" w14:textId="77777777">
      <w:pPr>
        <w:rPr>
          <w:rFonts w:ascii="Calibri" w:hAnsi="Calibri" w:cs="Calibri"/>
          <w:i/>
          <w:iCs/>
        </w:rPr>
      </w:pPr>
      <w:r w:rsidRPr="001C2D55">
        <w:rPr>
          <w:rFonts w:ascii="Calibri" w:hAnsi="Calibri" w:cs="Calibri"/>
          <w:i/>
          <w:iCs/>
        </w:rPr>
        <w:t>Samenloop tussen mededingingsonderzoek en uitwerking van Kamermoties</w:t>
      </w:r>
    </w:p>
    <w:p w:rsidRPr="001C2D55" w:rsidR="002D4D74" w:rsidP="002D4D74" w:rsidRDefault="002D4D74" w14:paraId="5BCE6C94" w14:textId="77777777">
      <w:pPr>
        <w:rPr>
          <w:rFonts w:ascii="Calibri" w:hAnsi="Calibri" w:cs="Calibri"/>
        </w:rPr>
      </w:pPr>
      <w:r w:rsidRPr="001C2D55">
        <w:rPr>
          <w:rFonts w:ascii="Calibri" w:hAnsi="Calibri" w:cs="Calibri"/>
        </w:rPr>
        <w:t>Doordat toegang onderdeel is van dit mededingingsonderzoek is sprake van samenloop met de uitwerking van de Kamermoties over toegang. Ten aanzien van toegang zijn meerdere Kamermoties aangenomen die oproepen tot het borgen van effectieve toegang met een grotere rol voor ACM. Het gaat om de moties van de leden Vermeer en Kisteman</w:t>
      </w:r>
      <w:r w:rsidRPr="001C2D55">
        <w:rPr>
          <w:rStyle w:val="Voetnootmarkering"/>
          <w:rFonts w:ascii="Calibri" w:hAnsi="Calibri" w:cs="Calibri"/>
        </w:rPr>
        <w:footnoteReference w:id="3"/>
      </w:r>
      <w:r w:rsidRPr="001C2D55">
        <w:rPr>
          <w:rFonts w:ascii="Calibri" w:hAnsi="Calibri" w:cs="Calibri"/>
        </w:rPr>
        <w:t>, van het lid Thijssen</w:t>
      </w:r>
      <w:r w:rsidRPr="001C2D55">
        <w:rPr>
          <w:rStyle w:val="Voetnootmarkering"/>
          <w:rFonts w:ascii="Calibri" w:hAnsi="Calibri" w:cs="Calibri"/>
        </w:rPr>
        <w:footnoteReference w:id="4"/>
      </w:r>
      <w:r w:rsidRPr="001C2D55">
        <w:rPr>
          <w:rFonts w:ascii="Calibri" w:hAnsi="Calibri" w:cs="Calibri"/>
        </w:rPr>
        <w:t xml:space="preserve"> en Kisteman c.s.</w:t>
      </w:r>
      <w:r w:rsidRPr="001C2D55">
        <w:rPr>
          <w:rStyle w:val="Voetnootmarkering"/>
          <w:rFonts w:ascii="Calibri" w:hAnsi="Calibri" w:cs="Calibri"/>
        </w:rPr>
        <w:footnoteReference w:id="5"/>
      </w:r>
      <w:r w:rsidRPr="001C2D55">
        <w:rPr>
          <w:rFonts w:ascii="Calibri" w:hAnsi="Calibri" w:cs="Calibri"/>
        </w:rPr>
        <w:t xml:space="preserve">. Deze moties onderstrepen het belang dat uw Kamer hecht aan het voorkomen dat regionale postvervoerders door een gebrek aan toegang oneigenlijk uit de markt kunnen verdwijnen, mede omdat zij ook in de toekomstige brede bezorgmarkt van waarde kunnen zijn. </w:t>
      </w:r>
    </w:p>
    <w:p w:rsidRPr="001C2D55" w:rsidR="002D4D74" w:rsidP="002D4D74" w:rsidRDefault="002D4D74" w14:paraId="3A06B3DA" w14:textId="77777777">
      <w:pPr>
        <w:rPr>
          <w:rFonts w:ascii="Calibri" w:hAnsi="Calibri" w:cs="Calibri"/>
        </w:rPr>
      </w:pPr>
      <w:r w:rsidRPr="001C2D55">
        <w:rPr>
          <w:rFonts w:ascii="Calibri" w:hAnsi="Calibri" w:cs="Calibri"/>
        </w:rPr>
        <w:t xml:space="preserve">In de afgelopen periode is gewerkt aan de invulling van toegang in lijn met de moties, waarbij ook de ACM is geraadpleegd. Ik onderken, net als de ACM, dat de UPD-verlener als enige beschikt over een landelijk netwerk, dat een tweede landelijk netwerk niet levensvatbaar is en dat regionale postvervoerders in belangrijke mate afhankelijk zijn van toegang tot het netwerk van PostNL, zolang er nog geen brede bezorgmarkt is. Ik hecht daarom belang aan het behoud van de toegang tot het landelijk postnetwerk voor regionale postbedrijven. Ook de ACM acht het van belang dat partijen die toegang nodig hebben, zekerheid krijgen over de voorwaarden voor toegang. De ACM heeft er in haar onderzoek van vorig jaar op gewezen dat toegang ook gunstig kan zijn voor concurrentie op postdienstverlening.  </w:t>
      </w:r>
    </w:p>
    <w:p w:rsidRPr="001C2D55" w:rsidR="002D4D74" w:rsidP="002D4D74" w:rsidRDefault="002D4D74" w14:paraId="47694D5A" w14:textId="77777777">
      <w:pPr>
        <w:rPr>
          <w:rFonts w:ascii="Calibri" w:hAnsi="Calibri" w:cs="Calibri"/>
        </w:rPr>
      </w:pPr>
      <w:r w:rsidRPr="001C2D55">
        <w:rPr>
          <w:rFonts w:ascii="Calibri" w:hAnsi="Calibri" w:cs="Calibri"/>
        </w:rPr>
        <w:t xml:space="preserve">Het mededingingsonderzoek van de ACM biedt bij voorbaat binnen afzienbare termijn geen zekerheid voor behoud van toegang omdat de uitkomst van dit onderzoek onzeker is en tijd kost en omdat eventuele maatregelen voor toegang op basis van de Mededingingswet per definitie tijdelijk zijn. Afwachten tot de afronding van het mededingingsonderzoek is onwenselijk omdat in dat geval de situatie kan ontstaan dat op korte termijn helemaal geen of slechts tijdelijk invulling wordt gegeven aan de Kamermoties. Daarbij speelt mee dat de contractuele afspraken over toegang, die regionale postvervoerders en PostNL onderling hebben gemaakt, in het najaar van 2027 zullen aflopen. Wanneer deze contracten aflopen, staat het PostNL in beginsel vrij om het gebruik van het landelijke netwerk onder eigen voorwaarden aan te bieden. Tegelijkertijd zou het onverstandig zijn om toegang nu al gedetailleerd uit te werken in de Postwet terwijl niet vaststaat wat de uitkomst van het mededingingstraject wordt voor toegang. </w:t>
      </w:r>
    </w:p>
    <w:p w:rsidRPr="001C2D55" w:rsidR="001C2D55" w:rsidRDefault="001C2D55" w14:paraId="455CC4A3" w14:textId="77777777">
      <w:pPr>
        <w:rPr>
          <w:rFonts w:ascii="Calibri" w:hAnsi="Calibri" w:cs="Calibri"/>
          <w:i/>
          <w:iCs/>
        </w:rPr>
      </w:pPr>
      <w:r w:rsidRPr="001C2D55">
        <w:rPr>
          <w:rFonts w:ascii="Calibri" w:hAnsi="Calibri" w:cs="Calibri"/>
          <w:i/>
          <w:iCs/>
        </w:rPr>
        <w:br w:type="page"/>
      </w:r>
    </w:p>
    <w:p w:rsidRPr="001C2D55" w:rsidR="002D4D74" w:rsidP="002D4D74" w:rsidRDefault="002D4D74" w14:paraId="1E5EF38F" w14:textId="3B36EE32">
      <w:pPr>
        <w:rPr>
          <w:rFonts w:ascii="Calibri" w:hAnsi="Calibri" w:cs="Calibri"/>
          <w:i/>
          <w:iCs/>
        </w:rPr>
      </w:pPr>
      <w:r w:rsidRPr="001C2D55">
        <w:rPr>
          <w:rFonts w:ascii="Calibri" w:hAnsi="Calibri" w:cs="Calibri"/>
          <w:i/>
          <w:iCs/>
        </w:rPr>
        <w:t>Voorgestelde uitwerking voor toegang in de Postwet</w:t>
      </w:r>
    </w:p>
    <w:p w:rsidRPr="001C2D55" w:rsidR="002D4D74" w:rsidP="002D4D74" w:rsidRDefault="002D4D74" w14:paraId="3BB26474" w14:textId="77777777">
      <w:pPr>
        <w:rPr>
          <w:rFonts w:ascii="Calibri" w:hAnsi="Calibri" w:cs="Calibri"/>
        </w:rPr>
      </w:pPr>
      <w:r w:rsidRPr="001C2D55">
        <w:rPr>
          <w:rFonts w:ascii="Calibri" w:hAnsi="Calibri" w:cs="Calibri"/>
        </w:rPr>
        <w:t xml:space="preserve">Om uit dit dilemma te komen stel ik het volgende voor om invulling te geven aan de moties over de borging van toegang. Mijn voorstel is om een bepaling op te nemen in de Postwet die PostNL, als de verlener van de UPD, verplicht stelt om partijen toegang te geven tot haar landelijk postnetwerk waarbij de ACM verantwoordelijk wordt voor de nadere invulling daarvan. Het is essentieel dat de invulling van toegang zorgvuldig en op een onpartijdige manier plaatsvindt. De ACM is hiervoor als onafhankelijk toezichthouder op de postmarkt de aangewezen partij. </w:t>
      </w:r>
    </w:p>
    <w:p w:rsidRPr="001C2D55" w:rsidR="002D4D74" w:rsidP="002D4D74" w:rsidRDefault="002D4D74" w14:paraId="6148D2FB" w14:textId="5CFA2825">
      <w:pPr>
        <w:rPr>
          <w:rFonts w:ascii="Calibri" w:hAnsi="Calibri" w:cs="Calibri"/>
        </w:rPr>
      </w:pPr>
      <w:r w:rsidRPr="001C2D55">
        <w:rPr>
          <w:rFonts w:ascii="Calibri" w:hAnsi="Calibri" w:cs="Calibri"/>
        </w:rPr>
        <w:t xml:space="preserve">Mijn voornemen is om te regelen dat de ACM de bevoegdheid krijgt om onderstaande punten vast te stellen. De nadere uitwerking hiervan zal in overleg met de ACM plaatsvinden. </w:t>
      </w:r>
    </w:p>
    <w:p w:rsidRPr="001C2D55" w:rsidR="002D4D74" w:rsidP="002D4D74" w:rsidRDefault="002D4D74" w14:paraId="41D2D421" w14:textId="77777777">
      <w:pPr>
        <w:pStyle w:val="Lijstalinea"/>
        <w:numPr>
          <w:ilvl w:val="0"/>
          <w:numId w:val="1"/>
        </w:numPr>
        <w:spacing w:after="0" w:line="240" w:lineRule="atLeast"/>
        <w:rPr>
          <w:rFonts w:ascii="Calibri" w:hAnsi="Calibri" w:cs="Calibri"/>
        </w:rPr>
      </w:pPr>
      <w:r w:rsidRPr="001C2D55">
        <w:rPr>
          <w:rFonts w:ascii="Calibri" w:hAnsi="Calibri" w:cs="Calibri"/>
        </w:rPr>
        <w:t xml:space="preserve">vormen van toegang (niet-tarief gerelateerde toegangsvoorwaarden om te waarborgen dat toegang effectief en onder redelijke voorwaarden wordt verleend en om misbruik van de regeling te voorkomen); </w:t>
      </w:r>
    </w:p>
    <w:p w:rsidRPr="001C2D55" w:rsidR="002D4D74" w:rsidP="002D4D74" w:rsidRDefault="002D4D74" w14:paraId="5020D3DF" w14:textId="77777777">
      <w:pPr>
        <w:pStyle w:val="Lijstalinea"/>
        <w:numPr>
          <w:ilvl w:val="0"/>
          <w:numId w:val="1"/>
        </w:numPr>
        <w:spacing w:after="0" w:line="240" w:lineRule="atLeast"/>
        <w:rPr>
          <w:rFonts w:ascii="Calibri" w:hAnsi="Calibri" w:cs="Calibri"/>
        </w:rPr>
      </w:pPr>
      <w:r w:rsidRPr="001C2D55">
        <w:rPr>
          <w:rFonts w:ascii="Calibri" w:hAnsi="Calibri" w:cs="Calibri"/>
        </w:rPr>
        <w:t xml:space="preserve">de methode voor de bepaling van toegangstarieven en de (maximum) hoogte ervan; </w:t>
      </w:r>
    </w:p>
    <w:p w:rsidRPr="001C2D55" w:rsidR="002D4D74" w:rsidP="002D4D74" w:rsidRDefault="002D4D74" w14:paraId="166D02B5" w14:textId="77777777">
      <w:pPr>
        <w:pStyle w:val="Lijstalinea"/>
        <w:numPr>
          <w:ilvl w:val="0"/>
          <w:numId w:val="1"/>
        </w:numPr>
        <w:spacing w:after="0" w:line="240" w:lineRule="atLeast"/>
        <w:rPr>
          <w:rFonts w:ascii="Calibri" w:hAnsi="Calibri" w:cs="Calibri"/>
        </w:rPr>
      </w:pPr>
      <w:r w:rsidRPr="001C2D55">
        <w:rPr>
          <w:rFonts w:ascii="Calibri" w:hAnsi="Calibri" w:cs="Calibri"/>
        </w:rPr>
        <w:t xml:space="preserve">aanvullende verplichtingen die nodig zijn om het tarief vast te stellen (zoals een aanvullend kostentoerekeningsysteem); </w:t>
      </w:r>
    </w:p>
    <w:p w:rsidRPr="001C2D55" w:rsidR="002D4D74" w:rsidP="002D4D74" w:rsidRDefault="002D4D74" w14:paraId="6F0D946C" w14:textId="77777777">
      <w:pPr>
        <w:pStyle w:val="Lijstalinea"/>
        <w:numPr>
          <w:ilvl w:val="0"/>
          <w:numId w:val="1"/>
        </w:numPr>
        <w:spacing w:after="0" w:line="240" w:lineRule="atLeast"/>
        <w:rPr>
          <w:rFonts w:ascii="Calibri" w:hAnsi="Calibri" w:cs="Calibri"/>
        </w:rPr>
      </w:pPr>
      <w:r w:rsidRPr="001C2D55">
        <w:rPr>
          <w:rFonts w:ascii="Calibri" w:hAnsi="Calibri" w:cs="Calibri"/>
        </w:rPr>
        <w:t xml:space="preserve">bevoegdheden om van PostNL de informatie te krijgen die specifiek nodig is om uitvoering te geven aan de toegangsregeling. </w:t>
      </w:r>
    </w:p>
    <w:p w:rsidRPr="001C2D55" w:rsidR="002D4D74" w:rsidP="002D4D74" w:rsidRDefault="002D4D74" w14:paraId="7703D5B0" w14:textId="77777777">
      <w:pPr>
        <w:rPr>
          <w:rFonts w:ascii="Calibri" w:hAnsi="Calibri" w:cs="Calibri"/>
        </w:rPr>
      </w:pPr>
    </w:p>
    <w:p w:rsidRPr="001C2D55" w:rsidR="002D4D74" w:rsidP="002D4D74" w:rsidRDefault="002D4D74" w14:paraId="6929B4D9" w14:textId="77777777">
      <w:pPr>
        <w:rPr>
          <w:rFonts w:ascii="Calibri" w:hAnsi="Calibri" w:cs="Calibri"/>
          <w:i/>
          <w:iCs/>
        </w:rPr>
      </w:pPr>
      <w:r w:rsidRPr="001C2D55">
        <w:rPr>
          <w:rFonts w:ascii="Calibri" w:hAnsi="Calibri" w:cs="Calibri"/>
          <w:i/>
          <w:iCs/>
        </w:rPr>
        <w:t>Voorgesteld vervolgproces</w:t>
      </w:r>
    </w:p>
    <w:p w:rsidRPr="001C2D55" w:rsidR="002D4D74" w:rsidP="002D4D74" w:rsidRDefault="002D4D74" w14:paraId="000BE90A" w14:textId="77777777">
      <w:pPr>
        <w:rPr>
          <w:rFonts w:ascii="Calibri" w:hAnsi="Calibri" w:cs="Calibri"/>
          <w:i/>
          <w:iCs/>
        </w:rPr>
      </w:pPr>
      <w:r w:rsidRPr="001C2D55">
        <w:rPr>
          <w:rFonts w:ascii="Calibri" w:hAnsi="Calibri" w:cs="Calibri"/>
        </w:rPr>
        <w:t>Mijn voornemen is om bovenstaand voorstel voor toegang uit te werken. Mijn streven is om uw Kamer voor het zomerreces</w:t>
      </w:r>
      <w:r w:rsidRPr="001C2D55">
        <w:rPr>
          <w:rFonts w:ascii="Calibri" w:hAnsi="Calibri" w:cs="Calibri"/>
          <w:i/>
          <w:iCs/>
        </w:rPr>
        <w:t xml:space="preserve"> </w:t>
      </w:r>
      <w:r w:rsidRPr="001C2D55">
        <w:rPr>
          <w:rFonts w:ascii="Calibri" w:hAnsi="Calibri" w:cs="Calibri"/>
        </w:rPr>
        <w:t>de uitwerking hiervan toe te sturen, dit zal vervolgens worden uitgewerkt in een tweede nota van wijziging die ik uw Kamer zo snel mogelijk daarna zal toesturen. Verder zal ik uw Kamer, conform haar eerdere verzoek, voor de zomer informeren over de routekaart voor de toekomst van de postmarkt.</w:t>
      </w:r>
    </w:p>
    <w:p w:rsidRPr="001C2D55" w:rsidR="002D4D74" w:rsidP="002D4D74" w:rsidRDefault="002D4D74" w14:paraId="34F129F1" w14:textId="77777777">
      <w:pPr>
        <w:rPr>
          <w:rFonts w:ascii="Calibri" w:hAnsi="Calibri" w:cs="Calibri"/>
        </w:rPr>
      </w:pPr>
      <w:r w:rsidRPr="001C2D55">
        <w:rPr>
          <w:rFonts w:ascii="Calibri" w:hAnsi="Calibri" w:cs="Calibri"/>
        </w:rPr>
        <w:t xml:space="preserve">Daarna hoop ik op korte termijn het gesprek met uw Kamer over het wetsvoorstel tot wijziging van de Postwet 2009 te kunnen voeren. Daarmee kan een inhoudelijk debat plaatsvinden over de benodigde regulering van de postmarkt. Ik vind het belangrijk dat de politieke besluitvorming die nodig is om duidelijkheid te verkrijgen over de voorgestelde wijziging van de Postwet 2009 spoedig plaatsvindt. De voorgestelde wijziging is voor alle betrokken partijen van groot belang omdat deze onder meer zorgt voor de nodige flexibiliteit om soepel op toekomstige ontwikkelingen te kunnen inspelen. </w:t>
      </w:r>
    </w:p>
    <w:p w:rsidRPr="001C2D55" w:rsidR="002D4D74" w:rsidP="002D4D74" w:rsidRDefault="002D4D74" w14:paraId="22E2DE6A" w14:textId="77777777">
      <w:pPr>
        <w:rPr>
          <w:rFonts w:ascii="Calibri" w:hAnsi="Calibri" w:cs="Calibri"/>
        </w:rPr>
      </w:pPr>
    </w:p>
    <w:p w:rsidRPr="001C2D55" w:rsidR="002D4D74" w:rsidP="001C2D55" w:rsidRDefault="001C2D55" w14:paraId="1235D1ED" w14:textId="46885AE6">
      <w:pPr>
        <w:pStyle w:val="Geenafstand"/>
        <w:rPr>
          <w:rFonts w:ascii="Calibri" w:hAnsi="Calibri" w:cs="Calibri"/>
        </w:rPr>
      </w:pPr>
      <w:r w:rsidRPr="001C2D55">
        <w:rPr>
          <w:rFonts w:ascii="Calibri" w:hAnsi="Calibri" w:cs="Calibri"/>
        </w:rPr>
        <w:t>De m</w:t>
      </w:r>
      <w:r w:rsidRPr="001C2D55" w:rsidR="002D4D74">
        <w:rPr>
          <w:rFonts w:ascii="Calibri" w:hAnsi="Calibri" w:cs="Calibri"/>
        </w:rPr>
        <w:t>inister van Economische Zaken en Klimaat</w:t>
      </w:r>
      <w:r w:rsidRPr="001C2D55">
        <w:rPr>
          <w:rFonts w:ascii="Calibri" w:hAnsi="Calibri" w:cs="Calibri"/>
        </w:rPr>
        <w:t>,</w:t>
      </w:r>
    </w:p>
    <w:p w:rsidRPr="001C2D55" w:rsidR="001C2D55" w:rsidP="001C2D55" w:rsidRDefault="001C2D55" w14:paraId="3C01B5B3" w14:textId="20B8D9CB">
      <w:pPr>
        <w:pStyle w:val="Geenafstand"/>
        <w:rPr>
          <w:rFonts w:ascii="Calibri" w:hAnsi="Calibri" w:cs="Calibri"/>
        </w:rPr>
      </w:pPr>
      <w:r>
        <w:rPr>
          <w:rFonts w:ascii="Calibri" w:hAnsi="Calibri" w:cs="Calibri"/>
        </w:rPr>
        <w:t xml:space="preserve">H.G. </w:t>
      </w:r>
      <w:r w:rsidRPr="001C2D55">
        <w:rPr>
          <w:rFonts w:ascii="Calibri" w:hAnsi="Calibri" w:cs="Calibri"/>
        </w:rPr>
        <w:t>Herbert</w:t>
      </w:r>
    </w:p>
    <w:p w:rsidRPr="001C2D55" w:rsidR="001C2D55" w:rsidP="002D4D74" w:rsidRDefault="001C2D55" w14:paraId="33180843" w14:textId="77777777">
      <w:pPr>
        <w:rPr>
          <w:rFonts w:ascii="Calibri" w:hAnsi="Calibri" w:cs="Calibri"/>
        </w:rPr>
      </w:pPr>
    </w:p>
    <w:p w:rsidRPr="001C2D55" w:rsidR="00FE0FA3" w:rsidRDefault="00FE0FA3" w14:paraId="35C32E51" w14:textId="77777777">
      <w:pPr>
        <w:rPr>
          <w:rFonts w:ascii="Calibri" w:hAnsi="Calibri" w:cs="Calibri"/>
        </w:rPr>
      </w:pPr>
    </w:p>
    <w:sectPr w:rsidRPr="001C2D55" w:rsidR="00FE0FA3" w:rsidSect="002D4D74">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BF2E4" w14:textId="77777777" w:rsidR="00A96D47" w:rsidRDefault="00A96D47" w:rsidP="002D4D74">
      <w:pPr>
        <w:spacing w:after="0" w:line="240" w:lineRule="auto"/>
      </w:pPr>
      <w:r>
        <w:separator/>
      </w:r>
    </w:p>
  </w:endnote>
  <w:endnote w:type="continuationSeparator" w:id="0">
    <w:p w14:paraId="0E5A8125" w14:textId="77777777" w:rsidR="00A96D47" w:rsidRDefault="00A96D47" w:rsidP="002D4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56252" w14:textId="77777777" w:rsidR="002D4D74" w:rsidRPr="002D4D74" w:rsidRDefault="002D4D74" w:rsidP="002D4D7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9B0E4" w14:textId="77777777" w:rsidR="002D4D74" w:rsidRPr="002D4D74" w:rsidRDefault="002D4D74" w:rsidP="002D4D7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4D6C7" w14:textId="77777777" w:rsidR="002D4D74" w:rsidRPr="002D4D74" w:rsidRDefault="002D4D74" w:rsidP="002D4D7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F3DE5" w14:textId="77777777" w:rsidR="00A96D47" w:rsidRDefault="00A96D47" w:rsidP="002D4D74">
      <w:pPr>
        <w:spacing w:after="0" w:line="240" w:lineRule="auto"/>
      </w:pPr>
      <w:r>
        <w:separator/>
      </w:r>
    </w:p>
  </w:footnote>
  <w:footnote w:type="continuationSeparator" w:id="0">
    <w:p w14:paraId="189A2508" w14:textId="77777777" w:rsidR="00A96D47" w:rsidRDefault="00A96D47" w:rsidP="002D4D74">
      <w:pPr>
        <w:spacing w:after="0" w:line="240" w:lineRule="auto"/>
      </w:pPr>
      <w:r>
        <w:continuationSeparator/>
      </w:r>
    </w:p>
  </w:footnote>
  <w:footnote w:id="1">
    <w:p w14:paraId="6F7D10A4" w14:textId="77777777" w:rsidR="002D4D74" w:rsidRPr="001C2D55" w:rsidRDefault="002D4D74" w:rsidP="001C2D55">
      <w:pPr>
        <w:pStyle w:val="Geenafstand"/>
        <w:rPr>
          <w:rFonts w:ascii="Calibri" w:hAnsi="Calibri" w:cs="Calibri"/>
          <w:sz w:val="20"/>
          <w:szCs w:val="20"/>
        </w:rPr>
      </w:pPr>
      <w:r w:rsidRPr="001C2D55">
        <w:rPr>
          <w:rStyle w:val="Voetnootmarkering"/>
          <w:rFonts w:ascii="Calibri" w:hAnsi="Calibri" w:cs="Calibri"/>
          <w:sz w:val="20"/>
          <w:szCs w:val="20"/>
        </w:rPr>
        <w:footnoteRef/>
      </w:r>
      <w:r w:rsidRPr="001C2D55">
        <w:rPr>
          <w:rFonts w:ascii="Calibri" w:hAnsi="Calibri" w:cs="Calibri"/>
          <w:sz w:val="20"/>
          <w:szCs w:val="20"/>
        </w:rPr>
        <w:t xml:space="preserve"> Kamerstukken II, vergaderjaar 2025–2026, 35 423, nr. 22.</w:t>
      </w:r>
    </w:p>
  </w:footnote>
  <w:footnote w:id="2">
    <w:p w14:paraId="2BF4547F" w14:textId="77777777" w:rsidR="002D4D74" w:rsidRPr="001C2D55" w:rsidRDefault="002D4D74" w:rsidP="001C2D55">
      <w:pPr>
        <w:pStyle w:val="Geenafstand"/>
        <w:rPr>
          <w:rFonts w:ascii="Calibri" w:hAnsi="Calibri" w:cs="Calibri"/>
          <w:sz w:val="20"/>
          <w:szCs w:val="20"/>
        </w:rPr>
      </w:pPr>
      <w:r w:rsidRPr="001C2D55">
        <w:rPr>
          <w:rStyle w:val="Voetnootmarkering"/>
          <w:rFonts w:ascii="Calibri" w:hAnsi="Calibri" w:cs="Calibri"/>
          <w:sz w:val="20"/>
          <w:szCs w:val="20"/>
        </w:rPr>
        <w:footnoteRef/>
      </w:r>
      <w:r w:rsidRPr="001C2D55">
        <w:rPr>
          <w:rFonts w:ascii="Calibri" w:hAnsi="Calibri" w:cs="Calibri"/>
          <w:sz w:val="20"/>
          <w:szCs w:val="20"/>
        </w:rPr>
        <w:t xml:space="preserve"> </w:t>
      </w:r>
      <w:proofErr w:type="spellStart"/>
      <w:r w:rsidRPr="001C2D55">
        <w:rPr>
          <w:rFonts w:ascii="Calibri" w:hAnsi="Calibri" w:cs="Calibri"/>
          <w:sz w:val="20"/>
          <w:szCs w:val="20"/>
        </w:rPr>
        <w:t>CBb</w:t>
      </w:r>
      <w:proofErr w:type="spellEnd"/>
      <w:r w:rsidRPr="001C2D55">
        <w:rPr>
          <w:rFonts w:ascii="Calibri" w:hAnsi="Calibri" w:cs="Calibri"/>
          <w:sz w:val="20"/>
          <w:szCs w:val="20"/>
        </w:rPr>
        <w:t xml:space="preserve"> 2 december 2025, ECLI:NL:CBB:2025:629.</w:t>
      </w:r>
    </w:p>
    <w:p w14:paraId="575A5BC9" w14:textId="77777777" w:rsidR="002D4D74" w:rsidRPr="001C2D55" w:rsidRDefault="002D4D74" w:rsidP="001C2D55">
      <w:pPr>
        <w:pStyle w:val="Geenafstand"/>
        <w:rPr>
          <w:rFonts w:ascii="Calibri" w:hAnsi="Calibri" w:cs="Calibri"/>
          <w:sz w:val="20"/>
          <w:szCs w:val="20"/>
        </w:rPr>
      </w:pPr>
    </w:p>
  </w:footnote>
  <w:footnote w:id="3">
    <w:p w14:paraId="40800B15" w14:textId="586C9EFC" w:rsidR="002D4D74" w:rsidRPr="001C2D55" w:rsidRDefault="002D4D74" w:rsidP="001C2D55">
      <w:pPr>
        <w:pStyle w:val="Geenafstand"/>
        <w:rPr>
          <w:rFonts w:ascii="Calibri" w:hAnsi="Calibri" w:cs="Calibri"/>
          <w:sz w:val="20"/>
          <w:szCs w:val="20"/>
        </w:rPr>
      </w:pPr>
      <w:r w:rsidRPr="001C2D55">
        <w:rPr>
          <w:rStyle w:val="Voetnootmarkering"/>
          <w:rFonts w:ascii="Calibri" w:hAnsi="Calibri" w:cs="Calibri"/>
          <w:sz w:val="20"/>
          <w:szCs w:val="20"/>
        </w:rPr>
        <w:footnoteRef/>
      </w:r>
      <w:r w:rsidRPr="001C2D55">
        <w:rPr>
          <w:rFonts w:ascii="Calibri" w:hAnsi="Calibri" w:cs="Calibri"/>
          <w:sz w:val="20"/>
          <w:szCs w:val="20"/>
        </w:rPr>
        <w:t xml:space="preserve"> Kamerstukken II, 2025/26, 29502, nr. 205.</w:t>
      </w:r>
    </w:p>
  </w:footnote>
  <w:footnote w:id="4">
    <w:p w14:paraId="0B35EF09" w14:textId="2099AB76" w:rsidR="002D4D74" w:rsidRPr="001C2D55" w:rsidRDefault="002D4D74" w:rsidP="001C2D55">
      <w:pPr>
        <w:pStyle w:val="Geenafstand"/>
        <w:rPr>
          <w:rFonts w:ascii="Calibri" w:hAnsi="Calibri" w:cs="Calibri"/>
          <w:sz w:val="20"/>
          <w:szCs w:val="20"/>
        </w:rPr>
      </w:pPr>
      <w:r w:rsidRPr="001C2D55">
        <w:rPr>
          <w:rStyle w:val="Voetnootmarkering"/>
          <w:rFonts w:ascii="Calibri" w:hAnsi="Calibri" w:cs="Calibri"/>
          <w:sz w:val="20"/>
          <w:szCs w:val="20"/>
        </w:rPr>
        <w:footnoteRef/>
      </w:r>
      <w:r w:rsidRPr="001C2D55">
        <w:rPr>
          <w:rFonts w:ascii="Calibri" w:hAnsi="Calibri" w:cs="Calibri"/>
          <w:sz w:val="20"/>
          <w:szCs w:val="20"/>
        </w:rPr>
        <w:t xml:space="preserve"> Kamerstukken II, 2025/26, 29502, nr. 201.</w:t>
      </w:r>
    </w:p>
  </w:footnote>
  <w:footnote w:id="5">
    <w:p w14:paraId="2F1FEDE8" w14:textId="425380D2" w:rsidR="002D4D74" w:rsidRPr="001C2D55" w:rsidRDefault="002D4D74" w:rsidP="001C2D55">
      <w:pPr>
        <w:pStyle w:val="Geenafstand"/>
        <w:rPr>
          <w:rFonts w:ascii="Calibri" w:hAnsi="Calibri" w:cs="Calibri"/>
          <w:sz w:val="20"/>
          <w:szCs w:val="20"/>
        </w:rPr>
      </w:pPr>
      <w:r w:rsidRPr="001C2D55">
        <w:rPr>
          <w:rStyle w:val="Voetnootmarkering"/>
          <w:rFonts w:ascii="Calibri" w:hAnsi="Calibri" w:cs="Calibri"/>
          <w:sz w:val="20"/>
          <w:szCs w:val="20"/>
        </w:rPr>
        <w:footnoteRef/>
      </w:r>
      <w:r w:rsidRPr="001C2D55">
        <w:rPr>
          <w:rFonts w:ascii="Calibri" w:hAnsi="Calibri" w:cs="Calibri"/>
          <w:sz w:val="20"/>
          <w:szCs w:val="20"/>
        </w:rPr>
        <w:t xml:space="preserve"> Kamerstukken II, 2025/2026, 35423, nr. 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FACA0" w14:textId="77777777" w:rsidR="002D4D74" w:rsidRPr="002D4D74" w:rsidRDefault="002D4D74" w:rsidP="002D4D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FCBE1" w14:textId="77777777" w:rsidR="002D4D74" w:rsidRPr="002D4D74" w:rsidRDefault="002D4D74" w:rsidP="002D4D7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215AF" w14:textId="77777777" w:rsidR="002D4D74" w:rsidRPr="002D4D74" w:rsidRDefault="002D4D74" w:rsidP="002D4D7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00DC"/>
    <w:multiLevelType w:val="hybridMultilevel"/>
    <w:tmpl w:val="87B0D7D2"/>
    <w:lvl w:ilvl="0" w:tplc="5F501596">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097364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D74"/>
    <w:rsid w:val="001C2D55"/>
    <w:rsid w:val="002D4D74"/>
    <w:rsid w:val="002E3E61"/>
    <w:rsid w:val="003972C6"/>
    <w:rsid w:val="003C7028"/>
    <w:rsid w:val="00585443"/>
    <w:rsid w:val="008972D0"/>
    <w:rsid w:val="00936654"/>
    <w:rsid w:val="009722E4"/>
    <w:rsid w:val="00A96D47"/>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4F2EE"/>
  <w15:chartTrackingRefBased/>
  <w15:docId w15:val="{BFDAAD63-27AD-4011-8AAA-41222C950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D4D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D4D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D4D7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D4D7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D4D7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D4D7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D4D7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D4D7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D4D7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4D7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D4D7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D4D7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D4D7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D4D7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D4D7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D4D7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D4D7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D4D74"/>
    <w:rPr>
      <w:rFonts w:eastAsiaTheme="majorEastAsia" w:cstheme="majorBidi"/>
      <w:color w:val="272727" w:themeColor="text1" w:themeTint="D8"/>
    </w:rPr>
  </w:style>
  <w:style w:type="paragraph" w:styleId="Titel">
    <w:name w:val="Title"/>
    <w:basedOn w:val="Standaard"/>
    <w:next w:val="Standaard"/>
    <w:link w:val="TitelChar"/>
    <w:uiPriority w:val="10"/>
    <w:qFormat/>
    <w:rsid w:val="002D4D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D4D7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D4D7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D4D7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D4D7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D4D74"/>
    <w:rPr>
      <w:i/>
      <w:iCs/>
      <w:color w:val="404040" w:themeColor="text1" w:themeTint="BF"/>
    </w:rPr>
  </w:style>
  <w:style w:type="paragraph" w:styleId="Lijstalinea">
    <w:name w:val="List Paragraph"/>
    <w:basedOn w:val="Standaard"/>
    <w:uiPriority w:val="34"/>
    <w:qFormat/>
    <w:rsid w:val="002D4D74"/>
    <w:pPr>
      <w:ind w:left="720"/>
      <w:contextualSpacing/>
    </w:pPr>
  </w:style>
  <w:style w:type="character" w:styleId="Intensievebenadrukking">
    <w:name w:val="Intense Emphasis"/>
    <w:basedOn w:val="Standaardalinea-lettertype"/>
    <w:uiPriority w:val="21"/>
    <w:qFormat/>
    <w:rsid w:val="002D4D74"/>
    <w:rPr>
      <w:i/>
      <w:iCs/>
      <w:color w:val="0F4761" w:themeColor="accent1" w:themeShade="BF"/>
    </w:rPr>
  </w:style>
  <w:style w:type="paragraph" w:styleId="Duidelijkcitaat">
    <w:name w:val="Intense Quote"/>
    <w:basedOn w:val="Standaard"/>
    <w:next w:val="Standaard"/>
    <w:link w:val="DuidelijkcitaatChar"/>
    <w:uiPriority w:val="30"/>
    <w:qFormat/>
    <w:rsid w:val="002D4D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D4D74"/>
    <w:rPr>
      <w:i/>
      <w:iCs/>
      <w:color w:val="0F4761" w:themeColor="accent1" w:themeShade="BF"/>
    </w:rPr>
  </w:style>
  <w:style w:type="character" w:styleId="Intensieveverwijzing">
    <w:name w:val="Intense Reference"/>
    <w:basedOn w:val="Standaardalinea-lettertype"/>
    <w:uiPriority w:val="32"/>
    <w:qFormat/>
    <w:rsid w:val="002D4D74"/>
    <w:rPr>
      <w:b/>
      <w:bCs/>
      <w:smallCaps/>
      <w:color w:val="0F4761" w:themeColor="accent1" w:themeShade="BF"/>
      <w:spacing w:val="5"/>
    </w:rPr>
  </w:style>
  <w:style w:type="paragraph" w:styleId="Koptekst">
    <w:name w:val="header"/>
    <w:basedOn w:val="Standaard"/>
    <w:link w:val="KoptekstChar"/>
    <w:rsid w:val="002D4D7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D4D7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rsid w:val="002D4D7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2D4D7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D4D7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D4D74"/>
    <w:rPr>
      <w:rFonts w:ascii="Verdana" w:hAnsi="Verdana"/>
      <w:noProof/>
      <w:sz w:val="13"/>
      <w:szCs w:val="24"/>
      <w:lang w:eastAsia="nl-NL"/>
    </w:rPr>
  </w:style>
  <w:style w:type="paragraph" w:customStyle="1" w:styleId="Huisstijl-Gegeven">
    <w:name w:val="Huisstijl-Gegeven"/>
    <w:basedOn w:val="Standaard"/>
    <w:link w:val="Huisstijl-GegevenCharChar"/>
    <w:rsid w:val="002D4D7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D4D7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D4D74"/>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2D4D7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D4D74"/>
    <w:pPr>
      <w:spacing w:after="0"/>
    </w:pPr>
    <w:rPr>
      <w:b/>
    </w:rPr>
  </w:style>
  <w:style w:type="paragraph" w:customStyle="1" w:styleId="Huisstijl-Paginanummering">
    <w:name w:val="Huisstijl-Paginanummering"/>
    <w:basedOn w:val="Standaard"/>
    <w:rsid w:val="002D4D7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D4D74"/>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2D4D74"/>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2D4D74"/>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2D4D74"/>
    <w:rPr>
      <w:vertAlign w:val="superscript"/>
    </w:rPr>
  </w:style>
  <w:style w:type="paragraph" w:styleId="Geenafstand">
    <w:name w:val="No Spacing"/>
    <w:uiPriority w:val="1"/>
    <w:qFormat/>
    <w:rsid w:val="001C2D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1123</ap:Words>
  <ap:Characters>6181</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7290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2026-05-19T12:41:00.0000000Z</dcterms:created>
  <dcterms:modified xsi:type="dcterms:W3CDTF">2026-05-19T12:41:00.0000000Z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