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8.0 -->
  <w:body>
    <w:p w:rsidR="00E54F15" w14:paraId="48ECA8B2" w14:textId="77777777"/>
    <w:p w:rsidR="00E54F15" w14:paraId="3A108763" w14:textId="77777777"/>
    <w:p w:rsidR="00E54F15" w14:paraId="2726A8D3" w14:textId="77777777"/>
    <w:p w:rsidR="00E54F15" w14:paraId="1127618D" w14:textId="77777777"/>
    <w:p w:rsidR="00BF4E5B" w14:paraId="2ED608DC" w14:textId="77777777"/>
    <w:p w:rsidR="00BF4E5B" w14:paraId="641EA0F5" w14:textId="77777777"/>
    <w:p w:rsidR="00111800" w14:paraId="0611CA53" w14:textId="77777777"/>
    <w:p w:rsidRPr="00D136E6" w:rsidR="00C62965" w14:paraId="738B742B" w14:textId="77777777">
      <w:r w:rsidRPr="00D136E6">
        <w:t xml:space="preserve">Hierbij bied ik u de antwoorden aan op de schriftelijke vragen die zijn gesteld door het lid </w:t>
      </w:r>
      <w:r w:rsidRPr="00D136E6" w:rsidR="005C3498">
        <w:t xml:space="preserve">Schilder van de Groep </w:t>
      </w:r>
      <w:r w:rsidRPr="00D136E6" w:rsidR="005C3498">
        <w:t>Markuszower</w:t>
      </w:r>
      <w:r w:rsidRPr="00D136E6">
        <w:t xml:space="preserve"> </w:t>
      </w:r>
      <w:r w:rsidRPr="00D136E6" w:rsidR="005C3498">
        <w:t xml:space="preserve">over gemeentelijke uitgaven aan </w:t>
      </w:r>
      <w:r w:rsidRPr="00D136E6" w:rsidR="005C3498">
        <w:t>iftar</w:t>
      </w:r>
      <w:r w:rsidRPr="00D136E6" w:rsidR="005C3498">
        <w:t>-activiteiten</w:t>
      </w:r>
      <w:r w:rsidRPr="00D136E6">
        <w:t xml:space="preserve">. Deze vragen werden ingezonden op </w:t>
      </w:r>
      <w:r w:rsidRPr="00D136E6" w:rsidR="007160A4">
        <w:t>30 maart 2026</w:t>
      </w:r>
      <w:r w:rsidRPr="00D136E6">
        <w:t xml:space="preserve">, met kenmerk </w:t>
      </w:r>
      <w:r w:rsidRPr="00D136E6" w:rsidR="007160A4">
        <w:t>2026Z06485.</w:t>
      </w:r>
    </w:p>
    <w:p w:rsidRPr="00D136E6" w:rsidR="00C62965" w14:paraId="47F4814B" w14:textId="77777777">
      <w:r w:rsidRPr="00D136E6">
        <w:t>De Minister van Binnenlandse Zaken en Koninkrijksrelaties</w:t>
      </w:r>
      <w:r w:rsidRPr="00D136E6">
        <w:rPr>
          <w:i/>
        </w:rPr>
        <w:t>,</w:t>
      </w:r>
    </w:p>
    <w:p w:rsidRPr="00D136E6" w:rsidR="00C62965" w14:paraId="0A10F4D7" w14:textId="77777777"/>
    <w:p w:rsidRPr="00D136E6" w:rsidR="00C62965" w14:paraId="478D805F" w14:textId="77777777"/>
    <w:p w:rsidRPr="00D136E6" w:rsidR="00FB2985" w:rsidP="00FB2985" w14:paraId="1A82930E" w14:textId="77777777">
      <w:r w:rsidRPr="00D136E6">
        <w:t>Pieter Heerma</w:t>
      </w:r>
    </w:p>
    <w:p w:rsidRPr="00D136E6" w:rsidR="00C62965" w14:paraId="1E50520F" w14:textId="77777777"/>
    <w:p w:rsidRPr="00D136E6" w:rsidR="000659FB" w14:paraId="0A68D85A" w14:textId="77777777">
      <w:pPr>
        <w:spacing w:line="240" w:lineRule="auto"/>
      </w:pPr>
    </w:p>
    <w:p w:rsidRPr="00D136E6" w:rsidR="00BF4E5B" w14:paraId="7340B26F" w14:textId="77777777">
      <w:pPr>
        <w:spacing w:after="0" w:afterAutospacing="0" w:line="240" w:lineRule="auto"/>
      </w:pPr>
      <w:r w:rsidRPr="00D136E6">
        <w:br w:type="page"/>
      </w:r>
    </w:p>
    <w:p w:rsidRPr="00D136E6" w:rsidR="00175AA6" w:rsidP="003835C8" w14:paraId="140A3FF1" w14:textId="77777777">
      <w:r w:rsidRPr="00D136E6">
        <w:t xml:space="preserve">Vragen van het lid Schilder (Groep </w:t>
      </w:r>
      <w:r w:rsidRPr="00D136E6">
        <w:t>Markuszower</w:t>
      </w:r>
      <w:r w:rsidRPr="00D136E6">
        <w:t xml:space="preserve">) aan de minister van Binnenlandse Zaken en Koninkrijksrelaties over gemeentelijke uitgaven aan </w:t>
      </w:r>
      <w:r w:rsidRPr="00D136E6">
        <w:t>iftar</w:t>
      </w:r>
      <w:r w:rsidRPr="00D136E6">
        <w:t>-activiteiten</w:t>
      </w:r>
      <w:r w:rsidRPr="00D136E6" w:rsidR="00BD7765">
        <w:t>.</w:t>
      </w:r>
      <w:r w:rsidRPr="00D136E6">
        <w:t xml:space="preserve"> </w:t>
      </w:r>
    </w:p>
    <w:p w:rsidRPr="00D136E6" w:rsidR="00175AA6" w14:paraId="6843BE84" w14:textId="77777777">
      <w:pPr>
        <w:rPr>
          <w:b/>
          <w:bCs/>
        </w:rPr>
      </w:pPr>
      <w:r w:rsidRPr="00D136E6">
        <w:rPr>
          <w:b/>
          <w:bCs/>
        </w:rPr>
        <w:t xml:space="preserve">1. Heeft u kennisgenomen van berichtgeving dat grote gemeenten tienduizenden euro’s uitgeven aan </w:t>
      </w:r>
      <w:r w:rsidRPr="00D136E6">
        <w:rPr>
          <w:b/>
          <w:bCs/>
        </w:rPr>
        <w:t>iftar</w:t>
      </w:r>
      <w:r w:rsidRPr="00D136E6">
        <w:rPr>
          <w:b/>
          <w:bCs/>
        </w:rPr>
        <w:t xml:space="preserve">-activiteiten, al dan niet via subsidies of eigen organisatie? [1] </w:t>
      </w:r>
    </w:p>
    <w:p w:rsidRPr="00D136E6" w:rsidR="00934199" w:rsidP="00934199" w14:paraId="09F0B01D" w14:textId="77777777">
      <w:pPr>
        <w:spacing w:line="240" w:lineRule="auto"/>
        <w:rPr>
          <w:rFonts w:cs="Calibri"/>
          <w:b/>
          <w:bCs/>
        </w:rPr>
      </w:pPr>
      <w:r w:rsidRPr="00D136E6">
        <w:rPr>
          <w:rFonts w:cs="Calibri"/>
          <w:b/>
          <w:bCs/>
        </w:rPr>
        <w:t>Antwoord vraag 1</w:t>
      </w:r>
      <w:r w:rsidRPr="00D136E6">
        <w:rPr>
          <w:rFonts w:cs="Calibri"/>
          <w:b/>
          <w:bCs/>
        </w:rPr>
        <w:br/>
      </w:r>
      <w:r w:rsidRPr="00D136E6">
        <w:t>Ja.</w:t>
      </w:r>
    </w:p>
    <w:p w:rsidRPr="00D136E6" w:rsidR="00175AA6" w14:paraId="71A0FA0F" w14:textId="77777777">
      <w:pPr>
        <w:rPr>
          <w:b/>
          <w:bCs/>
        </w:rPr>
      </w:pPr>
      <w:r w:rsidRPr="00D136E6">
        <w:rPr>
          <w:b/>
          <w:bCs/>
        </w:rPr>
        <w:t xml:space="preserve">2. Deelt u de opvatting dat het organiseren of subsidiëren van </w:t>
      </w:r>
      <w:r w:rsidRPr="00D136E6">
        <w:rPr>
          <w:b/>
          <w:bCs/>
        </w:rPr>
        <w:t>iftars</w:t>
      </w:r>
      <w:r w:rsidRPr="00D136E6">
        <w:rPr>
          <w:b/>
          <w:bCs/>
        </w:rPr>
        <w:t xml:space="preserve"> door gemeenten in de kern een religieuze activiteit ondersteunt? Zo nee, waarom niet? </w:t>
      </w:r>
    </w:p>
    <w:p w:rsidRPr="00D136E6" w:rsidR="00F70245" w:rsidP="00F70245" w14:paraId="47A61420" w14:textId="77777777">
      <w:pPr>
        <w:rPr>
          <w:b/>
          <w:bCs/>
        </w:rPr>
      </w:pPr>
      <w:r w:rsidRPr="00D136E6">
        <w:rPr>
          <w:b/>
          <w:bCs/>
        </w:rPr>
        <w:t xml:space="preserve">3. Hoe verhoudt het actief faciliteren van </w:t>
      </w:r>
      <w:r w:rsidRPr="00D136E6">
        <w:rPr>
          <w:b/>
          <w:bCs/>
        </w:rPr>
        <w:t>iftars</w:t>
      </w:r>
      <w:r w:rsidRPr="00D136E6">
        <w:rPr>
          <w:b/>
          <w:bCs/>
        </w:rPr>
        <w:t xml:space="preserve"> door gemeenten zich tot het beginsel van scheiding tussen kerk en staat? </w:t>
      </w:r>
    </w:p>
    <w:p w:rsidRPr="00D136E6" w:rsidR="00970AE9" w:rsidP="00970AE9" w14:paraId="495EE112" w14:textId="77777777">
      <w:pPr>
        <w:rPr>
          <w:b/>
          <w:bCs/>
        </w:rPr>
      </w:pPr>
      <w:r w:rsidRPr="00D136E6">
        <w:rPr>
          <w:b/>
          <w:bCs/>
        </w:rPr>
        <w:t xml:space="preserve">4. Deelt u de mening dat gemeenten zich terughoudend dienen op te stellen bij het financieren of organiseren van religieuze bijeenkomsten, in het bijzonder </w:t>
      </w:r>
      <w:r w:rsidRPr="00D136E6">
        <w:rPr>
          <w:b/>
          <w:bCs/>
        </w:rPr>
        <w:t>iftars</w:t>
      </w:r>
      <w:r w:rsidRPr="00D136E6">
        <w:rPr>
          <w:b/>
          <w:bCs/>
        </w:rPr>
        <w:t xml:space="preserve">? Zo nee, waarom niet? </w:t>
      </w:r>
    </w:p>
    <w:p w:rsidRPr="00D136E6" w:rsidR="004412B9" w:rsidP="004412B9" w14:paraId="57ED5A63" w14:textId="77777777">
      <w:pPr>
        <w:rPr>
          <w:b/>
          <w:bCs/>
        </w:rPr>
      </w:pPr>
      <w:r w:rsidRPr="00D136E6">
        <w:rPr>
          <w:b/>
          <w:bCs/>
        </w:rPr>
        <w:t xml:space="preserve">5. Hoe voorkomt u dat het organiseren en subsidiëren van </w:t>
      </w:r>
      <w:r w:rsidRPr="00D136E6">
        <w:rPr>
          <w:b/>
          <w:bCs/>
        </w:rPr>
        <w:t>iftars</w:t>
      </w:r>
      <w:r w:rsidRPr="00D136E6">
        <w:rPr>
          <w:b/>
          <w:bCs/>
        </w:rPr>
        <w:t xml:space="preserve"> door gemeenten de indruk wekt dat de overheid zich vereenzelvigt met een specifieke religie? </w:t>
      </w:r>
    </w:p>
    <w:p w:rsidRPr="00D136E6" w:rsidR="00F70245" w14:paraId="47B1628E" w14:textId="77777777">
      <w:pPr>
        <w:rPr>
          <w:rFonts w:cs="Calibri"/>
          <w:b/>
          <w:bCs/>
        </w:rPr>
      </w:pPr>
      <w:r w:rsidRPr="00D136E6">
        <w:rPr>
          <w:rFonts w:cs="Calibri"/>
          <w:b/>
          <w:bCs/>
        </w:rPr>
        <w:t>Antwoord vragen 2</w:t>
      </w:r>
      <w:r w:rsidRPr="00D136E6" w:rsidR="00970AE9">
        <w:rPr>
          <w:rFonts w:cs="Calibri"/>
          <w:b/>
          <w:bCs/>
        </w:rPr>
        <w:t>,</w:t>
      </w:r>
      <w:r w:rsidRPr="00D136E6">
        <w:rPr>
          <w:rFonts w:cs="Calibri"/>
          <w:b/>
          <w:bCs/>
        </w:rPr>
        <w:t xml:space="preserve"> 3</w:t>
      </w:r>
      <w:r w:rsidRPr="00D136E6" w:rsidR="004412B9">
        <w:rPr>
          <w:rFonts w:cs="Calibri"/>
          <w:b/>
          <w:bCs/>
        </w:rPr>
        <w:t>, 4 en 5</w:t>
      </w:r>
    </w:p>
    <w:p w:rsidRPr="00D136E6" w:rsidR="009877BE" w:rsidP="00E324CE" w14:paraId="7B1EAC36" w14:textId="77777777">
      <w:pPr>
        <w:pStyle w:val="NoSpacing"/>
        <w:spacing w:line="240" w:lineRule="atLeast"/>
        <w:rPr>
          <w:rFonts w:ascii="Verdana" w:hAnsi="Verdana"/>
          <w:sz w:val="18"/>
          <w:szCs w:val="18"/>
        </w:rPr>
      </w:pPr>
      <w:bookmarkStart w:name="_Hlk226534024" w:id="0"/>
      <w:r w:rsidRPr="00D136E6">
        <w:rPr>
          <w:rFonts w:ascii="Verdana" w:hAnsi="Verdana"/>
          <w:sz w:val="18"/>
          <w:szCs w:val="18"/>
        </w:rPr>
        <w:t>Het beginsel van scheiding tussen kerk en staat vloeit in belangrijke mate voort uit de godsdienstvrijheid in artikel 6 en het discriminatieverbod in artikel 1 van de Grondwet. Het houdt ten eerste in dat de overheid zich neutraal opstelt richting religies door ze gelijk te behandelen en er geen voor te trekken. De staat bemoeit zich daarnaast niet</w:t>
      </w:r>
      <w:r w:rsidRPr="00D136E6" w:rsidR="00020565">
        <w:rPr>
          <w:rFonts w:ascii="Verdana" w:hAnsi="Verdana"/>
          <w:sz w:val="18"/>
          <w:szCs w:val="18"/>
        </w:rPr>
        <w:t xml:space="preserve"> of zeer beperkt</w:t>
      </w:r>
      <w:r w:rsidRPr="00D136E6">
        <w:rPr>
          <w:rFonts w:ascii="Verdana" w:hAnsi="Verdana"/>
          <w:sz w:val="18"/>
          <w:szCs w:val="18"/>
        </w:rPr>
        <w:t xml:space="preserve"> met</w:t>
      </w:r>
      <w:r w:rsidRPr="00D136E6" w:rsidR="00363417">
        <w:rPr>
          <w:rFonts w:ascii="Verdana" w:hAnsi="Verdana"/>
          <w:sz w:val="18"/>
          <w:szCs w:val="18"/>
        </w:rPr>
        <w:t xml:space="preserve"> de</w:t>
      </w:r>
      <w:r w:rsidRPr="00D136E6">
        <w:rPr>
          <w:rFonts w:ascii="Verdana" w:hAnsi="Verdana"/>
          <w:sz w:val="18"/>
          <w:szCs w:val="18"/>
        </w:rPr>
        <w:t xml:space="preserve"> interpretatie van religie en respecteert de organisatievrijheid van geloofsgemeenschappen. Geloofsgemeenschappen hebben van hun kant geen formele zeggenschap binnen de overheidsorganisatie. </w:t>
      </w:r>
    </w:p>
    <w:p w:rsidRPr="00D136E6" w:rsidR="000D757F" w:rsidP="009877BE" w14:paraId="62C19085" w14:textId="77777777">
      <w:pPr>
        <w:pStyle w:val="NoSpacing"/>
        <w:rPr>
          <w:rFonts w:ascii="Verdana" w:hAnsi="Verdana"/>
          <w:sz w:val="18"/>
          <w:szCs w:val="18"/>
        </w:rPr>
      </w:pPr>
    </w:p>
    <w:p w:rsidRPr="00D136E6" w:rsidR="00970AE9" w:rsidP="00970AE9" w14:paraId="36D236BA" w14:textId="77777777">
      <w:r w:rsidRPr="00D136E6">
        <w:t>Het beginsel van scheiding tussen kerk en staat sluit niet uit dat de overheid ruimte biedt aan geloofsuitingen in bijeenkomsten die ze organiseert, of subsidie verleent aan religieuze organisaties voor het bereiken van maatschappelijke doelen</w:t>
      </w:r>
      <w:r w:rsidRPr="00D136E6" w:rsidR="00D302F0">
        <w:t xml:space="preserve">. </w:t>
      </w:r>
      <w:r w:rsidRPr="00D136E6" w:rsidR="0053269E">
        <w:t xml:space="preserve">Bij </w:t>
      </w:r>
      <w:r w:rsidRPr="00D136E6" w:rsidR="008C021C">
        <w:t>het bieden van die ruimte en bij die</w:t>
      </w:r>
      <w:r w:rsidRPr="00D136E6" w:rsidR="0053269E">
        <w:t xml:space="preserve"> samenwerking dient de overheid zorgvuldig te werk te gaan</w:t>
      </w:r>
      <w:r w:rsidRPr="00D136E6" w:rsidR="008C021C">
        <w:t xml:space="preserve"> om de religieuze neutraliteit van de overheid te bewaren</w:t>
      </w:r>
      <w:r w:rsidRPr="00D136E6" w:rsidR="00915A4B">
        <w:t xml:space="preserve">. </w:t>
      </w:r>
      <w:r w:rsidRPr="00D136E6" w:rsidR="002D357B">
        <w:t xml:space="preserve">Dat betekent </w:t>
      </w:r>
      <w:r w:rsidRPr="00D136E6" w:rsidR="009155B7">
        <w:t xml:space="preserve">zoals gezegd </w:t>
      </w:r>
      <w:r w:rsidRPr="00D136E6" w:rsidR="002D357B">
        <w:t>dat</w:t>
      </w:r>
      <w:r w:rsidRPr="00D136E6" w:rsidR="00915A4B">
        <w:t xml:space="preserve"> de overheid geen</w:t>
      </w:r>
      <w:r w:rsidRPr="00D136E6" w:rsidR="00616CC1">
        <w:t xml:space="preserve"> godsdienst voor</w:t>
      </w:r>
      <w:r w:rsidRPr="00D136E6" w:rsidR="002D357B">
        <w:t xml:space="preserve">schrijft </w:t>
      </w:r>
      <w:r w:rsidRPr="00D136E6" w:rsidR="00B13BC4">
        <w:t>of voor</w:t>
      </w:r>
      <w:r w:rsidRPr="00D136E6" w:rsidR="002D357B">
        <w:t>trekt</w:t>
      </w:r>
      <w:r w:rsidRPr="00D136E6" w:rsidR="0053269E">
        <w:t xml:space="preserve">. </w:t>
      </w:r>
      <w:r w:rsidRPr="00D136E6" w:rsidR="008F4F75">
        <w:t>Tegelijkertijd past aandacht</w:t>
      </w:r>
      <w:r w:rsidRPr="00D136E6">
        <w:t xml:space="preserve"> voor pluriformiteit</w:t>
      </w:r>
      <w:r w:rsidRPr="00D136E6" w:rsidR="008F4F75">
        <w:t xml:space="preserve"> </w:t>
      </w:r>
      <w:r w:rsidRPr="00D136E6">
        <w:t>binnen een democratische rechtsstaat zoals Nederland, waar een grote diversiteit bestaat aan levensbeschouwingen, opvattingen, leefstijlen en waardepatronen.</w:t>
      </w:r>
    </w:p>
    <w:p w:rsidRPr="00D136E6" w:rsidR="0053269E" w:rsidP="002938F6" w14:paraId="398A5370" w14:textId="77777777">
      <w:bookmarkStart w:name="_Hlk226534518" w:id="1"/>
      <w:bookmarkEnd w:id="0"/>
      <w:r w:rsidRPr="00D136E6">
        <w:t xml:space="preserve">Idealiter hebben door gemeenten gefinancierde activiteiten een openbaar karakter, dienen ze een maatschappelijk doel en voldoen ze aan bepaalde kwaliteitseisen. In welke mate een concrete </w:t>
      </w:r>
      <w:r w:rsidRPr="00D136E6">
        <w:t>iftaractiviteit</w:t>
      </w:r>
      <w:r w:rsidRPr="00D136E6">
        <w:t xml:space="preserve"> overeenstemt met de gemeentelijke religieuze neutraliteit is aan de gemeenten om te beoordelen. De </w:t>
      </w:r>
      <w:r w:rsidRPr="00D136E6">
        <w:t xml:space="preserve">aanwezigheid van een gebed op een dergelijke bijeenkomst maakt deze </w:t>
      </w:r>
      <w:r w:rsidRPr="00D136E6" w:rsidR="007320D4">
        <w:t xml:space="preserve">in ieder geval </w:t>
      </w:r>
      <w:r w:rsidRPr="00D136E6">
        <w:t xml:space="preserve">nog niet in strijd met de scheiding tussen kerk en staat. </w:t>
      </w:r>
    </w:p>
    <w:bookmarkEnd w:id="1"/>
    <w:p w:rsidRPr="00D136E6" w:rsidR="00776FA3" w14:paraId="0AAFCFAD" w14:textId="77777777">
      <w:pPr>
        <w:rPr>
          <w:b/>
          <w:bCs/>
        </w:rPr>
      </w:pPr>
      <w:r w:rsidRPr="00D136E6">
        <w:rPr>
          <w:b/>
          <w:bCs/>
        </w:rPr>
        <w:t xml:space="preserve">6. In hoeverre acht u het wenselijk dat gemeentelijke middelen worden ingezet voor activiteiten die direct samenhangen met religieuze gebruiken, zoals het verbreken van het vasten tijdens de ramadan? </w:t>
      </w:r>
    </w:p>
    <w:p w:rsidRPr="00D136E6" w:rsidR="001D3812" w14:paraId="15BEC71D" w14:textId="77777777">
      <w:pPr>
        <w:rPr>
          <w:b/>
          <w:bCs/>
        </w:rPr>
      </w:pPr>
      <w:r w:rsidRPr="00D136E6">
        <w:rPr>
          <w:b/>
          <w:bCs/>
        </w:rPr>
        <w:t xml:space="preserve">7. Welke criteria hanteren gemeenten om te bepalen of een activiteit als 'maatschappelijk' wordt aangemerkt, terwijl deze in de praktijk een religieus karakter heeft? </w:t>
      </w:r>
    </w:p>
    <w:p w:rsidRPr="00D136E6" w:rsidR="00F839A4" w14:paraId="52E95DE7" w14:textId="77777777">
      <w:pPr>
        <w:rPr>
          <w:rFonts w:cs="Calibri"/>
          <w:b/>
          <w:bCs/>
        </w:rPr>
      </w:pPr>
      <w:r w:rsidRPr="00D136E6">
        <w:rPr>
          <w:rFonts w:cs="Calibri"/>
          <w:b/>
          <w:bCs/>
        </w:rPr>
        <w:t xml:space="preserve">Antwoord vragen </w:t>
      </w:r>
      <w:r w:rsidRPr="00D136E6" w:rsidR="008C4B97">
        <w:rPr>
          <w:rFonts w:cs="Calibri"/>
          <w:b/>
          <w:bCs/>
        </w:rPr>
        <w:t>6</w:t>
      </w:r>
      <w:r w:rsidRPr="00D136E6">
        <w:rPr>
          <w:rFonts w:cs="Calibri"/>
          <w:b/>
          <w:bCs/>
        </w:rPr>
        <w:t xml:space="preserve"> en </w:t>
      </w:r>
      <w:r w:rsidRPr="00D136E6" w:rsidR="008C4B97">
        <w:rPr>
          <w:rFonts w:cs="Calibri"/>
          <w:b/>
          <w:bCs/>
        </w:rPr>
        <w:t>7</w:t>
      </w:r>
    </w:p>
    <w:p w:rsidRPr="00D136E6" w:rsidR="006C4B93" w14:paraId="5DC453DD" w14:textId="77777777">
      <w:pPr>
        <w:rPr>
          <w:rFonts w:cs="Calibri"/>
          <w:b/>
          <w:bCs/>
        </w:rPr>
      </w:pPr>
      <w:bookmarkStart w:name="_Hlk226533556" w:id="2"/>
      <w:r w:rsidRPr="00D136E6">
        <w:t>Het wettelijke kader met betrekking tot de scheiding tussen kerk en staat heb ik hierboven uiteengezet. De keuze om</w:t>
      </w:r>
      <w:r w:rsidRPr="00D136E6" w:rsidR="008C021C">
        <w:t xml:space="preserve"> binnen dat kader</w:t>
      </w:r>
      <w:r w:rsidRPr="00D136E6">
        <w:t xml:space="preserve"> meer of minder samenwerking te zoeken met godsdiensten en godsdienstig geïnspireerde initiatieven te steunen is </w:t>
      </w:r>
      <w:r w:rsidRPr="00D136E6" w:rsidR="006C176D">
        <w:t xml:space="preserve">er </w:t>
      </w:r>
      <w:r w:rsidRPr="00D136E6">
        <w:t xml:space="preserve">een die gemeenten zelfstandig maken in het kader van de gemeentelijke autonomie. </w:t>
      </w:r>
      <w:r w:rsidRPr="00D136E6" w:rsidR="00F839A4">
        <w:t xml:space="preserve">De scheiding tussen kerk en staat sluit het samenwerken met religieus geïnspireerde initiatieven om maatschappelijke doelen te behalen niet uit. </w:t>
      </w:r>
      <w:r w:rsidRPr="00D136E6" w:rsidR="00826850">
        <w:t xml:space="preserve">Daarbij kan </w:t>
      </w:r>
      <w:r w:rsidRPr="00D136E6" w:rsidR="00BB7E78">
        <w:t xml:space="preserve">bijvoorbeeld </w:t>
      </w:r>
      <w:r w:rsidRPr="00D136E6" w:rsidR="00826850">
        <w:t xml:space="preserve">worden gedacht aan organisaties met een religieuze grondslag </w:t>
      </w:r>
      <w:r w:rsidRPr="00D136E6" w:rsidR="003E54AB">
        <w:t>die maatschappelijk werk verrichten</w:t>
      </w:r>
      <w:r w:rsidRPr="00D136E6" w:rsidR="00DD16DF">
        <w:t>,</w:t>
      </w:r>
      <w:r w:rsidRPr="00D136E6" w:rsidR="003E54AB">
        <w:t xml:space="preserve"> </w:t>
      </w:r>
      <w:r w:rsidRPr="00D136E6" w:rsidR="00826850">
        <w:t xml:space="preserve">zoals het Leger des Heils. </w:t>
      </w:r>
      <w:r w:rsidRPr="00D136E6" w:rsidR="008C021C">
        <w:t xml:space="preserve">Op grond van de Grondwet en de Gemeentewet heeft de gemeenteraad het budgetrecht en bepaalt deze zelf hoe het zijn middelen inzet. </w:t>
      </w:r>
      <w:r w:rsidRPr="00D136E6">
        <w:t>Het is</w:t>
      </w:r>
      <w:r w:rsidRPr="00D136E6" w:rsidR="002A320E">
        <w:t xml:space="preserve"> in principe</w:t>
      </w:r>
      <w:r w:rsidRPr="00D136E6">
        <w:t xml:space="preserve"> niet aan mij als minister om </w:t>
      </w:r>
      <w:r w:rsidRPr="00D136E6" w:rsidR="007A3572">
        <w:t xml:space="preserve">daarover </w:t>
      </w:r>
      <w:r w:rsidRPr="00D136E6">
        <w:t xml:space="preserve">een oordeel te vellen. </w:t>
      </w:r>
    </w:p>
    <w:bookmarkEnd w:id="2"/>
    <w:p w:rsidRPr="00D136E6" w:rsidR="00175AA6" w14:paraId="4FD2232B" w14:textId="77777777">
      <w:pPr>
        <w:rPr>
          <w:b/>
          <w:bCs/>
        </w:rPr>
      </w:pPr>
      <w:r w:rsidRPr="00D136E6">
        <w:rPr>
          <w:b/>
          <w:bCs/>
        </w:rPr>
        <w:t xml:space="preserve">8. Deelt u de zorg dat het labelen van </w:t>
      </w:r>
      <w:r w:rsidRPr="00D136E6">
        <w:rPr>
          <w:b/>
          <w:bCs/>
        </w:rPr>
        <w:t>iftars</w:t>
      </w:r>
      <w:r w:rsidRPr="00D136E6">
        <w:rPr>
          <w:b/>
          <w:bCs/>
        </w:rPr>
        <w:t xml:space="preserve"> als 'ontmoeting' of 'integratie' feitelijk een omzeiling van het neutraliteitsbeginsel kan zijn? Zo nee, waarom niet? </w:t>
      </w:r>
    </w:p>
    <w:p w:rsidRPr="00D136E6" w:rsidR="00C164A2" w14:paraId="4B9C1950" w14:textId="77777777">
      <w:pPr>
        <w:rPr>
          <w:b/>
          <w:bCs/>
        </w:rPr>
      </w:pPr>
      <w:r w:rsidRPr="00D136E6">
        <w:rPr>
          <w:b/>
          <w:bCs/>
        </w:rPr>
        <w:t>Antwoord vraag 8</w:t>
      </w:r>
    </w:p>
    <w:p w:rsidRPr="00D136E6" w:rsidR="001D3812" w:rsidP="001D3812" w14:paraId="3E83F318" w14:textId="77777777">
      <w:bookmarkStart w:name="_Hlk226534266" w:id="3"/>
      <w:r w:rsidRPr="00D136E6">
        <w:t>V</w:t>
      </w:r>
      <w:r w:rsidRPr="00D136E6" w:rsidR="008C021C">
        <w:t>oor v</w:t>
      </w:r>
      <w:r w:rsidRPr="00D136E6">
        <w:t xml:space="preserve">eel Nederlanders </w:t>
      </w:r>
      <w:r w:rsidRPr="00D136E6" w:rsidR="00943490">
        <w:t>zijn</w:t>
      </w:r>
      <w:r w:rsidRPr="00D136E6" w:rsidR="008C021C">
        <w:t xml:space="preserve"> religieuze praktijken een belangrijk onderdeel van hun leven</w:t>
      </w:r>
      <w:r w:rsidRPr="00D136E6">
        <w:t xml:space="preserve">. Dit leidt ertoe dat gemeenten soms de dialoog tussen Nederlanders bevorderen </w:t>
      </w:r>
      <w:r w:rsidRPr="00D136E6" w:rsidR="00261160">
        <w:t>langs</w:t>
      </w:r>
      <w:r w:rsidRPr="00D136E6">
        <w:t xml:space="preserve"> de band van activiteiten die verband houden met een bepaald</w:t>
      </w:r>
      <w:r w:rsidRPr="00D136E6" w:rsidR="00EC6152">
        <w:t>e godsdienst</w:t>
      </w:r>
      <w:r w:rsidRPr="00D136E6">
        <w:t xml:space="preserve">. </w:t>
      </w:r>
      <w:bookmarkEnd w:id="3"/>
      <w:r w:rsidRPr="00D136E6" w:rsidR="00D85A52">
        <w:t xml:space="preserve">Hierboven heb ik uitgelegd dat het neutraliteitsbeginsel niet uitsluit dat samen wordt gewerkt met godsdienstig geïnspireerde </w:t>
      </w:r>
      <w:r w:rsidRPr="00D136E6" w:rsidR="00EC6152">
        <w:t>activiteiten</w:t>
      </w:r>
      <w:r w:rsidRPr="00D136E6" w:rsidR="00D85A52">
        <w:t xml:space="preserve"> bij het bereiken van maatschappelijke doelen. Daarbij dient de overheid wel zorgvuldig te werk te gaan</w:t>
      </w:r>
      <w:r w:rsidRPr="00D136E6" w:rsidR="004C37DC">
        <w:t xml:space="preserve"> zodat de religieuze neutraliteit van de overheid bewaard blijft</w:t>
      </w:r>
      <w:r w:rsidRPr="00D136E6" w:rsidR="00D85A52">
        <w:t>.</w:t>
      </w:r>
      <w:r w:rsidRPr="00D136E6" w:rsidR="002160F8">
        <w:t xml:space="preserve"> </w:t>
      </w:r>
      <w:r w:rsidRPr="00D136E6">
        <w:t>Ik vertrouw op het vermogen van gemeenten om aan de hand van de concrete omstandigheden</w:t>
      </w:r>
      <w:r w:rsidRPr="00D136E6" w:rsidR="00261160">
        <w:t xml:space="preserve"> en voorkeuren</w:t>
      </w:r>
      <w:r w:rsidRPr="00D136E6">
        <w:t xml:space="preserve"> in de gemeente en de concrete eigenschappen van de </w:t>
      </w:r>
      <w:r w:rsidRPr="00D136E6">
        <w:t>iftaractiviteiten</w:t>
      </w:r>
      <w:r w:rsidRPr="00D136E6">
        <w:t xml:space="preserve"> een afweging te maken. </w:t>
      </w:r>
    </w:p>
    <w:p w:rsidRPr="00D136E6" w:rsidR="00175AA6" w14:paraId="6711C22C" w14:textId="77777777">
      <w:pPr>
        <w:rPr>
          <w:b/>
          <w:bCs/>
        </w:rPr>
      </w:pPr>
      <w:r w:rsidRPr="00D136E6">
        <w:rPr>
          <w:b/>
          <w:bCs/>
        </w:rPr>
        <w:t xml:space="preserve">9. In hoeverre wordt gecontroleerd of dergelijke subsidies daadwerkelijk een algemeen maatschappelijk doel dienen en niet primair een religieuze activiteit faciliteren? </w:t>
      </w:r>
    </w:p>
    <w:p w:rsidRPr="00D136E6" w:rsidR="00C164A2" w14:paraId="2F5305C0" w14:textId="77777777">
      <w:pPr>
        <w:rPr>
          <w:b/>
          <w:bCs/>
        </w:rPr>
      </w:pPr>
      <w:r w:rsidRPr="00D136E6">
        <w:rPr>
          <w:b/>
          <w:bCs/>
        </w:rPr>
        <w:t>Antwoord vraag 9</w:t>
      </w:r>
    </w:p>
    <w:p w:rsidRPr="00D136E6" w:rsidR="00D12F20" w:rsidP="00776FA3" w14:paraId="1F106294" w14:textId="77777777">
      <w:r w:rsidRPr="00D136E6">
        <w:t xml:space="preserve">Het budgetrecht in de gemeente berust bij de gemeenteraad. </w:t>
      </w:r>
      <w:r w:rsidRPr="00D136E6" w:rsidR="006E6123">
        <w:t xml:space="preserve">Het college verantwoordt zich aan de raad over de bestedingen. Die verantwoording ziet onder meer op de bestedingen op basis van de begroting, maar ook op de </w:t>
      </w:r>
      <w:r w:rsidRPr="00D136E6" w:rsidR="006E6123">
        <w:t>uitvoering van subsidieverordening</w:t>
      </w:r>
      <w:r w:rsidRPr="00D136E6" w:rsidR="00FD1D84">
        <w:t>en</w:t>
      </w:r>
      <w:r w:rsidRPr="00D136E6">
        <w:t xml:space="preserve">. De lokale politiek </w:t>
      </w:r>
      <w:r w:rsidRPr="00D136E6" w:rsidR="00261160">
        <w:t>heeft voldoende wettelijke mogelijkheden</w:t>
      </w:r>
      <w:r w:rsidRPr="00D136E6">
        <w:t xml:space="preserve"> om deze </w:t>
      </w:r>
      <w:r w:rsidRPr="00D136E6" w:rsidR="006E6123">
        <w:t>politieke dialoog te laten plaatsvinden</w:t>
      </w:r>
      <w:r w:rsidRPr="00D136E6">
        <w:t>.</w:t>
      </w:r>
    </w:p>
    <w:p w:rsidRPr="00D136E6" w:rsidR="002F1371" w:rsidP="00C02A94" w14:paraId="52A29AB6" w14:textId="77777777">
      <w:pPr>
        <w:rPr>
          <w:b/>
          <w:bCs/>
        </w:rPr>
      </w:pPr>
      <w:r w:rsidRPr="00D136E6">
        <w:rPr>
          <w:b/>
          <w:bCs/>
        </w:rPr>
        <w:t xml:space="preserve">10. Kunt u uitsluiten dat door deze praktijk een precedent ontstaat waardoor terugkerend aanspraak wordt gemaakt op vergelijkbare financiering? Zo nee, hoe wordt hiermee omgegaan? </w:t>
      </w:r>
    </w:p>
    <w:p w:rsidRPr="00D136E6" w:rsidR="00C164A2" w:rsidP="00C02A94" w14:paraId="431614E1" w14:textId="77777777">
      <w:pPr>
        <w:rPr>
          <w:b/>
          <w:bCs/>
        </w:rPr>
      </w:pPr>
      <w:r w:rsidRPr="00D136E6">
        <w:rPr>
          <w:b/>
          <w:bCs/>
        </w:rPr>
        <w:t>Antwoord vraag 10</w:t>
      </w:r>
    </w:p>
    <w:p w:rsidRPr="00D136E6" w:rsidR="002F1371" w:rsidP="00C02A94" w14:paraId="412BD0A2" w14:textId="77777777">
      <w:r w:rsidRPr="00D136E6">
        <w:t>Dat een subsidie is verleend voor een bepaalde activiteit betekent niet dat de subsidieontvanger een volgende keer automatisch weer recht heeft op subsidie voor die activiteit. Het is aan het bestuursorgaan waar de subsidieaanvraag wordt ingediend om daaro</w:t>
      </w:r>
      <w:r w:rsidRPr="00D136E6" w:rsidR="005E6CB9">
        <w:t>ver</w:t>
      </w:r>
      <w:r w:rsidRPr="00D136E6">
        <w:t xml:space="preserve"> te beslissen. Een bestuursorgaan kan een subsidie verlenen op basis van een wettelijk voorschrift, zoals een subsidieverordening van de gemeenteraad. Ook kunnen zogenoemde incidentele subsidies worden verleend, waaraan geen wettelijk voorschrift ten grondslag lig</w:t>
      </w:r>
      <w:r w:rsidRPr="00D136E6" w:rsidR="006228EC">
        <w:t>t</w:t>
      </w:r>
      <w:r w:rsidRPr="00D136E6">
        <w:t>. Het</w:t>
      </w:r>
      <w:r w:rsidRPr="00D136E6" w:rsidR="0077007F">
        <w:t xml:space="preserve"> wel of niet</w:t>
      </w:r>
      <w:r w:rsidRPr="00D136E6">
        <w:t xml:space="preserve"> verstrekken van een dergelijke incidentele subsidie behoort tot de beleidsvrijheid van het bestuursorgaan.</w:t>
      </w:r>
      <w:r w:rsidRPr="00D136E6" w:rsidR="00115C75">
        <w:t xml:space="preserve"> Binnen de gemeente </w:t>
      </w:r>
      <w:r w:rsidRPr="00D136E6" w:rsidR="00684633">
        <w:t xml:space="preserve">verantwoordt het college zich aan de raad over de bestedingen </w:t>
      </w:r>
      <w:r w:rsidRPr="00D136E6" w:rsidR="00027D09">
        <w:t>op basis van de begroting</w:t>
      </w:r>
      <w:r w:rsidRPr="00D136E6" w:rsidR="00684633">
        <w:t>.</w:t>
      </w:r>
    </w:p>
    <w:p w:rsidRPr="00D136E6" w:rsidR="00175AA6" w14:paraId="48EFA8F9" w14:textId="77777777">
      <w:pPr>
        <w:rPr>
          <w:b/>
          <w:bCs/>
        </w:rPr>
      </w:pPr>
      <w:r w:rsidRPr="00D136E6">
        <w:rPr>
          <w:b/>
          <w:bCs/>
        </w:rPr>
        <w:t xml:space="preserve">11. Acht u het wenselijk dat gemeenten zelf </w:t>
      </w:r>
      <w:r w:rsidRPr="00D136E6">
        <w:rPr>
          <w:b/>
          <w:bCs/>
        </w:rPr>
        <w:t>iftars</w:t>
      </w:r>
      <w:r w:rsidRPr="00D136E6">
        <w:rPr>
          <w:b/>
          <w:bCs/>
        </w:rPr>
        <w:t xml:space="preserve"> organiseren op bijvoorbeeld het stadhuis en zo ja, hoe verhoudt zich dat tot de vereiste neutraliteit van de overheid? </w:t>
      </w:r>
    </w:p>
    <w:p w:rsidRPr="00D136E6" w:rsidR="00C164A2" w14:paraId="2D32354B" w14:textId="77777777">
      <w:pPr>
        <w:rPr>
          <w:b/>
          <w:bCs/>
        </w:rPr>
      </w:pPr>
      <w:r w:rsidRPr="00D136E6">
        <w:rPr>
          <w:b/>
          <w:bCs/>
        </w:rPr>
        <w:t>Antwoord vraag 11</w:t>
      </w:r>
    </w:p>
    <w:p w:rsidRPr="00D136E6" w:rsidR="006032E2" w:rsidP="006032E2" w14:paraId="7A335A1B" w14:textId="77777777">
      <w:r w:rsidRPr="00D136E6">
        <w:t>Ook hier is sprake van een keuze die een gemeente kan maken binnen de eigen autonomie, en is er ruimte dit te doen binnen de wettelijke kaders rondom de scheiding tussen kerk en staat</w:t>
      </w:r>
      <w:r w:rsidRPr="00D136E6">
        <w:t xml:space="preserve">. </w:t>
      </w:r>
      <w:r w:rsidRPr="00D136E6" w:rsidR="0046679B">
        <w:t>Ik verwijs naar mijn antwoord op vraag 8</w:t>
      </w:r>
      <w:r w:rsidRPr="00D136E6" w:rsidR="00BD2136">
        <w:t>.</w:t>
      </w:r>
      <w:r w:rsidRPr="00D136E6" w:rsidR="0046679B">
        <w:t xml:space="preserve"> </w:t>
      </w:r>
    </w:p>
    <w:p w:rsidRPr="00D136E6" w:rsidR="00175AA6" w14:paraId="1F14B22D" w14:textId="77777777">
      <w:pPr>
        <w:rPr>
          <w:b/>
          <w:bCs/>
        </w:rPr>
      </w:pPr>
      <w:r w:rsidRPr="00D136E6">
        <w:rPr>
          <w:b/>
          <w:bCs/>
        </w:rPr>
        <w:t xml:space="preserve">12. Ziet u aanleiding om gemeenten explicieter te wijzen op de grenzen van het subsidiëren van activiteiten met een religieus karakter? Zo nee, waarom niet? </w:t>
      </w:r>
    </w:p>
    <w:p w:rsidRPr="00D136E6" w:rsidR="00C164A2" w14:paraId="78041F44" w14:textId="77777777">
      <w:pPr>
        <w:rPr>
          <w:b/>
          <w:bCs/>
        </w:rPr>
      </w:pPr>
      <w:r w:rsidRPr="00D136E6">
        <w:rPr>
          <w:b/>
          <w:bCs/>
        </w:rPr>
        <w:t>Antwoord vraag 12</w:t>
      </w:r>
    </w:p>
    <w:p w:rsidRPr="00D136E6" w:rsidR="002E2D00" w:rsidP="0093373B" w14:paraId="51307960" w14:textId="77777777">
      <w:pPr>
        <w:spacing w:line="259" w:lineRule="auto"/>
        <w:rPr>
          <w:rFonts w:cs="Calibri"/>
        </w:rPr>
      </w:pPr>
      <w:r w:rsidRPr="00D136E6">
        <w:t>Mijn ministerie</w:t>
      </w:r>
      <w:r w:rsidRPr="00D136E6" w:rsidR="00D9413B">
        <w:t xml:space="preserve"> heeft in </w:t>
      </w:r>
      <w:r w:rsidRPr="00D136E6" w:rsidR="00DD55D5">
        <w:t>2019</w:t>
      </w:r>
      <w:r w:rsidRPr="00D136E6" w:rsidR="00D9413B">
        <w:t xml:space="preserve"> in samenwerking met de Vereniging Nederlandse Gemeenten</w:t>
      </w:r>
      <w:r w:rsidRPr="00D136E6" w:rsidR="00B554D9">
        <w:t xml:space="preserve"> (VNG)</w:t>
      </w:r>
      <w:r w:rsidRPr="00D136E6" w:rsidR="00D9413B">
        <w:t xml:space="preserve"> het </w:t>
      </w:r>
      <w:r w:rsidRPr="00D136E6" w:rsidR="00CC77C3">
        <w:rPr>
          <w:rFonts w:cs="Calibri"/>
          <w:i/>
          <w:iCs/>
        </w:rPr>
        <w:t>Tweeluik religie en publiek domein</w:t>
      </w:r>
      <w:r w:rsidRPr="00D136E6" w:rsidR="00CC77C3">
        <w:t xml:space="preserve"> </w:t>
      </w:r>
      <w:r w:rsidRPr="00D136E6" w:rsidR="00D9413B">
        <w:t xml:space="preserve">gepubliceerd. Dit </w:t>
      </w:r>
      <w:r w:rsidRPr="00D136E6" w:rsidR="00D9413B">
        <w:rPr>
          <w:i/>
          <w:iCs/>
        </w:rPr>
        <w:t>Tweeluik</w:t>
      </w:r>
      <w:r w:rsidRPr="00D136E6" w:rsidR="00D9413B">
        <w:t xml:space="preserve"> biedt voldoende handvatten aan gemeenten om een juridisch correcte afweging te maken </w:t>
      </w:r>
      <w:r w:rsidRPr="00D136E6" w:rsidR="00D9413B">
        <w:t>inzake</w:t>
      </w:r>
      <w:r w:rsidRPr="00D136E6" w:rsidR="00D9413B">
        <w:t xml:space="preserve"> het wel of niet subsidiëren van activiteiten met een religieus </w:t>
      </w:r>
      <w:r w:rsidRPr="00D136E6">
        <w:t>element</w:t>
      </w:r>
      <w:r w:rsidRPr="00D136E6" w:rsidR="00D9413B">
        <w:t xml:space="preserve">. Ook het subsidiëren van </w:t>
      </w:r>
      <w:r w:rsidRPr="00D136E6" w:rsidR="00D9413B">
        <w:t>iftarmaaltijden</w:t>
      </w:r>
      <w:r w:rsidRPr="00D136E6" w:rsidR="00D9413B">
        <w:t xml:space="preserve"> wordt </w:t>
      </w:r>
      <w:r w:rsidRPr="00D136E6">
        <w:t>in het document</w:t>
      </w:r>
      <w:r w:rsidRPr="00D136E6" w:rsidR="00D9413B">
        <w:t xml:space="preserve"> besproken.</w:t>
      </w:r>
      <w:r w:rsidRPr="00D136E6">
        <w:t xml:space="preserve"> </w:t>
      </w:r>
      <w:r w:rsidRPr="00D136E6">
        <w:rPr>
          <w:rFonts w:cs="Calibri"/>
        </w:rPr>
        <w:t xml:space="preserve">De handreiking is onder andere beschikbaar op de website van de </w:t>
      </w:r>
      <w:r w:rsidRPr="00D136E6" w:rsidR="00B554D9">
        <w:rPr>
          <w:rFonts w:cs="Calibri"/>
        </w:rPr>
        <w:t>VNG</w:t>
      </w:r>
      <w:r w:rsidRPr="00D136E6">
        <w:rPr>
          <w:rFonts w:cs="Calibri"/>
        </w:rPr>
        <w:t xml:space="preserve">. </w:t>
      </w:r>
    </w:p>
    <w:p w:rsidR="00C62965" w14:paraId="4BAD3383" w14:textId="77777777">
      <w:r w:rsidRPr="00D136E6">
        <w:t xml:space="preserve">[1] De Telegraaf, 30 maart 2026, 'Grootste gemeenten gaven tienduizenden euro’s uit aan </w:t>
      </w:r>
      <w:r w:rsidRPr="00D136E6">
        <w:t>iftars</w:t>
      </w:r>
      <w:r w:rsidRPr="00D136E6">
        <w:t>, gepresenteerd als ’ontmoetingen’ en ’integratie’: ’Hoeven ze</w:t>
      </w:r>
      <w:r w:rsidRPr="00D136E6" w:rsidR="009615F9">
        <w:t xml:space="preserve"> </w:t>
      </w:r>
      <w:r w:rsidRPr="00D136E6">
        <w:t>niet te doe</w:t>
      </w:r>
      <w:r w:rsidRPr="00D136E6" w:rsidR="009615F9">
        <w:t>n’</w:t>
      </w:r>
      <w:r w:rsidRPr="00D136E6">
        <w:t xml:space="preserve"> (https://www.telegraaf.nl/binnenland/grootste-gemeenten-gaven-tienduizenden-euros-uit-aan-iftarsgepresenteerd-als-ontmoetingen-en-integratie-hoeven-ze-niet-te-doen/144696098.html).</w:t>
      </w:r>
    </w:p>
    <w:sectPr w:rsidSect="00BF4E5B">
      <w:headerReference w:type="even" r:id="rId6"/>
      <w:headerReference w:type="default" r:id="rId7"/>
      <w:footerReference w:type="even" r:id="rId8"/>
      <w:footerReference w:type="default" r:id="rId9"/>
      <w:headerReference w:type="first" r:id="rId10"/>
      <w:footerReference w:type="first" r:id="rId11"/>
      <w:pgSz w:w="11905" w:h="16837"/>
      <w:pgMar w:top="3119" w:right="2778" w:bottom="1077" w:left="1588" w:header="0" w:footer="0" w:gutter="0"/>
      <w:cols w:space="708"/>
      <w:titlePg/>
      <w:paperSrc w:first="4" w:other="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charset w:val="00"/>
    <w:family w:val="swiss"/>
    <w:pitch w:val="variable"/>
  </w:font>
  <w:font w:name="Lohit Hindi">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 w:name="KIX Barcode">
    <w:panose1 w:val="020B7200000000000000"/>
    <w:charset w:val="00"/>
    <w:family w:val="swiss"/>
    <w:pitch w:val="variable"/>
    <w:sig w:usb0="80000003" w:usb1="00000000" w:usb2="00000000" w:usb3="00000000" w:csb0="0000000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32841" w14:paraId="01F60618"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62965" w14:paraId="7F206185" w14:textId="77777777">
    <w:pPr>
      <w:spacing w:after="1077" w:line="14" w:lineRule="exac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32841" w14:paraId="2C365D82"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32841" w14:paraId="7B2C18DA"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62965" w14:paraId="6ED3618F" w14:textId="77777777">
    <w:r>
      <w:rPr>
        <w:noProof/>
      </w:rPr>
      <mc:AlternateContent>
        <mc:Choice Requires="wps">
          <w:drawing>
            <wp:anchor distT="0" distB="0" distL="0" distR="0" simplePos="0" relativeHeight="251658240" behindDoc="0" locked="1" layoutInCell="1" allowOverlap="1">
              <wp:simplePos x="0" y="0"/>
              <wp:positionH relativeFrom="page">
                <wp:posOffset>5921375</wp:posOffset>
              </wp:positionH>
              <wp:positionV relativeFrom="paragraph">
                <wp:posOffset>1965325</wp:posOffset>
              </wp:positionV>
              <wp:extent cx="1277620" cy="8009890"/>
              <wp:effectExtent l="0" t="0" r="0" b="0"/>
              <wp:wrapNone/>
              <wp:docPr id="1" name="46fef022-aa3c-11ea-a756-beb5f67e67be" descr="Colofon"/>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7620" cy="8009890"/>
                      </a:xfrm>
                      <a:prstGeom prst="rect">
                        <a:avLst/>
                      </a:prstGeom>
                      <a:noFill/>
                    </wps:spPr>
                    <wps:txbx>
                      <w:txbxContent>
                        <w:p w:rsidR="00C62965" w:rsidP="00970975" w14:textId="77777777">
                          <w:pPr>
                            <w:pStyle w:val="Referentiegegevensbold"/>
                          </w:pPr>
                          <w:r>
                            <w:t xml:space="preserve">DG Openbaar Bestuur &amp; </w:t>
                          </w:r>
                          <w:r>
                            <w:t>Democr</w:t>
                          </w:r>
                          <w:r>
                            <w:t xml:space="preserve"> Rechtsstaat</w:t>
                          </w:r>
                          <w:r w:rsidR="00970975">
                            <w:br/>
                          </w:r>
                          <w:r w:rsidRPr="00970975">
                            <w:rPr>
                              <w:b w:val="0"/>
                              <w:bCs/>
                            </w:rPr>
                            <w:t>DGOBDR-CZW-Constitutionele Zaken</w:t>
                          </w:r>
                        </w:p>
                        <w:p w:rsidR="00CB4795" w14:textId="77777777">
                          <w:pPr>
                            <w:pStyle w:val="Referentiegegevensbold"/>
                          </w:pPr>
                          <w:r>
                            <w:t>Datum</w:t>
                          </w:r>
                          <w:r>
                            <w:br/>
                          </w:r>
                          <w:r>
                            <w:rPr>
                              <w:b w:val="0"/>
                              <w:bCs/>
                            </w:rPr>
                            <w:fldChar w:fldCharType="begin"/>
                          </w:r>
                          <w:r>
                            <w:rPr>
                              <w:b w:val="0"/>
                              <w:bCs/>
                            </w:rPr>
                            <w:instrText xml:space="preserve"> DOCPROPERTY  "Datum"  \* MERGEFORMAT </w:instrText>
                          </w:r>
                          <w:r>
                            <w:rPr>
                              <w:b w:val="0"/>
                              <w:bCs/>
                            </w:rPr>
                            <w:fldChar w:fldCharType="separate"/>
                          </w:r>
                          <w:r w:rsidRPr="00701CEB" w:rsidR="00701CEB">
                            <w:t>11 mei 2026</w:t>
                          </w:r>
                          <w:r>
                            <w:fldChar w:fldCharType="end"/>
                          </w:r>
                        </w:p>
                        <w:p w:rsidR="00CB4795" w14:textId="77777777">
                          <w:pPr>
                            <w:pStyle w:val="Referentiegegevensbold"/>
                          </w:pPr>
                          <w:r>
                            <w:t>Onze referentie</w:t>
                          </w:r>
                          <w:r>
                            <w:br/>
                          </w:r>
                          <w:r>
                            <w:rPr>
                              <w:b w:val="0"/>
                              <w:bCs/>
                            </w:rPr>
                            <w:fldChar w:fldCharType="begin"/>
                          </w:r>
                          <w:r>
                            <w:rPr>
                              <w:b w:val="0"/>
                              <w:bCs/>
                            </w:rPr>
                            <w:instrText xml:space="preserve"> DOCPROPERTY  "Kenmerk"  \* MERGEFORMAT </w:instrText>
                          </w:r>
                          <w:r>
                            <w:rPr>
                              <w:b w:val="0"/>
                              <w:bCs/>
                            </w:rPr>
                            <w:fldChar w:fldCharType="separate"/>
                          </w:r>
                          <w:r w:rsidRPr="00701CEB" w:rsidR="00701CEB">
                            <w:t>2026-0000181556</w:t>
                          </w:r>
                          <w:r>
                            <w:fldChar w:fldCharType="end"/>
                          </w:r>
                        </w:p>
                      </w:txbxContent>
                    </wps:txbx>
                    <wps:bodyPr vert="horz" wrap="square" lIns="0" tIns="0" rIns="0" bIns="0" anchor="t" anchorCtr="0"/>
                  </wps:wsp>
                </a:graphicData>
              </a:graphic>
            </wp:anchor>
          </w:drawing>
        </mc:Choice>
        <mc:Fallback>
          <w:pict>
            <v:shapetype id="_x0000_t202" coordsize="21600,21600" o:spt="202" path="m,l,21600r21600,l21600,xe">
              <v:stroke joinstyle="miter"/>
              <v:path gradientshapeok="t" o:connecttype="rect"/>
            </v:shapetype>
            <v:shape id="46fef022-aa3c-11ea-a756-beb5f67e67be" o:spid="_x0000_s2049" type="#_x0000_t202" alt="Colofon" style="width:100.6pt;height:630.7pt;margin-top:154.75pt;margin-left:466.25pt;mso-position-horizontal-relative:page;mso-wrap-distance-bottom:0;mso-wrap-distance-left:0;mso-wrap-distance-right:0;mso-wrap-distance-top:0;mso-wrap-style:square;position:absolute;v-text-anchor:top;visibility:visible;z-index:251659264" filled="f" stroked="f">
              <v:textbox inset="0,0,0,0">
                <w:txbxContent>
                  <w:p w:rsidR="00C62965" w:rsidP="00970975" w14:paraId="1A0C6D2E" w14:textId="77777777">
                    <w:pPr>
                      <w:pStyle w:val="Referentiegegevensbold"/>
                    </w:pPr>
                    <w:r>
                      <w:t xml:space="preserve">DG Openbaar Bestuur &amp; </w:t>
                    </w:r>
                    <w:r>
                      <w:t>Democr</w:t>
                    </w:r>
                    <w:r>
                      <w:t xml:space="preserve"> Rechtsstaat</w:t>
                    </w:r>
                    <w:r w:rsidR="00970975">
                      <w:br/>
                    </w:r>
                    <w:r w:rsidRPr="00970975">
                      <w:rPr>
                        <w:b w:val="0"/>
                        <w:bCs/>
                      </w:rPr>
                      <w:t>DGOBDR-CZW-Constitutionele Zaken</w:t>
                    </w:r>
                  </w:p>
                  <w:p w:rsidR="00CB4795" w14:paraId="69C53B73" w14:textId="77777777">
                    <w:pPr>
                      <w:pStyle w:val="Referentiegegevensbold"/>
                    </w:pPr>
                    <w:r>
                      <w:t>Datum</w:t>
                    </w:r>
                    <w:r>
                      <w:br/>
                    </w:r>
                    <w:r>
                      <w:rPr>
                        <w:b w:val="0"/>
                        <w:bCs/>
                      </w:rPr>
                      <w:fldChar w:fldCharType="begin"/>
                    </w:r>
                    <w:r>
                      <w:rPr>
                        <w:b w:val="0"/>
                        <w:bCs/>
                      </w:rPr>
                      <w:instrText xml:space="preserve"> DOCPROPERTY  "Datum"  \* MERGEFORMAT </w:instrText>
                    </w:r>
                    <w:r>
                      <w:rPr>
                        <w:b w:val="0"/>
                        <w:bCs/>
                      </w:rPr>
                      <w:fldChar w:fldCharType="separate"/>
                    </w:r>
                    <w:r w:rsidRPr="00701CEB" w:rsidR="00701CEB">
                      <w:t>11 mei 2026</w:t>
                    </w:r>
                    <w:r>
                      <w:fldChar w:fldCharType="end"/>
                    </w:r>
                  </w:p>
                  <w:p w:rsidR="00CB4795" w14:paraId="4E869E64" w14:textId="77777777">
                    <w:pPr>
                      <w:pStyle w:val="Referentiegegevensbold"/>
                    </w:pPr>
                    <w:r>
                      <w:t>Onze referentie</w:t>
                    </w:r>
                    <w:r>
                      <w:br/>
                    </w:r>
                    <w:r>
                      <w:rPr>
                        <w:b w:val="0"/>
                        <w:bCs/>
                      </w:rPr>
                      <w:fldChar w:fldCharType="begin"/>
                    </w:r>
                    <w:r>
                      <w:rPr>
                        <w:b w:val="0"/>
                        <w:bCs/>
                      </w:rPr>
                      <w:instrText xml:space="preserve"> DOCPROPERTY  "Kenmerk"  \* MERGEFORMAT </w:instrText>
                    </w:r>
                    <w:r>
                      <w:rPr>
                        <w:b w:val="0"/>
                        <w:bCs/>
                      </w:rPr>
                      <w:fldChar w:fldCharType="separate"/>
                    </w:r>
                    <w:r w:rsidRPr="00701CEB" w:rsidR="00701CEB">
                      <w:t>2026-0000181556</w:t>
                    </w:r>
                    <w:r>
                      <w:fldChar w:fldCharType="end"/>
                    </w:r>
                  </w:p>
                </w:txbxContent>
              </v:textbox>
              <w10:anchorlock/>
            </v:shape>
          </w:pict>
        </mc:Fallback>
      </mc:AlternateContent>
    </w:r>
    <w:r>
      <w:rPr>
        <w:noProof/>
      </w:rPr>
      <mc:AlternateContent>
        <mc:Choice Requires="wps">
          <w:drawing>
            <wp:anchor distT="0" distB="0" distL="0" distR="0" simplePos="0" relativeHeight="251660288" behindDoc="0" locked="1" layoutInCell="1" allowOverlap="1">
              <wp:simplePos x="0" y="0"/>
              <wp:positionH relativeFrom="page">
                <wp:posOffset>1007744</wp:posOffset>
              </wp:positionH>
              <wp:positionV relativeFrom="paragraph">
                <wp:posOffset>10194925</wp:posOffset>
              </wp:positionV>
              <wp:extent cx="4787900" cy="161290"/>
              <wp:effectExtent l="0" t="0" r="0" b="0"/>
              <wp:wrapNone/>
              <wp:docPr id="2" name="46fef06f-aa3c-11ea-a756-beb5f67e67be" descr="Voettekst"/>
              <wp:cNvGraphicFramePr/>
              <a:graphic xmlns:a="http://schemas.openxmlformats.org/drawingml/2006/main">
                <a:graphicData uri="http://schemas.microsoft.com/office/word/2010/wordprocessingShape">
                  <wps:wsp xmlns:wps="http://schemas.microsoft.com/office/word/2010/wordprocessingShape">
                    <wps:cNvSpPr txBox="1"/>
                    <wps:spPr>
                      <a:xfrm>
                        <a:off x="0" y="0"/>
                        <a:ext cx="4787900" cy="161290"/>
                      </a:xfrm>
                      <a:prstGeom prst="rect">
                        <a:avLst/>
                      </a:prstGeom>
                      <a:noFill/>
                    </wps:spPr>
                    <wps:txbx>
                      <w:txbxContent>
                        <w:p w:rsidR="007B5057" w14:textId="77777777"/>
                      </w:txbxContent>
                    </wps:txbx>
                    <wps:bodyPr vert="horz" wrap="square" lIns="0" tIns="0" rIns="0" bIns="0" anchor="t" anchorCtr="0"/>
                  </wps:wsp>
                </a:graphicData>
              </a:graphic>
            </wp:anchor>
          </w:drawing>
        </mc:Choice>
        <mc:Fallback>
          <w:pict>
            <v:shape id="46fef06f-aa3c-11ea-a756-beb5f67e67be" o:spid="_x0000_s2050" type="#_x0000_t202" alt="Voettekst" style="width:377pt;height:12.7pt;margin-top:802.75pt;margin-left:79.35pt;mso-position-horizontal-relative:page;mso-wrap-distance-bottom:0;mso-wrap-distance-left:0;mso-wrap-distance-right:0;mso-wrap-distance-top:0;mso-wrap-style:square;position:absolute;v-text-anchor:top;visibility:visible;z-index:251661312" filled="f" stroked="f">
              <v:textbox inset="0,0,0,0">
                <w:txbxContent>
                  <w:p w:rsidR="007B5057" w14:paraId="03DB9D52" w14:textId="77777777"/>
                </w:txbxContent>
              </v:textbox>
              <w10:anchorlock/>
            </v:shape>
          </w:pict>
        </mc:Fallback>
      </mc:AlternateContent>
    </w:r>
    <w:r>
      <w:rPr>
        <w:noProof/>
      </w:rPr>
      <mc:AlternateContent>
        <mc:Choice Requires="wps">
          <w:drawing>
            <wp:anchor distT="0" distB="0" distL="0" distR="0" simplePos="0" relativeHeight="251662336" behindDoc="0" locked="1" layoutInCell="1" allowOverlap="1">
              <wp:simplePos x="0" y="0"/>
              <wp:positionH relativeFrom="page">
                <wp:posOffset>5921375</wp:posOffset>
              </wp:positionH>
              <wp:positionV relativeFrom="paragraph">
                <wp:posOffset>10194925</wp:posOffset>
              </wp:positionV>
              <wp:extent cx="1285875" cy="161290"/>
              <wp:effectExtent l="0" t="0" r="0" b="0"/>
              <wp:wrapNone/>
              <wp:docPr id="3" name="46fef0b8-aa3c-11ea-a756-beb5f67e67be" descr="Paginanummering"/>
              <wp:cNvGraphicFramePr/>
              <a:graphic xmlns:a="http://schemas.openxmlformats.org/drawingml/2006/main">
                <a:graphicData uri="http://schemas.microsoft.com/office/word/2010/wordprocessingShape">
                  <wps:wsp xmlns:wps="http://schemas.microsoft.com/office/word/2010/wordprocessingShape">
                    <wps:cNvSpPr txBox="1"/>
                    <wps:spPr>
                      <a:xfrm>
                        <a:off x="0" y="0"/>
                        <a:ext cx="1285875" cy="161290"/>
                      </a:xfrm>
                      <a:prstGeom prst="rect">
                        <a:avLst/>
                      </a:prstGeom>
                      <a:noFill/>
                    </wps:spPr>
                    <wps:txbx>
                      <w:txbxContent>
                        <w:p w:rsidR="00CB4795" w14:textId="77777777">
                          <w:pPr>
                            <w:pStyle w:val="Referentiegegevens"/>
                          </w:pPr>
                          <w:r>
                            <w:t xml:space="preserve">Pagina </w:t>
                          </w:r>
                          <w:r>
                            <w:fldChar w:fldCharType="begin"/>
                          </w:r>
                          <w:r>
                            <w:instrText>PAGE</w:instrText>
                          </w:r>
                          <w:r>
                            <w:fldChar w:fldCharType="separate"/>
                          </w:r>
                          <w:r>
                            <w:t>2</w:t>
                          </w:r>
                          <w:r>
                            <w:fldChar w:fldCharType="end"/>
                          </w:r>
                          <w:r>
                            <w:t xml:space="preserve"> van </w:t>
                          </w:r>
                          <w:r>
                            <w:fldChar w:fldCharType="begin"/>
                          </w:r>
                          <w:r>
                            <w:instrText>NUMPAGES</w:instrText>
                          </w:r>
                          <w:r>
                            <w:fldChar w:fldCharType="separate"/>
                          </w:r>
                          <w:r>
                            <w:t>1</w:t>
                          </w:r>
                          <w:r>
                            <w:fldChar w:fldCharType="end"/>
                          </w:r>
                        </w:p>
                      </w:txbxContent>
                    </wps:txbx>
                    <wps:bodyPr vert="horz" wrap="square" lIns="0" tIns="0" rIns="0" bIns="0" anchor="t" anchorCtr="0"/>
                  </wps:wsp>
                </a:graphicData>
              </a:graphic>
            </wp:anchor>
          </w:drawing>
        </mc:Choice>
        <mc:Fallback>
          <w:pict>
            <v:shape id="46fef0b8-aa3c-11ea-a756-beb5f67e67be" o:spid="_x0000_s2051" type="#_x0000_t202" alt="Paginanummering" style="width:101.25pt;height:12.7pt;margin-top:802.75pt;margin-left:466.25pt;mso-position-horizontal-relative:page;mso-wrap-distance-bottom:0;mso-wrap-distance-left:0;mso-wrap-distance-right:0;mso-wrap-distance-top:0;mso-wrap-style:square;position:absolute;v-text-anchor:top;visibility:visible;z-index:251663360" filled="f" stroked="f">
              <v:textbox inset="0,0,0,0">
                <w:txbxContent>
                  <w:p w:rsidR="00CB4795" w14:paraId="76638C9F" w14:textId="77777777">
                    <w:pPr>
                      <w:pStyle w:val="Referentiegegevens"/>
                    </w:pPr>
                    <w:r>
                      <w:t xml:space="preserve">Pagina </w:t>
                    </w:r>
                    <w:r>
                      <w:fldChar w:fldCharType="begin"/>
                    </w:r>
                    <w:r>
                      <w:instrText>PAGE</w:instrText>
                    </w:r>
                    <w:r>
                      <w:fldChar w:fldCharType="separate"/>
                    </w:r>
                    <w:r>
                      <w:t>2</w:t>
                    </w:r>
                    <w:r>
                      <w:fldChar w:fldCharType="end"/>
                    </w:r>
                    <w:r>
                      <w:t xml:space="preserve"> van </w:t>
                    </w:r>
                    <w:r>
                      <w:fldChar w:fldCharType="begin"/>
                    </w:r>
                    <w:r>
                      <w:instrText>NUMPAGES</w:instrText>
                    </w:r>
                    <w:r>
                      <w:fldChar w:fldCharType="separate"/>
                    </w:r>
                    <w:r>
                      <w:t>1</w:t>
                    </w:r>
                    <w:r>
                      <w:fldChar w:fldCharType="end"/>
                    </w:r>
                  </w:p>
                </w:txbxContent>
              </v:textbox>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62965" w14:paraId="6FEA6545" w14:textId="77777777">
    <w:pPr>
      <w:spacing w:after="6377" w:line="14" w:lineRule="exact"/>
    </w:pPr>
    <w:r>
      <w:rPr>
        <w:noProof/>
      </w:rPr>
      <mc:AlternateContent>
        <mc:Choice Requires="wps">
          <w:drawing>
            <wp:anchor distT="0" distB="0" distL="0" distR="0" simplePos="0" relativeHeight="251664384" behindDoc="0" locked="1" layoutInCell="1" allowOverlap="1">
              <wp:simplePos x="0" y="0"/>
              <wp:positionH relativeFrom="page">
                <wp:posOffset>1007744</wp:posOffset>
              </wp:positionH>
              <wp:positionV relativeFrom="paragraph">
                <wp:posOffset>1954530</wp:posOffset>
              </wp:positionV>
              <wp:extent cx="4787900" cy="1115695"/>
              <wp:effectExtent l="0" t="0" r="0" b="0"/>
              <wp:wrapNone/>
              <wp:docPr id="4" name="46feeb64-aa3c-11ea-a756-beb5f67e67be" descr="Adresvak"/>
              <wp:cNvGraphicFramePr/>
              <a:graphic xmlns:a="http://schemas.openxmlformats.org/drawingml/2006/main">
                <a:graphicData uri="http://schemas.microsoft.com/office/word/2010/wordprocessingShape">
                  <wps:wsp xmlns:wps="http://schemas.microsoft.com/office/word/2010/wordprocessingShape">
                    <wps:cNvSpPr txBox="1"/>
                    <wps:spPr>
                      <a:xfrm>
                        <a:off x="0" y="0"/>
                        <a:ext cx="4787900" cy="1115695"/>
                      </a:xfrm>
                      <a:prstGeom prst="rect">
                        <a:avLst/>
                      </a:prstGeom>
                      <a:noFill/>
                    </wps:spPr>
                    <wps:txbx>
                      <w:txbxContent>
                        <w:p w:rsidR="00C62965" w14:textId="77777777">
                          <w:r>
                            <w:t>Aan de Voorzitter van de Tweede Kamer der Staten-Generaal</w:t>
                          </w:r>
                          <w:r>
                            <w:br/>
                            <w:t>Postbus 20018</w:t>
                          </w:r>
                          <w:r>
                            <w:br/>
                            <w:t>2500 EA  DEN HAAG</w:t>
                          </w:r>
                        </w:p>
                      </w:txbxContent>
                    </wps:txbx>
                    <wps:bodyPr vert="horz" wrap="square" lIns="0" tIns="0" rIns="0" bIns="0" anchor="t" anchorCtr="0"/>
                  </wps:wsp>
                </a:graphicData>
              </a:graphic>
            </wp:anchor>
          </w:drawing>
        </mc:Choice>
        <mc:Fallback>
          <w:pict>
            <v:shapetype id="_x0000_t202" coordsize="21600,21600" o:spt="202" path="m,l,21600r21600,l21600,xe">
              <v:stroke joinstyle="miter"/>
              <v:path gradientshapeok="t" o:connecttype="rect"/>
            </v:shapetype>
            <v:shape id="46feeb64-aa3c-11ea-a756-beb5f67e67be" o:spid="_x0000_s2052" type="#_x0000_t202" alt="Adresvak" style="width:377pt;height:87.85pt;margin-top:153.9pt;margin-left:79.35pt;mso-position-horizontal-relative:page;mso-wrap-distance-bottom:0;mso-wrap-distance-left:0;mso-wrap-distance-right:0;mso-wrap-distance-top:0;mso-wrap-style:square;position:absolute;v-text-anchor:top;visibility:visible;z-index:251665408" filled="f" stroked="f">
              <v:textbox inset="0,0,0,0">
                <w:txbxContent>
                  <w:p w:rsidR="00C62965" w14:paraId="54AE90F5" w14:textId="77777777">
                    <w:r>
                      <w:t>Aan de Voorzitter van de Tweede Kamer der Staten-Generaal</w:t>
                    </w:r>
                    <w:r>
                      <w:br/>
                      <w:t>Postbus 20018</w:t>
                    </w:r>
                    <w:r>
                      <w:br/>
                      <w:t>2500 EA  DEN HAAG</w:t>
                    </w:r>
                  </w:p>
                </w:txbxContent>
              </v:textbox>
              <w10:anchorlock/>
            </v:shape>
          </w:pict>
        </mc:Fallback>
      </mc:AlternateContent>
    </w:r>
    <w:r>
      <w:rPr>
        <w:noProof/>
      </w:rPr>
      <mc:AlternateContent>
        <mc:Choice Requires="wps">
          <w:drawing>
            <wp:anchor distT="0" distB="0" distL="0" distR="0" simplePos="0" relativeHeight="251666432" behindDoc="0" locked="1" layoutInCell="1" allowOverlap="1">
              <wp:simplePos x="0" y="0"/>
              <wp:positionH relativeFrom="margin">
                <wp:align>right</wp:align>
              </wp:positionH>
              <wp:positionV relativeFrom="paragraph">
                <wp:posOffset>3352165</wp:posOffset>
              </wp:positionV>
              <wp:extent cx="4787900" cy="523875"/>
              <wp:effectExtent l="0" t="0" r="0" b="0"/>
              <wp:wrapNone/>
              <wp:docPr id="5" name="46feebd0-aa3c-11ea-a756-beb5f67e67be"/>
              <wp:cNvGraphicFramePr/>
              <a:graphic xmlns:a="http://schemas.openxmlformats.org/drawingml/2006/main">
                <a:graphicData uri="http://schemas.microsoft.com/office/word/2010/wordprocessingShape">
                  <wps:wsp xmlns:wps="http://schemas.microsoft.com/office/word/2010/wordprocessingShape">
                    <wps:cNvSpPr txBox="1"/>
                    <wps:spPr>
                      <a:xfrm>
                        <a:off x="0" y="0"/>
                        <a:ext cx="4787900" cy="523875"/>
                      </a:xfrm>
                      <a:prstGeom prst="rect">
                        <a:avLst/>
                      </a:prstGeom>
                      <a:noFill/>
                    </wps:spPr>
                    <wps:txbx>
                      <w:txbxContent>
                        <w:tbl>
                          <w:tblPr>
                            <w:tblW w:w="0" w:type="auto"/>
                            <w:tblInd w:w="-120" w:type="dxa"/>
                            <w:tblLayout w:type="fixed"/>
                            <w:tblLook w:val="07E0"/>
                          </w:tblPr>
                          <w:tblGrid>
                            <w:gridCol w:w="1140"/>
                            <w:gridCol w:w="5918"/>
                          </w:tblGrid>
                          <w:tr w14:paraId="2BC2F27F" w14:textId="77777777">
                            <w:tblPrEx>
                              <w:tblW w:w="0" w:type="auto"/>
                              <w:tblInd w:w="-120" w:type="dxa"/>
                              <w:tblLayout w:type="fixed"/>
                              <w:tblLook w:val="07E0"/>
                            </w:tblPrEx>
                            <w:trPr>
                              <w:trHeight w:val="240"/>
                            </w:trPr>
                            <w:tc>
                              <w:tcPr>
                                <w:tcW w:w="1140" w:type="dxa"/>
                              </w:tcPr>
                              <w:p w:rsidR="00C62965" w14:textId="77777777">
                                <w:r>
                                  <w:t>Datum</w:t>
                                </w:r>
                              </w:p>
                            </w:tc>
                            <w:tc>
                              <w:tcPr>
                                <w:tcW w:w="5918" w:type="dxa"/>
                              </w:tcPr>
                              <w:p w:rsidR="00CB4795" w14:textId="77777777">
                                <w:r>
                                  <w:fldChar w:fldCharType="begin"/>
                                </w:r>
                                <w:r>
                                  <w:instrText xml:space="preserve"> DOCPROPERTY  "Datum"  \* MERGEFORMAT </w:instrText>
                                </w:r>
                                <w:r>
                                  <w:fldChar w:fldCharType="separate"/>
                                </w:r>
                                <w:r w:rsidR="00701CEB">
                                  <w:t>11 mei 2026</w:t>
                                </w:r>
                                <w:r w:rsidR="00701CEB">
                                  <w:fldChar w:fldCharType="end"/>
                                </w:r>
                              </w:p>
                            </w:tc>
                          </w:tr>
                          <w:tr w14:paraId="6F7641CB" w14:textId="77777777">
                            <w:tblPrEx>
                              <w:tblW w:w="0" w:type="auto"/>
                              <w:tblInd w:w="-120" w:type="dxa"/>
                              <w:tblLayout w:type="fixed"/>
                              <w:tblLook w:val="07E0"/>
                            </w:tblPrEx>
                            <w:trPr>
                              <w:trHeight w:val="240"/>
                            </w:trPr>
                            <w:tc>
                              <w:tcPr>
                                <w:tcW w:w="1140" w:type="dxa"/>
                              </w:tcPr>
                              <w:p w:rsidR="00C62965" w14:textId="77777777">
                                <w:r>
                                  <w:t>Betreft</w:t>
                                </w:r>
                              </w:p>
                            </w:tc>
                            <w:tc>
                              <w:tcPr>
                                <w:tcW w:w="5918" w:type="dxa"/>
                              </w:tcPr>
                              <w:p w:rsidR="00CB4795" w14:textId="77777777">
                                <w:r>
                                  <w:fldChar w:fldCharType="begin"/>
                                </w:r>
                                <w:r>
                                  <w:instrText xml:space="preserve"> DOCPROPERTY  "Onderwerp"  \* MERGEFORMAT </w:instrText>
                                </w:r>
                                <w:r>
                                  <w:fldChar w:fldCharType="separate"/>
                                </w:r>
                                <w:r w:rsidR="00701CEB">
                                  <w:t xml:space="preserve">Antwoorden Kamervragen over gemeentelijke uitgaven aan </w:t>
                                </w:r>
                                <w:r w:rsidR="00701CEB">
                                  <w:t>iftar</w:t>
                                </w:r>
                                <w:r w:rsidR="00701CEB">
                                  <w:t>-activiteiten</w:t>
                                </w:r>
                                <w:r>
                                  <w:fldChar w:fldCharType="end"/>
                                </w:r>
                              </w:p>
                            </w:tc>
                          </w:tr>
                        </w:tbl>
                        <w:p w:rsidR="007B5057" w14:textId="77777777"/>
                      </w:txbxContent>
                    </wps:txbx>
                    <wps:bodyPr vert="horz" wrap="square" lIns="0" tIns="0" rIns="0" bIns="0" anchor="t" anchorCtr="0"/>
                  </wps:wsp>
                </a:graphicData>
              </a:graphic>
              <wp14:sizeRelV relativeFrom="margin">
                <wp14:pctHeight>0</wp14:pctHeight>
              </wp14:sizeRelV>
            </wp:anchor>
          </w:drawing>
        </mc:Choice>
        <mc:Fallback>
          <w:pict>
            <v:shape id="46feebd0-aa3c-11ea-a756-beb5f67e67be" o:spid="_x0000_s2053" type="#_x0000_t202" style="width:377pt;height:41.25pt;margin-top:263.95pt;margin-left:325.8pt;mso-height-percent:0;mso-height-relative:margin;mso-position-horizontal:right;mso-position-horizontal-relative:margin;mso-wrap-distance-bottom:0;mso-wrap-distance-left:0;mso-wrap-distance-right:0;mso-wrap-distance-top:0;mso-wrap-style:square;position:absolute;v-text-anchor:top;visibility:visible;z-index:251667456" filled="f" stroked="f">
              <v:textbox inset="0,0,0,0">
                <w:txbxContent>
                  <w:tbl>
                    <w:tblPr>
                      <w:tblW w:w="0" w:type="auto"/>
                      <w:tblInd w:w="-120" w:type="dxa"/>
                      <w:tblLayout w:type="fixed"/>
                      <w:tblLook w:val="07E0"/>
                    </w:tblPr>
                    <w:tblGrid>
                      <w:gridCol w:w="1140"/>
                      <w:gridCol w:w="5918"/>
                    </w:tblGrid>
                    <w:tr w14:paraId="2BC2F27E" w14:textId="77777777">
                      <w:tblPrEx>
                        <w:tblW w:w="0" w:type="auto"/>
                        <w:tblInd w:w="-120" w:type="dxa"/>
                        <w:tblLayout w:type="fixed"/>
                        <w:tblLook w:val="07E0"/>
                      </w:tblPrEx>
                      <w:trPr>
                        <w:trHeight w:val="240"/>
                      </w:trPr>
                      <w:tc>
                        <w:tcPr>
                          <w:tcW w:w="1140" w:type="dxa"/>
                        </w:tcPr>
                        <w:p w:rsidR="00C62965" w14:paraId="26D91A07" w14:textId="77777777">
                          <w:r>
                            <w:t>Datum</w:t>
                          </w:r>
                        </w:p>
                      </w:tc>
                      <w:tc>
                        <w:tcPr>
                          <w:tcW w:w="5918" w:type="dxa"/>
                        </w:tcPr>
                        <w:p w:rsidR="00CB4795" w14:paraId="71C849C5" w14:textId="77777777">
                          <w:r>
                            <w:fldChar w:fldCharType="begin"/>
                          </w:r>
                          <w:r>
                            <w:instrText xml:space="preserve"> DOCPROPERTY  "Datum"  \* MERGEFORMAT </w:instrText>
                          </w:r>
                          <w:r>
                            <w:fldChar w:fldCharType="separate"/>
                          </w:r>
                          <w:r w:rsidR="00701CEB">
                            <w:t>11 mei 2026</w:t>
                          </w:r>
                          <w:r w:rsidR="00701CEB">
                            <w:fldChar w:fldCharType="end"/>
                          </w:r>
                        </w:p>
                      </w:tc>
                    </w:tr>
                    <w:tr w14:paraId="6F7641CA" w14:textId="77777777">
                      <w:tblPrEx>
                        <w:tblW w:w="0" w:type="auto"/>
                        <w:tblInd w:w="-120" w:type="dxa"/>
                        <w:tblLayout w:type="fixed"/>
                        <w:tblLook w:val="07E0"/>
                      </w:tblPrEx>
                      <w:trPr>
                        <w:trHeight w:val="240"/>
                      </w:trPr>
                      <w:tc>
                        <w:tcPr>
                          <w:tcW w:w="1140" w:type="dxa"/>
                        </w:tcPr>
                        <w:p w:rsidR="00C62965" w14:paraId="70DDA336" w14:textId="77777777">
                          <w:r>
                            <w:t>Betreft</w:t>
                          </w:r>
                        </w:p>
                      </w:tc>
                      <w:tc>
                        <w:tcPr>
                          <w:tcW w:w="5918" w:type="dxa"/>
                        </w:tcPr>
                        <w:p w:rsidR="00CB4795" w14:paraId="01CB4DD9" w14:textId="77777777">
                          <w:r>
                            <w:fldChar w:fldCharType="begin"/>
                          </w:r>
                          <w:r>
                            <w:instrText xml:space="preserve"> DOCPROPERTY  "Onderwerp"  \* MERGEFORMAT </w:instrText>
                          </w:r>
                          <w:r>
                            <w:fldChar w:fldCharType="separate"/>
                          </w:r>
                          <w:r w:rsidR="00701CEB">
                            <w:t xml:space="preserve">Antwoorden Kamervragen over gemeentelijke uitgaven aan </w:t>
                          </w:r>
                          <w:r w:rsidR="00701CEB">
                            <w:t>iftar</w:t>
                          </w:r>
                          <w:r w:rsidR="00701CEB">
                            <w:t>-activiteiten</w:t>
                          </w:r>
                          <w:r>
                            <w:fldChar w:fldCharType="end"/>
                          </w:r>
                        </w:p>
                      </w:tc>
                    </w:tr>
                  </w:tbl>
                  <w:p w:rsidR="007B5057" w14:paraId="26C6D8EC" w14:textId="77777777"/>
                </w:txbxContent>
              </v:textbox>
              <w10:wrap anchorx="margin"/>
              <w10:anchorlock/>
            </v:shape>
          </w:pict>
        </mc:Fallback>
      </mc:AlternateContent>
    </w:r>
    <w:r>
      <w:rPr>
        <w:noProof/>
      </w:rPr>
      <mc:AlternateContent>
        <mc:Choice Requires="wps">
          <w:drawing>
            <wp:anchor distT="0" distB="0" distL="0" distR="0" simplePos="0" relativeHeight="251668480" behindDoc="0" locked="1" layoutInCell="1" allowOverlap="1">
              <wp:simplePos x="0" y="0"/>
              <wp:positionH relativeFrom="page">
                <wp:posOffset>5921375</wp:posOffset>
              </wp:positionH>
              <wp:positionV relativeFrom="paragraph">
                <wp:posOffset>1965325</wp:posOffset>
              </wp:positionV>
              <wp:extent cx="1277620" cy="8009890"/>
              <wp:effectExtent l="0" t="0" r="0" b="0"/>
              <wp:wrapNone/>
              <wp:docPr id="6" name="46feec20-aa3c-11ea-a756-beb5f67e67be" descr="Colofon"/>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7620" cy="8009890"/>
                      </a:xfrm>
                      <a:prstGeom prst="rect">
                        <a:avLst/>
                      </a:prstGeom>
                      <a:noFill/>
                    </wps:spPr>
                    <wps:txbx>
                      <w:txbxContent>
                        <w:p w:rsidR="00C62965" w:rsidP="00970975" w14:textId="77777777">
                          <w:pPr>
                            <w:pStyle w:val="Referentiegegevensbold"/>
                          </w:pPr>
                          <w:r>
                            <w:t xml:space="preserve">DG Openbaar Bestuur &amp; </w:t>
                          </w:r>
                          <w:r>
                            <w:t>Democr</w:t>
                          </w:r>
                          <w:r>
                            <w:t xml:space="preserve"> Rechtsstaat</w:t>
                          </w:r>
                          <w:r w:rsidR="00970975">
                            <w:br/>
                          </w:r>
                          <w:r w:rsidRPr="00970975">
                            <w:rPr>
                              <w:b w:val="0"/>
                              <w:bCs/>
                            </w:rPr>
                            <w:t>DGOBDR-CZW-Constitutionele Zaken</w:t>
                          </w:r>
                        </w:p>
                        <w:p w:rsidR="00C62965" w14:textId="77777777">
                          <w:pPr>
                            <w:pStyle w:val="Referentiegegevens"/>
                          </w:pPr>
                          <w:r w:rsidRPr="00970975">
                            <w:t>Turfmarkt 147</w:t>
                          </w:r>
                          <w:r w:rsidRPr="00970975" w:rsidR="00970975">
                            <w:br/>
                          </w:r>
                          <w:r w:rsidRPr="00970975">
                            <w:t>2511 DP Den Haag</w:t>
                          </w:r>
                          <w:r w:rsidRPr="00970975" w:rsidR="00970975">
                            <w:br/>
                          </w:r>
                          <w:r w:rsidRPr="00970975">
                            <w:t>Postbus 20011</w:t>
                          </w:r>
                          <w:r w:rsidRPr="00970975" w:rsidR="00970975">
                            <w:br/>
                          </w:r>
                          <w:r>
                            <w:t>2500 EA  Den Haag</w:t>
                          </w:r>
                        </w:p>
                        <w:p w:rsidR="00CB4795" w14:textId="77777777">
                          <w:pPr>
                            <w:pStyle w:val="Referentiegegevensbold"/>
                          </w:pPr>
                          <w:r>
                            <w:t>Onze referentie</w:t>
                          </w:r>
                          <w:r>
                            <w:br/>
                          </w:r>
                          <w:r>
                            <w:rPr>
                              <w:b w:val="0"/>
                              <w:bCs/>
                            </w:rPr>
                            <w:fldChar w:fldCharType="begin"/>
                          </w:r>
                          <w:r>
                            <w:rPr>
                              <w:b w:val="0"/>
                              <w:bCs/>
                            </w:rPr>
                            <w:instrText xml:space="preserve"> DOCPROPERTY  "Kenmerk"  \* MERGEFORMAT </w:instrText>
                          </w:r>
                          <w:r>
                            <w:rPr>
                              <w:b w:val="0"/>
                              <w:bCs/>
                            </w:rPr>
                            <w:fldChar w:fldCharType="separate"/>
                          </w:r>
                          <w:r w:rsidRPr="00701CEB" w:rsidR="00701CEB">
                            <w:t>2026-0000181556</w:t>
                          </w:r>
                          <w:r>
                            <w:fldChar w:fldCharType="end"/>
                          </w:r>
                        </w:p>
                        <w:p w:rsidR="00C62965" w:rsidP="00970975" w14:textId="77777777">
                          <w:pPr>
                            <w:pStyle w:val="Referentiegegevensbold"/>
                          </w:pPr>
                          <w:r>
                            <w:t>Uw referentie</w:t>
                          </w:r>
                          <w:r w:rsidR="00970975">
                            <w:br/>
                          </w:r>
                          <w:r w:rsidRPr="00970975">
                            <w:rPr>
                              <w:b w:val="0"/>
                              <w:bCs/>
                            </w:rPr>
                            <w:t>2026Z06485</w:t>
                          </w:r>
                        </w:p>
                        <w:p w:rsidR="00C62965" w14:textId="77777777">
                          <w:pPr>
                            <w:pStyle w:val="WitregelW2"/>
                          </w:pPr>
                        </w:p>
                        <w:p w:rsidR="00C62965" w14:textId="77777777"/>
                      </w:txbxContent>
                    </wps:txbx>
                    <wps:bodyPr vert="horz" wrap="square" lIns="0" tIns="0" rIns="0" bIns="0" anchor="t" anchorCtr="0"/>
                  </wps:wsp>
                </a:graphicData>
              </a:graphic>
            </wp:anchor>
          </w:drawing>
        </mc:Choice>
        <mc:Fallback>
          <w:pict>
            <v:shape id="46feec20-aa3c-11ea-a756-beb5f67e67be" o:spid="_x0000_s2054" type="#_x0000_t202" alt="Colofon" style="width:100.6pt;height:630.7pt;margin-top:154.75pt;margin-left:466.25pt;mso-position-horizontal-relative:page;mso-wrap-distance-bottom:0;mso-wrap-distance-left:0;mso-wrap-distance-right:0;mso-wrap-distance-top:0;mso-wrap-style:square;position:absolute;v-text-anchor:top;visibility:visible;z-index:251669504" filled="f" stroked="f">
              <v:textbox inset="0,0,0,0">
                <w:txbxContent>
                  <w:p w:rsidR="00C62965" w:rsidP="00970975" w14:paraId="0B292EEC" w14:textId="77777777">
                    <w:pPr>
                      <w:pStyle w:val="Referentiegegevensbold"/>
                    </w:pPr>
                    <w:r>
                      <w:t xml:space="preserve">DG Openbaar Bestuur &amp; </w:t>
                    </w:r>
                    <w:r>
                      <w:t>Democr</w:t>
                    </w:r>
                    <w:r>
                      <w:t xml:space="preserve"> Rechtsstaat</w:t>
                    </w:r>
                    <w:r w:rsidR="00970975">
                      <w:br/>
                    </w:r>
                    <w:r w:rsidRPr="00970975">
                      <w:rPr>
                        <w:b w:val="0"/>
                        <w:bCs/>
                      </w:rPr>
                      <w:t>DGOBDR-CZW-Constitutionele Zaken</w:t>
                    </w:r>
                  </w:p>
                  <w:p w:rsidR="00C62965" w14:paraId="45F9D4B2" w14:textId="77777777">
                    <w:pPr>
                      <w:pStyle w:val="Referentiegegevens"/>
                    </w:pPr>
                    <w:r w:rsidRPr="00970975">
                      <w:t>Turfmarkt 147</w:t>
                    </w:r>
                    <w:r w:rsidRPr="00970975" w:rsidR="00970975">
                      <w:br/>
                    </w:r>
                    <w:r w:rsidRPr="00970975">
                      <w:t>2511 DP Den Haag</w:t>
                    </w:r>
                    <w:r w:rsidRPr="00970975" w:rsidR="00970975">
                      <w:br/>
                    </w:r>
                    <w:r w:rsidRPr="00970975">
                      <w:t>Postbus 20011</w:t>
                    </w:r>
                    <w:r w:rsidRPr="00970975" w:rsidR="00970975">
                      <w:br/>
                    </w:r>
                    <w:r>
                      <w:t>2500 EA  Den Haag</w:t>
                    </w:r>
                  </w:p>
                  <w:p w:rsidR="00CB4795" w14:paraId="1C619D03" w14:textId="77777777">
                    <w:pPr>
                      <w:pStyle w:val="Referentiegegevensbold"/>
                    </w:pPr>
                    <w:r>
                      <w:t>Onze referentie</w:t>
                    </w:r>
                    <w:r>
                      <w:br/>
                    </w:r>
                    <w:r>
                      <w:rPr>
                        <w:b w:val="0"/>
                        <w:bCs/>
                      </w:rPr>
                      <w:fldChar w:fldCharType="begin"/>
                    </w:r>
                    <w:r>
                      <w:rPr>
                        <w:b w:val="0"/>
                        <w:bCs/>
                      </w:rPr>
                      <w:instrText xml:space="preserve"> DOCPROPERTY  "Kenmerk"  \* MERGEFORMAT </w:instrText>
                    </w:r>
                    <w:r>
                      <w:rPr>
                        <w:b w:val="0"/>
                        <w:bCs/>
                      </w:rPr>
                      <w:fldChar w:fldCharType="separate"/>
                    </w:r>
                    <w:r w:rsidRPr="00701CEB" w:rsidR="00701CEB">
                      <w:t>2026-0000181556</w:t>
                    </w:r>
                    <w:r>
                      <w:fldChar w:fldCharType="end"/>
                    </w:r>
                  </w:p>
                  <w:p w:rsidR="00C62965" w:rsidP="00970975" w14:paraId="67D14897" w14:textId="77777777">
                    <w:pPr>
                      <w:pStyle w:val="Referentiegegevensbold"/>
                    </w:pPr>
                    <w:r>
                      <w:t>Uw referentie</w:t>
                    </w:r>
                    <w:r w:rsidR="00970975">
                      <w:br/>
                    </w:r>
                    <w:r w:rsidRPr="00970975">
                      <w:rPr>
                        <w:b w:val="0"/>
                        <w:bCs/>
                      </w:rPr>
                      <w:t>2026Z06485</w:t>
                    </w:r>
                  </w:p>
                  <w:p w:rsidR="00C62965" w14:paraId="62DAB427" w14:textId="77777777">
                    <w:pPr>
                      <w:pStyle w:val="WitregelW2"/>
                    </w:pPr>
                  </w:p>
                  <w:p w:rsidR="00C62965" w14:paraId="7B3E1A33" w14:textId="77777777"/>
                </w:txbxContent>
              </v:textbox>
              <w10:anchorlock/>
            </v:shape>
          </w:pict>
        </mc:Fallback>
      </mc:AlternateContent>
    </w:r>
    <w:r>
      <w:rPr>
        <w:noProof/>
      </w:rPr>
      <mc:AlternateContent>
        <mc:Choice Requires="wps">
          <w:drawing>
            <wp:anchor distT="0" distB="0" distL="0" distR="0" simplePos="0" relativeHeight="251670528" behindDoc="0" locked="1" layoutInCell="1" allowOverlap="1">
              <wp:simplePos x="0" y="0"/>
              <wp:positionH relativeFrom="page">
                <wp:posOffset>1007744</wp:posOffset>
              </wp:positionH>
              <wp:positionV relativeFrom="paragraph">
                <wp:posOffset>10194925</wp:posOffset>
              </wp:positionV>
              <wp:extent cx="4787900" cy="161925"/>
              <wp:effectExtent l="0" t="0" r="0" b="0"/>
              <wp:wrapNone/>
              <wp:docPr id="7" name="46feec6f-aa3c-11ea-a756-beb5f67e67be" descr="Voettekst"/>
              <wp:cNvGraphicFramePr/>
              <a:graphic xmlns:a="http://schemas.openxmlformats.org/drawingml/2006/main">
                <a:graphicData uri="http://schemas.microsoft.com/office/word/2010/wordprocessingShape">
                  <wps:wsp xmlns:wps="http://schemas.microsoft.com/office/word/2010/wordprocessingShape">
                    <wps:cNvSpPr txBox="1"/>
                    <wps:spPr>
                      <a:xfrm>
                        <a:off x="0" y="0"/>
                        <a:ext cx="4787900" cy="161925"/>
                      </a:xfrm>
                      <a:prstGeom prst="rect">
                        <a:avLst/>
                      </a:prstGeom>
                      <a:noFill/>
                    </wps:spPr>
                    <wps:txbx>
                      <w:txbxContent>
                        <w:p w:rsidR="007B5057" w14:textId="77777777"/>
                      </w:txbxContent>
                    </wps:txbx>
                    <wps:bodyPr vert="horz" wrap="square" lIns="0" tIns="0" rIns="0" bIns="0" anchor="t" anchorCtr="0"/>
                  </wps:wsp>
                </a:graphicData>
              </a:graphic>
            </wp:anchor>
          </w:drawing>
        </mc:Choice>
        <mc:Fallback>
          <w:pict>
            <v:shape id="46feec6f-aa3c-11ea-a756-beb5f67e67be" o:spid="_x0000_s2055" type="#_x0000_t202" alt="Voettekst" style="width:377pt;height:12.75pt;margin-top:802.75pt;margin-left:79.35pt;mso-position-horizontal-relative:page;mso-wrap-distance-bottom:0;mso-wrap-distance-left:0;mso-wrap-distance-right:0;mso-wrap-distance-top:0;mso-wrap-style:square;position:absolute;v-text-anchor:top;visibility:visible;z-index:251671552" filled="f" stroked="f">
              <v:textbox inset="0,0,0,0">
                <w:txbxContent>
                  <w:p w:rsidR="007B5057" w14:paraId="04B8787A" w14:textId="77777777"/>
                </w:txbxContent>
              </v:textbox>
              <w10:anchorlock/>
            </v:shape>
          </w:pict>
        </mc:Fallback>
      </mc:AlternateContent>
    </w:r>
    <w:r>
      <w:rPr>
        <w:noProof/>
      </w:rPr>
      <mc:AlternateContent>
        <mc:Choice Requires="wps">
          <w:drawing>
            <wp:anchor distT="0" distB="0" distL="0" distR="0" simplePos="0" relativeHeight="251672576" behindDoc="0" locked="1" layoutInCell="1" allowOverlap="1">
              <wp:simplePos x="0" y="0"/>
              <wp:positionH relativeFrom="page">
                <wp:posOffset>5921375</wp:posOffset>
              </wp:positionH>
              <wp:positionV relativeFrom="paragraph">
                <wp:posOffset>10194925</wp:posOffset>
              </wp:positionV>
              <wp:extent cx="1285875" cy="161290"/>
              <wp:effectExtent l="0" t="0" r="0" b="0"/>
              <wp:wrapNone/>
              <wp:docPr id="8" name="46feecbe-aa3c-11ea-a756-beb5f67e67be" descr="Paginanummering"/>
              <wp:cNvGraphicFramePr/>
              <a:graphic xmlns:a="http://schemas.openxmlformats.org/drawingml/2006/main">
                <a:graphicData uri="http://schemas.microsoft.com/office/word/2010/wordprocessingShape">
                  <wps:wsp xmlns:wps="http://schemas.microsoft.com/office/word/2010/wordprocessingShape">
                    <wps:cNvSpPr txBox="1"/>
                    <wps:spPr>
                      <a:xfrm>
                        <a:off x="0" y="0"/>
                        <a:ext cx="1285875" cy="161290"/>
                      </a:xfrm>
                      <a:prstGeom prst="rect">
                        <a:avLst/>
                      </a:prstGeom>
                      <a:noFill/>
                    </wps:spPr>
                    <wps:txbx>
                      <w:txbxContent>
                        <w:p w:rsidR="00CB4795" w14:textId="77777777">
                          <w:pPr>
                            <w:pStyle w:val="Referentiegegevens"/>
                          </w:pPr>
                          <w:r>
                            <w:t xml:space="preserve">Pagina </w:t>
                          </w:r>
                          <w:r>
                            <w:fldChar w:fldCharType="begin"/>
                          </w:r>
                          <w:r>
                            <w:instrText>PAGE</w:instrText>
                          </w:r>
                          <w:r>
                            <w:fldChar w:fldCharType="separate"/>
                          </w:r>
                          <w:r>
                            <w:t>1</w:t>
                          </w:r>
                          <w:r>
                            <w:fldChar w:fldCharType="end"/>
                          </w:r>
                          <w:r>
                            <w:t xml:space="preserve"> van </w:t>
                          </w:r>
                          <w:r>
                            <w:fldChar w:fldCharType="begin"/>
                          </w:r>
                          <w:r>
                            <w:instrText>NUMPAGES</w:instrText>
                          </w:r>
                          <w:r>
                            <w:fldChar w:fldCharType="separate"/>
                          </w:r>
                          <w:r>
                            <w:t>1</w:t>
                          </w:r>
                          <w:r>
                            <w:fldChar w:fldCharType="end"/>
                          </w:r>
                        </w:p>
                      </w:txbxContent>
                    </wps:txbx>
                    <wps:bodyPr vert="horz" wrap="square" lIns="0" tIns="0" rIns="0" bIns="0" anchor="t" anchorCtr="0"/>
                  </wps:wsp>
                </a:graphicData>
              </a:graphic>
            </wp:anchor>
          </w:drawing>
        </mc:Choice>
        <mc:Fallback>
          <w:pict>
            <v:shape id="46feecbe-aa3c-11ea-a756-beb5f67e67be" o:spid="_x0000_s2056" type="#_x0000_t202" alt="Paginanummering" style="width:101.25pt;height:12.7pt;margin-top:802.75pt;margin-left:466.25pt;mso-position-horizontal-relative:page;mso-wrap-distance-bottom:0;mso-wrap-distance-left:0;mso-wrap-distance-right:0;mso-wrap-distance-top:0;mso-wrap-style:square;position:absolute;v-text-anchor:top;visibility:visible;z-index:251673600" filled="f" stroked="f">
              <v:textbox inset="0,0,0,0">
                <w:txbxContent>
                  <w:p w:rsidR="00CB4795" w14:paraId="79DB04C6" w14:textId="77777777">
                    <w:pPr>
                      <w:pStyle w:val="Referentiegegevens"/>
                    </w:pPr>
                    <w:r>
                      <w:t xml:space="preserve">Pagina </w:t>
                    </w:r>
                    <w:r>
                      <w:fldChar w:fldCharType="begin"/>
                    </w:r>
                    <w:r>
                      <w:instrText>PAGE</w:instrText>
                    </w:r>
                    <w:r>
                      <w:fldChar w:fldCharType="separate"/>
                    </w:r>
                    <w:r>
                      <w:t>1</w:t>
                    </w:r>
                    <w:r>
                      <w:fldChar w:fldCharType="end"/>
                    </w:r>
                    <w:r>
                      <w:t xml:space="preserve"> van </w:t>
                    </w:r>
                    <w:r>
                      <w:fldChar w:fldCharType="begin"/>
                    </w:r>
                    <w:r>
                      <w:instrText>NUMPAGES</w:instrText>
                    </w:r>
                    <w:r>
                      <w:fldChar w:fldCharType="separate"/>
                    </w:r>
                    <w:r>
                      <w:t>1</w:t>
                    </w:r>
                    <w:r>
                      <w:fldChar w:fldCharType="end"/>
                    </w:r>
                  </w:p>
                </w:txbxContent>
              </v:textbox>
              <w10:anchorlock/>
            </v:shape>
          </w:pict>
        </mc:Fallback>
      </mc:AlternateContent>
    </w:r>
    <w:r>
      <w:rPr>
        <w:noProof/>
      </w:rPr>
      <mc:AlternateContent>
        <mc:Choice Requires="wps">
          <w:drawing>
            <wp:anchor distT="0" distB="0" distL="0" distR="0" simplePos="0" relativeHeight="251674624" behindDoc="0" locked="1" layoutInCell="1" allowOverlap="1">
              <wp:simplePos x="0" y="0"/>
              <wp:positionH relativeFrom="page">
                <wp:posOffset>3545840</wp:posOffset>
              </wp:positionH>
              <wp:positionV relativeFrom="paragraph">
                <wp:posOffset>0</wp:posOffset>
              </wp:positionV>
              <wp:extent cx="467995" cy="1583055"/>
              <wp:effectExtent l="0" t="0" r="0" b="0"/>
              <wp:wrapNone/>
              <wp:docPr id="9" name="46feed0e-aa3c-11ea-a756-beb5f67e67be" descr="Container voor beeldmerk"/>
              <wp:cNvGraphicFramePr/>
              <a:graphic xmlns:a="http://schemas.openxmlformats.org/drawingml/2006/main">
                <a:graphicData uri="http://schemas.microsoft.com/office/word/2010/wordprocessingShape">
                  <wps:wsp xmlns:wps="http://schemas.microsoft.com/office/word/2010/wordprocessingShape">
                    <wps:cNvSpPr txBox="1"/>
                    <wps:spPr>
                      <a:xfrm>
                        <a:off x="0" y="0"/>
                        <a:ext cx="467995" cy="1583055"/>
                      </a:xfrm>
                      <a:prstGeom prst="rect">
                        <a:avLst/>
                      </a:prstGeom>
                      <a:noFill/>
                    </wps:spPr>
                    <wps:txbx>
                      <w:txbxContent>
                        <w:p w:rsidR="00C62965" w14:textId="77777777">
                          <w:pPr>
                            <w:spacing w:line="240" w:lineRule="auto"/>
                          </w:pPr>
                          <w:r>
                            <w:rPr>
                              <w:noProof/>
                            </w:rPr>
                            <w:drawing>
                              <wp:inline distT="0" distB="0" distL="0" distR="0">
                                <wp:extent cx="467995" cy="1583865"/>
                                <wp:effectExtent l="0" t="0" r="0" b="0"/>
                                <wp:docPr id="1376607518" name="Logo" descr="Rijkslint, logo van de Rijksoverheid (blauw)"/>
                                <wp:cNvGraphicFramePr/>
                                <a:graphic xmlns:a="http://schemas.openxmlformats.org/drawingml/2006/main">
                                  <a:graphicData uri="http://schemas.openxmlformats.org/drawingml/2006/picture">
                                    <pic:pic xmlns:pic="http://schemas.openxmlformats.org/drawingml/2006/picture">
                                      <pic:nvPicPr>
                                        <pic:cNvPr id="1376607518" name="Logo"/>
                                        <pic:cNvPicPr/>
                                      </pic:nvPicPr>
                                      <pic:blipFill>
                                        <a:blip xmlns:r="http://schemas.openxmlformats.org/officeDocument/2006/relationships" r:embed="rId1"/>
                                        <a:stretch>
                                          <a:fillRect/>
                                        </a:stretch>
                                      </pic:blipFill>
                                      <pic:spPr bwMode="auto">
                                        <a:xfrm>
                                          <a:off x="0" y="0"/>
                                          <a:ext cx="467995" cy="1583865"/>
                                        </a:xfrm>
                                        <a:prstGeom prst="rect">
                                          <a:avLst/>
                                        </a:prstGeom>
                                      </pic:spPr>
                                    </pic:pic>
                                  </a:graphicData>
                                </a:graphic>
                              </wp:inline>
                            </w:drawing>
                          </w:r>
                        </w:p>
                      </w:txbxContent>
                    </wps:txbx>
                    <wps:bodyPr vert="horz" wrap="square" lIns="0" tIns="0" rIns="0" bIns="0" anchor="t" anchorCtr="0"/>
                  </wps:wsp>
                </a:graphicData>
              </a:graphic>
            </wp:anchor>
          </w:drawing>
        </mc:Choice>
        <mc:Fallback>
          <w:pict>
            <v:shape id="46feed0e-aa3c-11ea-a756-beb5f67e67be" o:spid="_x0000_s2057" type="#_x0000_t202" alt="Container voor beeldmerk" style="width:36.85pt;height:124.65pt;margin-top:0;margin-left:279.2pt;mso-position-horizontal-relative:page;mso-wrap-distance-bottom:0;mso-wrap-distance-left:0;mso-wrap-distance-right:0;mso-wrap-distance-top:0;mso-wrap-style:square;position:absolute;v-text-anchor:top;visibility:visible;z-index:251675648" filled="f" stroked="f">
              <v:textbox inset="0,0,0,0">
                <w:txbxContent>
                  <w:p w:rsidR="00C62965" w14:paraId="279A85D5" w14:textId="77777777">
                    <w:pPr>
                      <w:spacing w:line="240" w:lineRule="auto"/>
                    </w:pPr>
                    <w:drawing>
                      <wp:inline distT="0" distB="0" distL="0" distR="0">
                        <wp:extent cx="467995" cy="1583865"/>
                        <wp:effectExtent l="0" t="0" r="0" b="0"/>
                        <wp:docPr id="63384277" name="Logo" descr="Rijkslint, logo van de Rijksoverheid (blauw)"/>
                        <wp:cNvGraphicFramePr/>
                        <a:graphic xmlns:a="http://schemas.openxmlformats.org/drawingml/2006/main">
                          <a:graphicData uri="http://schemas.openxmlformats.org/drawingml/2006/picture">
                            <pic:pic xmlns:pic="http://schemas.openxmlformats.org/drawingml/2006/picture">
                              <pic:nvPicPr>
                                <pic:cNvPr id="63384277" name="Logo"/>
                                <pic:cNvPicPr/>
                              </pic:nvPicPr>
                              <pic:blipFill>
                                <a:blip xmlns:r="http://schemas.openxmlformats.org/officeDocument/2006/relationships" r:embed="rId1"/>
                                <a:stretch>
                                  <a:fillRect/>
                                </a:stretch>
                              </pic:blipFill>
                              <pic:spPr bwMode="auto">
                                <a:xfrm>
                                  <a:off x="0" y="0"/>
                                  <a:ext cx="467995" cy="1583865"/>
                                </a:xfrm>
                                <a:prstGeom prst="rect">
                                  <a:avLst/>
                                </a:prstGeom>
                              </pic:spPr>
                            </pic:pic>
                          </a:graphicData>
                        </a:graphic>
                      </wp:inline>
                    </w:drawing>
                  </w:p>
                </w:txbxContent>
              </v:textbox>
              <w10:anchorlock/>
            </v:shape>
          </w:pict>
        </mc:Fallback>
      </mc:AlternateContent>
    </w:r>
    <w:r>
      <w:rPr>
        <w:noProof/>
      </w:rPr>
      <mc:AlternateContent>
        <mc:Choice Requires="wps">
          <w:drawing>
            <wp:anchor distT="0" distB="0" distL="0" distR="0" simplePos="0" relativeHeight="251676672" behindDoc="0" locked="1" layoutInCell="1" allowOverlap="1">
              <wp:simplePos x="0" y="0"/>
              <wp:positionH relativeFrom="page">
                <wp:posOffset>3995420</wp:posOffset>
              </wp:positionH>
              <wp:positionV relativeFrom="paragraph">
                <wp:posOffset>0</wp:posOffset>
              </wp:positionV>
              <wp:extent cx="2339975" cy="1583690"/>
              <wp:effectExtent l="0" t="0" r="0" b="0"/>
              <wp:wrapNone/>
              <wp:docPr id="11" name="46feed67-aa3c-11ea-a756-beb5f67e67be" descr="Container voor woordmerk"/>
              <wp:cNvGraphicFramePr/>
              <a:graphic xmlns:a="http://schemas.openxmlformats.org/drawingml/2006/main">
                <a:graphicData uri="http://schemas.microsoft.com/office/word/2010/wordprocessingShape">
                  <wps:wsp xmlns:wps="http://schemas.microsoft.com/office/word/2010/wordprocessingShape">
                    <wps:cNvSpPr txBox="1"/>
                    <wps:spPr>
                      <a:xfrm>
                        <a:off x="0" y="0"/>
                        <a:ext cx="2339975" cy="1583690"/>
                      </a:xfrm>
                      <a:prstGeom prst="rect">
                        <a:avLst/>
                      </a:prstGeom>
                      <a:noFill/>
                    </wps:spPr>
                    <wps:txbx>
                      <w:txbxContent>
                        <w:p w:rsidR="00C62965" w14:textId="77777777">
                          <w:pPr>
                            <w:spacing w:line="240" w:lineRule="auto"/>
                          </w:pPr>
                          <w:r>
                            <w:rPr>
                              <w:noProof/>
                            </w:rPr>
                            <w:drawing>
                              <wp:inline distT="0" distB="0" distL="0" distR="0">
                                <wp:extent cx="2339975" cy="1582834"/>
                                <wp:effectExtent l="0" t="0" r="0" b="0"/>
                                <wp:docPr id="538863826" name="Logotype" descr="Ministerie van Binnenlandse Zaken en Koninkrijksrelaties"/>
                                <wp:cNvGraphicFramePr/>
                                <a:graphic xmlns:a="http://schemas.openxmlformats.org/drawingml/2006/main">
                                  <a:graphicData uri="http://schemas.openxmlformats.org/drawingml/2006/picture">
                                    <pic:pic xmlns:pic="http://schemas.openxmlformats.org/drawingml/2006/picture">
                                      <pic:nvPicPr>
                                        <pic:cNvPr id="538863826" name="Logotype"/>
                                        <pic:cNvPicPr/>
                                      </pic:nvPicPr>
                                      <pic:blipFill>
                                        <a:blip xmlns:r="http://schemas.openxmlformats.org/officeDocument/2006/relationships" r:embed="rId2"/>
                                        <a:stretch>
                                          <a:fillRect/>
                                        </a:stretch>
                                      </pic:blipFill>
                                      <pic:spPr bwMode="auto">
                                        <a:xfrm>
                                          <a:off x="0" y="0"/>
                                          <a:ext cx="2339975" cy="1582834"/>
                                        </a:xfrm>
                                        <a:prstGeom prst="rect">
                                          <a:avLst/>
                                        </a:prstGeom>
                                      </pic:spPr>
                                    </pic:pic>
                                  </a:graphicData>
                                </a:graphic>
                              </wp:inline>
                            </w:drawing>
                          </w:r>
                        </w:p>
                      </w:txbxContent>
                    </wps:txbx>
                    <wps:bodyPr vert="horz" wrap="square" lIns="0" tIns="0" rIns="0" bIns="0" anchor="t" anchorCtr="0"/>
                  </wps:wsp>
                </a:graphicData>
              </a:graphic>
            </wp:anchor>
          </w:drawing>
        </mc:Choice>
        <mc:Fallback>
          <w:pict>
            <v:shape id="46feed67-aa3c-11ea-a756-beb5f67e67be" o:spid="_x0000_s2058" type="#_x0000_t202" alt="Container voor woordmerk" style="width:184.25pt;height:124.7pt;margin-top:0;margin-left:314.6pt;mso-position-horizontal-relative:page;mso-wrap-distance-bottom:0;mso-wrap-distance-left:0;mso-wrap-distance-right:0;mso-wrap-distance-top:0;mso-wrap-style:square;position:absolute;v-text-anchor:top;visibility:visible;z-index:251677696" filled="f" stroked="f">
              <v:textbox inset="0,0,0,0">
                <w:txbxContent>
                  <w:p w:rsidR="00C62965" w14:paraId="01D610AC" w14:textId="77777777">
                    <w:pPr>
                      <w:spacing w:line="240" w:lineRule="auto"/>
                    </w:pPr>
                    <w:drawing>
                      <wp:inline distT="0" distB="0" distL="0" distR="0">
                        <wp:extent cx="2339975" cy="1582834"/>
                        <wp:effectExtent l="0" t="0" r="0" b="0"/>
                        <wp:docPr id="1551453074" name="Logotype" descr="Ministerie van Binnenlandse Zaken en Koninkrijksrelaties"/>
                        <wp:cNvGraphicFramePr/>
                        <a:graphic xmlns:a="http://schemas.openxmlformats.org/drawingml/2006/main">
                          <a:graphicData uri="http://schemas.openxmlformats.org/drawingml/2006/picture">
                            <pic:pic xmlns:pic="http://schemas.openxmlformats.org/drawingml/2006/picture">
                              <pic:nvPicPr>
                                <pic:cNvPr id="1551453074" name="Logotype"/>
                                <pic:cNvPicPr/>
                              </pic:nvPicPr>
                              <pic:blipFill>
                                <a:blip xmlns:r="http://schemas.openxmlformats.org/officeDocument/2006/relationships" r:embed="rId2"/>
                                <a:stretch>
                                  <a:fillRect/>
                                </a:stretch>
                              </pic:blipFill>
                              <pic:spPr bwMode="auto">
                                <a:xfrm>
                                  <a:off x="0" y="0"/>
                                  <a:ext cx="2339975" cy="1582834"/>
                                </a:xfrm>
                                <a:prstGeom prst="rect">
                                  <a:avLst/>
                                </a:prstGeom>
                              </pic:spPr>
                            </pic:pic>
                          </a:graphicData>
                        </a:graphic>
                      </wp:inline>
                    </w:drawing>
                  </w:p>
                </w:txbxContent>
              </v:textbox>
              <w10:anchorlock/>
            </v:shape>
          </w:pict>
        </mc:Fallback>
      </mc:AlternateContent>
    </w:r>
    <w:r>
      <w:rPr>
        <w:noProof/>
      </w:rPr>
      <mc:AlternateContent>
        <mc:Choice Requires="wps">
          <w:drawing>
            <wp:anchor distT="0" distB="0" distL="0" distR="0" simplePos="0" relativeHeight="251678720" behindDoc="0" locked="1" layoutInCell="1" allowOverlap="1">
              <wp:simplePos x="0" y="0"/>
              <wp:positionH relativeFrom="page">
                <wp:posOffset>1010919</wp:posOffset>
              </wp:positionH>
              <wp:positionV relativeFrom="paragraph">
                <wp:posOffset>1720214</wp:posOffset>
              </wp:positionV>
              <wp:extent cx="4787900" cy="161925"/>
              <wp:effectExtent l="0" t="0" r="0" b="0"/>
              <wp:wrapNone/>
              <wp:docPr id="13" name="5920b9fb-d041-4aa9-8d80-26b233cc0f6e"/>
              <wp:cNvGraphicFramePr/>
              <a:graphic xmlns:a="http://schemas.openxmlformats.org/drawingml/2006/main">
                <a:graphicData uri="http://schemas.microsoft.com/office/word/2010/wordprocessingShape">
                  <wps:wsp xmlns:wps="http://schemas.microsoft.com/office/word/2010/wordprocessingShape">
                    <wps:cNvSpPr txBox="1"/>
                    <wps:spPr>
                      <a:xfrm>
                        <a:off x="0" y="0"/>
                        <a:ext cx="4787900" cy="161925"/>
                      </a:xfrm>
                      <a:prstGeom prst="rect">
                        <a:avLst/>
                      </a:prstGeom>
                      <a:noFill/>
                    </wps:spPr>
                    <wps:txbx>
                      <w:txbxContent>
                        <w:p w:rsidR="00C62965" w14:textId="77777777">
                          <w:pPr>
                            <w:pStyle w:val="Referentiegegevens"/>
                          </w:pPr>
                          <w:r>
                            <w:t>&gt; Retouradres Postbus 20011 2500 EA  Den Haag</w:t>
                          </w:r>
                        </w:p>
                      </w:txbxContent>
                    </wps:txbx>
                    <wps:bodyPr vert="horz" wrap="square" lIns="0" tIns="0" rIns="0" bIns="0" anchor="t" anchorCtr="0"/>
                  </wps:wsp>
                </a:graphicData>
              </a:graphic>
            </wp:anchor>
          </w:drawing>
        </mc:Choice>
        <mc:Fallback>
          <w:pict>
            <v:shape id="5920b9fb-d041-4aa9-8d80-26b233cc0f6e" o:spid="_x0000_s2059" type="#_x0000_t202" style="width:377pt;height:12.75pt;margin-top:135.45pt;margin-left:79.6pt;mso-position-horizontal-relative:page;mso-wrap-distance-bottom:0;mso-wrap-distance-left:0;mso-wrap-distance-right:0;mso-wrap-distance-top:0;mso-wrap-style:square;position:absolute;v-text-anchor:top;visibility:visible;z-index:251679744" filled="f" stroked="f">
              <v:textbox inset="0,0,0,0">
                <w:txbxContent>
                  <w:p w:rsidR="00C62965" w14:paraId="1B265B79" w14:textId="77777777">
                    <w:pPr>
                      <w:pStyle w:val="Referentiegegevens"/>
                    </w:pPr>
                    <w:r>
                      <w:t>&gt; Retouradres Postbus 20011 2500 EA  Den Haag</w:t>
                    </w:r>
                  </w:p>
                </w:txbxContent>
              </v:textbox>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8F20EF16"/>
    <w:multiLevelType w:val="multilevel"/>
    <w:tmpl w:val="F159D5C0"/>
    <w:name w:val="Comparitienummering"/>
    <w:lvl w:ilvl="0">
      <w:start w:val="1"/>
      <w:numFmt w:val="decimal"/>
      <w:pStyle w:val="Comparitienummer"/>
      <w:lvlText w:val="%1."/>
      <w:lvlJc w:val="left"/>
      <w:pPr>
        <w:ind w:left="425" w:hanging="425"/>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
    <w:nsid w:val="257DB7A5"/>
    <w:multiLevelType w:val="multilevel"/>
    <w:tmpl w:val="C1C2D3BC"/>
    <w:name w:val="Genummerde lijst"/>
    <w:styleLink w:val="Genummerdelijst"/>
    <w:lvl w:ilvl="0">
      <w:start w:val="1"/>
      <w:numFmt w:val="decimal"/>
      <w:pStyle w:val="Nummering"/>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2">
    <w:nsid w:val="2EB00469"/>
    <w:multiLevelType w:val="multilevel"/>
    <w:tmpl w:val="FDCFD74C"/>
    <w:name w:val="Lijst met opsommingstekens"/>
    <w:styleLink w:val="Lijstmetopsommingstekens"/>
    <w:lvl w:ilvl="0">
      <w:start w:val="1"/>
      <w:numFmt w:val="bullet"/>
      <w:pStyle w:val="Opsomming"/>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
    <w:nsid w:val="7B56A8D9"/>
    <w:multiLevelType w:val="multilevel"/>
    <w:tmpl w:val="3D757BEE"/>
    <w:name w:val="Artikelnummering"/>
    <w:lvl w:ilvl="0">
      <w:start w:val="1"/>
      <w:numFmt w:val="decimal"/>
      <w:pStyle w:val="Artikelnummer"/>
      <w:lvlText w:val="Artikel %1."/>
      <w:lvlJc w:val="left"/>
      <w:pPr>
        <w:ind w:left="1130" w:hanging="1130"/>
      </w:pPr>
    </w:lvl>
    <w:lvl w:ilvl="1">
      <w:start w:val="1"/>
      <w:numFmt w:val="decimal"/>
      <w:pStyle w:val="Lidnummer"/>
      <w:lvlText w:val="%2."/>
      <w:lvlJc w:val="left"/>
      <w:pPr>
        <w:ind w:left="425" w:hanging="425"/>
      </w:pPr>
    </w:lvl>
    <w:lvl w:ilvl="2">
      <w:start w:val="1"/>
      <w:numFmt w:val="lowerLetter"/>
      <w:pStyle w:val="Lidnummerabc"/>
      <w:lvlText w:val="%3."/>
      <w:lvlJc w:val="left"/>
      <w:pPr>
        <w:ind w:left="827" w:hanging="419"/>
      </w:pPr>
    </w:lvl>
    <w:lvl w:ilvl="3">
      <w:start w:val="1"/>
      <w:numFmt w:val="none"/>
      <w:pStyle w:val="Artikelstreepje"/>
      <w:lvlText w:val="-"/>
      <w:lvlJc w:val="left"/>
      <w:pPr>
        <w:ind w:left="357" w:hanging="357"/>
      </w:pPr>
    </w:lvl>
    <w:lvl w:ilvl="4">
      <w:start w:val="1"/>
      <w:numFmt w:val="none"/>
      <w:pStyle w:val="Artikelstreepjeinspringen"/>
      <w:lvlText w:val="-"/>
      <w:lvlJc w:val="left"/>
      <w:pPr>
        <w:ind w:left="827" w:hanging="419"/>
      </w:pPr>
    </w:lvl>
    <w:lvl w:ilvl="5">
      <w:start w:val="1"/>
      <w:numFmt w:val="none"/>
      <w:lvlJc w:val="left"/>
      <w:pPr>
        <w:ind w:left="0" w:firstLine="0"/>
      </w:pPr>
    </w:lvl>
    <w:lvl w:ilvl="6">
      <w:start w:val="1"/>
      <w:numFmt w:val="none"/>
      <w:lvlJc w:val="left"/>
      <w:pPr>
        <w:ind w:left="0" w:firstLine="0"/>
      </w:pPr>
    </w:lvl>
    <w:lvl w:ilvl="7">
      <w:start w:val="1"/>
      <w:numFmt w:val="none"/>
      <w:lvlJc w:val="left"/>
      <w:pPr>
        <w:ind w:left="0" w:firstLine="0"/>
      </w:pPr>
    </w:lvl>
    <w:lvl w:ilvl="8">
      <w:start w:val="1"/>
      <w:numFmt w:val="none"/>
      <w:lvlJc w:val="left"/>
      <w:pPr>
        <w:ind w:left="0" w:firstLine="0"/>
      </w:pPr>
    </w:lvl>
  </w:abstractNum>
  <w:num w:numId="1" w16cid:durableId="2025088703">
    <w:abstractNumId w:val="3"/>
  </w:num>
  <w:num w:numId="2" w16cid:durableId="873930235">
    <w:abstractNumId w:val="0"/>
  </w:num>
  <w:num w:numId="3" w16cid:durableId="516427480">
    <w:abstractNumId w:val="1"/>
  </w:num>
  <w:num w:numId="4" w16cid:durableId="11558797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E16"/>
    <w:rsid w:val="00014F12"/>
    <w:rsid w:val="00020565"/>
    <w:rsid w:val="00020BD9"/>
    <w:rsid w:val="00023D4C"/>
    <w:rsid w:val="00026E11"/>
    <w:rsid w:val="00027D09"/>
    <w:rsid w:val="000411D5"/>
    <w:rsid w:val="0004743F"/>
    <w:rsid w:val="000659FB"/>
    <w:rsid w:val="0008416B"/>
    <w:rsid w:val="00085DB5"/>
    <w:rsid w:val="000A7E16"/>
    <w:rsid w:val="000D757F"/>
    <w:rsid w:val="000E2FAC"/>
    <w:rsid w:val="00111800"/>
    <w:rsid w:val="00115C75"/>
    <w:rsid w:val="00122E4D"/>
    <w:rsid w:val="00125EA4"/>
    <w:rsid w:val="001262FF"/>
    <w:rsid w:val="001301C8"/>
    <w:rsid w:val="00146F6A"/>
    <w:rsid w:val="00151B31"/>
    <w:rsid w:val="00154928"/>
    <w:rsid w:val="001610AF"/>
    <w:rsid w:val="00174914"/>
    <w:rsid w:val="00175AA6"/>
    <w:rsid w:val="00181426"/>
    <w:rsid w:val="00191B00"/>
    <w:rsid w:val="001A0D6D"/>
    <w:rsid w:val="001D2A91"/>
    <w:rsid w:val="001D33AA"/>
    <w:rsid w:val="001D3812"/>
    <w:rsid w:val="001D66DF"/>
    <w:rsid w:val="001F4A06"/>
    <w:rsid w:val="00202310"/>
    <w:rsid w:val="002160F8"/>
    <w:rsid w:val="002218B8"/>
    <w:rsid w:val="00223CBA"/>
    <w:rsid w:val="00241A47"/>
    <w:rsid w:val="00255C9C"/>
    <w:rsid w:val="00261160"/>
    <w:rsid w:val="00292D57"/>
    <w:rsid w:val="002938F6"/>
    <w:rsid w:val="00294137"/>
    <w:rsid w:val="002A320E"/>
    <w:rsid w:val="002B0706"/>
    <w:rsid w:val="002D357B"/>
    <w:rsid w:val="002E2D00"/>
    <w:rsid w:val="002F1371"/>
    <w:rsid w:val="002F1D31"/>
    <w:rsid w:val="003375A9"/>
    <w:rsid w:val="00363417"/>
    <w:rsid w:val="0036351E"/>
    <w:rsid w:val="00367B91"/>
    <w:rsid w:val="003835C8"/>
    <w:rsid w:val="003903CD"/>
    <w:rsid w:val="003B20B1"/>
    <w:rsid w:val="003B5DA1"/>
    <w:rsid w:val="003D271B"/>
    <w:rsid w:val="003E54AB"/>
    <w:rsid w:val="0040151C"/>
    <w:rsid w:val="00407C13"/>
    <w:rsid w:val="00413FBA"/>
    <w:rsid w:val="00433452"/>
    <w:rsid w:val="004412B9"/>
    <w:rsid w:val="00456442"/>
    <w:rsid w:val="004601F2"/>
    <w:rsid w:val="0046679B"/>
    <w:rsid w:val="00486D5E"/>
    <w:rsid w:val="00494ADF"/>
    <w:rsid w:val="004950D2"/>
    <w:rsid w:val="004B0313"/>
    <w:rsid w:val="004C37DC"/>
    <w:rsid w:val="004C65C1"/>
    <w:rsid w:val="004D0C6F"/>
    <w:rsid w:val="005057F8"/>
    <w:rsid w:val="005061A4"/>
    <w:rsid w:val="00507D50"/>
    <w:rsid w:val="0053269E"/>
    <w:rsid w:val="0053321D"/>
    <w:rsid w:val="00552CF3"/>
    <w:rsid w:val="005577FD"/>
    <w:rsid w:val="00573AC4"/>
    <w:rsid w:val="00573BF8"/>
    <w:rsid w:val="005836B8"/>
    <w:rsid w:val="005A0CDA"/>
    <w:rsid w:val="005A6A20"/>
    <w:rsid w:val="005A6F4E"/>
    <w:rsid w:val="005C3498"/>
    <w:rsid w:val="005E6CB9"/>
    <w:rsid w:val="006032E2"/>
    <w:rsid w:val="00616CC1"/>
    <w:rsid w:val="00620660"/>
    <w:rsid w:val="00621422"/>
    <w:rsid w:val="006228EC"/>
    <w:rsid w:val="00623D19"/>
    <w:rsid w:val="00625458"/>
    <w:rsid w:val="00626997"/>
    <w:rsid w:val="00627E4B"/>
    <w:rsid w:val="0063581F"/>
    <w:rsid w:val="006402F1"/>
    <w:rsid w:val="00641E5D"/>
    <w:rsid w:val="00647585"/>
    <w:rsid w:val="00651E47"/>
    <w:rsid w:val="0068079D"/>
    <w:rsid w:val="00684633"/>
    <w:rsid w:val="006A6E76"/>
    <w:rsid w:val="006C176D"/>
    <w:rsid w:val="006C4B93"/>
    <w:rsid w:val="006E6123"/>
    <w:rsid w:val="006F4356"/>
    <w:rsid w:val="00701CEB"/>
    <w:rsid w:val="00707FC1"/>
    <w:rsid w:val="00715A80"/>
    <w:rsid w:val="007160A4"/>
    <w:rsid w:val="00720931"/>
    <w:rsid w:val="007320D4"/>
    <w:rsid w:val="007372BD"/>
    <w:rsid w:val="00737796"/>
    <w:rsid w:val="0077007F"/>
    <w:rsid w:val="00775D1E"/>
    <w:rsid w:val="00776FA3"/>
    <w:rsid w:val="007850D9"/>
    <w:rsid w:val="007A3572"/>
    <w:rsid w:val="007A5B83"/>
    <w:rsid w:val="007B5057"/>
    <w:rsid w:val="007B7721"/>
    <w:rsid w:val="007D0C77"/>
    <w:rsid w:val="007D5DAA"/>
    <w:rsid w:val="007F46BF"/>
    <w:rsid w:val="007F4F6F"/>
    <w:rsid w:val="00826850"/>
    <w:rsid w:val="00827C60"/>
    <w:rsid w:val="00832841"/>
    <w:rsid w:val="008352AD"/>
    <w:rsid w:val="008358E1"/>
    <w:rsid w:val="0084772B"/>
    <w:rsid w:val="008624F6"/>
    <w:rsid w:val="00862CA9"/>
    <w:rsid w:val="00871C5B"/>
    <w:rsid w:val="00881A03"/>
    <w:rsid w:val="00891614"/>
    <w:rsid w:val="008B56F6"/>
    <w:rsid w:val="008C021C"/>
    <w:rsid w:val="008C2D7E"/>
    <w:rsid w:val="008C4B97"/>
    <w:rsid w:val="008D4671"/>
    <w:rsid w:val="008F4F75"/>
    <w:rsid w:val="009023A6"/>
    <w:rsid w:val="009034EF"/>
    <w:rsid w:val="009155B7"/>
    <w:rsid w:val="00915A4B"/>
    <w:rsid w:val="00916BA6"/>
    <w:rsid w:val="00922612"/>
    <w:rsid w:val="00924EBB"/>
    <w:rsid w:val="0093373B"/>
    <w:rsid w:val="00934199"/>
    <w:rsid w:val="009432BA"/>
    <w:rsid w:val="00943490"/>
    <w:rsid w:val="009615F9"/>
    <w:rsid w:val="00964FB5"/>
    <w:rsid w:val="00970975"/>
    <w:rsid w:val="00970AE9"/>
    <w:rsid w:val="009877BE"/>
    <w:rsid w:val="009A425C"/>
    <w:rsid w:val="009A712F"/>
    <w:rsid w:val="009A78DA"/>
    <w:rsid w:val="009D478E"/>
    <w:rsid w:val="009D721F"/>
    <w:rsid w:val="009F1549"/>
    <w:rsid w:val="009F2595"/>
    <w:rsid w:val="00A07D1B"/>
    <w:rsid w:val="00A20AB5"/>
    <w:rsid w:val="00A44BE7"/>
    <w:rsid w:val="00A46D13"/>
    <w:rsid w:val="00A60A52"/>
    <w:rsid w:val="00A629E5"/>
    <w:rsid w:val="00A97236"/>
    <w:rsid w:val="00AF6BA7"/>
    <w:rsid w:val="00B04E56"/>
    <w:rsid w:val="00B06A88"/>
    <w:rsid w:val="00B13BC4"/>
    <w:rsid w:val="00B2359E"/>
    <w:rsid w:val="00B554D9"/>
    <w:rsid w:val="00B629D1"/>
    <w:rsid w:val="00B635BD"/>
    <w:rsid w:val="00B71078"/>
    <w:rsid w:val="00B75A73"/>
    <w:rsid w:val="00B86131"/>
    <w:rsid w:val="00B978B8"/>
    <w:rsid w:val="00BA4EE6"/>
    <w:rsid w:val="00BA4F1A"/>
    <w:rsid w:val="00BB387B"/>
    <w:rsid w:val="00BB7E78"/>
    <w:rsid w:val="00BD2136"/>
    <w:rsid w:val="00BD7765"/>
    <w:rsid w:val="00BF4E5B"/>
    <w:rsid w:val="00C0267C"/>
    <w:rsid w:val="00C02A94"/>
    <w:rsid w:val="00C14B66"/>
    <w:rsid w:val="00C164A2"/>
    <w:rsid w:val="00C61DA6"/>
    <w:rsid w:val="00C62965"/>
    <w:rsid w:val="00C70AB6"/>
    <w:rsid w:val="00CB4795"/>
    <w:rsid w:val="00CB77E1"/>
    <w:rsid w:val="00CC0689"/>
    <w:rsid w:val="00CC77C3"/>
    <w:rsid w:val="00CE5F7C"/>
    <w:rsid w:val="00CF0A77"/>
    <w:rsid w:val="00CF50B0"/>
    <w:rsid w:val="00D12F20"/>
    <w:rsid w:val="00D136E6"/>
    <w:rsid w:val="00D202B4"/>
    <w:rsid w:val="00D302F0"/>
    <w:rsid w:val="00D555E1"/>
    <w:rsid w:val="00D85A52"/>
    <w:rsid w:val="00D87490"/>
    <w:rsid w:val="00D9413B"/>
    <w:rsid w:val="00DA43D7"/>
    <w:rsid w:val="00DA499B"/>
    <w:rsid w:val="00DC5F65"/>
    <w:rsid w:val="00DD16DF"/>
    <w:rsid w:val="00DD55D5"/>
    <w:rsid w:val="00DE0115"/>
    <w:rsid w:val="00DE09C8"/>
    <w:rsid w:val="00E15DF1"/>
    <w:rsid w:val="00E324CE"/>
    <w:rsid w:val="00E44308"/>
    <w:rsid w:val="00E4440C"/>
    <w:rsid w:val="00E52DA5"/>
    <w:rsid w:val="00E54F15"/>
    <w:rsid w:val="00E74BAC"/>
    <w:rsid w:val="00EC4034"/>
    <w:rsid w:val="00EC6152"/>
    <w:rsid w:val="00EC7DB5"/>
    <w:rsid w:val="00F147E4"/>
    <w:rsid w:val="00F34F8E"/>
    <w:rsid w:val="00F37A6C"/>
    <w:rsid w:val="00F42AB4"/>
    <w:rsid w:val="00F47618"/>
    <w:rsid w:val="00F70245"/>
    <w:rsid w:val="00F839A4"/>
    <w:rsid w:val="00F858D5"/>
    <w:rsid w:val="00FB2985"/>
    <w:rsid w:val="00FD1D84"/>
    <w:rsid w:val="00FD4C05"/>
  </w:rsids>
  <m:mathPr>
    <m:mathFont m:val="Cambria Math"/>
  </m:mathPr>
  <w:themeFontLang w:val="nl-NL"/>
  <w:clrSchemeMapping w:bg1="light1" w:t1="dark1" w:bg2="light2" w:t2="dark2" w:accent1="accent1" w:accent2="accent2" w:accent3="accent3" w:accent4="accent4" w:accent5="accent5" w:accent6="accent6" w:hyperlink="hyperlink" w:followedHyperlink="followedHyperlink"/>
  <w14:docId w14:val="4A1D4481"/>
  <w15:docId w15:val="{7E83B770-F0AC-4D0C-BDCE-E876294B2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DejaVu Sans" w:hAnsi="Times New Roman" w:cs="Lohit Hindi"/>
        <w:lang w:val="nl-NL" w:eastAsia="nl-NL" w:bidi="ar-SA"/>
      </w:rPr>
    </w:rPrDefault>
    <w:pPrDefault>
      <w:pPr>
        <w:autoSpaceDN w:val="0"/>
        <w:textAlignment w:val="baseline"/>
      </w:pPr>
    </w:pPrDefault>
  </w:docDefaults>
  <w:latentStyles w:defLockedState="0" w:defUIPriority="99" w:defSemiHidden="0" w:defUnhideWhenUsed="0" w:defQFormat="0" w:count="376">
    <w:lsdException w:name="heading 1" w:semiHidden="1"/>
    <w:lsdException w:name="heading 2" w:semiHidden="1" w:uiPriority="9"/>
    <w:lsdException w:name="heading 3" w:semiHidden="1" w:uiPriority="9"/>
    <w:lsdException w:name="heading 4" w:semiHidden="1" w:uiPriority="9"/>
    <w:lsdException w:name="heading 5" w:semiHidden="1" w:uiPriority="9"/>
    <w:lsdException w:name="heading 6" w:semiHidden="1" w:uiPriority="9"/>
    <w:lsdException w:name="heading 7" w:semiHidden="1" w:uiPriority="9"/>
    <w:lsdException w:name="heading 8" w:semiHidden="1" w:uiPriority="9"/>
    <w:lsdException w:name="heading 9" w:semiHidden="1"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839A4"/>
    <w:pPr>
      <w:spacing w:after="100" w:afterAutospacing="1" w:line="240" w:lineRule="atLeast"/>
    </w:pPr>
    <w:rPr>
      <w:rFonts w:ascii="Verdana" w:hAnsi="Verdana"/>
      <w:color w:val="000000"/>
      <w:sz w:val="18"/>
      <w:szCs w:val="18"/>
    </w:rPr>
  </w:style>
  <w:style w:type="paragraph" w:styleId="Heading1">
    <w:name w:val="heading 1"/>
    <w:basedOn w:val="Normal"/>
    <w:next w:val="Normal"/>
    <w:uiPriority w:val="1"/>
    <w:qFormat/>
    <w:pPr>
      <w:tabs>
        <w:tab w:val="left" w:pos="0"/>
      </w:tabs>
      <w:spacing w:before="240" w:after="0"/>
      <w:outlineLvl w:val="0"/>
    </w:pPr>
    <w:rPr>
      <w:b/>
    </w:rPr>
  </w:style>
  <w:style w:type="paragraph" w:styleId="Heading2">
    <w:name w:val="heading 2"/>
    <w:basedOn w:val="Normal"/>
    <w:next w:val="Normal"/>
    <w:uiPriority w:val="2"/>
    <w:qFormat/>
    <w:pPr>
      <w:tabs>
        <w:tab w:val="left" w:pos="0"/>
      </w:tabs>
      <w:spacing w:before="240" w:after="0" w:line="240" w:lineRule="exact"/>
      <w:outlineLvl w:val="1"/>
    </w:pPr>
    <w:rPr>
      <w:i/>
    </w:rPr>
  </w:style>
  <w:style w:type="paragraph" w:styleId="Heading3">
    <w:name w:val="heading 3"/>
    <w:basedOn w:val="Normal"/>
    <w:next w:val="Normal"/>
    <w:pPr>
      <w:tabs>
        <w:tab w:val="left" w:pos="0"/>
      </w:tabs>
      <w:spacing w:before="240" w:after="0" w:line="240" w:lineRule="exact"/>
      <w:ind w:left="-1120"/>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1B78"/>
    <w:rPr>
      <w:color w:val="467886" w:themeColor="hyperlink"/>
      <w:u w:val="single"/>
    </w:rPr>
  </w:style>
  <w:style w:type="paragraph" w:customStyle="1" w:styleId="Artikelstreepje">
    <w:name w:val="Artikel streepje"/>
    <w:basedOn w:val="Normal"/>
    <w:next w:val="Normal"/>
    <w:pPr>
      <w:numPr>
        <w:ilvl w:val="3"/>
        <w:numId w:val="1"/>
      </w:numPr>
      <w:tabs>
        <w:tab w:val="num" w:pos="360"/>
      </w:tabs>
      <w:ind w:left="0" w:firstLine="0"/>
    </w:pPr>
  </w:style>
  <w:style w:type="paragraph" w:customStyle="1" w:styleId="Artikelstreepjeinspringen">
    <w:name w:val="Artikel streepje inspringen"/>
    <w:basedOn w:val="Normal"/>
    <w:next w:val="Normal"/>
    <w:pPr>
      <w:numPr>
        <w:ilvl w:val="4"/>
        <w:numId w:val="1"/>
      </w:numPr>
    </w:pPr>
  </w:style>
  <w:style w:type="paragraph" w:customStyle="1" w:styleId="Artikelnummer">
    <w:name w:val="Artikelnummer"/>
    <w:basedOn w:val="Normal"/>
    <w:pPr>
      <w:numPr>
        <w:numId w:val="1"/>
      </w:numPr>
      <w:spacing w:before="360" w:after="0"/>
    </w:pPr>
    <w:rPr>
      <w:b/>
    </w:rPr>
  </w:style>
  <w:style w:type="paragraph" w:customStyle="1" w:styleId="Comparitienummer">
    <w:name w:val="Comparitienummer"/>
    <w:basedOn w:val="Normal"/>
    <w:next w:val="Normal"/>
    <w:pPr>
      <w:numPr>
        <w:numId w:val="2"/>
      </w:numPr>
    </w:pPr>
  </w:style>
  <w:style w:type="numbering" w:customStyle="1" w:styleId="Genummerdelijst">
    <w:name w:val="Genummerde lijst"/>
    <w:pPr>
      <w:numPr>
        <w:numId w:val="3"/>
      </w:numPr>
    </w:pPr>
  </w:style>
  <w:style w:type="paragraph" w:styleId="TOC1">
    <w:name w:val="toc 1"/>
    <w:basedOn w:val="Normal"/>
    <w:next w:val="Normal"/>
  </w:style>
  <w:style w:type="paragraph" w:styleId="TOC2">
    <w:name w:val="toc 2"/>
    <w:basedOn w:val="TOC1"/>
    <w:next w:val="Normal"/>
    <w:pPr>
      <w:spacing w:line="240" w:lineRule="exact"/>
    </w:pPr>
  </w:style>
  <w:style w:type="paragraph" w:styleId="TOC3">
    <w:name w:val="toc 3"/>
    <w:basedOn w:val="TOC2"/>
    <w:next w:val="Normal"/>
  </w:style>
  <w:style w:type="paragraph" w:styleId="TOC4">
    <w:name w:val="toc 4"/>
    <w:basedOn w:val="TOC3"/>
    <w:next w:val="Normal"/>
  </w:style>
  <w:style w:type="paragraph" w:styleId="TOC5">
    <w:name w:val="toc 5"/>
    <w:basedOn w:val="TOC4"/>
    <w:next w:val="Normal"/>
  </w:style>
  <w:style w:type="paragraph" w:styleId="TOC6">
    <w:name w:val="toc 6"/>
    <w:basedOn w:val="TOC5"/>
    <w:next w:val="Normal"/>
  </w:style>
  <w:style w:type="paragraph" w:styleId="TOC7">
    <w:name w:val="toc 7"/>
    <w:basedOn w:val="TOC6"/>
    <w:next w:val="Normal"/>
  </w:style>
  <w:style w:type="paragraph" w:styleId="TOC8">
    <w:name w:val="toc 8"/>
    <w:basedOn w:val="TOC7"/>
    <w:next w:val="Normal"/>
  </w:style>
  <w:style w:type="paragraph" w:styleId="TOC9">
    <w:name w:val="toc 9"/>
    <w:basedOn w:val="TOC8"/>
    <w:next w:val="Normal"/>
  </w:style>
  <w:style w:type="paragraph" w:customStyle="1" w:styleId="KixBarcode">
    <w:name w:val="Kix Barcode"/>
    <w:basedOn w:val="Normal"/>
    <w:next w:val="Normal"/>
    <w:pPr>
      <w:spacing w:before="120"/>
    </w:pPr>
    <w:rPr>
      <w:rFonts w:ascii="KIX Barcode" w:hAnsi="KIX Barcode"/>
      <w:sz w:val="20"/>
      <w:szCs w:val="20"/>
    </w:rPr>
  </w:style>
  <w:style w:type="paragraph" w:customStyle="1" w:styleId="Lidnummer">
    <w:name w:val="Lidnummer"/>
    <w:basedOn w:val="Normal"/>
    <w:pPr>
      <w:numPr>
        <w:ilvl w:val="1"/>
        <w:numId w:val="1"/>
      </w:numPr>
      <w:tabs>
        <w:tab w:val="left" w:pos="419"/>
      </w:tabs>
    </w:pPr>
  </w:style>
  <w:style w:type="paragraph" w:customStyle="1" w:styleId="Lidnummerabc">
    <w:name w:val="Lidnummer abc"/>
    <w:basedOn w:val="Normal"/>
    <w:pPr>
      <w:numPr>
        <w:ilvl w:val="2"/>
        <w:numId w:val="1"/>
      </w:numPr>
      <w:tabs>
        <w:tab w:val="left" w:pos="402"/>
      </w:tabs>
    </w:pPr>
  </w:style>
  <w:style w:type="numbering" w:customStyle="1" w:styleId="Lijstmetopsommingstekens">
    <w:name w:val="Lijst met opsommingstekens"/>
    <w:pPr>
      <w:numPr>
        <w:numId w:val="4"/>
      </w:numPr>
    </w:pPr>
  </w:style>
  <w:style w:type="paragraph" w:customStyle="1" w:styleId="Nummering">
    <w:name w:val="Nummering"/>
    <w:basedOn w:val="Normal"/>
    <w:uiPriority w:val="3"/>
    <w:qFormat/>
    <w:pPr>
      <w:numPr>
        <w:numId w:val="3"/>
      </w:numPr>
    </w:pPr>
  </w:style>
  <w:style w:type="paragraph" w:styleId="Subtitle">
    <w:name w:val="Subtitle"/>
    <w:basedOn w:val="Normal"/>
    <w:next w:val="Normal"/>
    <w:pPr>
      <w:spacing w:line="320" w:lineRule="atLeast"/>
    </w:pPr>
    <w:rPr>
      <w:sz w:val="24"/>
      <w:szCs w:val="24"/>
    </w:rPr>
  </w:style>
  <w:style w:type="paragraph" w:customStyle="1" w:styleId="Opsomming">
    <w:name w:val="Opsomming"/>
    <w:basedOn w:val="Normal"/>
    <w:uiPriority w:val="3"/>
    <w:qFormat/>
    <w:pPr>
      <w:numPr>
        <w:numId w:val="4"/>
      </w:numPr>
    </w:pPr>
  </w:style>
  <w:style w:type="paragraph" w:customStyle="1" w:styleId="Pagina-eindeKop1">
    <w:name w:val="Pagina-einde Kop 1"/>
    <w:basedOn w:val="Normal"/>
    <w:next w:val="Normal"/>
    <w:pPr>
      <w:pageBreakBefore/>
      <w:spacing w:line="240" w:lineRule="exact"/>
      <w:outlineLvl w:val="0"/>
    </w:pPr>
    <w:rPr>
      <w:b/>
    </w:rPr>
  </w:style>
  <w:style w:type="paragraph" w:customStyle="1" w:styleId="Referentiegegevens">
    <w:name w:val="Referentiegegevens"/>
    <w:basedOn w:val="Normal"/>
    <w:next w:val="Normal"/>
    <w:pPr>
      <w:spacing w:line="180" w:lineRule="exact"/>
      <w:outlineLvl w:val="4"/>
    </w:pPr>
    <w:rPr>
      <w:sz w:val="13"/>
      <w:szCs w:val="13"/>
    </w:rPr>
  </w:style>
  <w:style w:type="paragraph" w:customStyle="1" w:styleId="Referentiegegevensbold">
    <w:name w:val="Referentiegegevens bold"/>
    <w:basedOn w:val="Normal"/>
    <w:next w:val="Normal"/>
    <w:pPr>
      <w:spacing w:line="180" w:lineRule="exact"/>
      <w:outlineLvl w:val="4"/>
    </w:pPr>
    <w:rPr>
      <w:b/>
      <w:sz w:val="13"/>
      <w:szCs w:val="13"/>
    </w:rPr>
  </w:style>
  <w:style w:type="paragraph" w:customStyle="1" w:styleId="Referentiegegevenscursief">
    <w:name w:val="Referentiegegevens cursief"/>
    <w:basedOn w:val="Normal"/>
    <w:next w:val="Normal"/>
    <w:pPr>
      <w:spacing w:line="180" w:lineRule="exact"/>
      <w:outlineLvl w:val="4"/>
    </w:pPr>
    <w:rPr>
      <w:i/>
      <w:sz w:val="13"/>
      <w:szCs w:val="13"/>
    </w:rPr>
  </w:style>
  <w:style w:type="paragraph" w:customStyle="1" w:styleId="Referentiegegevensrechtsuitgelijnd">
    <w:name w:val="Referentiegegevens rechts uitgelijnd"/>
    <w:basedOn w:val="Normal"/>
    <w:next w:val="Normal"/>
    <w:pPr>
      <w:spacing w:line="180" w:lineRule="exact"/>
      <w:jc w:val="right"/>
      <w:outlineLvl w:val="4"/>
    </w:pPr>
    <w:rPr>
      <w:sz w:val="13"/>
      <w:szCs w:val="13"/>
    </w:rPr>
  </w:style>
  <w:style w:type="paragraph" w:customStyle="1" w:styleId="Rubricering">
    <w:name w:val="Rubricering"/>
    <w:basedOn w:val="Normal"/>
    <w:next w:val="Normal"/>
    <w:pPr>
      <w:spacing w:line="180" w:lineRule="exact"/>
    </w:pPr>
    <w:rPr>
      <w:b/>
      <w:caps/>
      <w:sz w:val="13"/>
      <w:szCs w:val="13"/>
    </w:rPr>
  </w:style>
  <w:style w:type="paragraph" w:customStyle="1" w:styleId="Standaardcursief">
    <w:name w:val="Standaard cursief"/>
    <w:basedOn w:val="Normal"/>
    <w:next w:val="Normal"/>
    <w:qFormat/>
    <w:pPr>
      <w:spacing w:line="240" w:lineRule="exact"/>
    </w:pPr>
    <w:rPr>
      <w:i/>
    </w:rPr>
  </w:style>
  <w:style w:type="paragraph" w:customStyle="1" w:styleId="StandaarddeDE">
    <w:name w:val="Standaard de_DE"/>
    <w:basedOn w:val="Normal"/>
    <w:next w:val="Normal"/>
    <w:rPr>
      <w:lang w:val="de-DE"/>
    </w:rPr>
  </w:style>
  <w:style w:type="paragraph" w:customStyle="1" w:styleId="StandaardenGB">
    <w:name w:val="Standaard en_GB"/>
    <w:basedOn w:val="Normal"/>
    <w:next w:val="Normal"/>
    <w:rPr>
      <w:lang w:val="en-GB"/>
    </w:rPr>
  </w:style>
  <w:style w:type="paragraph" w:customStyle="1" w:styleId="StandaardesES">
    <w:name w:val="Standaard es_ES"/>
    <w:basedOn w:val="Normal"/>
    <w:next w:val="Normal"/>
    <w:rPr>
      <w:lang w:val="es-ES"/>
    </w:rPr>
  </w:style>
  <w:style w:type="paragraph" w:customStyle="1" w:styleId="StandaardfrFR">
    <w:name w:val="Standaard fr_FR"/>
    <w:basedOn w:val="Normal"/>
    <w:next w:val="Normal"/>
    <w:rPr>
      <w:lang w:val="fr-FR"/>
    </w:rPr>
  </w:style>
  <w:style w:type="paragraph" w:customStyle="1" w:styleId="Standaardvet">
    <w:name w:val="Standaard vet"/>
    <w:basedOn w:val="Normal"/>
    <w:next w:val="Normal"/>
    <w:qFormat/>
    <w:pPr>
      <w:spacing w:line="240" w:lineRule="exact"/>
    </w:pPr>
    <w:rPr>
      <w:b/>
    </w:rPr>
  </w:style>
  <w:style w:type="table" w:customStyle="1" w:styleId="TabelRijkshuisstijl">
    <w:name w:val="Tabel Rijkshuisstijl"/>
    <w:rPr>
      <w:rFonts w:ascii="Verdana" w:hAnsi="Verdana"/>
      <w:sz w:val="18"/>
      <w:szCs w:val="18"/>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00" w:type="dxa"/>
        <w:left w:w="56" w:type="dxa"/>
        <w:bottom w:w="100" w:type="dxa"/>
        <w:right w:w="0" w:type="dxa"/>
      </w:tblCellMar>
    </w:tblPr>
    <w:tblStylePr w:type="firstRow">
      <w:rPr>
        <w:b/>
      </w:rPr>
    </w:tblStylePr>
  </w:style>
  <w:style w:type="table" w:customStyle="1" w:styleId="Tabelzonderranden">
    <w:name w:val="Tabel zonder randen"/>
    <w:rPr>
      <w:rFonts w:ascii="Verdana" w:hAnsi="Verdana"/>
      <w:color w:val="000000"/>
      <w:sz w:val="24"/>
      <w:szCs w:val="24"/>
    </w:rPr>
    <w:tblPr>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CellMar>
        <w:top w:w="0" w:type="dxa"/>
        <w:left w:w="0" w:type="dxa"/>
        <w:bottom w:w="0" w:type="dxa"/>
        <w:right w:w="0" w:type="dxa"/>
      </w:tblCellMar>
    </w:tblPr>
  </w:style>
  <w:style w:type="table" w:styleId="TableGrid">
    <w:name w:val="Table Grid"/>
    <w:rPr>
      <w:rFonts w:ascii="Verdana" w:hAnsi="Verdana"/>
      <w:color w:val="000000"/>
      <w:sz w:val="18"/>
      <w:szCs w:val="1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Title">
    <w:name w:val="Title"/>
    <w:basedOn w:val="Normal"/>
    <w:next w:val="Normal"/>
    <w:pPr>
      <w:spacing w:line="320" w:lineRule="atLeast"/>
    </w:pPr>
    <w:rPr>
      <w:b/>
      <w:sz w:val="24"/>
      <w:szCs w:val="24"/>
    </w:rPr>
  </w:style>
  <w:style w:type="paragraph" w:customStyle="1" w:styleId="WitregelW1">
    <w:name w:val="Witregel W1"/>
    <w:basedOn w:val="Normal"/>
    <w:next w:val="Normal"/>
    <w:pPr>
      <w:spacing w:line="90" w:lineRule="exact"/>
    </w:pPr>
    <w:rPr>
      <w:sz w:val="9"/>
      <w:szCs w:val="9"/>
    </w:rPr>
  </w:style>
  <w:style w:type="paragraph" w:customStyle="1" w:styleId="WitregelW1bodytekst">
    <w:name w:val="Witregel W1 (bodytekst)"/>
    <w:basedOn w:val="Normal"/>
    <w:next w:val="Normal"/>
    <w:pPr>
      <w:spacing w:line="240" w:lineRule="exact"/>
    </w:pPr>
  </w:style>
  <w:style w:type="paragraph" w:customStyle="1" w:styleId="WitregelW2">
    <w:name w:val="Witregel W2"/>
    <w:basedOn w:val="Normal"/>
    <w:next w:val="Normal"/>
    <w:pPr>
      <w:spacing w:line="270" w:lineRule="exact"/>
    </w:pPr>
    <w:rPr>
      <w:sz w:val="27"/>
      <w:szCs w:val="27"/>
    </w:rPr>
  </w:style>
  <w:style w:type="paragraph" w:styleId="Header">
    <w:name w:val="header"/>
    <w:basedOn w:val="Normal"/>
    <w:link w:val="KoptekstChar"/>
    <w:uiPriority w:val="99"/>
    <w:unhideWhenUsed/>
    <w:rsid w:val="007160A4"/>
    <w:pPr>
      <w:tabs>
        <w:tab w:val="center" w:pos="4536"/>
        <w:tab w:val="right" w:pos="9072"/>
      </w:tabs>
      <w:spacing w:line="240" w:lineRule="auto"/>
    </w:pPr>
  </w:style>
  <w:style w:type="character" w:customStyle="1" w:styleId="KoptekstChar">
    <w:name w:val="Koptekst Char"/>
    <w:basedOn w:val="DefaultParagraphFont"/>
    <w:link w:val="Header"/>
    <w:uiPriority w:val="99"/>
    <w:rsid w:val="007160A4"/>
    <w:rPr>
      <w:rFonts w:ascii="Verdana" w:hAnsi="Verdana"/>
      <w:color w:val="000000"/>
      <w:sz w:val="18"/>
      <w:szCs w:val="18"/>
    </w:rPr>
  </w:style>
  <w:style w:type="paragraph" w:styleId="Footer">
    <w:name w:val="footer"/>
    <w:basedOn w:val="Normal"/>
    <w:link w:val="VoettekstChar"/>
    <w:uiPriority w:val="99"/>
    <w:unhideWhenUsed/>
    <w:rsid w:val="007160A4"/>
    <w:pPr>
      <w:tabs>
        <w:tab w:val="center" w:pos="4536"/>
        <w:tab w:val="right" w:pos="9072"/>
      </w:tabs>
      <w:spacing w:line="240" w:lineRule="auto"/>
    </w:pPr>
  </w:style>
  <w:style w:type="character" w:customStyle="1" w:styleId="VoettekstChar">
    <w:name w:val="Voettekst Char"/>
    <w:basedOn w:val="DefaultParagraphFont"/>
    <w:link w:val="Footer"/>
    <w:uiPriority w:val="99"/>
    <w:rsid w:val="007160A4"/>
    <w:rPr>
      <w:rFonts w:ascii="Verdana" w:hAnsi="Verdana"/>
      <w:color w:val="000000"/>
      <w:sz w:val="18"/>
      <w:szCs w:val="18"/>
    </w:rPr>
  </w:style>
  <w:style w:type="paragraph" w:styleId="ListParagraph">
    <w:name w:val="List Paragraph"/>
    <w:basedOn w:val="Normal"/>
    <w:uiPriority w:val="34"/>
    <w:semiHidden/>
    <w:rsid w:val="00934199"/>
    <w:pPr>
      <w:ind w:left="720"/>
      <w:contextualSpacing/>
    </w:pPr>
  </w:style>
  <w:style w:type="paragraph" w:styleId="NormalWeb">
    <w:name w:val="Normal (Web)"/>
    <w:basedOn w:val="Normal"/>
    <w:uiPriority w:val="99"/>
    <w:semiHidden/>
    <w:unhideWhenUsed/>
    <w:rsid w:val="0068079D"/>
    <w:rPr>
      <w:rFonts w:ascii="Times New Roman" w:hAnsi="Times New Roman" w:cs="Times New Roman"/>
      <w:sz w:val="24"/>
      <w:szCs w:val="24"/>
    </w:rPr>
  </w:style>
  <w:style w:type="paragraph" w:styleId="FootnoteText">
    <w:name w:val="footnote text"/>
    <w:basedOn w:val="Normal"/>
    <w:link w:val="VoetnoottekstChar"/>
    <w:uiPriority w:val="99"/>
    <w:semiHidden/>
    <w:unhideWhenUsed/>
    <w:rsid w:val="002E2D00"/>
    <w:pPr>
      <w:spacing w:after="0" w:afterAutospacing="0" w:line="240" w:lineRule="auto"/>
    </w:pPr>
    <w:rPr>
      <w:sz w:val="20"/>
      <w:szCs w:val="20"/>
    </w:rPr>
  </w:style>
  <w:style w:type="character" w:customStyle="1" w:styleId="VoetnoottekstChar">
    <w:name w:val="Voetnoottekst Char"/>
    <w:basedOn w:val="DefaultParagraphFont"/>
    <w:link w:val="FootnoteText"/>
    <w:uiPriority w:val="99"/>
    <w:semiHidden/>
    <w:rsid w:val="002E2D00"/>
    <w:rPr>
      <w:rFonts w:ascii="Verdana" w:hAnsi="Verdana"/>
      <w:color w:val="000000"/>
    </w:rPr>
  </w:style>
  <w:style w:type="character" w:styleId="FootnoteReference">
    <w:name w:val="footnote reference"/>
    <w:basedOn w:val="DefaultParagraphFont"/>
    <w:uiPriority w:val="99"/>
    <w:semiHidden/>
    <w:unhideWhenUsed/>
    <w:rsid w:val="002E2D00"/>
    <w:rPr>
      <w:vertAlign w:val="superscript"/>
    </w:rPr>
  </w:style>
  <w:style w:type="character" w:styleId="CommentReference">
    <w:name w:val="annotation reference"/>
    <w:basedOn w:val="DefaultParagraphFont"/>
    <w:uiPriority w:val="99"/>
    <w:semiHidden/>
    <w:unhideWhenUsed/>
    <w:rsid w:val="006032E2"/>
    <w:rPr>
      <w:sz w:val="16"/>
      <w:szCs w:val="16"/>
    </w:rPr>
  </w:style>
  <w:style w:type="paragraph" w:styleId="CommentText">
    <w:name w:val="annotation text"/>
    <w:basedOn w:val="Normal"/>
    <w:link w:val="TekstopmerkingChar"/>
    <w:uiPriority w:val="99"/>
    <w:unhideWhenUsed/>
    <w:rsid w:val="006032E2"/>
    <w:pPr>
      <w:spacing w:line="240" w:lineRule="auto"/>
    </w:pPr>
    <w:rPr>
      <w:sz w:val="20"/>
      <w:szCs w:val="20"/>
    </w:rPr>
  </w:style>
  <w:style w:type="character" w:customStyle="1" w:styleId="TekstopmerkingChar">
    <w:name w:val="Tekst opmerking Char"/>
    <w:basedOn w:val="DefaultParagraphFont"/>
    <w:link w:val="CommentText"/>
    <w:uiPriority w:val="99"/>
    <w:rsid w:val="006032E2"/>
    <w:rPr>
      <w:rFonts w:ascii="Verdana" w:hAnsi="Verdana"/>
      <w:color w:val="000000"/>
    </w:rPr>
  </w:style>
  <w:style w:type="paragraph" w:styleId="CommentSubject">
    <w:name w:val="annotation subject"/>
    <w:basedOn w:val="CommentText"/>
    <w:next w:val="CommentText"/>
    <w:link w:val="OnderwerpvanopmerkingChar"/>
    <w:uiPriority w:val="99"/>
    <w:semiHidden/>
    <w:unhideWhenUsed/>
    <w:rsid w:val="006032E2"/>
    <w:rPr>
      <w:b/>
      <w:bCs/>
    </w:rPr>
  </w:style>
  <w:style w:type="character" w:customStyle="1" w:styleId="OnderwerpvanopmerkingChar">
    <w:name w:val="Onderwerp van opmerking Char"/>
    <w:basedOn w:val="TekstopmerkingChar"/>
    <w:link w:val="CommentSubject"/>
    <w:uiPriority w:val="99"/>
    <w:semiHidden/>
    <w:rsid w:val="006032E2"/>
    <w:rPr>
      <w:rFonts w:ascii="Verdana" w:hAnsi="Verdana"/>
      <w:b/>
      <w:bCs/>
      <w:color w:val="000000"/>
    </w:rPr>
  </w:style>
  <w:style w:type="paragraph" w:styleId="NoSpacing">
    <w:name w:val="No Spacing"/>
    <w:uiPriority w:val="1"/>
    <w:qFormat/>
    <w:rsid w:val="009877BE"/>
    <w:pPr>
      <w:autoSpaceDN/>
      <w:textAlignment w:val="auto"/>
    </w:pPr>
    <w:rPr>
      <w:rFonts w:asciiTheme="minorHAnsi" w:eastAsiaTheme="minorHAnsi" w:hAnsiTheme="minorHAnsi" w:cstheme="minorBidi"/>
      <w:kern w:val="2"/>
      <w:sz w:val="22"/>
      <w:szCs w:val="22"/>
      <w:lang w:eastAsia="en-US"/>
      <w14:ligatures w14:val="standardContextual"/>
    </w:rPr>
  </w:style>
  <w:style w:type="paragraph" w:styleId="Revision">
    <w:name w:val="Revision"/>
    <w:hidden/>
    <w:uiPriority w:val="99"/>
    <w:semiHidden/>
    <w:rsid w:val="001D66DF"/>
    <w:pPr>
      <w:autoSpaceDN/>
      <w:textAlignment w:val="auto"/>
    </w:pPr>
    <w:rPr>
      <w:rFonts w:ascii="Verdana" w:hAnsi="Verdana"/>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&#65279;<?xml version="1.0" encoding="utf-8"?><Relationships xmlns="http://schemas.openxmlformats.org/package/2006/relationships"><Relationship Type="http://schemas.openxmlformats.org/officeDocument/2006/relationships/settings" Target="settings.xml" Id="rId1" /><Relationship Type="http://schemas.openxmlformats.org/officeDocument/2006/relationships/header" Target="header3.xml" Id="rId10" /><Relationship Type="http://schemas.openxmlformats.org/officeDocument/2006/relationships/footer" Target="footer3.xml" Id="rId11" /><Relationship Type="http://schemas.openxmlformats.org/officeDocument/2006/relationships/theme" Target="theme/theme1.xml" Id="rId12" /><Relationship Type="http://schemas.openxmlformats.org/officeDocument/2006/relationships/numbering" Target="numbering.xml" Id="rId13" /><Relationship Type="http://schemas.openxmlformats.org/officeDocument/2006/relationships/styles" Target="styles.xml" Id="rId14" /><Relationship Type="http://schemas.openxmlformats.org/officeDocument/2006/relationships/webSettings" Target="webSettings.xml" Id="rId2" /><Relationship Type="http://schemas.openxmlformats.org/officeDocument/2006/relationships/fontTable" Target="fontTable.xml" Id="rId3" /><Relationship Type="http://schemas.openxmlformats.org/officeDocument/2006/relationships/header" Target="header1.xml" Id="rId6" /><Relationship Type="http://schemas.openxmlformats.org/officeDocument/2006/relationships/header" Target="header2.xml" Id="rId7" /><Relationship Type="http://schemas.openxmlformats.org/officeDocument/2006/relationships/footer" Target="footer1.xml" Id="rId8" /><Relationship Type="http://schemas.openxmlformats.org/officeDocument/2006/relationships/footer" Target="footer2.xml" Id="rId9"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2.png" /></Relationships>
</file>

<file path=word/_rels/settings.xml.rels><?xml version="1.0" encoding="utf-8" standalone="yes"?><Relationships xmlns="http://schemas.openxmlformats.org/package/2006/relationships"><Relationship Id="rId1" Type="http://schemas.openxmlformats.org/officeDocument/2006/relationships/attachedTemplate" Target="file:///H:\Mijn%20documenten\Godsdienstvrijheid\Kamervragen%20Iftar\Brief%20aan%20Parlement.dotx" TargetMode="External"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vt="http://schemas.openxmlformats.org/officeDocument/2006/docPropsVTypes" xmlns:ap="http://schemas.openxmlformats.org/officeDocument/2006/extended-properties">
  <ap:Pages>4</ap:Pages>
  <ap:Words>1250</ap:Words>
  <ap:Characters>6875</ap:Characters>
  <ap:DocSecurity>0</ap:DocSecurity>
  <ap:Lines>57</ap:Lines>
  <ap:Paragraphs>16</ap:Paragraphs>
  <ap:ScaleCrop>false</ap:ScaleCrop>
  <ap:HeadingPairs>
    <vt:vector baseType="variant" size="2">
      <vt:variant>
        <vt:lpstr>Titel</vt:lpstr>
      </vt:variant>
      <vt:variant>
        <vt:i4>1</vt:i4>
      </vt:variant>
    </vt:vector>
  </ap:HeadingPairs>
  <ap:TitlesOfParts>
    <vt:vector baseType="lpstr" size="1">
      <vt:lpstr>Brief aan Parlement - Antwoorden Kamervragen over gemeentelijke uitgaven aan iftar-activiteiten</vt:lpstr>
    </vt:vector>
  </ap:TitlesOfParts>
  <ap:LinksUpToDate>false</ap:LinksUpToDate>
  <ap:CharactersWithSpaces>8109</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revision/>
  <dcterms:created xsi:type="dcterms:W3CDTF">2026-05-11T13:22:00.0000000Z</dcterms:created>
  <dcterms:modified xsi:type="dcterms:W3CDTF">2026-05-11T13:22:00.0000000Z</dcterms:modified>
  <dc:creator/>
  <lastModifiedBy/>
  <dc:description>------------------------</dc:description>
  <dc:subject/>
  <keywords/>
  <version/>
  <category/>
</coreProperties>
</file>