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249" w:rsidRDefault="00180F4D" w14:paraId="73D4C3C0" w14:textId="5D889F0B">
      <w:pPr>
        <w:rPr>
          <w:rFonts w:ascii="Verdana" w:hAnsi="Verdana"/>
          <w:b/>
          <w:bCs/>
          <w:sz w:val="18"/>
          <w:szCs w:val="18"/>
        </w:rPr>
      </w:pPr>
      <w:r w:rsidRPr="009E5CD6">
        <w:rPr>
          <w:rFonts w:ascii="Verdana" w:hAnsi="Verdana"/>
          <w:b/>
          <w:bCs/>
          <w:sz w:val="18"/>
          <w:szCs w:val="18"/>
        </w:rPr>
        <w:t xml:space="preserve">Regeling </w:t>
      </w:r>
      <w:r w:rsidR="00635DBE">
        <w:rPr>
          <w:rFonts w:ascii="Verdana" w:hAnsi="Verdana"/>
          <w:b/>
          <w:bCs/>
          <w:sz w:val="18"/>
          <w:szCs w:val="18"/>
        </w:rPr>
        <w:t>van de Staatssecretaris van Onderwijs, Cultuur en Wetenschap van</w:t>
      </w:r>
      <w:r w:rsidR="0084376C">
        <w:rPr>
          <w:rFonts w:ascii="Verdana" w:hAnsi="Verdana"/>
          <w:b/>
          <w:bCs/>
          <w:sz w:val="18"/>
          <w:szCs w:val="18"/>
        </w:rPr>
        <w:t xml:space="preserve"> </w:t>
      </w:r>
      <w:r w:rsidR="00336B66">
        <w:rPr>
          <w:rFonts w:ascii="Verdana" w:hAnsi="Verdana"/>
          <w:b/>
          <w:bCs/>
          <w:sz w:val="18"/>
          <w:szCs w:val="18"/>
        </w:rPr>
        <w:br/>
      </w:r>
      <w:r w:rsidR="00336B66">
        <w:rPr>
          <w:rFonts w:ascii="Verdana" w:hAnsi="Verdana"/>
          <w:b/>
          <w:bCs/>
          <w:sz w:val="18"/>
          <w:szCs w:val="18"/>
        </w:rPr>
        <w:br/>
      </w:r>
      <w:r w:rsidR="00635DBE">
        <w:rPr>
          <w:rFonts w:ascii="Verdana" w:hAnsi="Verdana"/>
          <w:b/>
          <w:bCs/>
          <w:sz w:val="18"/>
          <w:szCs w:val="18"/>
        </w:rPr>
        <w:t>nr.</w:t>
      </w:r>
      <w:r w:rsidR="001B2B44">
        <w:rPr>
          <w:rFonts w:ascii="Verdana" w:hAnsi="Verdana"/>
          <w:b/>
          <w:bCs/>
          <w:sz w:val="18"/>
          <w:szCs w:val="18"/>
        </w:rPr>
        <w:t xml:space="preserve"> 62314317</w:t>
      </w:r>
      <w:r w:rsidR="00336B66">
        <w:rPr>
          <w:rFonts w:ascii="Verdana" w:hAnsi="Verdana"/>
          <w:b/>
          <w:bCs/>
          <w:sz w:val="18"/>
          <w:szCs w:val="18"/>
        </w:rPr>
        <w:t xml:space="preserve">, </w:t>
      </w:r>
      <w:r w:rsidR="00C67FEC">
        <w:rPr>
          <w:rFonts w:ascii="Verdana" w:hAnsi="Verdana"/>
          <w:b/>
          <w:bCs/>
          <w:sz w:val="18"/>
          <w:szCs w:val="18"/>
        </w:rPr>
        <w:t xml:space="preserve">houdende </w:t>
      </w:r>
      <w:r w:rsidRPr="009E5CD6">
        <w:rPr>
          <w:rFonts w:ascii="Verdana" w:hAnsi="Verdana"/>
          <w:b/>
          <w:bCs/>
          <w:sz w:val="18"/>
          <w:szCs w:val="18"/>
        </w:rPr>
        <w:t>wijziging van</w:t>
      </w:r>
      <w:r w:rsidR="007B1FC4">
        <w:rPr>
          <w:rFonts w:ascii="Verdana" w:hAnsi="Verdana"/>
          <w:b/>
          <w:bCs/>
          <w:sz w:val="18"/>
          <w:szCs w:val="18"/>
        </w:rPr>
        <w:t xml:space="preserve"> de </w:t>
      </w:r>
      <w:r w:rsidR="00414428">
        <w:rPr>
          <w:rFonts w:ascii="Verdana" w:hAnsi="Verdana"/>
          <w:b/>
          <w:bCs/>
          <w:sz w:val="18"/>
          <w:szCs w:val="18"/>
        </w:rPr>
        <w:t>R</w:t>
      </w:r>
      <w:r w:rsidR="007B1FC4">
        <w:rPr>
          <w:rFonts w:ascii="Verdana" w:hAnsi="Verdana"/>
          <w:b/>
          <w:bCs/>
          <w:sz w:val="18"/>
          <w:szCs w:val="18"/>
        </w:rPr>
        <w:t>egeling verrekening uitkeringskosten vo</w:t>
      </w:r>
      <w:r w:rsidR="00C67FEC">
        <w:rPr>
          <w:rFonts w:ascii="Verdana" w:hAnsi="Verdana"/>
          <w:b/>
          <w:bCs/>
          <w:sz w:val="18"/>
          <w:szCs w:val="18"/>
        </w:rPr>
        <w:t xml:space="preserve"> in verband met de </w:t>
      </w:r>
      <w:r w:rsidR="00535FD6">
        <w:rPr>
          <w:rFonts w:ascii="Verdana" w:hAnsi="Verdana"/>
          <w:b/>
          <w:bCs/>
          <w:sz w:val="18"/>
          <w:szCs w:val="18"/>
        </w:rPr>
        <w:t>verlaging van het collectieve deel en verhoging van het individuele deel</w:t>
      </w:r>
    </w:p>
    <w:p w:rsidRPr="009E5CD6" w:rsidR="00414428" w:rsidRDefault="00414428" w14:paraId="5FE5F3C9" w14:textId="77777777">
      <w:pPr>
        <w:rPr>
          <w:rFonts w:ascii="Verdana" w:hAnsi="Verdana"/>
          <w:b/>
          <w:bCs/>
          <w:sz w:val="18"/>
          <w:szCs w:val="18"/>
        </w:rPr>
      </w:pPr>
    </w:p>
    <w:p w:rsidR="00180F4D" w:rsidRDefault="00635DBE" w14:paraId="5ECC0B9A" w14:textId="0A9E6816">
      <w:pPr>
        <w:rPr>
          <w:rFonts w:ascii="Verdana" w:hAnsi="Verdana"/>
          <w:sz w:val="18"/>
          <w:szCs w:val="18"/>
        </w:rPr>
      </w:pPr>
      <w:r>
        <w:rPr>
          <w:rFonts w:ascii="Verdana" w:hAnsi="Verdana"/>
          <w:sz w:val="18"/>
          <w:szCs w:val="18"/>
        </w:rPr>
        <w:t xml:space="preserve">De Staatssecretaris van Onderwijs, Cultuur en Wetenschap, </w:t>
      </w:r>
    </w:p>
    <w:p w:rsidR="00635DBE" w:rsidRDefault="00635DBE" w14:paraId="3E4A3330" w14:textId="28F2D957">
      <w:pPr>
        <w:rPr>
          <w:rFonts w:ascii="Verdana" w:hAnsi="Verdana"/>
          <w:sz w:val="18"/>
          <w:szCs w:val="18"/>
        </w:rPr>
      </w:pPr>
      <w:r>
        <w:rPr>
          <w:rFonts w:ascii="Verdana" w:hAnsi="Verdana"/>
          <w:sz w:val="18"/>
          <w:szCs w:val="18"/>
        </w:rPr>
        <w:t>Gelet op</w:t>
      </w:r>
      <w:r w:rsidR="00421F98">
        <w:rPr>
          <w:rFonts w:ascii="Verdana" w:hAnsi="Verdana"/>
          <w:sz w:val="18"/>
          <w:szCs w:val="18"/>
        </w:rPr>
        <w:t xml:space="preserve"> d</w:t>
      </w:r>
      <w:r w:rsidRPr="00421F98" w:rsidR="00421F98">
        <w:rPr>
          <w:rFonts w:ascii="Verdana" w:hAnsi="Verdana"/>
          <w:sz w:val="18"/>
          <w:szCs w:val="18"/>
        </w:rPr>
        <w:t>e </w:t>
      </w:r>
      <w:hyperlink w:history="1" r:id="rId8">
        <w:r w:rsidRPr="00421F98" w:rsidR="00421F98">
          <w:rPr>
            <w:rStyle w:val="Hyperlink"/>
            <w:rFonts w:ascii="Verdana" w:hAnsi="Verdana"/>
            <w:sz w:val="18"/>
            <w:szCs w:val="18"/>
          </w:rPr>
          <w:t>artikelen 6.4, eerste lid, tweede lid onder b en vijfde lid</w:t>
        </w:r>
      </w:hyperlink>
      <w:r w:rsidRPr="00421F98" w:rsidR="00421F98">
        <w:rPr>
          <w:rFonts w:ascii="Verdana" w:hAnsi="Verdana"/>
          <w:sz w:val="18"/>
          <w:szCs w:val="18"/>
        </w:rPr>
        <w:t>, en </w:t>
      </w:r>
      <w:hyperlink w:history="1" r:id="rId9">
        <w:r w:rsidRPr="00421F98" w:rsidR="00421F98">
          <w:rPr>
            <w:rStyle w:val="Hyperlink"/>
            <w:rFonts w:ascii="Verdana" w:hAnsi="Verdana"/>
            <w:sz w:val="18"/>
            <w:szCs w:val="18"/>
          </w:rPr>
          <w:t>6.14, derde lid, van het Uitvoeringsbesluit WVO 2020</w:t>
        </w:r>
      </w:hyperlink>
      <w:r>
        <w:rPr>
          <w:rFonts w:ascii="Verdana" w:hAnsi="Verdana"/>
          <w:sz w:val="18"/>
          <w:szCs w:val="18"/>
        </w:rPr>
        <w:t>;</w:t>
      </w:r>
    </w:p>
    <w:p w:rsidR="00635DBE" w:rsidP="00A00020" w:rsidRDefault="00635DBE" w14:paraId="47BFFE6B" w14:textId="77777777">
      <w:pPr>
        <w:spacing w:line="240" w:lineRule="atLeast"/>
        <w:rPr>
          <w:rFonts w:ascii="Verdana" w:hAnsi="Verdana"/>
          <w:sz w:val="18"/>
          <w:szCs w:val="18"/>
        </w:rPr>
      </w:pPr>
    </w:p>
    <w:p w:rsidR="00635DBE" w:rsidP="00A00020" w:rsidRDefault="00635DBE" w14:paraId="51B33E7E" w14:textId="2221EE9C">
      <w:pPr>
        <w:spacing w:line="240" w:lineRule="atLeast"/>
        <w:rPr>
          <w:rFonts w:ascii="Verdana" w:hAnsi="Verdana"/>
          <w:sz w:val="18"/>
          <w:szCs w:val="18"/>
        </w:rPr>
      </w:pPr>
      <w:r>
        <w:rPr>
          <w:rFonts w:ascii="Verdana" w:hAnsi="Verdana"/>
          <w:sz w:val="18"/>
          <w:szCs w:val="18"/>
        </w:rPr>
        <w:t>Besluit</w:t>
      </w:r>
      <w:r w:rsidR="00272F91">
        <w:rPr>
          <w:rFonts w:ascii="Verdana" w:hAnsi="Verdana"/>
          <w:sz w:val="18"/>
          <w:szCs w:val="18"/>
        </w:rPr>
        <w:t>:</w:t>
      </w:r>
    </w:p>
    <w:p w:rsidRPr="009E5CD6" w:rsidR="00635DBE" w:rsidP="00A00020" w:rsidRDefault="00635DBE" w14:paraId="60235EAE" w14:textId="77777777">
      <w:pPr>
        <w:spacing w:line="240" w:lineRule="atLeast"/>
        <w:rPr>
          <w:rFonts w:ascii="Verdana" w:hAnsi="Verdana"/>
          <w:sz w:val="18"/>
          <w:szCs w:val="18"/>
        </w:rPr>
      </w:pPr>
    </w:p>
    <w:p w:rsidRPr="009E5CD6" w:rsidR="00180F4D" w:rsidP="00A00020" w:rsidRDefault="00180F4D" w14:paraId="7E3AD891" w14:textId="5178CB38">
      <w:pPr>
        <w:spacing w:line="240" w:lineRule="atLeast"/>
        <w:rPr>
          <w:rFonts w:ascii="Verdana" w:hAnsi="Verdana"/>
          <w:sz w:val="18"/>
          <w:szCs w:val="18"/>
        </w:rPr>
      </w:pPr>
      <w:r w:rsidRPr="009E5CD6">
        <w:rPr>
          <w:rFonts w:ascii="Verdana" w:hAnsi="Verdana"/>
          <w:sz w:val="18"/>
          <w:szCs w:val="18"/>
        </w:rPr>
        <w:t xml:space="preserve">De Regeling </w:t>
      </w:r>
      <w:r w:rsidRPr="00535FD6" w:rsidR="00535FD6">
        <w:rPr>
          <w:rFonts w:ascii="Verdana" w:hAnsi="Verdana"/>
          <w:sz w:val="18"/>
          <w:szCs w:val="18"/>
        </w:rPr>
        <w:t xml:space="preserve">verrekening uitkeringskosten vo </w:t>
      </w:r>
      <w:r w:rsidRPr="009E5CD6">
        <w:rPr>
          <w:rFonts w:ascii="Verdana" w:hAnsi="Verdana"/>
          <w:sz w:val="18"/>
          <w:szCs w:val="18"/>
        </w:rPr>
        <w:t>wordt als volgt gewijzigd:</w:t>
      </w:r>
    </w:p>
    <w:p w:rsidRPr="009E5CD6" w:rsidR="00180F4D" w:rsidP="00A00020" w:rsidRDefault="00180F4D" w14:paraId="176E4204" w14:textId="2F35316B">
      <w:pPr>
        <w:spacing w:line="240" w:lineRule="atLeast"/>
        <w:rPr>
          <w:rFonts w:ascii="Verdana" w:hAnsi="Verdana"/>
          <w:sz w:val="18"/>
          <w:szCs w:val="18"/>
        </w:rPr>
      </w:pPr>
      <w:r w:rsidRPr="009E5CD6">
        <w:rPr>
          <w:rFonts w:ascii="Verdana" w:hAnsi="Verdana"/>
          <w:sz w:val="18"/>
          <w:szCs w:val="18"/>
        </w:rPr>
        <w:t>A</w:t>
      </w:r>
    </w:p>
    <w:p w:rsidR="00535FD6" w:rsidP="00535FD6" w:rsidRDefault="00832239" w14:paraId="1D91C608" w14:textId="5D3DF2CA">
      <w:pPr>
        <w:spacing w:line="240" w:lineRule="atLeast"/>
        <w:rPr>
          <w:rFonts w:ascii="Verdana" w:hAnsi="Verdana"/>
          <w:sz w:val="18"/>
          <w:szCs w:val="18"/>
        </w:rPr>
      </w:pPr>
      <w:r>
        <w:rPr>
          <w:rFonts w:ascii="Verdana" w:hAnsi="Verdana"/>
          <w:sz w:val="18"/>
          <w:szCs w:val="18"/>
        </w:rPr>
        <w:t>In a</w:t>
      </w:r>
      <w:r w:rsidRPr="009E5CD6" w:rsidR="00180F4D">
        <w:rPr>
          <w:rFonts w:ascii="Verdana" w:hAnsi="Verdana"/>
          <w:sz w:val="18"/>
          <w:szCs w:val="18"/>
        </w:rPr>
        <w:t xml:space="preserve">rtikel </w:t>
      </w:r>
      <w:r w:rsidR="00535FD6">
        <w:rPr>
          <w:rFonts w:ascii="Verdana" w:hAnsi="Verdana"/>
          <w:sz w:val="18"/>
          <w:szCs w:val="18"/>
        </w:rPr>
        <w:t>2 wordt ‘75’ vervangen door ‘50’.</w:t>
      </w:r>
    </w:p>
    <w:p w:rsidR="00535FD6" w:rsidP="00A00020" w:rsidRDefault="00535FD6" w14:paraId="4FD99951" w14:textId="77777777">
      <w:pPr>
        <w:spacing w:line="240" w:lineRule="atLeast"/>
        <w:rPr>
          <w:rFonts w:ascii="Verdana" w:hAnsi="Verdana"/>
          <w:sz w:val="18"/>
          <w:szCs w:val="18"/>
        </w:rPr>
      </w:pPr>
    </w:p>
    <w:p w:rsidR="003732B8" w:rsidP="003732B8" w:rsidRDefault="003732B8" w14:paraId="029C2DB9" w14:textId="7995B838">
      <w:pPr>
        <w:spacing w:line="240" w:lineRule="atLeast"/>
        <w:rPr>
          <w:rFonts w:ascii="Verdana" w:hAnsi="Verdana"/>
          <w:sz w:val="18"/>
          <w:szCs w:val="18"/>
        </w:rPr>
      </w:pPr>
      <w:r>
        <w:rPr>
          <w:rFonts w:ascii="Verdana" w:hAnsi="Verdana"/>
          <w:sz w:val="18"/>
          <w:szCs w:val="18"/>
        </w:rPr>
        <w:t>B</w:t>
      </w:r>
    </w:p>
    <w:p w:rsidR="003732B8" w:rsidP="003732B8" w:rsidRDefault="003732B8" w14:paraId="3C92B8CC" w14:textId="15237CAE">
      <w:pPr>
        <w:spacing w:line="240" w:lineRule="atLeast"/>
        <w:rPr>
          <w:rFonts w:ascii="Verdana" w:hAnsi="Verdana"/>
          <w:sz w:val="18"/>
          <w:szCs w:val="18"/>
        </w:rPr>
      </w:pPr>
      <w:r>
        <w:rPr>
          <w:rFonts w:ascii="Verdana" w:hAnsi="Verdana"/>
          <w:sz w:val="18"/>
          <w:szCs w:val="18"/>
        </w:rPr>
        <w:t>In artikel 3 wordt ‘artikel 6.5’ telkens vervangen door ‘artikel 6.4’.</w:t>
      </w:r>
    </w:p>
    <w:p w:rsidR="003732B8" w:rsidP="00A00020" w:rsidRDefault="003732B8" w14:paraId="788579F6" w14:textId="77777777">
      <w:pPr>
        <w:spacing w:line="240" w:lineRule="atLeast"/>
        <w:rPr>
          <w:rFonts w:ascii="Verdana" w:hAnsi="Verdana"/>
          <w:sz w:val="18"/>
          <w:szCs w:val="18"/>
        </w:rPr>
      </w:pPr>
    </w:p>
    <w:p w:rsidRPr="009E5CD6" w:rsidR="00302E4C" w:rsidP="00A00020" w:rsidRDefault="003732B8" w14:paraId="32CAA812" w14:textId="7D7520AE">
      <w:pPr>
        <w:spacing w:line="240" w:lineRule="atLeast"/>
        <w:rPr>
          <w:rFonts w:ascii="Verdana" w:hAnsi="Verdana"/>
          <w:sz w:val="18"/>
          <w:szCs w:val="18"/>
        </w:rPr>
      </w:pPr>
      <w:r>
        <w:rPr>
          <w:rFonts w:ascii="Verdana" w:hAnsi="Verdana"/>
          <w:sz w:val="18"/>
          <w:szCs w:val="18"/>
        </w:rPr>
        <w:t>C</w:t>
      </w:r>
    </w:p>
    <w:p w:rsidR="00CB417E" w:rsidP="00A00020" w:rsidRDefault="00535FD6" w14:paraId="73E0F5BB" w14:textId="328A837B">
      <w:pPr>
        <w:spacing w:line="240" w:lineRule="atLeast"/>
        <w:rPr>
          <w:rFonts w:ascii="Verdana" w:hAnsi="Verdana"/>
          <w:sz w:val="18"/>
          <w:szCs w:val="18"/>
        </w:rPr>
      </w:pPr>
      <w:r>
        <w:rPr>
          <w:rFonts w:ascii="Verdana" w:hAnsi="Verdana"/>
          <w:sz w:val="18"/>
          <w:szCs w:val="18"/>
        </w:rPr>
        <w:t>In artikel 4 wordt ‘25’ vervangen door ‘50’.</w:t>
      </w:r>
    </w:p>
    <w:p w:rsidRPr="009E5CD6" w:rsidR="00BC3F4E" w:rsidP="00BC3F4E" w:rsidRDefault="00BC3F4E" w14:paraId="65898772" w14:textId="77777777">
      <w:pPr>
        <w:spacing w:line="240" w:lineRule="atLeast"/>
        <w:rPr>
          <w:rFonts w:ascii="Verdana" w:hAnsi="Verdana"/>
          <w:sz w:val="18"/>
          <w:szCs w:val="18"/>
        </w:rPr>
      </w:pPr>
    </w:p>
    <w:p w:rsidR="000E693F" w:rsidP="00F23BDD" w:rsidRDefault="003732B8" w14:paraId="2C4C6BF7" w14:textId="11739D03">
      <w:pPr>
        <w:spacing w:line="240" w:lineRule="atLeast"/>
        <w:rPr>
          <w:rFonts w:ascii="Verdana" w:hAnsi="Verdana"/>
          <w:sz w:val="18"/>
          <w:szCs w:val="18"/>
        </w:rPr>
      </w:pPr>
      <w:r>
        <w:rPr>
          <w:rFonts w:ascii="Verdana" w:hAnsi="Verdana"/>
          <w:sz w:val="18"/>
          <w:szCs w:val="18"/>
        </w:rPr>
        <w:t>D</w:t>
      </w:r>
      <w:r w:rsidR="000E693F">
        <w:rPr>
          <w:rFonts w:ascii="Verdana" w:hAnsi="Verdana"/>
          <w:sz w:val="18"/>
          <w:szCs w:val="18"/>
        </w:rPr>
        <w:t xml:space="preserve"> </w:t>
      </w:r>
    </w:p>
    <w:p w:rsidR="00421F98" w:rsidP="00F23BDD" w:rsidRDefault="00421F98" w14:paraId="36D73CF2" w14:textId="164387FD">
      <w:pPr>
        <w:spacing w:line="240" w:lineRule="atLeast"/>
        <w:rPr>
          <w:rFonts w:ascii="Verdana" w:hAnsi="Verdana"/>
          <w:sz w:val="18"/>
          <w:szCs w:val="18"/>
        </w:rPr>
      </w:pPr>
      <w:r>
        <w:rPr>
          <w:rFonts w:ascii="Verdana" w:hAnsi="Verdana"/>
          <w:sz w:val="18"/>
          <w:szCs w:val="18"/>
        </w:rPr>
        <w:t>In artikel 5 wordt ‘artikel 6.5’ telkens vervangen door ‘artikel 6.4’.</w:t>
      </w:r>
    </w:p>
    <w:p w:rsidR="00BC3F4E" w:rsidP="00F23BDD" w:rsidRDefault="00BC3F4E" w14:paraId="638CA6CE" w14:textId="62B696B9">
      <w:pPr>
        <w:spacing w:line="240" w:lineRule="atLeast"/>
        <w:rPr>
          <w:rFonts w:ascii="Verdana" w:hAnsi="Verdana"/>
          <w:sz w:val="18"/>
          <w:szCs w:val="18"/>
        </w:rPr>
      </w:pPr>
    </w:p>
    <w:p w:rsidR="00421F98" w:rsidP="00F23BDD" w:rsidRDefault="003732B8" w14:paraId="7CBC8F45" w14:textId="1B5B41DA">
      <w:pPr>
        <w:spacing w:line="240" w:lineRule="atLeast"/>
        <w:rPr>
          <w:rFonts w:ascii="Verdana" w:hAnsi="Verdana"/>
          <w:sz w:val="18"/>
          <w:szCs w:val="18"/>
        </w:rPr>
      </w:pPr>
      <w:r>
        <w:rPr>
          <w:rFonts w:ascii="Verdana" w:hAnsi="Verdana"/>
          <w:sz w:val="18"/>
          <w:szCs w:val="18"/>
        </w:rPr>
        <w:t>E</w:t>
      </w:r>
    </w:p>
    <w:p w:rsidR="009E49A3" w:rsidP="00F23BDD" w:rsidRDefault="00535FD6" w14:paraId="3EA6D408" w14:textId="7A49CFF9">
      <w:pPr>
        <w:spacing w:line="240" w:lineRule="atLeast"/>
        <w:rPr>
          <w:rFonts w:ascii="Verdana" w:hAnsi="Verdana"/>
          <w:sz w:val="18"/>
          <w:szCs w:val="18"/>
        </w:rPr>
      </w:pPr>
      <w:r w:rsidRPr="00535FD6">
        <w:rPr>
          <w:rFonts w:ascii="Verdana" w:hAnsi="Verdana"/>
          <w:sz w:val="18"/>
          <w:szCs w:val="18"/>
        </w:rPr>
        <w:t xml:space="preserve">Deze regeling treedt in werking op </w:t>
      </w:r>
      <w:r>
        <w:rPr>
          <w:rFonts w:ascii="Verdana" w:hAnsi="Verdana"/>
          <w:sz w:val="18"/>
          <w:szCs w:val="18"/>
        </w:rPr>
        <w:t>1 januari 2028</w:t>
      </w:r>
      <w:r w:rsidRPr="00535FD6">
        <w:rPr>
          <w:rFonts w:ascii="Verdana" w:hAnsi="Verdana"/>
          <w:sz w:val="18"/>
          <w:szCs w:val="18"/>
        </w:rPr>
        <w:t>.</w:t>
      </w:r>
    </w:p>
    <w:p w:rsidR="009E49A3" w:rsidP="00F23BDD" w:rsidRDefault="009E49A3" w14:paraId="1DFE9829" w14:textId="77777777">
      <w:pPr>
        <w:spacing w:line="240" w:lineRule="atLeast"/>
        <w:rPr>
          <w:rFonts w:ascii="Verdana" w:hAnsi="Verdana"/>
          <w:sz w:val="18"/>
          <w:szCs w:val="18"/>
        </w:rPr>
      </w:pPr>
    </w:p>
    <w:p w:rsidR="005E149B" w:rsidP="00F23BDD" w:rsidRDefault="005E149B" w14:paraId="57EF823D" w14:textId="4DE9D0DD">
      <w:pPr>
        <w:spacing w:line="240" w:lineRule="atLeast"/>
        <w:rPr>
          <w:rFonts w:ascii="Verdana" w:hAnsi="Verdana"/>
          <w:sz w:val="18"/>
          <w:szCs w:val="18"/>
        </w:rPr>
      </w:pPr>
      <w:r>
        <w:rPr>
          <w:rFonts w:ascii="Verdana" w:hAnsi="Verdana"/>
          <w:sz w:val="18"/>
          <w:szCs w:val="18"/>
        </w:rPr>
        <w:t xml:space="preserve">Deze regeling zal met de toelichting in de Staatscourant worden geplaatst. </w:t>
      </w:r>
    </w:p>
    <w:p w:rsidRPr="00F23BDD" w:rsidR="009E49A3" w:rsidP="00F23BDD" w:rsidRDefault="009E49A3" w14:paraId="26DBCEED" w14:textId="77777777">
      <w:pPr>
        <w:spacing w:line="240" w:lineRule="atLeast"/>
        <w:rPr>
          <w:rFonts w:ascii="Verdana" w:hAnsi="Verdana"/>
          <w:sz w:val="18"/>
          <w:szCs w:val="18"/>
        </w:rPr>
      </w:pPr>
    </w:p>
    <w:p w:rsidR="005E149B" w:rsidP="005E149B" w:rsidRDefault="005E149B" w14:paraId="485C9061" w14:textId="1FBEB67D">
      <w:pPr>
        <w:spacing w:line="240" w:lineRule="atLeast"/>
        <w:rPr>
          <w:rFonts w:ascii="Verdana" w:hAnsi="Verdana"/>
          <w:sz w:val="18"/>
          <w:szCs w:val="18"/>
        </w:rPr>
      </w:pPr>
      <w:r>
        <w:rPr>
          <w:rFonts w:ascii="Verdana" w:hAnsi="Verdana"/>
          <w:sz w:val="18"/>
          <w:szCs w:val="18"/>
        </w:rPr>
        <w:t>De Staatssecretaris van Onderwijs, Cultuur en Wetenschap,</w:t>
      </w:r>
    </w:p>
    <w:p w:rsidR="005E149B" w:rsidP="005E149B" w:rsidRDefault="005E149B" w14:paraId="67A54475" w14:textId="77777777">
      <w:pPr>
        <w:spacing w:line="240" w:lineRule="atLeast"/>
        <w:rPr>
          <w:rFonts w:ascii="Verdana" w:hAnsi="Verdana"/>
          <w:sz w:val="18"/>
          <w:szCs w:val="18"/>
        </w:rPr>
      </w:pPr>
    </w:p>
    <w:p w:rsidR="00FA126D" w:rsidP="005E149B" w:rsidRDefault="00FA126D" w14:paraId="12D1D766" w14:textId="77777777">
      <w:pPr>
        <w:spacing w:line="240" w:lineRule="atLeast"/>
        <w:rPr>
          <w:rFonts w:ascii="Verdana" w:hAnsi="Verdana"/>
          <w:sz w:val="18"/>
          <w:szCs w:val="18"/>
        </w:rPr>
      </w:pPr>
    </w:p>
    <w:p w:rsidR="00FA126D" w:rsidP="005E149B" w:rsidRDefault="00FA126D" w14:paraId="5E046D9D" w14:textId="77777777">
      <w:pPr>
        <w:spacing w:line="240" w:lineRule="atLeast"/>
        <w:rPr>
          <w:rFonts w:ascii="Verdana" w:hAnsi="Verdana"/>
          <w:sz w:val="18"/>
          <w:szCs w:val="18"/>
        </w:rPr>
      </w:pPr>
    </w:p>
    <w:p w:rsidRPr="00F23BDD" w:rsidR="005E149B" w:rsidP="00F23BDD" w:rsidRDefault="00976674" w14:paraId="7D311F1F" w14:textId="1E0ED6D4">
      <w:pPr>
        <w:spacing w:line="240" w:lineRule="atLeast"/>
        <w:rPr>
          <w:rFonts w:ascii="Verdana" w:hAnsi="Verdana"/>
          <w:sz w:val="18"/>
          <w:szCs w:val="18"/>
        </w:rPr>
      </w:pPr>
      <w:r w:rsidRPr="00976674">
        <w:rPr>
          <w:rFonts w:ascii="Verdana" w:hAnsi="Verdana"/>
          <w:sz w:val="18"/>
          <w:szCs w:val="18"/>
        </w:rPr>
        <w:t>Judith Zs.C.M. Tielen</w:t>
      </w:r>
    </w:p>
    <w:p w:rsidR="005E149B" w:rsidRDefault="005E149B" w14:paraId="5803C5CF" w14:textId="77020F93">
      <w:pPr>
        <w:rPr>
          <w:rFonts w:ascii="Verdana" w:hAnsi="Verdana"/>
          <w:sz w:val="18"/>
          <w:szCs w:val="18"/>
        </w:rPr>
      </w:pPr>
      <w:r>
        <w:rPr>
          <w:rFonts w:ascii="Verdana" w:hAnsi="Verdana"/>
          <w:sz w:val="18"/>
          <w:szCs w:val="18"/>
        </w:rPr>
        <w:br w:type="page"/>
      </w:r>
    </w:p>
    <w:p w:rsidRPr="009E5CD6" w:rsidR="00AE18E8" w:rsidP="00F23BDD" w:rsidRDefault="00AE18E8" w14:paraId="251C6EFE" w14:textId="77777777">
      <w:pPr>
        <w:spacing w:line="240" w:lineRule="atLeast"/>
        <w:rPr>
          <w:rFonts w:ascii="Verdana" w:hAnsi="Verdana"/>
          <w:sz w:val="18"/>
          <w:szCs w:val="18"/>
        </w:rPr>
      </w:pPr>
    </w:p>
    <w:p w:rsidRPr="007260E0" w:rsidR="00CB417E" w:rsidP="00CD4593" w:rsidRDefault="00AE18E8" w14:paraId="6AD4A1AB" w14:textId="007DE795">
      <w:pPr>
        <w:spacing w:line="240" w:lineRule="atLeast"/>
        <w:rPr>
          <w:rFonts w:ascii="Verdana" w:hAnsi="Verdana"/>
          <w:b/>
          <w:bCs/>
          <w:sz w:val="18"/>
          <w:szCs w:val="18"/>
        </w:rPr>
      </w:pPr>
      <w:r w:rsidRPr="007260E0">
        <w:rPr>
          <w:rFonts w:ascii="Verdana" w:hAnsi="Verdana"/>
          <w:b/>
          <w:bCs/>
          <w:sz w:val="18"/>
          <w:szCs w:val="18"/>
        </w:rPr>
        <w:t>TOELICHTING</w:t>
      </w:r>
    </w:p>
    <w:p w:rsidRPr="007260E0" w:rsidR="00FD23ED" w:rsidP="00CD4593" w:rsidRDefault="00FD23ED" w14:paraId="09EACAA3" w14:textId="7A168F5B">
      <w:pPr>
        <w:spacing w:line="240" w:lineRule="atLeast"/>
        <w:rPr>
          <w:rFonts w:ascii="Verdana" w:hAnsi="Verdana"/>
          <w:b/>
          <w:bCs/>
          <w:sz w:val="18"/>
          <w:szCs w:val="18"/>
        </w:rPr>
      </w:pPr>
      <w:r w:rsidRPr="007260E0">
        <w:rPr>
          <w:rFonts w:ascii="Verdana" w:hAnsi="Verdana"/>
          <w:b/>
          <w:bCs/>
          <w:sz w:val="18"/>
          <w:szCs w:val="18"/>
        </w:rPr>
        <w:t>I.</w:t>
      </w:r>
      <w:r w:rsidR="007260E0">
        <w:rPr>
          <w:rFonts w:ascii="Verdana" w:hAnsi="Verdana"/>
          <w:b/>
          <w:bCs/>
          <w:sz w:val="18"/>
          <w:szCs w:val="18"/>
        </w:rPr>
        <w:tab/>
      </w:r>
      <w:r w:rsidRPr="007260E0">
        <w:rPr>
          <w:rFonts w:ascii="Verdana" w:hAnsi="Verdana"/>
          <w:b/>
          <w:bCs/>
          <w:sz w:val="18"/>
          <w:szCs w:val="18"/>
        </w:rPr>
        <w:t xml:space="preserve">Algemeen </w:t>
      </w:r>
    </w:p>
    <w:p w:rsidRPr="0073663C" w:rsidR="00431934" w:rsidP="0073663C" w:rsidRDefault="0073663C" w14:paraId="2A95C87F" w14:textId="543661E9">
      <w:pPr>
        <w:spacing w:line="240" w:lineRule="atLeast"/>
        <w:rPr>
          <w:rFonts w:ascii="Verdana" w:hAnsi="Verdana"/>
          <w:b/>
          <w:bCs/>
          <w:sz w:val="18"/>
          <w:szCs w:val="18"/>
        </w:rPr>
      </w:pPr>
      <w:r>
        <w:rPr>
          <w:rFonts w:ascii="Verdana" w:hAnsi="Verdana"/>
          <w:b/>
          <w:bCs/>
          <w:sz w:val="18"/>
          <w:szCs w:val="18"/>
        </w:rPr>
        <w:t>1.</w:t>
      </w:r>
      <w:r>
        <w:rPr>
          <w:rFonts w:ascii="Verdana" w:hAnsi="Verdana"/>
          <w:b/>
          <w:bCs/>
          <w:sz w:val="18"/>
          <w:szCs w:val="18"/>
        </w:rPr>
        <w:tab/>
      </w:r>
      <w:r w:rsidRPr="0073663C" w:rsidR="004F431F">
        <w:rPr>
          <w:rFonts w:ascii="Verdana" w:hAnsi="Verdana"/>
          <w:b/>
          <w:bCs/>
          <w:sz w:val="18"/>
          <w:szCs w:val="18"/>
        </w:rPr>
        <w:t>Aanleiding</w:t>
      </w:r>
    </w:p>
    <w:p w:rsidRPr="00F6063A" w:rsidR="0073663C" w:rsidP="0073663C" w:rsidRDefault="0073663C" w14:paraId="30C94194" w14:textId="77777777">
      <w:pPr>
        <w:spacing w:line="240" w:lineRule="atLeast"/>
        <w:rPr>
          <w:rFonts w:ascii="Verdana" w:hAnsi="Verdana"/>
          <w:sz w:val="18"/>
          <w:szCs w:val="18"/>
        </w:rPr>
      </w:pPr>
      <w:r w:rsidRPr="00F6063A">
        <w:rPr>
          <w:rFonts w:ascii="Verdana" w:hAnsi="Verdana"/>
          <w:sz w:val="18"/>
          <w:szCs w:val="18"/>
        </w:rPr>
        <w:t>Deze wijzigingsregeling verhoogt het percentage van het individuele deel van de uitkeringskosten en verlaagt het percentage van het collectieve deel van de uitkeringskosten in de Regeling verrekening uitkeringskosten vo. Het betreft de verrekening van de uitkeringskosten die voortvloeien uit werkloosheid.</w:t>
      </w:r>
    </w:p>
    <w:p w:rsidRPr="00F6063A" w:rsidR="0073663C" w:rsidP="0073663C" w:rsidRDefault="0073663C" w14:paraId="33E5A222" w14:textId="18EA0056">
      <w:pPr>
        <w:spacing w:line="240" w:lineRule="atLeast"/>
        <w:rPr>
          <w:rFonts w:ascii="Verdana" w:hAnsi="Verdana"/>
          <w:sz w:val="18"/>
          <w:szCs w:val="18"/>
        </w:rPr>
      </w:pPr>
      <w:r w:rsidRPr="00F6063A">
        <w:rPr>
          <w:rFonts w:ascii="Verdana" w:hAnsi="Verdana"/>
          <w:sz w:val="18"/>
          <w:szCs w:val="18"/>
        </w:rPr>
        <w:t>De aanleiding voor deze wijziging is een aanbeveling uit het rapport “Werkzaamheid van de werkloosheidsregeling in het voortgezet onderwijs en effecten van het normatief verevenen” (hierna: WOVO-onderzoek</w:t>
      </w:r>
      <w:r w:rsidR="00725CA8">
        <w:rPr>
          <w:rStyle w:val="Voetnootmarkering"/>
          <w:rFonts w:ascii="Verdana" w:hAnsi="Verdana"/>
          <w:sz w:val="18"/>
          <w:szCs w:val="18"/>
        </w:rPr>
        <w:footnoteReference w:id="1"/>
      </w:r>
      <w:r w:rsidRPr="00F6063A">
        <w:rPr>
          <w:rFonts w:ascii="Verdana" w:hAnsi="Verdana"/>
          <w:sz w:val="18"/>
          <w:szCs w:val="18"/>
        </w:rPr>
        <w:t>) dat in december 2024 naar de Tweede Kamer is gestuurd.</w:t>
      </w:r>
      <w:r w:rsidR="0096252C">
        <w:rPr>
          <w:rStyle w:val="Voetnootmarkering"/>
          <w:rFonts w:ascii="Verdana" w:hAnsi="Verdana"/>
          <w:sz w:val="18"/>
          <w:szCs w:val="18"/>
        </w:rPr>
        <w:footnoteReference w:id="2"/>
      </w:r>
      <w:r w:rsidRPr="00F6063A">
        <w:rPr>
          <w:rFonts w:ascii="Verdana" w:hAnsi="Verdana"/>
          <w:sz w:val="18"/>
          <w:szCs w:val="18"/>
        </w:rPr>
        <w:t xml:space="preserve"> Eén van de aanbevelingen uit het rapport is om het individuele deel van de uitkeringskosten voor een vo-schoolbestuur te verhogen zodat schoolbesturen een sterkere prikkel voelen om werkloosheid te voorkomen en te verkorten. Voorliggende wijzigingsregeling is de uitwerking van deze aanbeveling.</w:t>
      </w:r>
    </w:p>
    <w:p w:rsidR="0073663C" w:rsidP="0073663C" w:rsidRDefault="00E16B55" w14:paraId="0B89C440" w14:textId="4042CA1B">
      <w:pPr>
        <w:spacing w:line="240" w:lineRule="atLeast"/>
        <w:rPr>
          <w:rFonts w:ascii="Verdana" w:hAnsi="Verdana"/>
          <w:sz w:val="18"/>
          <w:szCs w:val="18"/>
        </w:rPr>
      </w:pPr>
      <w:r>
        <w:rPr>
          <w:rFonts w:ascii="Verdana" w:hAnsi="Verdana"/>
          <w:kern w:val="0"/>
          <w:sz w:val="18"/>
          <w:szCs w:val="18"/>
          <w14:ligatures w14:val="none"/>
        </w:rPr>
        <w:t>De regeling geldt niet voor Caribisch Nederland (CN) omdat voor de onderwijssector in CN geen sprake is van eigen risicodragerschap voor de werkloosheidskosten. De voorliggende wijzigingsregeling betreft een wijziging van de regeling die in Europees Nederland van toepassing is.</w:t>
      </w:r>
    </w:p>
    <w:p w:rsidR="0073663C" w:rsidP="0073663C" w:rsidRDefault="0073663C" w14:paraId="3709F80E" w14:textId="77777777">
      <w:pPr>
        <w:spacing w:line="240" w:lineRule="atLeast"/>
        <w:rPr>
          <w:rFonts w:ascii="Verdana" w:hAnsi="Verdana"/>
          <w:sz w:val="18"/>
          <w:szCs w:val="18"/>
        </w:rPr>
      </w:pPr>
    </w:p>
    <w:p w:rsidRPr="00F6063A" w:rsidR="0073663C" w:rsidP="0073663C" w:rsidRDefault="0073663C" w14:paraId="582F7F10" w14:textId="77777777">
      <w:pPr>
        <w:spacing w:line="240" w:lineRule="atLeast"/>
        <w:rPr>
          <w:rFonts w:ascii="Verdana" w:hAnsi="Verdana"/>
          <w:b/>
          <w:bCs/>
          <w:sz w:val="18"/>
          <w:szCs w:val="18"/>
        </w:rPr>
      </w:pPr>
      <w:r w:rsidRPr="00F6063A">
        <w:rPr>
          <w:rFonts w:ascii="Verdana" w:hAnsi="Verdana"/>
          <w:b/>
          <w:bCs/>
          <w:sz w:val="18"/>
          <w:szCs w:val="18"/>
        </w:rPr>
        <w:t>2.</w:t>
      </w:r>
      <w:r w:rsidRPr="00F6063A">
        <w:rPr>
          <w:rFonts w:ascii="Verdana" w:hAnsi="Verdana"/>
          <w:b/>
          <w:bCs/>
          <w:sz w:val="18"/>
          <w:szCs w:val="18"/>
        </w:rPr>
        <w:tab/>
        <w:t>Probleembeschrijving en aanpak</w:t>
      </w:r>
    </w:p>
    <w:p w:rsidRPr="00F6063A" w:rsidR="0073663C" w:rsidP="0073663C" w:rsidRDefault="0073663C" w14:paraId="312A67E6" w14:textId="77777777">
      <w:pPr>
        <w:spacing w:line="240" w:lineRule="atLeast"/>
        <w:rPr>
          <w:rFonts w:ascii="Verdana" w:hAnsi="Verdana"/>
          <w:b/>
          <w:bCs/>
          <w:sz w:val="18"/>
          <w:szCs w:val="18"/>
        </w:rPr>
      </w:pPr>
      <w:r w:rsidRPr="00F6063A">
        <w:rPr>
          <w:rFonts w:ascii="Verdana" w:hAnsi="Verdana"/>
          <w:b/>
          <w:bCs/>
          <w:sz w:val="18"/>
          <w:szCs w:val="18"/>
        </w:rPr>
        <w:t>2.1</w:t>
      </w:r>
      <w:r w:rsidRPr="00F6063A">
        <w:rPr>
          <w:rFonts w:ascii="Verdana" w:hAnsi="Verdana"/>
          <w:b/>
          <w:bCs/>
          <w:sz w:val="18"/>
          <w:szCs w:val="18"/>
        </w:rPr>
        <w:tab/>
        <w:t>Situatieschets</w:t>
      </w:r>
    </w:p>
    <w:p w:rsidRPr="00F6063A" w:rsidR="0073663C" w:rsidP="0073663C" w:rsidRDefault="0073663C" w14:paraId="42E0A94A" w14:textId="4DC376E1">
      <w:pPr>
        <w:spacing w:line="240" w:lineRule="atLeast"/>
        <w:rPr>
          <w:rFonts w:ascii="Verdana" w:hAnsi="Verdana"/>
          <w:sz w:val="18"/>
          <w:szCs w:val="18"/>
        </w:rPr>
      </w:pPr>
      <w:r w:rsidRPr="00F6063A">
        <w:rPr>
          <w:rFonts w:ascii="Verdana" w:hAnsi="Verdana"/>
          <w:sz w:val="18"/>
          <w:szCs w:val="18"/>
        </w:rPr>
        <w:t>Er waren in het vo in 2023 ruim 2.000 mensen die een werkloosheidsuitkering (WW-uitkering en/of bovenwettelijke WOVO-uitkering) ontvingen. De kosten hiervan waren ruim € 78 miljoen. Dit is ongeveer 0,85% van de basisbekostiging in het vo. Als het lukt om deze mensen terug te leiden naar de arbeidsmarkt levert dat een bijdrage aan het terugdringen van het personeelstekort. Bovendien kan het geld dat nu aan uitkeringen wordt besteed ten goede komen aan de kwaliteit van het onderwijs.</w:t>
      </w:r>
    </w:p>
    <w:p w:rsidRPr="00F6063A" w:rsidR="0073663C" w:rsidP="0073663C" w:rsidRDefault="0073663C" w14:paraId="3FCB4157" w14:textId="60EE8D74">
      <w:pPr>
        <w:spacing w:line="240" w:lineRule="atLeast"/>
        <w:rPr>
          <w:rFonts w:ascii="Verdana" w:hAnsi="Verdana"/>
          <w:sz w:val="18"/>
          <w:szCs w:val="18"/>
        </w:rPr>
      </w:pPr>
      <w:r w:rsidRPr="00F6063A">
        <w:rPr>
          <w:rFonts w:ascii="Verdana" w:hAnsi="Verdana"/>
          <w:sz w:val="18"/>
          <w:szCs w:val="18"/>
        </w:rPr>
        <w:t xml:space="preserve">In de onderwijssectoren zijn de werkgevers eigenrisicodrager voor de werkloosheidsuitkeringen.  Dit houdt in dat de werkgevers geen werkloosheidspremie voor hun werknemers betalen, maar dat zij zelf verantwoordelijk zijn voor de kosten die voortvloeien uit de werkloosheid van hun voormalig werknemers. Als er veel mensen door een werkgever worden ontslagen (bijvoorbeeld in geval van krimp), kan dit leiden tot hoge kosten voor deze werkgever. Om dit risico te verkleinen, is er in het vo gekozen om solidariteit tussen de vo-werkgevers in te bouwen. Dit wordt gedaan door een deel van de kosten (25 procent) ten laste van het individuele bestuur te brengen, en het overige deel (75 procent) collectief te dragen (over de sector ‘te verevenen’). </w:t>
      </w:r>
    </w:p>
    <w:p w:rsidRPr="00F6063A" w:rsidR="0073663C" w:rsidP="0073663C" w:rsidRDefault="0073663C" w14:paraId="73968F0D" w14:textId="4937E09D">
      <w:pPr>
        <w:spacing w:line="240" w:lineRule="atLeast"/>
        <w:rPr>
          <w:rFonts w:ascii="Verdana" w:hAnsi="Verdana"/>
          <w:sz w:val="18"/>
          <w:szCs w:val="18"/>
        </w:rPr>
      </w:pPr>
      <w:r w:rsidRPr="00F6063A">
        <w:rPr>
          <w:rFonts w:ascii="Verdana" w:hAnsi="Verdana"/>
          <w:sz w:val="18"/>
          <w:szCs w:val="18"/>
        </w:rPr>
        <w:t xml:space="preserve">Een ander gevolg van het eigenrisicodragerschap is dat de werkgevers zelf verantwoordelijk zijn voor de re-integratie van hun voormalig werknemers. In de onderwijssectoren heeft het UWV daardoor </w:t>
      </w:r>
      <w:r w:rsidR="00A24232">
        <w:rPr>
          <w:rFonts w:ascii="Verdana" w:hAnsi="Verdana"/>
          <w:sz w:val="18"/>
          <w:szCs w:val="18"/>
        </w:rPr>
        <w:t xml:space="preserve">een beperkte </w:t>
      </w:r>
      <w:r w:rsidRPr="00F6063A">
        <w:rPr>
          <w:rFonts w:ascii="Verdana" w:hAnsi="Verdana"/>
          <w:sz w:val="18"/>
          <w:szCs w:val="18"/>
        </w:rPr>
        <w:t>rol bij het controleren van de sollicitatieplicht</w:t>
      </w:r>
      <w:r w:rsidR="00A24232">
        <w:rPr>
          <w:rFonts w:ascii="Verdana" w:hAnsi="Verdana"/>
          <w:sz w:val="18"/>
          <w:szCs w:val="18"/>
        </w:rPr>
        <w:t xml:space="preserve"> tijdens de WW uitkering en geen enkele rol</w:t>
      </w:r>
      <w:r w:rsidRPr="00F6063A">
        <w:rPr>
          <w:rFonts w:ascii="Verdana" w:hAnsi="Verdana"/>
          <w:sz w:val="18"/>
          <w:szCs w:val="18"/>
        </w:rPr>
        <w:t xml:space="preserve"> bij ondersteuning in de re-integratie</w:t>
      </w:r>
      <w:r w:rsidR="005A0CBF">
        <w:rPr>
          <w:rFonts w:ascii="Verdana" w:hAnsi="Verdana"/>
          <w:sz w:val="18"/>
          <w:szCs w:val="18"/>
        </w:rPr>
        <w:t xml:space="preserve"> in zowel de WW-fase als tijdens de na-wettelijke fase</w:t>
      </w:r>
      <w:r w:rsidRPr="00F6063A">
        <w:rPr>
          <w:rFonts w:ascii="Verdana" w:hAnsi="Verdana"/>
          <w:sz w:val="18"/>
          <w:szCs w:val="18"/>
        </w:rPr>
        <w:t xml:space="preserve">. Hoewel het aantal werkloosheidsuitkeringen in het vo de afgelopen jaren is gedaald (zie paragraaf 2.2), blijkt uit het WOVO-onderzoek dat werkgevers de re-integratieverplichtingen die zij hebben </w:t>
      </w:r>
      <w:r w:rsidR="00E74ED6">
        <w:rPr>
          <w:rFonts w:ascii="Verdana" w:hAnsi="Verdana"/>
          <w:sz w:val="18"/>
          <w:szCs w:val="18"/>
        </w:rPr>
        <w:t xml:space="preserve">nog </w:t>
      </w:r>
      <w:r w:rsidRPr="00F6063A">
        <w:rPr>
          <w:rFonts w:ascii="Verdana" w:hAnsi="Verdana"/>
          <w:sz w:val="18"/>
          <w:szCs w:val="18"/>
        </w:rPr>
        <w:t>onvoldoende oppakken. Eén van de oorzaken hiervoor is dat de financiële prikkel om werk te maken van re-integratie voor werkgevers nu te laag is door de verevening van</w:t>
      </w:r>
      <w:r w:rsidR="00EB09C3">
        <w:rPr>
          <w:rFonts w:ascii="Verdana" w:hAnsi="Verdana"/>
          <w:sz w:val="18"/>
          <w:szCs w:val="18"/>
        </w:rPr>
        <w:t xml:space="preserve"> het merendeel </w:t>
      </w:r>
      <w:r w:rsidR="00454DA7">
        <w:rPr>
          <w:rFonts w:ascii="Verdana" w:hAnsi="Verdana"/>
          <w:sz w:val="18"/>
          <w:szCs w:val="18"/>
        </w:rPr>
        <w:t xml:space="preserve">van </w:t>
      </w:r>
      <w:r w:rsidRPr="00F6063A">
        <w:rPr>
          <w:rFonts w:ascii="Verdana" w:hAnsi="Verdana"/>
          <w:sz w:val="18"/>
          <w:szCs w:val="18"/>
        </w:rPr>
        <w:t xml:space="preserve">de werkloosheidskosten. </w:t>
      </w:r>
    </w:p>
    <w:p w:rsidR="0073663C" w:rsidP="0073663C" w:rsidRDefault="0073663C" w14:paraId="71FAEDDD" w14:textId="2368F095">
      <w:pPr>
        <w:spacing w:line="240" w:lineRule="atLeast"/>
        <w:rPr>
          <w:rFonts w:ascii="Verdana" w:hAnsi="Verdana"/>
          <w:sz w:val="18"/>
          <w:szCs w:val="18"/>
        </w:rPr>
      </w:pPr>
      <w:r w:rsidRPr="00F6063A">
        <w:rPr>
          <w:rFonts w:ascii="Verdana" w:hAnsi="Verdana"/>
          <w:sz w:val="18"/>
          <w:szCs w:val="18"/>
        </w:rPr>
        <w:t>Het WOVO-onderzoek concludeert ook dat de uitkeringsgerechtigden</w:t>
      </w:r>
      <w:r w:rsidR="005A0CBF">
        <w:rPr>
          <w:rFonts w:ascii="Verdana" w:hAnsi="Verdana"/>
          <w:sz w:val="18"/>
          <w:szCs w:val="18"/>
        </w:rPr>
        <w:t xml:space="preserve"> een grote rol hebben bij het verminderen van de werkloosheid in het vo</w:t>
      </w:r>
      <w:r w:rsidRPr="00F6063A">
        <w:rPr>
          <w:rFonts w:ascii="Verdana" w:hAnsi="Verdana"/>
          <w:sz w:val="18"/>
          <w:szCs w:val="18"/>
        </w:rPr>
        <w:t xml:space="preserve">. Door werkgevers te stimuleren hun re-integratie </w:t>
      </w:r>
      <w:r w:rsidRPr="00F6063A">
        <w:rPr>
          <w:rFonts w:ascii="Verdana" w:hAnsi="Verdana"/>
          <w:sz w:val="18"/>
          <w:szCs w:val="18"/>
        </w:rPr>
        <w:lastRenderedPageBreak/>
        <w:t>activiteiten beter op</w:t>
      </w:r>
      <w:r w:rsidR="008D2A6A">
        <w:rPr>
          <w:rFonts w:ascii="Verdana" w:hAnsi="Verdana"/>
          <w:sz w:val="18"/>
          <w:szCs w:val="18"/>
        </w:rPr>
        <w:t xml:space="preserve"> te </w:t>
      </w:r>
      <w:r w:rsidRPr="00F6063A">
        <w:rPr>
          <w:rFonts w:ascii="Verdana" w:hAnsi="Verdana"/>
          <w:sz w:val="18"/>
          <w:szCs w:val="18"/>
        </w:rPr>
        <w:t xml:space="preserve">pakken, kan de wijziging indirect ook effect hebben op </w:t>
      </w:r>
      <w:r w:rsidR="00547CB8">
        <w:rPr>
          <w:rFonts w:ascii="Verdana" w:hAnsi="Verdana"/>
          <w:sz w:val="18"/>
          <w:szCs w:val="18"/>
        </w:rPr>
        <w:t>actiever</w:t>
      </w:r>
      <w:r w:rsidRPr="00F6063A">
        <w:rPr>
          <w:rFonts w:ascii="Verdana" w:hAnsi="Verdana"/>
          <w:sz w:val="18"/>
          <w:szCs w:val="18"/>
        </w:rPr>
        <w:t xml:space="preserve"> </w:t>
      </w:r>
      <w:r w:rsidR="00547CB8">
        <w:rPr>
          <w:rFonts w:ascii="Verdana" w:hAnsi="Verdana"/>
          <w:sz w:val="18"/>
          <w:szCs w:val="18"/>
        </w:rPr>
        <w:t>zoek</w:t>
      </w:r>
      <w:r w:rsidRPr="00F6063A">
        <w:rPr>
          <w:rFonts w:ascii="Verdana" w:hAnsi="Verdana"/>
          <w:sz w:val="18"/>
          <w:szCs w:val="18"/>
        </w:rPr>
        <w:t>gedrag van de uitkeringsgerechtigden.</w:t>
      </w:r>
    </w:p>
    <w:p w:rsidRPr="00F6063A" w:rsidR="00454DA7" w:rsidP="0073663C" w:rsidRDefault="00454DA7" w14:paraId="3AF84224" w14:textId="77777777">
      <w:pPr>
        <w:spacing w:line="240" w:lineRule="atLeast"/>
        <w:rPr>
          <w:rFonts w:ascii="Verdana" w:hAnsi="Verdana"/>
          <w:sz w:val="18"/>
          <w:szCs w:val="18"/>
        </w:rPr>
      </w:pPr>
    </w:p>
    <w:p w:rsidRPr="00F6063A" w:rsidR="0073663C" w:rsidP="0073663C" w:rsidRDefault="0073663C" w14:paraId="42843923" w14:textId="77777777">
      <w:pPr>
        <w:spacing w:line="240" w:lineRule="atLeast"/>
        <w:rPr>
          <w:rFonts w:ascii="Verdana" w:hAnsi="Verdana"/>
          <w:b/>
          <w:bCs/>
          <w:sz w:val="18"/>
          <w:szCs w:val="18"/>
        </w:rPr>
      </w:pPr>
      <w:r w:rsidRPr="00F6063A">
        <w:rPr>
          <w:rFonts w:ascii="Verdana" w:hAnsi="Verdana"/>
          <w:b/>
          <w:bCs/>
          <w:sz w:val="18"/>
          <w:szCs w:val="18"/>
        </w:rPr>
        <w:t>2.2</w:t>
      </w:r>
      <w:r w:rsidRPr="00F6063A">
        <w:rPr>
          <w:rFonts w:ascii="Verdana" w:hAnsi="Verdana"/>
          <w:b/>
          <w:bCs/>
          <w:sz w:val="18"/>
          <w:szCs w:val="18"/>
        </w:rPr>
        <w:tab/>
        <w:t>Aanpassing van de vereveningssystematiek</w:t>
      </w:r>
    </w:p>
    <w:p w:rsidRPr="00F6063A" w:rsidR="0073663C" w:rsidP="0073663C" w:rsidRDefault="0073663C" w14:paraId="6590C54F" w14:textId="79CB3794">
      <w:pPr>
        <w:spacing w:line="240" w:lineRule="atLeast"/>
        <w:rPr>
          <w:rFonts w:ascii="Verdana" w:hAnsi="Verdana"/>
          <w:sz w:val="18"/>
          <w:szCs w:val="18"/>
        </w:rPr>
      </w:pPr>
      <w:r w:rsidRPr="00F6063A">
        <w:rPr>
          <w:rFonts w:ascii="Verdana" w:hAnsi="Verdana"/>
          <w:sz w:val="18"/>
          <w:szCs w:val="18"/>
        </w:rPr>
        <w:t xml:space="preserve">Door het verhogen van het percentage van het individuele deel naar 50 procent wordt de regeling stimulerender, maar blijft het solidariteitsprincipe in stand. Uit het WOVO-onderzoek blijkt namelijk  dat het solidariteitsprincipe van de vereveningssystematiek door de werkgevers in het vo breed gewaardeerd wordt. Over de optimale hoogte van de eigen bijdrage lopen de meningen uiteen. Meer dan de helft van de werkgevers is voorstander van een hogere eigen bijdrage, waarvan het merendeel een verdeling van 50 procent eigen bijdrage en 50 procent collectief als optimaal ziet. Hiermee wordt de verantwoordelijkheid voor de werkloosheidskosten meer belegd bij de werkgever die de kosten veroorzaakt dan nu het geval is. Simulaties van </w:t>
      </w:r>
      <w:r w:rsidR="007D79C5">
        <w:rPr>
          <w:rFonts w:ascii="Verdana" w:hAnsi="Verdana"/>
          <w:sz w:val="18"/>
          <w:szCs w:val="18"/>
        </w:rPr>
        <w:t>de herverdeeleffecten</w:t>
      </w:r>
      <w:r w:rsidRPr="00F6063A">
        <w:rPr>
          <w:rFonts w:ascii="Verdana" w:hAnsi="Verdana"/>
          <w:sz w:val="18"/>
          <w:szCs w:val="18"/>
        </w:rPr>
        <w:t xml:space="preserve"> bevestigen dat de financiële gevolgen voor de schoolbesturen goed te dragen zijn, maar dat de kosten stimulerender belegd worden. De</w:t>
      </w:r>
      <w:r w:rsidR="007D79C5">
        <w:rPr>
          <w:rFonts w:ascii="Verdana" w:hAnsi="Verdana"/>
          <w:sz w:val="18"/>
          <w:szCs w:val="18"/>
        </w:rPr>
        <w:t>ze</w:t>
      </w:r>
      <w:r w:rsidRPr="00F6063A">
        <w:rPr>
          <w:rFonts w:ascii="Verdana" w:hAnsi="Verdana"/>
          <w:sz w:val="18"/>
          <w:szCs w:val="18"/>
        </w:rPr>
        <w:t xml:space="preserve"> simulaties worden in paragraaf 4 verder toegelicht.</w:t>
      </w:r>
    </w:p>
    <w:p w:rsidRPr="00F6063A" w:rsidR="0073663C" w:rsidP="0073663C" w:rsidRDefault="0073663C" w14:paraId="7DEE607B" w14:textId="25FE3094">
      <w:pPr>
        <w:spacing w:line="240" w:lineRule="atLeast"/>
        <w:rPr>
          <w:rFonts w:ascii="Verdana" w:hAnsi="Verdana"/>
          <w:sz w:val="18"/>
          <w:szCs w:val="18"/>
        </w:rPr>
      </w:pPr>
      <w:r w:rsidRPr="00F6063A">
        <w:rPr>
          <w:rFonts w:ascii="Verdana" w:hAnsi="Verdana"/>
          <w:sz w:val="18"/>
          <w:szCs w:val="18"/>
        </w:rPr>
        <w:t>Daarnaast sluit het vo met deze aanpassing beter aan bij de regelgeving in de andere onderwijssectoren. In deze sectoren is de verdeling tussen de eigen bijdrage en verevening van de werkloosheidskosten stimulerender</w:t>
      </w:r>
      <w:r w:rsidR="007D17D4">
        <w:rPr>
          <w:rFonts w:ascii="Verdana" w:hAnsi="Verdana"/>
          <w:sz w:val="18"/>
          <w:szCs w:val="18"/>
        </w:rPr>
        <w:t>.</w:t>
      </w:r>
      <w:r w:rsidRPr="00F6063A">
        <w:rPr>
          <w:rFonts w:ascii="Verdana" w:hAnsi="Verdana"/>
          <w:sz w:val="18"/>
          <w:szCs w:val="18"/>
        </w:rPr>
        <w:t xml:space="preserve"> </w:t>
      </w:r>
      <w:r w:rsidR="007D17D4">
        <w:rPr>
          <w:rFonts w:ascii="Verdana" w:hAnsi="Verdana"/>
          <w:sz w:val="18"/>
          <w:szCs w:val="18"/>
        </w:rPr>
        <w:t>I</w:t>
      </w:r>
      <w:r w:rsidRPr="00F6063A">
        <w:rPr>
          <w:rFonts w:ascii="Verdana" w:hAnsi="Verdana"/>
          <w:sz w:val="18"/>
          <w:szCs w:val="18"/>
        </w:rPr>
        <w:t>n het po is de eigen bijdrage 50 procent en in het mbo, hbo en wo 100 procent. In mbo, hbo en wo is deze verdeling al lang 100 procent. In het po is het percentage in augustus 2022 verhoogd naar 50 procent. Sindsdien is het aantal nieuwe WW-uitkeringen in het po aanzienlijk teruggelopen: met 40 procent in 2023 ten opzichte van 2021. In het vo was deze daling 15 procent. De daling in het po is dus een stuk sterker dan in het vo. Bovendien zien we dat de werkloosheid in het po na 2022 blijft dalen, waar dit in de andere onderwijssectoren toeneemt.</w:t>
      </w:r>
      <w:r w:rsidR="00DC3836">
        <w:rPr>
          <w:rFonts w:ascii="Verdana" w:hAnsi="Verdana"/>
          <w:sz w:val="18"/>
          <w:szCs w:val="18"/>
        </w:rPr>
        <w:t xml:space="preserve"> </w:t>
      </w:r>
      <w:r w:rsidRPr="00F6063A">
        <w:rPr>
          <w:rFonts w:ascii="Verdana" w:hAnsi="Verdana"/>
          <w:sz w:val="18"/>
          <w:szCs w:val="18"/>
        </w:rPr>
        <w:t>In 2023 waren er in het po minder WW-uitkeringen dan in het vo. Dit was niet eerder het geval.</w:t>
      </w:r>
      <w:r w:rsidR="00725CA8">
        <w:rPr>
          <w:rFonts w:ascii="Verdana" w:hAnsi="Verdana"/>
          <w:sz w:val="18"/>
          <w:szCs w:val="18"/>
        </w:rPr>
        <w:t xml:space="preserve"> Dit heeft ook gevolgen voor het aantal bovenwettelijke uitkeringen dat als gevolg hiervan met een vertraging lager zal uitkomen.</w:t>
      </w:r>
      <w:r w:rsidRPr="00F6063A">
        <w:rPr>
          <w:rFonts w:ascii="Verdana" w:hAnsi="Verdana"/>
          <w:sz w:val="18"/>
          <w:szCs w:val="18"/>
        </w:rPr>
        <w:t xml:space="preserve"> </w:t>
      </w:r>
      <w:r w:rsidR="00C32B2D">
        <w:rPr>
          <w:rFonts w:ascii="Verdana" w:hAnsi="Verdana"/>
          <w:sz w:val="18"/>
          <w:szCs w:val="18"/>
        </w:rPr>
        <w:t>Aansluiting bij</w:t>
      </w:r>
      <w:r w:rsidR="007D17D4">
        <w:rPr>
          <w:rFonts w:ascii="Verdana" w:hAnsi="Verdana"/>
          <w:sz w:val="18"/>
          <w:szCs w:val="18"/>
        </w:rPr>
        <w:t xml:space="preserve"> de verdeling in het po </w:t>
      </w:r>
      <w:r w:rsidR="00C32B2D">
        <w:rPr>
          <w:rFonts w:ascii="Verdana" w:hAnsi="Verdana"/>
          <w:sz w:val="18"/>
          <w:szCs w:val="18"/>
        </w:rPr>
        <w:t>is het meest passend voor het vo. De eigen bijdrage gaat omhoog zonder dat de financiële risico’s bij met name kleinere besturen te groot worden.</w:t>
      </w:r>
    </w:p>
    <w:p w:rsidRPr="00F6063A" w:rsidR="0073663C" w:rsidP="0073663C" w:rsidRDefault="0073663C" w14:paraId="3CF84765" w14:textId="77777777">
      <w:pPr>
        <w:spacing w:line="240" w:lineRule="atLeast"/>
        <w:rPr>
          <w:rFonts w:ascii="Verdana" w:hAnsi="Verdana"/>
          <w:b/>
          <w:bCs/>
          <w:sz w:val="18"/>
          <w:szCs w:val="18"/>
        </w:rPr>
      </w:pPr>
      <w:r w:rsidRPr="00F6063A">
        <w:rPr>
          <w:rFonts w:ascii="Verdana" w:hAnsi="Verdana"/>
          <w:b/>
          <w:bCs/>
          <w:sz w:val="18"/>
          <w:szCs w:val="18"/>
        </w:rPr>
        <w:t>2.3</w:t>
      </w:r>
      <w:r w:rsidRPr="00F6063A">
        <w:rPr>
          <w:rFonts w:ascii="Verdana" w:hAnsi="Verdana"/>
          <w:b/>
          <w:bCs/>
          <w:sz w:val="18"/>
          <w:szCs w:val="18"/>
        </w:rPr>
        <w:tab/>
        <w:t xml:space="preserve">Andere oorzaken </w:t>
      </w:r>
    </w:p>
    <w:p w:rsidRPr="00F6063A" w:rsidR="0073663C" w:rsidP="0073663C" w:rsidRDefault="0073663C" w14:paraId="1BD7B926" w14:textId="129DE022">
      <w:pPr>
        <w:spacing w:line="240" w:lineRule="atLeast"/>
        <w:rPr>
          <w:rFonts w:ascii="Verdana" w:hAnsi="Verdana"/>
          <w:sz w:val="18"/>
          <w:szCs w:val="18"/>
        </w:rPr>
      </w:pPr>
      <w:r w:rsidRPr="00F6063A">
        <w:rPr>
          <w:rFonts w:ascii="Verdana" w:hAnsi="Verdana"/>
          <w:sz w:val="18"/>
          <w:szCs w:val="18"/>
        </w:rPr>
        <w:t xml:space="preserve">Het verhogen van de financiële prikkel voor werkgevers is slechts één van de aanbevelingen uit het WOVO-onderzoek. Andere </w:t>
      </w:r>
      <w:r w:rsidR="00345928">
        <w:rPr>
          <w:rFonts w:ascii="Verdana" w:hAnsi="Verdana"/>
          <w:sz w:val="18"/>
          <w:szCs w:val="18"/>
        </w:rPr>
        <w:t xml:space="preserve">aanbevelingen op het terrein van </w:t>
      </w:r>
      <w:r w:rsidRPr="00F6063A">
        <w:rPr>
          <w:rFonts w:ascii="Verdana" w:hAnsi="Verdana"/>
          <w:sz w:val="18"/>
          <w:szCs w:val="18"/>
        </w:rPr>
        <w:t xml:space="preserve">verbeterpunten in de informatievoorziening, lange uitkeringsduur en daardoor een lage prikkel tot werkhervatting voor </w:t>
      </w:r>
      <w:r w:rsidR="007D17D4">
        <w:rPr>
          <w:rFonts w:ascii="Verdana" w:hAnsi="Verdana"/>
          <w:sz w:val="18"/>
          <w:szCs w:val="18"/>
        </w:rPr>
        <w:t xml:space="preserve">met name oudere </w:t>
      </w:r>
      <w:r w:rsidRPr="00F6063A">
        <w:rPr>
          <w:rFonts w:ascii="Verdana" w:hAnsi="Verdana"/>
          <w:sz w:val="18"/>
          <w:szCs w:val="18"/>
        </w:rPr>
        <w:t>uitkeringsgerechtigden</w:t>
      </w:r>
      <w:r w:rsidR="00345928">
        <w:rPr>
          <w:rFonts w:ascii="Verdana" w:hAnsi="Verdana"/>
          <w:sz w:val="18"/>
          <w:szCs w:val="18"/>
        </w:rPr>
        <w:t xml:space="preserve"> (55+)</w:t>
      </w:r>
      <w:r w:rsidRPr="00F6063A">
        <w:rPr>
          <w:rFonts w:ascii="Verdana" w:hAnsi="Verdana"/>
          <w:sz w:val="18"/>
          <w:szCs w:val="18"/>
        </w:rPr>
        <w:t>, versnippering van re-integratieactiviteiten en terughoudendheid van nieuwe werkgevers</w:t>
      </w:r>
      <w:r w:rsidR="00345928">
        <w:rPr>
          <w:rFonts w:ascii="Verdana" w:hAnsi="Verdana"/>
          <w:sz w:val="18"/>
          <w:szCs w:val="18"/>
        </w:rPr>
        <w:t xml:space="preserve"> om werklozen met een lang arbeidsverleden weer in dienst te nemen</w:t>
      </w:r>
      <w:r w:rsidRPr="00F6063A">
        <w:rPr>
          <w:rFonts w:ascii="Verdana" w:hAnsi="Verdana"/>
          <w:sz w:val="18"/>
          <w:szCs w:val="18"/>
        </w:rPr>
        <w:t xml:space="preserve"> worden niet met deze wijziging aangepakt. </w:t>
      </w:r>
    </w:p>
    <w:p w:rsidRPr="00F6063A" w:rsidR="0073663C" w:rsidP="0073663C" w:rsidRDefault="0073663C" w14:paraId="3DE696E9" w14:textId="77777777">
      <w:pPr>
        <w:spacing w:line="240" w:lineRule="atLeast"/>
        <w:rPr>
          <w:rFonts w:ascii="Verdana" w:hAnsi="Verdana"/>
          <w:sz w:val="18"/>
          <w:szCs w:val="18"/>
        </w:rPr>
      </w:pPr>
      <w:r w:rsidRPr="00F6063A">
        <w:rPr>
          <w:rFonts w:ascii="Verdana" w:hAnsi="Verdana"/>
          <w:sz w:val="18"/>
          <w:szCs w:val="18"/>
        </w:rPr>
        <w:t xml:space="preserve">Een deel van de andere aanbevelingen zal door OCW met andere beleidsinstrumenten dan regelgeving worden opgepakt. </w:t>
      </w:r>
    </w:p>
    <w:p w:rsidR="0073663C" w:rsidP="0073663C" w:rsidRDefault="0073663C" w14:paraId="523833A6" w14:textId="09A2E429">
      <w:pPr>
        <w:spacing w:line="240" w:lineRule="atLeast"/>
        <w:rPr>
          <w:rFonts w:ascii="Verdana" w:hAnsi="Verdana"/>
          <w:sz w:val="18"/>
          <w:szCs w:val="18"/>
        </w:rPr>
      </w:pPr>
      <w:r w:rsidRPr="00F6063A">
        <w:rPr>
          <w:rFonts w:ascii="Verdana" w:hAnsi="Verdana"/>
          <w:sz w:val="18"/>
          <w:szCs w:val="18"/>
        </w:rPr>
        <w:t xml:space="preserve">Omdat de bovenwettelijke werkloosheidsregeling in het vo in de cao vo is opgenomen, zijn wijzigingen </w:t>
      </w:r>
      <w:r w:rsidR="00345928">
        <w:rPr>
          <w:rFonts w:ascii="Verdana" w:hAnsi="Verdana"/>
          <w:sz w:val="18"/>
          <w:szCs w:val="18"/>
        </w:rPr>
        <w:t>in</w:t>
      </w:r>
      <w:r w:rsidRPr="00F6063A">
        <w:rPr>
          <w:rFonts w:ascii="Verdana" w:hAnsi="Verdana"/>
          <w:sz w:val="18"/>
          <w:szCs w:val="18"/>
        </w:rPr>
        <w:t xml:space="preserve"> de hoogte</w:t>
      </w:r>
      <w:r w:rsidR="00345928">
        <w:rPr>
          <w:rFonts w:ascii="Verdana" w:hAnsi="Verdana"/>
          <w:sz w:val="18"/>
          <w:szCs w:val="18"/>
        </w:rPr>
        <w:t xml:space="preserve"> en duur</w:t>
      </w:r>
      <w:r w:rsidRPr="00F6063A">
        <w:rPr>
          <w:rFonts w:ascii="Verdana" w:hAnsi="Verdana"/>
          <w:sz w:val="18"/>
          <w:szCs w:val="18"/>
        </w:rPr>
        <w:t xml:space="preserve"> van de uitkeringen en de uitvoering van de regeling een verantwoordelijkheid van de partijen aan de cao-tafel. De verwachting is dat het verhogen van de financiële prikkel bij werkgevers een stimulans kan zijn voor de sociale partners om</w:t>
      </w:r>
      <w:r w:rsidR="008C2288">
        <w:rPr>
          <w:rFonts w:ascii="Verdana" w:hAnsi="Verdana"/>
          <w:sz w:val="18"/>
          <w:szCs w:val="18"/>
        </w:rPr>
        <w:t xml:space="preserve"> nader in gesprek te gaan over de vormgeving en uitvoering van</w:t>
      </w:r>
      <w:r w:rsidRPr="00F6063A">
        <w:rPr>
          <w:rFonts w:ascii="Verdana" w:hAnsi="Verdana"/>
          <w:sz w:val="18"/>
          <w:szCs w:val="18"/>
        </w:rPr>
        <w:t xml:space="preserve"> de bovenwettelijke uitkeringen. </w:t>
      </w:r>
      <w:r w:rsidR="004337C4">
        <w:rPr>
          <w:rFonts w:ascii="Verdana" w:hAnsi="Verdana"/>
          <w:sz w:val="18"/>
          <w:szCs w:val="18"/>
        </w:rPr>
        <w:t xml:space="preserve">In het onderhandelaarsakkoord cao vo 2025-2027 hebben cao-partijen afgesproken </w:t>
      </w:r>
      <w:r w:rsidRPr="00F4176C" w:rsidR="00F4176C">
        <w:rPr>
          <w:rFonts w:ascii="Verdana" w:hAnsi="Verdana"/>
          <w:sz w:val="18"/>
          <w:szCs w:val="18"/>
        </w:rPr>
        <w:t>om het systeem van sociale zekerheid tijdens de looptijd van deze cao te bespreken, opnieuw te beoordelen en daar waar nodig aanpassingen te formuleren.</w:t>
      </w:r>
      <w:r w:rsidR="00F4176C">
        <w:rPr>
          <w:rStyle w:val="Voetnootmarkering"/>
          <w:rFonts w:ascii="Verdana" w:hAnsi="Verdana"/>
          <w:sz w:val="18"/>
          <w:szCs w:val="18"/>
        </w:rPr>
        <w:footnoteReference w:id="3"/>
      </w:r>
      <w:r w:rsidRPr="00F4176C" w:rsidR="00F4176C">
        <w:rPr>
          <w:rFonts w:ascii="Verdana" w:hAnsi="Verdana"/>
          <w:sz w:val="18"/>
          <w:szCs w:val="18"/>
        </w:rPr>
        <w:t xml:space="preserve"> </w:t>
      </w:r>
      <w:r w:rsidR="004337C4">
        <w:rPr>
          <w:rFonts w:ascii="Verdana" w:hAnsi="Verdana"/>
          <w:sz w:val="18"/>
          <w:szCs w:val="18"/>
        </w:rPr>
        <w:t xml:space="preserve"> </w:t>
      </w:r>
    </w:p>
    <w:p w:rsidR="00421F98" w:rsidP="00CD4593" w:rsidRDefault="00421F98" w14:paraId="11B7C4D6" w14:textId="77777777">
      <w:pPr>
        <w:pStyle w:val="Default"/>
        <w:spacing w:line="240" w:lineRule="atLeast"/>
        <w:rPr>
          <w:sz w:val="18"/>
          <w:szCs w:val="18"/>
        </w:rPr>
      </w:pPr>
    </w:p>
    <w:p w:rsidRPr="00CD4593" w:rsidR="00AC087B" w:rsidP="007260E0" w:rsidRDefault="0073663C" w14:paraId="247404C7" w14:textId="303A70A0">
      <w:pPr>
        <w:spacing w:line="240" w:lineRule="atLeast"/>
        <w:rPr>
          <w:rFonts w:ascii="Verdana" w:hAnsi="Verdana"/>
          <w:b/>
          <w:bCs/>
          <w:sz w:val="18"/>
          <w:szCs w:val="18"/>
        </w:rPr>
      </w:pPr>
      <w:r>
        <w:rPr>
          <w:rFonts w:ascii="Verdana" w:hAnsi="Verdana"/>
          <w:b/>
          <w:bCs/>
          <w:sz w:val="18"/>
          <w:szCs w:val="18"/>
        </w:rPr>
        <w:t>3.</w:t>
      </w:r>
      <w:r>
        <w:rPr>
          <w:rFonts w:ascii="Verdana" w:hAnsi="Verdana"/>
          <w:b/>
          <w:bCs/>
          <w:sz w:val="18"/>
          <w:szCs w:val="18"/>
        </w:rPr>
        <w:tab/>
      </w:r>
      <w:r w:rsidRPr="00CD4593" w:rsidR="00FD23ED">
        <w:rPr>
          <w:rFonts w:ascii="Verdana" w:hAnsi="Verdana"/>
          <w:b/>
          <w:bCs/>
          <w:sz w:val="18"/>
          <w:szCs w:val="18"/>
        </w:rPr>
        <w:t xml:space="preserve">Administratieve lasten </w:t>
      </w:r>
    </w:p>
    <w:p w:rsidR="00FD23ED" w:rsidP="007260E0" w:rsidRDefault="00FD23ED" w14:paraId="201CB71A" w14:textId="3BE2AEE6">
      <w:pPr>
        <w:spacing w:line="240" w:lineRule="atLeast"/>
        <w:rPr>
          <w:rFonts w:ascii="Verdana" w:hAnsi="Verdana"/>
          <w:sz w:val="18"/>
          <w:szCs w:val="18"/>
        </w:rPr>
      </w:pPr>
      <w:r w:rsidRPr="009E5CD6">
        <w:rPr>
          <w:rFonts w:ascii="Verdana" w:hAnsi="Verdana"/>
          <w:sz w:val="18"/>
          <w:szCs w:val="18"/>
        </w:rPr>
        <w:t>Omdat de</w:t>
      </w:r>
      <w:r w:rsidR="00421F98">
        <w:rPr>
          <w:rFonts w:ascii="Verdana" w:hAnsi="Verdana"/>
          <w:sz w:val="18"/>
          <w:szCs w:val="18"/>
        </w:rPr>
        <w:t xml:space="preserve"> uitkeringskosten </w:t>
      </w:r>
      <w:r w:rsidRPr="009E5CD6">
        <w:rPr>
          <w:rFonts w:ascii="Verdana" w:hAnsi="Verdana"/>
          <w:sz w:val="18"/>
          <w:szCs w:val="18"/>
        </w:rPr>
        <w:t>ambtshalve word</w:t>
      </w:r>
      <w:r w:rsidR="00421F98">
        <w:rPr>
          <w:rFonts w:ascii="Verdana" w:hAnsi="Verdana"/>
          <w:sz w:val="18"/>
          <w:szCs w:val="18"/>
        </w:rPr>
        <w:t>en verrekend met de bekostiging</w:t>
      </w:r>
      <w:r w:rsidRPr="009E5CD6">
        <w:rPr>
          <w:rFonts w:ascii="Verdana" w:hAnsi="Verdana"/>
          <w:sz w:val="18"/>
          <w:szCs w:val="18"/>
        </w:rPr>
        <w:t xml:space="preserve"> op basis van reeds beschikbare gegevens en er ook geen extra verantwoordingsvoorschriften zijn, leidt deze regeling niet tot extra administratieve lasten.</w:t>
      </w:r>
    </w:p>
    <w:p w:rsidR="00267214" w:rsidRDefault="00267214" w14:paraId="7B223A8C" w14:textId="0EF7C73C">
      <w:pPr>
        <w:rPr>
          <w:rFonts w:ascii="Verdana" w:hAnsi="Verdana"/>
          <w:sz w:val="18"/>
          <w:szCs w:val="18"/>
        </w:rPr>
      </w:pPr>
    </w:p>
    <w:p w:rsidRPr="00CD4593" w:rsidR="003C6A2B" w:rsidP="007260E0" w:rsidRDefault="0073663C" w14:paraId="4430BEFD" w14:textId="29B6A1EC">
      <w:pPr>
        <w:spacing w:line="240" w:lineRule="atLeast"/>
        <w:rPr>
          <w:rFonts w:ascii="Verdana" w:hAnsi="Verdana"/>
          <w:b/>
          <w:bCs/>
          <w:sz w:val="18"/>
          <w:szCs w:val="18"/>
        </w:rPr>
      </w:pPr>
      <w:r>
        <w:rPr>
          <w:rFonts w:ascii="Verdana" w:hAnsi="Verdana"/>
          <w:b/>
          <w:bCs/>
          <w:sz w:val="18"/>
          <w:szCs w:val="18"/>
        </w:rPr>
        <w:t>4.</w:t>
      </w:r>
      <w:r>
        <w:rPr>
          <w:rFonts w:ascii="Verdana" w:hAnsi="Verdana"/>
          <w:b/>
          <w:bCs/>
          <w:sz w:val="18"/>
          <w:szCs w:val="18"/>
        </w:rPr>
        <w:tab/>
      </w:r>
      <w:r w:rsidRPr="00CD4593" w:rsidR="003C6A2B">
        <w:rPr>
          <w:rFonts w:ascii="Verdana" w:hAnsi="Verdana"/>
          <w:b/>
          <w:bCs/>
          <w:sz w:val="18"/>
          <w:szCs w:val="18"/>
        </w:rPr>
        <w:t>Financiële gevolgen</w:t>
      </w:r>
    </w:p>
    <w:p w:rsidRPr="00307C40" w:rsidR="00E63802" w:rsidP="007260E0" w:rsidRDefault="00E63802" w14:paraId="7E804D2A" w14:textId="71587BDE">
      <w:pPr>
        <w:spacing w:line="240" w:lineRule="atLeast"/>
        <w:rPr>
          <w:rFonts w:ascii="Verdana" w:hAnsi="Verdana"/>
          <w:b/>
          <w:bCs/>
          <w:sz w:val="18"/>
          <w:szCs w:val="18"/>
        </w:rPr>
      </w:pPr>
      <w:r w:rsidRPr="00307C40">
        <w:rPr>
          <w:rFonts w:ascii="Verdana" w:hAnsi="Verdana"/>
          <w:b/>
          <w:bCs/>
          <w:sz w:val="18"/>
          <w:szCs w:val="18"/>
        </w:rPr>
        <w:t>4.1</w:t>
      </w:r>
      <w:r w:rsidR="00307C40">
        <w:rPr>
          <w:rFonts w:ascii="Verdana" w:hAnsi="Verdana"/>
          <w:b/>
          <w:bCs/>
          <w:sz w:val="18"/>
          <w:szCs w:val="18"/>
        </w:rPr>
        <w:tab/>
      </w:r>
      <w:r w:rsidRPr="00307C40">
        <w:rPr>
          <w:rFonts w:ascii="Verdana" w:hAnsi="Verdana"/>
          <w:b/>
          <w:bCs/>
          <w:sz w:val="18"/>
          <w:szCs w:val="18"/>
        </w:rPr>
        <w:t>Gevolgen voor de Rijksbegroting</w:t>
      </w:r>
    </w:p>
    <w:p w:rsidR="00EB09C3" w:rsidP="007260E0" w:rsidRDefault="00AE685F" w14:paraId="0FE53EA2" w14:textId="64507AB5">
      <w:pPr>
        <w:spacing w:line="240" w:lineRule="atLeast"/>
        <w:rPr>
          <w:rFonts w:ascii="Verdana" w:hAnsi="Verdana"/>
          <w:sz w:val="18"/>
          <w:szCs w:val="18"/>
        </w:rPr>
      </w:pPr>
      <w:r w:rsidRPr="007260E0">
        <w:rPr>
          <w:rFonts w:ascii="Verdana" w:hAnsi="Verdana"/>
          <w:sz w:val="18"/>
          <w:szCs w:val="18"/>
        </w:rPr>
        <w:t>Deze regeling wijzigt de verrekening van uitkeringskosten met de bekostiging. Als zodanig heeft deze regeling geen</w:t>
      </w:r>
      <w:r w:rsidRPr="007260E0" w:rsidR="0073663C">
        <w:rPr>
          <w:rFonts w:ascii="Verdana" w:hAnsi="Verdana"/>
          <w:sz w:val="18"/>
          <w:szCs w:val="18"/>
        </w:rPr>
        <w:t xml:space="preserve"> </w:t>
      </w:r>
      <w:r w:rsidRPr="007260E0">
        <w:rPr>
          <w:rFonts w:ascii="Verdana" w:hAnsi="Verdana"/>
          <w:sz w:val="18"/>
          <w:szCs w:val="18"/>
        </w:rPr>
        <w:t>gevolgen voor de Rijksbegroting.</w:t>
      </w:r>
      <w:r w:rsidRPr="007260E0" w:rsidR="007260E0">
        <w:rPr>
          <w:rFonts w:ascii="Verdana" w:hAnsi="Verdana"/>
          <w:sz w:val="18"/>
          <w:szCs w:val="18"/>
        </w:rPr>
        <w:t xml:space="preserve"> </w:t>
      </w:r>
    </w:p>
    <w:p w:rsidRPr="00307C40" w:rsidR="00E63802" w:rsidP="007260E0" w:rsidRDefault="00E63802" w14:paraId="5356EECD" w14:textId="32F505B9">
      <w:pPr>
        <w:spacing w:line="240" w:lineRule="atLeast"/>
        <w:rPr>
          <w:rFonts w:ascii="Verdana" w:hAnsi="Verdana"/>
          <w:b/>
          <w:bCs/>
          <w:sz w:val="18"/>
          <w:szCs w:val="18"/>
        </w:rPr>
      </w:pPr>
      <w:r w:rsidRPr="00307C40">
        <w:rPr>
          <w:rFonts w:ascii="Verdana" w:hAnsi="Verdana"/>
          <w:b/>
          <w:bCs/>
          <w:sz w:val="18"/>
          <w:szCs w:val="18"/>
        </w:rPr>
        <w:t>4.2</w:t>
      </w:r>
      <w:r w:rsidR="00307C40">
        <w:rPr>
          <w:rFonts w:ascii="Verdana" w:hAnsi="Verdana"/>
          <w:b/>
          <w:bCs/>
          <w:sz w:val="18"/>
          <w:szCs w:val="18"/>
        </w:rPr>
        <w:tab/>
      </w:r>
      <w:r w:rsidRPr="00307C40">
        <w:rPr>
          <w:rFonts w:ascii="Verdana" w:hAnsi="Verdana"/>
          <w:b/>
          <w:bCs/>
          <w:sz w:val="18"/>
          <w:szCs w:val="18"/>
        </w:rPr>
        <w:t>Gevolgen voor de onderwijssector</w:t>
      </w:r>
    </w:p>
    <w:p w:rsidRPr="00F6063A" w:rsidR="007260E0" w:rsidP="007260E0" w:rsidRDefault="007260E0" w14:paraId="55775AAE" w14:textId="289E134B">
      <w:pPr>
        <w:spacing w:line="240" w:lineRule="atLeast"/>
        <w:rPr>
          <w:rFonts w:ascii="Verdana" w:hAnsi="Verdana"/>
          <w:sz w:val="18"/>
          <w:szCs w:val="18"/>
        </w:rPr>
      </w:pPr>
      <w:r w:rsidRPr="00F6063A">
        <w:rPr>
          <w:rFonts w:ascii="Verdana" w:hAnsi="Verdana"/>
          <w:sz w:val="18"/>
          <w:szCs w:val="18"/>
        </w:rPr>
        <w:t xml:space="preserve">Het doel van de wijziging is dat werkgevers hun rol in de re-integratie van hun voormalig werknemers actiever oppakken, waardoor werkloosheid wordt voorkomen en verkort. Dit zou de totale werkloosheidskosten in de sector op termijn verlagen. </w:t>
      </w:r>
    </w:p>
    <w:p w:rsidR="00E63802" w:rsidP="007260E0" w:rsidRDefault="00725CA8" w14:paraId="75C7E824" w14:textId="5475F9A7">
      <w:pPr>
        <w:spacing w:line="240" w:lineRule="atLeast"/>
        <w:rPr>
          <w:rFonts w:ascii="Verdana" w:hAnsi="Verdana"/>
          <w:sz w:val="18"/>
          <w:szCs w:val="18"/>
        </w:rPr>
      </w:pPr>
      <w:r>
        <w:rPr>
          <w:rFonts w:ascii="Verdana" w:hAnsi="Verdana"/>
          <w:sz w:val="18"/>
          <w:szCs w:val="18"/>
        </w:rPr>
        <w:t xml:space="preserve">Bij invoering </w:t>
      </w:r>
      <w:r w:rsidRPr="00F6063A" w:rsidR="007260E0">
        <w:rPr>
          <w:rFonts w:ascii="Verdana" w:hAnsi="Verdana"/>
          <w:sz w:val="18"/>
          <w:szCs w:val="18"/>
        </w:rPr>
        <w:t>zijn er herverdelingseffecten.</w:t>
      </w:r>
      <w:r w:rsidR="004D02F6">
        <w:rPr>
          <w:rFonts w:ascii="Verdana" w:hAnsi="Verdana"/>
          <w:sz w:val="18"/>
          <w:szCs w:val="18"/>
        </w:rPr>
        <w:t xml:space="preserve"> Hoe deze zullen uitpakken is nog onzeker,</w:t>
      </w:r>
      <w:r w:rsidR="00F4176C">
        <w:rPr>
          <w:rFonts w:ascii="Verdana" w:hAnsi="Verdana"/>
          <w:sz w:val="18"/>
          <w:szCs w:val="18"/>
        </w:rPr>
        <w:t xml:space="preserve"> omdat deze afhankelijk zijn van de werkloosheid op dat moment. D</w:t>
      </w:r>
      <w:r w:rsidR="004D02F6">
        <w:rPr>
          <w:rFonts w:ascii="Verdana" w:hAnsi="Verdana"/>
          <w:sz w:val="18"/>
          <w:szCs w:val="18"/>
        </w:rPr>
        <w:t>e orde van grootte van de effecten kan worden ingeschat met behulp van een simulatie op basis van recente realisaties van uitkeringskosten en bekostiging.</w:t>
      </w:r>
      <w:r w:rsidRPr="00F6063A" w:rsidR="007260E0">
        <w:rPr>
          <w:rFonts w:ascii="Verdana" w:hAnsi="Verdana"/>
          <w:sz w:val="18"/>
          <w:szCs w:val="18"/>
        </w:rPr>
        <w:t xml:space="preserve"> </w:t>
      </w:r>
    </w:p>
    <w:p w:rsidRPr="00F6063A" w:rsidR="007260E0" w:rsidP="007260E0" w:rsidRDefault="007260E0" w14:paraId="5EDE9D7A" w14:textId="5CA66044">
      <w:pPr>
        <w:spacing w:line="240" w:lineRule="atLeast"/>
        <w:rPr>
          <w:rFonts w:ascii="Verdana" w:hAnsi="Verdana"/>
          <w:sz w:val="18"/>
          <w:szCs w:val="18"/>
        </w:rPr>
      </w:pPr>
      <w:r w:rsidRPr="00F6063A">
        <w:rPr>
          <w:rFonts w:ascii="Verdana" w:hAnsi="Verdana"/>
          <w:sz w:val="18"/>
          <w:szCs w:val="18"/>
        </w:rPr>
        <w:t>In 2024 betaalden schoolbesturen in het vo gemiddeld € 2</w:t>
      </w:r>
      <w:r w:rsidR="00A01F6F">
        <w:rPr>
          <w:rFonts w:ascii="Verdana" w:hAnsi="Verdana"/>
          <w:sz w:val="18"/>
          <w:szCs w:val="18"/>
        </w:rPr>
        <w:t>74.525</w:t>
      </w:r>
      <w:r w:rsidRPr="00F6063A">
        <w:rPr>
          <w:rFonts w:ascii="Verdana" w:hAnsi="Verdana"/>
          <w:sz w:val="18"/>
          <w:szCs w:val="18"/>
        </w:rPr>
        <w:t xml:space="preserve"> aan uitkeringskosten. Het gaat hier om het totaal van de eigen bijdrage en kosten die collectief worden gedragen. De eigen bijdrage en de collectieve verevening werken als communicerende vaten. Wanneer een schoolbestuur een eigen bijdrage betaalt vanwege eigen uitkeringsgerechtigden, gaat het schoolbestuur door de verhoging van de eigen bijdrage van 25 procent naar 50 procent twee keer zoveel eigen bijdrage betalen. Tegelijkertijd neemt het collectieve aandeel</w:t>
      </w:r>
      <w:r w:rsidR="0006302F">
        <w:rPr>
          <w:rFonts w:ascii="Verdana" w:hAnsi="Verdana"/>
          <w:sz w:val="18"/>
          <w:szCs w:val="18"/>
        </w:rPr>
        <w:t xml:space="preserve"> in de kosten</w:t>
      </w:r>
      <w:r w:rsidRPr="00F6063A">
        <w:rPr>
          <w:rFonts w:ascii="Verdana" w:hAnsi="Verdana"/>
          <w:sz w:val="18"/>
          <w:szCs w:val="18"/>
        </w:rPr>
        <w:t xml:space="preserve"> af</w:t>
      </w:r>
      <w:r w:rsidR="0006302F">
        <w:rPr>
          <w:rFonts w:ascii="Verdana" w:hAnsi="Verdana"/>
          <w:sz w:val="18"/>
          <w:szCs w:val="18"/>
        </w:rPr>
        <w:t xml:space="preserve"> met een derde (van 75 procent naar 50 procent van de totale uitkeringskosten)</w:t>
      </w:r>
      <w:r w:rsidRPr="00F6063A">
        <w:rPr>
          <w:rFonts w:ascii="Verdana" w:hAnsi="Verdana"/>
          <w:sz w:val="18"/>
          <w:szCs w:val="18"/>
        </w:rPr>
        <w:t xml:space="preserve">. </w:t>
      </w:r>
    </w:p>
    <w:p w:rsidR="00C063E7" w:rsidP="00C063E7" w:rsidRDefault="00424AA6" w14:paraId="0DF85761" w14:textId="3E305E10">
      <w:pPr>
        <w:spacing w:line="240" w:lineRule="atLeast"/>
        <w:rPr>
          <w:rFonts w:ascii="Verdana" w:hAnsi="Verdana"/>
          <w:sz w:val="18"/>
          <w:szCs w:val="18"/>
        </w:rPr>
      </w:pPr>
      <w:r>
        <w:rPr>
          <w:rFonts w:ascii="Verdana" w:hAnsi="Verdana"/>
          <w:sz w:val="18"/>
          <w:szCs w:val="18"/>
        </w:rPr>
        <w:t>Simulaties</w:t>
      </w:r>
      <w:r w:rsidRPr="00F6063A" w:rsidR="007260E0">
        <w:rPr>
          <w:rFonts w:ascii="Verdana" w:hAnsi="Verdana"/>
          <w:sz w:val="18"/>
          <w:szCs w:val="18"/>
        </w:rPr>
        <w:t xml:space="preserve"> op basis van data uit 2024 </w:t>
      </w:r>
      <w:r>
        <w:rPr>
          <w:rFonts w:ascii="Verdana" w:hAnsi="Verdana"/>
          <w:sz w:val="18"/>
          <w:szCs w:val="18"/>
        </w:rPr>
        <w:t>laten zien</w:t>
      </w:r>
      <w:r w:rsidRPr="00F6063A">
        <w:rPr>
          <w:rFonts w:ascii="Verdana" w:hAnsi="Verdana"/>
          <w:sz w:val="18"/>
          <w:szCs w:val="18"/>
        </w:rPr>
        <w:t xml:space="preserve"> </w:t>
      </w:r>
      <w:r w:rsidRPr="00F6063A" w:rsidR="007260E0">
        <w:rPr>
          <w:rFonts w:ascii="Verdana" w:hAnsi="Verdana"/>
          <w:sz w:val="18"/>
          <w:szCs w:val="18"/>
        </w:rPr>
        <w:t xml:space="preserve">wat het effect is voor schoolbesturen als de eigen bijdrage </w:t>
      </w:r>
      <w:r w:rsidR="001A7019">
        <w:rPr>
          <w:rFonts w:ascii="Verdana" w:hAnsi="Verdana"/>
          <w:sz w:val="18"/>
          <w:szCs w:val="18"/>
        </w:rPr>
        <w:t xml:space="preserve">over het jaar 2024 </w:t>
      </w:r>
      <w:r w:rsidRPr="00F6063A" w:rsidR="007260E0">
        <w:rPr>
          <w:rFonts w:ascii="Verdana" w:hAnsi="Verdana"/>
          <w:sz w:val="18"/>
          <w:szCs w:val="18"/>
        </w:rPr>
        <w:t xml:space="preserve">verhoogd wordt naar 50 procent. Schoolbesturen die </w:t>
      </w:r>
      <w:r w:rsidR="001A7019">
        <w:rPr>
          <w:rFonts w:ascii="Verdana" w:hAnsi="Verdana"/>
          <w:sz w:val="18"/>
          <w:szCs w:val="18"/>
        </w:rPr>
        <w:t>onder de huidige regelgeving relatief</w:t>
      </w:r>
      <w:r w:rsidRPr="00F6063A" w:rsidR="007260E0">
        <w:rPr>
          <w:rFonts w:ascii="Verdana" w:hAnsi="Verdana"/>
          <w:sz w:val="18"/>
          <w:szCs w:val="18"/>
        </w:rPr>
        <w:t xml:space="preserve"> weinig of geen eigen bijdrage betalen, gaan</w:t>
      </w:r>
      <w:r w:rsidR="001A7019">
        <w:rPr>
          <w:rFonts w:ascii="Verdana" w:hAnsi="Verdana"/>
          <w:sz w:val="18"/>
          <w:szCs w:val="18"/>
        </w:rPr>
        <w:t xml:space="preserve"> bij verhoging van de eigen bijdrage</w:t>
      </w:r>
      <w:r w:rsidRPr="00F6063A" w:rsidR="007260E0">
        <w:rPr>
          <w:rFonts w:ascii="Verdana" w:hAnsi="Verdana"/>
          <w:sz w:val="18"/>
          <w:szCs w:val="18"/>
        </w:rPr>
        <w:t xml:space="preserve"> in totaal minder uitkeringskosten betalen</w:t>
      </w:r>
      <w:r w:rsidR="001A7019">
        <w:rPr>
          <w:rFonts w:ascii="Verdana" w:hAnsi="Verdana"/>
          <w:sz w:val="18"/>
          <w:szCs w:val="18"/>
        </w:rPr>
        <w:t>.</w:t>
      </w:r>
      <w:r w:rsidRPr="00F6063A" w:rsidR="007260E0">
        <w:rPr>
          <w:rFonts w:ascii="Verdana" w:hAnsi="Verdana"/>
          <w:sz w:val="18"/>
          <w:szCs w:val="18"/>
        </w:rPr>
        <w:t xml:space="preserve"> </w:t>
      </w:r>
      <w:r w:rsidR="001A7019">
        <w:rPr>
          <w:rFonts w:ascii="Verdana" w:hAnsi="Verdana"/>
          <w:sz w:val="18"/>
          <w:szCs w:val="18"/>
        </w:rPr>
        <w:t>Z</w:t>
      </w:r>
      <w:r w:rsidRPr="00F6063A" w:rsidR="007260E0">
        <w:rPr>
          <w:rFonts w:ascii="Verdana" w:hAnsi="Verdana"/>
          <w:sz w:val="18"/>
          <w:szCs w:val="18"/>
        </w:rPr>
        <w:t xml:space="preserve">e profiteren van een verlaging van de collectieve lasten, terwijl de verhoging van de eigen bijdrage relatief klein is. </w:t>
      </w:r>
    </w:p>
    <w:p w:rsidRPr="00F6063A" w:rsidR="008615A2" w:rsidP="008615A2" w:rsidRDefault="008615A2" w14:paraId="0119A4BF" w14:textId="77777777">
      <w:pPr>
        <w:spacing w:line="240" w:lineRule="atLeast"/>
        <w:rPr>
          <w:rFonts w:ascii="Verdana" w:hAnsi="Verdana"/>
          <w:b/>
          <w:bCs/>
          <w:sz w:val="18"/>
          <w:szCs w:val="18"/>
        </w:rPr>
      </w:pPr>
      <w:r w:rsidRPr="00F6063A">
        <w:rPr>
          <w:rFonts w:ascii="Verdana" w:hAnsi="Verdana"/>
          <w:sz w:val="18"/>
          <w:szCs w:val="18"/>
        </w:rPr>
        <w:t>Uit de simulatie blijkt dat 16</w:t>
      </w:r>
      <w:r>
        <w:rPr>
          <w:rFonts w:ascii="Verdana" w:hAnsi="Verdana"/>
          <w:sz w:val="18"/>
          <w:szCs w:val="18"/>
        </w:rPr>
        <w:t>0</w:t>
      </w:r>
      <w:r w:rsidRPr="00F6063A">
        <w:rPr>
          <w:rFonts w:ascii="Verdana" w:hAnsi="Verdana"/>
          <w:sz w:val="18"/>
          <w:szCs w:val="18"/>
        </w:rPr>
        <w:t xml:space="preserve"> schoolbesturen erop vooruitgaan. Deze groep gaat er gemiddeld 14,</w:t>
      </w:r>
      <w:r>
        <w:rPr>
          <w:rFonts w:ascii="Verdana" w:hAnsi="Verdana"/>
          <w:sz w:val="18"/>
          <w:szCs w:val="18"/>
        </w:rPr>
        <w:t>5</w:t>
      </w:r>
      <w:r w:rsidRPr="00F6063A">
        <w:rPr>
          <w:rFonts w:ascii="Verdana" w:hAnsi="Verdana"/>
          <w:sz w:val="18"/>
          <w:szCs w:val="18"/>
        </w:rPr>
        <w:t xml:space="preserve"> procent (€</w:t>
      </w:r>
      <w:r>
        <w:rPr>
          <w:rFonts w:ascii="Verdana" w:hAnsi="Verdana"/>
          <w:sz w:val="18"/>
          <w:szCs w:val="18"/>
        </w:rPr>
        <w:t> </w:t>
      </w:r>
      <w:r w:rsidRPr="00F6063A">
        <w:rPr>
          <w:rFonts w:ascii="Verdana" w:hAnsi="Verdana"/>
          <w:sz w:val="18"/>
          <w:szCs w:val="18"/>
        </w:rPr>
        <w:t>2</w:t>
      </w:r>
      <w:r>
        <w:rPr>
          <w:rFonts w:ascii="Verdana" w:hAnsi="Verdana"/>
          <w:sz w:val="18"/>
          <w:szCs w:val="18"/>
        </w:rPr>
        <w:t>4.593</w:t>
      </w:r>
      <w:r w:rsidRPr="00F6063A">
        <w:rPr>
          <w:rFonts w:ascii="Verdana" w:hAnsi="Verdana"/>
          <w:sz w:val="18"/>
          <w:szCs w:val="18"/>
        </w:rPr>
        <w:t>) op vooruit. Een groep van 1</w:t>
      </w:r>
      <w:r>
        <w:rPr>
          <w:rFonts w:ascii="Verdana" w:hAnsi="Verdana"/>
          <w:sz w:val="18"/>
          <w:szCs w:val="18"/>
        </w:rPr>
        <w:t>0</w:t>
      </w:r>
      <w:r w:rsidRPr="00F6063A">
        <w:rPr>
          <w:rFonts w:ascii="Verdana" w:hAnsi="Verdana"/>
          <w:sz w:val="18"/>
          <w:szCs w:val="18"/>
        </w:rPr>
        <w:t xml:space="preserve">1 schoolbesturen gaat erop achteruit. Deze besturen gaan gemiddeld </w:t>
      </w:r>
      <w:r>
        <w:rPr>
          <w:rFonts w:ascii="Verdana" w:hAnsi="Verdana"/>
          <w:sz w:val="18"/>
          <w:szCs w:val="18"/>
        </w:rPr>
        <w:t>15,6</w:t>
      </w:r>
      <w:r w:rsidRPr="00F6063A">
        <w:rPr>
          <w:rFonts w:ascii="Verdana" w:hAnsi="Verdana"/>
          <w:sz w:val="18"/>
          <w:szCs w:val="18"/>
        </w:rPr>
        <w:t xml:space="preserve"> procent (€ 3</w:t>
      </w:r>
      <w:r>
        <w:rPr>
          <w:rFonts w:ascii="Verdana" w:hAnsi="Verdana"/>
          <w:sz w:val="18"/>
          <w:szCs w:val="18"/>
        </w:rPr>
        <w:t>7</w:t>
      </w:r>
      <w:r w:rsidRPr="00F6063A">
        <w:rPr>
          <w:rFonts w:ascii="Verdana" w:hAnsi="Verdana"/>
          <w:sz w:val="18"/>
          <w:szCs w:val="18"/>
        </w:rPr>
        <w:t>.</w:t>
      </w:r>
      <w:r>
        <w:rPr>
          <w:rFonts w:ascii="Verdana" w:hAnsi="Verdana"/>
          <w:sz w:val="18"/>
          <w:szCs w:val="18"/>
        </w:rPr>
        <w:t>326</w:t>
      </w:r>
      <w:r w:rsidRPr="00F6063A">
        <w:rPr>
          <w:rFonts w:ascii="Verdana" w:hAnsi="Verdana"/>
          <w:sz w:val="18"/>
          <w:szCs w:val="18"/>
        </w:rPr>
        <w:t xml:space="preserve">) meer betalen aan werkloosheidskosten. Dit komt er voor de meeste besturen op neer dat zij maximaal 0,5 procentpunt van de basisbekostiging extra aan werkloosheidsuitkeringen gaan betalen. Er zijn twaalf </w:t>
      </w:r>
      <w:r>
        <w:rPr>
          <w:rFonts w:ascii="Verdana" w:hAnsi="Verdana"/>
          <w:sz w:val="18"/>
          <w:szCs w:val="18"/>
        </w:rPr>
        <w:t>besturen</w:t>
      </w:r>
      <w:r w:rsidRPr="00F6063A">
        <w:rPr>
          <w:rFonts w:ascii="Verdana" w:hAnsi="Verdana"/>
          <w:sz w:val="18"/>
          <w:szCs w:val="18"/>
        </w:rPr>
        <w:t xml:space="preserve"> waar</w:t>
      </w:r>
      <w:r>
        <w:rPr>
          <w:rFonts w:ascii="Verdana" w:hAnsi="Verdana"/>
          <w:sz w:val="18"/>
          <w:szCs w:val="18"/>
        </w:rPr>
        <w:t>voor</w:t>
      </w:r>
      <w:r w:rsidRPr="00F6063A">
        <w:rPr>
          <w:rFonts w:ascii="Verdana" w:hAnsi="Verdana"/>
          <w:sz w:val="18"/>
          <w:szCs w:val="18"/>
        </w:rPr>
        <w:t xml:space="preserve"> de stijging van de uitkeringskosten </w:t>
      </w:r>
      <w:r>
        <w:rPr>
          <w:rFonts w:ascii="Verdana" w:hAnsi="Verdana"/>
          <w:sz w:val="18"/>
          <w:szCs w:val="18"/>
        </w:rPr>
        <w:t xml:space="preserve">circa </w:t>
      </w:r>
      <w:r w:rsidRPr="00F6063A">
        <w:rPr>
          <w:rFonts w:ascii="Verdana" w:hAnsi="Verdana"/>
          <w:sz w:val="18"/>
          <w:szCs w:val="18"/>
        </w:rPr>
        <w:t>0,5 procentpunt van de basisbekostiging</w:t>
      </w:r>
      <w:r>
        <w:rPr>
          <w:rFonts w:ascii="Verdana" w:hAnsi="Verdana"/>
          <w:sz w:val="18"/>
          <w:szCs w:val="18"/>
        </w:rPr>
        <w:t xml:space="preserve"> bedraagt of hoger (zie figuur 1)</w:t>
      </w:r>
      <w:r w:rsidRPr="00F6063A">
        <w:rPr>
          <w:rFonts w:ascii="Verdana" w:hAnsi="Verdana"/>
          <w:sz w:val="18"/>
          <w:szCs w:val="18"/>
        </w:rPr>
        <w:t xml:space="preserve">. </w:t>
      </w:r>
      <w:r>
        <w:rPr>
          <w:rFonts w:ascii="Verdana" w:hAnsi="Verdana"/>
          <w:sz w:val="18"/>
          <w:szCs w:val="18"/>
        </w:rPr>
        <w:t xml:space="preserve">In de simulatie is alleen in beeld gebracht wat het directe effect op de uitkeringskosten is bij verhoging van het individuele deel en verlaging van het collectieve deel. </w:t>
      </w:r>
      <w:bookmarkStart w:name="_Hlk215062584" w:id="0"/>
      <w:r>
        <w:rPr>
          <w:rFonts w:ascii="Verdana" w:hAnsi="Verdana"/>
          <w:sz w:val="18"/>
          <w:szCs w:val="18"/>
        </w:rPr>
        <w:t xml:space="preserve">Mogelijke gedragseffecten zijn hierin niet meegenomen. </w:t>
      </w:r>
      <w:r w:rsidRPr="00F6063A">
        <w:rPr>
          <w:rFonts w:ascii="Verdana" w:hAnsi="Verdana"/>
          <w:sz w:val="18"/>
          <w:szCs w:val="18"/>
        </w:rPr>
        <w:t xml:space="preserve">Als besturen </w:t>
      </w:r>
      <w:r>
        <w:rPr>
          <w:rFonts w:ascii="Verdana" w:hAnsi="Verdana"/>
          <w:sz w:val="18"/>
          <w:szCs w:val="18"/>
        </w:rPr>
        <w:t xml:space="preserve">bijvoorbeeld </w:t>
      </w:r>
      <w:r w:rsidRPr="00F6063A">
        <w:rPr>
          <w:rFonts w:ascii="Verdana" w:hAnsi="Verdana"/>
          <w:sz w:val="18"/>
          <w:szCs w:val="18"/>
        </w:rPr>
        <w:t>een actiever re-integratiebeleid gaan voeren, kunnen zij de kosten aan werkloosheid omlaag brengen.</w:t>
      </w:r>
      <w:bookmarkEnd w:id="0"/>
    </w:p>
    <w:p w:rsidR="008615A2" w:rsidP="008615A2" w:rsidRDefault="008615A2" w14:paraId="4FD1E4C4" w14:textId="77777777">
      <w:pPr>
        <w:spacing w:line="240" w:lineRule="atLeast"/>
        <w:rPr>
          <w:rFonts w:ascii="Verdana" w:hAnsi="Verdana"/>
          <w:sz w:val="18"/>
          <w:szCs w:val="18"/>
        </w:rPr>
      </w:pPr>
      <w:r w:rsidRPr="00F6063A">
        <w:rPr>
          <w:rFonts w:ascii="Verdana" w:hAnsi="Verdana"/>
          <w:sz w:val="18"/>
          <w:szCs w:val="18"/>
        </w:rPr>
        <w:t>Grote en kleine schoolbesturen gaan er ongeveer even vaak op vooruit als op achteruit. Echter, als kleine schoolbesturen erop achteruit gaan, is het relatieve effect</w:t>
      </w:r>
      <w:r>
        <w:rPr>
          <w:rFonts w:ascii="Verdana" w:hAnsi="Verdana"/>
          <w:sz w:val="18"/>
          <w:szCs w:val="18"/>
        </w:rPr>
        <w:t xml:space="preserve"> gemiddeld genomen</w:t>
      </w:r>
      <w:r w:rsidRPr="00F6063A">
        <w:rPr>
          <w:rFonts w:ascii="Verdana" w:hAnsi="Verdana"/>
          <w:sz w:val="18"/>
          <w:szCs w:val="18"/>
        </w:rPr>
        <w:t xml:space="preserve"> groter dan bij grote schoolbesturen.</w:t>
      </w:r>
      <w:r>
        <w:rPr>
          <w:rFonts w:ascii="Verdana" w:hAnsi="Verdana"/>
          <w:sz w:val="18"/>
          <w:szCs w:val="18"/>
        </w:rPr>
        <w:t xml:space="preserve"> </w:t>
      </w:r>
    </w:p>
    <w:p w:rsidR="00E63802" w:rsidP="00E63802" w:rsidRDefault="00E63802" w14:paraId="48ACC223" w14:textId="77777777">
      <w:pPr>
        <w:spacing w:line="240" w:lineRule="atLeast"/>
        <w:rPr>
          <w:rFonts w:ascii="Verdana" w:hAnsi="Verdana"/>
          <w:b/>
          <w:bCs/>
          <w:sz w:val="18"/>
          <w:szCs w:val="18"/>
        </w:rPr>
      </w:pPr>
      <w:r>
        <w:rPr>
          <w:rFonts w:ascii="Verdana" w:hAnsi="Verdana"/>
          <w:sz w:val="18"/>
          <w:szCs w:val="18"/>
        </w:rPr>
        <w:t xml:space="preserve">Figuur 1 (a en b) geeft voor deze simulatie het herverdeeleffect per vo-schoolbestuur aan. In 1a zijn de besturen genummerd op volgorde van relatief minder betalen naar meer betalen en is het herverdeeleffect per bestuur uitgedrukt als percentage ten opzichte van de omvang van de basisbekostiging van het bestuur. </w:t>
      </w:r>
      <w:r w:rsidRPr="003F7015">
        <w:rPr>
          <w:rFonts w:ascii="Verdana" w:hAnsi="Verdana"/>
          <w:sz w:val="18"/>
          <w:szCs w:val="18"/>
        </w:rPr>
        <w:t>In 1b zijn de herverdeeleffecten als percentage van de uitkeringskosten afgezet tegen de herverdeeleffecten als percentage van de basisbekostiging.</w:t>
      </w:r>
    </w:p>
    <w:p w:rsidRPr="00F6063A" w:rsidR="007260E0" w:rsidP="007260E0" w:rsidRDefault="007260E0" w14:paraId="0B3CEA99" w14:textId="7116B11D">
      <w:pPr>
        <w:spacing w:line="240" w:lineRule="atLeast"/>
        <w:rPr>
          <w:rFonts w:ascii="Verdana" w:hAnsi="Verdana"/>
          <w:sz w:val="18"/>
          <w:szCs w:val="18"/>
        </w:rPr>
      </w:pPr>
    </w:p>
    <w:p w:rsidR="007260E0" w:rsidP="00267214" w:rsidRDefault="007260E0" w14:paraId="3B00B890" w14:textId="33FA5C0D">
      <w:pPr>
        <w:keepNext/>
        <w:spacing w:line="240" w:lineRule="atLeast"/>
        <w:rPr>
          <w:rFonts w:ascii="Verdana" w:hAnsi="Verdana"/>
          <w:b/>
          <w:bCs/>
          <w:sz w:val="18"/>
          <w:szCs w:val="18"/>
        </w:rPr>
      </w:pPr>
      <w:r w:rsidRPr="00F6063A">
        <w:rPr>
          <w:rFonts w:ascii="Verdana" w:hAnsi="Verdana"/>
          <w:b/>
          <w:bCs/>
          <w:sz w:val="18"/>
          <w:szCs w:val="18"/>
        </w:rPr>
        <w:lastRenderedPageBreak/>
        <w:t xml:space="preserve">Figuur 1:  Herverdeeleffecten </w:t>
      </w:r>
      <w:r w:rsidR="00112FDD">
        <w:rPr>
          <w:rFonts w:ascii="Verdana" w:hAnsi="Verdana"/>
          <w:b/>
          <w:bCs/>
          <w:sz w:val="18"/>
          <w:szCs w:val="18"/>
        </w:rPr>
        <w:t>bij 50 procent individuele eigen bijdrage</w:t>
      </w:r>
    </w:p>
    <w:p w:rsidRPr="00F6063A" w:rsidR="00112FDD" w:rsidP="00267214" w:rsidRDefault="00112FDD" w14:paraId="068FE9A5" w14:textId="37A2D315">
      <w:pPr>
        <w:keepNext/>
        <w:spacing w:line="240" w:lineRule="atLeast"/>
        <w:rPr>
          <w:rFonts w:ascii="Verdana" w:hAnsi="Verdana"/>
          <w:b/>
          <w:bCs/>
          <w:sz w:val="18"/>
          <w:szCs w:val="18"/>
        </w:rPr>
      </w:pPr>
      <w:r>
        <w:rPr>
          <w:rFonts w:ascii="Verdana" w:hAnsi="Verdana"/>
          <w:b/>
          <w:bCs/>
          <w:sz w:val="18"/>
          <w:szCs w:val="18"/>
        </w:rPr>
        <w:t>1a</w:t>
      </w:r>
    </w:p>
    <w:p w:rsidR="009D52CD" w:rsidP="007260E0" w:rsidRDefault="009D52CD" w14:paraId="361F22EF" w14:textId="25249C5C">
      <w:pPr>
        <w:spacing w:line="240" w:lineRule="atLeast"/>
        <w:rPr>
          <w:rFonts w:ascii="Verdana" w:hAnsi="Verdana"/>
          <w:b/>
          <w:bCs/>
          <w:sz w:val="18"/>
          <w:szCs w:val="18"/>
        </w:rPr>
      </w:pPr>
      <w:r>
        <w:rPr>
          <w:rFonts w:ascii="Verdana" w:hAnsi="Verdana"/>
          <w:b/>
          <w:bCs/>
          <w:noProof/>
          <w:sz w:val="18"/>
          <w:szCs w:val="18"/>
        </w:rPr>
        <w:drawing>
          <wp:inline distT="0" distB="0" distL="0" distR="0" wp14:anchorId="1D160BD4" wp14:editId="3CD0205D">
            <wp:extent cx="5912103" cy="3870251"/>
            <wp:effectExtent l="0" t="0" r="0" b="0"/>
            <wp:docPr id="164696452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0450" cy="3901901"/>
                    </a:xfrm>
                    <a:prstGeom prst="rect">
                      <a:avLst/>
                    </a:prstGeom>
                    <a:noFill/>
                  </pic:spPr>
                </pic:pic>
              </a:graphicData>
            </a:graphic>
          </wp:inline>
        </w:drawing>
      </w:r>
    </w:p>
    <w:p w:rsidR="00112FDD" w:rsidP="007260E0" w:rsidRDefault="00112FDD" w14:paraId="72D62D91" w14:textId="77777777">
      <w:pPr>
        <w:spacing w:line="240" w:lineRule="atLeast"/>
        <w:rPr>
          <w:rFonts w:ascii="Verdana" w:hAnsi="Verdana"/>
          <w:sz w:val="18"/>
          <w:szCs w:val="18"/>
        </w:rPr>
      </w:pPr>
    </w:p>
    <w:p w:rsidR="009D52CD" w:rsidP="007260E0" w:rsidRDefault="00F60EAE" w14:paraId="4196E6C9" w14:textId="7839EC34">
      <w:pPr>
        <w:spacing w:line="240" w:lineRule="atLeast"/>
        <w:rPr>
          <w:rFonts w:ascii="Verdana" w:hAnsi="Verdana"/>
          <w:b/>
          <w:bCs/>
          <w:sz w:val="18"/>
          <w:szCs w:val="18"/>
        </w:rPr>
      </w:pPr>
      <w:r>
        <w:rPr>
          <w:rFonts w:ascii="Verdana" w:hAnsi="Verdana"/>
          <w:b/>
          <w:bCs/>
          <w:sz w:val="18"/>
          <w:szCs w:val="18"/>
        </w:rPr>
        <w:t xml:space="preserve">1b </w:t>
      </w:r>
    </w:p>
    <w:p w:rsidR="009D52CD" w:rsidP="007260E0" w:rsidRDefault="009D52CD" w14:paraId="00410193" w14:textId="7D971B77">
      <w:pPr>
        <w:spacing w:line="240" w:lineRule="atLeast"/>
        <w:rPr>
          <w:rFonts w:ascii="Verdana" w:hAnsi="Verdana"/>
          <w:b/>
          <w:bCs/>
          <w:sz w:val="18"/>
          <w:szCs w:val="18"/>
        </w:rPr>
      </w:pPr>
      <w:r>
        <w:rPr>
          <w:rFonts w:ascii="Verdana" w:hAnsi="Verdana"/>
          <w:b/>
          <w:bCs/>
          <w:noProof/>
          <w:sz w:val="18"/>
          <w:szCs w:val="18"/>
        </w:rPr>
        <w:drawing>
          <wp:inline distT="0" distB="0" distL="0" distR="0" wp14:anchorId="5F425D28" wp14:editId="315F037B">
            <wp:extent cx="5940646" cy="3888938"/>
            <wp:effectExtent l="0" t="0" r="3175" b="0"/>
            <wp:docPr id="123608287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6992" cy="3899639"/>
                    </a:xfrm>
                    <a:prstGeom prst="rect">
                      <a:avLst/>
                    </a:prstGeom>
                    <a:noFill/>
                  </pic:spPr>
                </pic:pic>
              </a:graphicData>
            </a:graphic>
          </wp:inline>
        </w:drawing>
      </w:r>
    </w:p>
    <w:p w:rsidRPr="00F6063A" w:rsidR="007260E0" w:rsidP="007260E0" w:rsidRDefault="00424AA6" w14:paraId="487F0D16" w14:textId="3A106290">
      <w:pPr>
        <w:spacing w:line="240" w:lineRule="atLeast"/>
        <w:rPr>
          <w:rFonts w:ascii="Verdana" w:hAnsi="Verdana"/>
          <w:sz w:val="18"/>
          <w:szCs w:val="18"/>
        </w:rPr>
      </w:pPr>
      <w:r>
        <w:rPr>
          <w:rFonts w:ascii="Verdana" w:hAnsi="Verdana"/>
          <w:sz w:val="18"/>
          <w:szCs w:val="18"/>
        </w:rPr>
        <w:lastRenderedPageBreak/>
        <w:t xml:space="preserve">Voor de samenwerkingsverbanden pakt de wijziging anders uit dan voor de schoolbesturen. De samenwerkingsverbanden </w:t>
      </w:r>
      <w:r w:rsidR="00276869">
        <w:rPr>
          <w:rFonts w:ascii="Verdana" w:hAnsi="Verdana"/>
          <w:sz w:val="18"/>
          <w:szCs w:val="18"/>
        </w:rPr>
        <w:t xml:space="preserve">betalen wel het individuele deel van de uitkeringskosten, maar </w:t>
      </w:r>
      <w:r>
        <w:rPr>
          <w:rFonts w:ascii="Verdana" w:hAnsi="Verdana"/>
          <w:sz w:val="18"/>
          <w:szCs w:val="18"/>
        </w:rPr>
        <w:t xml:space="preserve">zij </w:t>
      </w:r>
      <w:r w:rsidR="00276869">
        <w:rPr>
          <w:rFonts w:ascii="Verdana" w:hAnsi="Verdana"/>
          <w:sz w:val="18"/>
          <w:szCs w:val="18"/>
        </w:rPr>
        <w:t xml:space="preserve">betalen </w:t>
      </w:r>
      <w:r>
        <w:rPr>
          <w:rFonts w:ascii="Verdana" w:hAnsi="Verdana"/>
          <w:sz w:val="18"/>
          <w:szCs w:val="18"/>
        </w:rPr>
        <w:t xml:space="preserve">niet mee aan het collectieve deel </w:t>
      </w:r>
      <w:r w:rsidR="00276869">
        <w:rPr>
          <w:rFonts w:ascii="Verdana" w:hAnsi="Verdana"/>
          <w:sz w:val="18"/>
          <w:szCs w:val="18"/>
        </w:rPr>
        <w:t>omdat ze geen basisbekostiging ontvangen</w:t>
      </w:r>
      <w:r>
        <w:rPr>
          <w:rFonts w:ascii="Verdana" w:hAnsi="Verdana"/>
          <w:sz w:val="18"/>
          <w:szCs w:val="18"/>
        </w:rPr>
        <w:t>. Bij de herverdeeleffecten zorgt dat ervoor dat zij wel te maken krijgen met de stijgende kosten door verhoging van het individuele deel</w:t>
      </w:r>
      <w:r w:rsidR="00563204">
        <w:rPr>
          <w:rFonts w:ascii="Verdana" w:hAnsi="Verdana"/>
          <w:sz w:val="18"/>
          <w:szCs w:val="18"/>
        </w:rPr>
        <w:t xml:space="preserve"> (verdubbeling)</w:t>
      </w:r>
      <w:r>
        <w:rPr>
          <w:rFonts w:ascii="Verdana" w:hAnsi="Verdana"/>
          <w:sz w:val="18"/>
          <w:szCs w:val="18"/>
        </w:rPr>
        <w:t xml:space="preserve">, maar niet </w:t>
      </w:r>
      <w:r w:rsidR="00276869">
        <w:rPr>
          <w:rFonts w:ascii="Verdana" w:hAnsi="Verdana"/>
          <w:sz w:val="18"/>
          <w:szCs w:val="18"/>
        </w:rPr>
        <w:t xml:space="preserve">profiteren van </w:t>
      </w:r>
      <w:r>
        <w:rPr>
          <w:rFonts w:ascii="Verdana" w:hAnsi="Verdana"/>
          <w:sz w:val="18"/>
          <w:szCs w:val="18"/>
        </w:rPr>
        <w:t xml:space="preserve">het dempende effect door de verlaging van </w:t>
      </w:r>
      <w:r w:rsidR="00276869">
        <w:rPr>
          <w:rFonts w:ascii="Verdana" w:hAnsi="Verdana"/>
          <w:sz w:val="18"/>
          <w:szCs w:val="18"/>
        </w:rPr>
        <w:t>het collectieve deel. De wijziging kan daarmee voor de samenwerkingsverbanden een grotere impact hebben dan gemiddeld.</w:t>
      </w:r>
      <w:r w:rsidR="00AA642E">
        <w:rPr>
          <w:rFonts w:ascii="Verdana" w:hAnsi="Verdana"/>
          <w:sz w:val="18"/>
          <w:szCs w:val="18"/>
        </w:rPr>
        <w:t xml:space="preserve"> Op basis van simulaties over 2024 zouden 15 samenwerkingsverbanden</w:t>
      </w:r>
      <w:r w:rsidR="006B7C7C">
        <w:rPr>
          <w:rFonts w:ascii="Verdana" w:hAnsi="Verdana"/>
          <w:sz w:val="18"/>
          <w:szCs w:val="18"/>
        </w:rPr>
        <w:t xml:space="preserve"> (swv)</w:t>
      </w:r>
      <w:r w:rsidR="00AA642E">
        <w:rPr>
          <w:rFonts w:ascii="Verdana" w:hAnsi="Verdana"/>
          <w:sz w:val="18"/>
          <w:szCs w:val="18"/>
        </w:rPr>
        <w:t xml:space="preserve"> vo gemiddeld</w:t>
      </w:r>
      <w:r w:rsidR="006B7C7C">
        <w:rPr>
          <w:rFonts w:ascii="Verdana" w:hAnsi="Verdana"/>
          <w:sz w:val="18"/>
          <w:szCs w:val="18"/>
        </w:rPr>
        <w:t xml:space="preserve"> </w:t>
      </w:r>
      <w:r w:rsidR="00AA642E">
        <w:rPr>
          <w:rFonts w:ascii="Verdana" w:hAnsi="Verdana"/>
          <w:sz w:val="18"/>
          <w:szCs w:val="18"/>
        </w:rPr>
        <w:t>€ 1</w:t>
      </w:r>
      <w:r w:rsidR="00563204">
        <w:rPr>
          <w:rFonts w:ascii="Verdana" w:hAnsi="Verdana"/>
          <w:sz w:val="18"/>
          <w:szCs w:val="18"/>
        </w:rPr>
        <w:t>0</w:t>
      </w:r>
      <w:r w:rsidR="00AA642E">
        <w:rPr>
          <w:rFonts w:ascii="Verdana" w:hAnsi="Verdana"/>
          <w:sz w:val="18"/>
          <w:szCs w:val="18"/>
        </w:rPr>
        <w:t>.</w:t>
      </w:r>
      <w:r w:rsidR="00563204">
        <w:rPr>
          <w:rFonts w:ascii="Verdana" w:hAnsi="Verdana"/>
          <w:sz w:val="18"/>
          <w:szCs w:val="18"/>
        </w:rPr>
        <w:t>997</w:t>
      </w:r>
      <w:r w:rsidR="00AA642E">
        <w:rPr>
          <w:rFonts w:ascii="Verdana" w:hAnsi="Verdana"/>
          <w:sz w:val="18"/>
          <w:szCs w:val="18"/>
        </w:rPr>
        <w:t xml:space="preserve"> hogere uitkeringslasten dragen</w:t>
      </w:r>
      <w:r w:rsidR="006B7C7C">
        <w:rPr>
          <w:rFonts w:ascii="Verdana" w:hAnsi="Verdana"/>
          <w:sz w:val="18"/>
          <w:szCs w:val="18"/>
        </w:rPr>
        <w:t xml:space="preserve"> per swv</w:t>
      </w:r>
      <w:r w:rsidR="00AA642E">
        <w:rPr>
          <w:rFonts w:ascii="Verdana" w:hAnsi="Verdana"/>
          <w:sz w:val="18"/>
          <w:szCs w:val="18"/>
        </w:rPr>
        <w:t>.</w:t>
      </w:r>
      <w:r w:rsidR="00276869">
        <w:rPr>
          <w:rFonts w:ascii="Verdana" w:hAnsi="Verdana"/>
          <w:sz w:val="18"/>
          <w:szCs w:val="18"/>
        </w:rPr>
        <w:t xml:space="preserve"> Feit blijft dat de samenwerkingsverbanden slechts een</w:t>
      </w:r>
      <w:r w:rsidR="004E5ABA">
        <w:rPr>
          <w:rFonts w:ascii="Verdana" w:hAnsi="Verdana"/>
          <w:sz w:val="18"/>
          <w:szCs w:val="18"/>
        </w:rPr>
        <w:t xml:space="preserve"> deel van</w:t>
      </w:r>
      <w:r w:rsidR="00C063E7">
        <w:rPr>
          <w:rFonts w:ascii="Verdana" w:hAnsi="Verdana"/>
          <w:sz w:val="18"/>
          <w:szCs w:val="18"/>
        </w:rPr>
        <w:t xml:space="preserve"> de door hen veroorzaakte</w:t>
      </w:r>
      <w:r w:rsidR="00276869">
        <w:rPr>
          <w:rFonts w:ascii="Verdana" w:hAnsi="Verdana"/>
          <w:sz w:val="18"/>
          <w:szCs w:val="18"/>
        </w:rPr>
        <w:t xml:space="preserve"> werkloosheidskosten betalen </w:t>
      </w:r>
      <w:r w:rsidR="00C063E7">
        <w:rPr>
          <w:rFonts w:ascii="Verdana" w:hAnsi="Verdana"/>
          <w:sz w:val="18"/>
          <w:szCs w:val="18"/>
        </w:rPr>
        <w:t>en</w:t>
      </w:r>
      <w:r w:rsidR="00276869">
        <w:rPr>
          <w:rFonts w:ascii="Verdana" w:hAnsi="Verdana"/>
          <w:sz w:val="18"/>
          <w:szCs w:val="18"/>
        </w:rPr>
        <w:t xml:space="preserve"> niet meebetalen aan het collectieve deel van de uitkeringen.</w:t>
      </w:r>
    </w:p>
    <w:p w:rsidRPr="007A620C" w:rsidR="002F6EA7" w:rsidP="007A620C" w:rsidRDefault="004D02F6" w14:paraId="413DD9DC" w14:textId="0BA7F9BC">
      <w:pPr>
        <w:spacing w:line="240" w:lineRule="atLeast"/>
        <w:rPr>
          <w:rFonts w:ascii="Verdana" w:hAnsi="Verdana"/>
          <w:sz w:val="18"/>
          <w:szCs w:val="18"/>
        </w:rPr>
      </w:pPr>
      <w:r>
        <w:rPr>
          <w:rFonts w:ascii="Verdana" w:hAnsi="Verdana"/>
          <w:sz w:val="18"/>
          <w:szCs w:val="18"/>
        </w:rPr>
        <w:t>Naast</w:t>
      </w:r>
      <w:r w:rsidRPr="00F6063A" w:rsidR="007260E0">
        <w:rPr>
          <w:rFonts w:ascii="Verdana" w:hAnsi="Verdana"/>
          <w:sz w:val="18"/>
          <w:szCs w:val="18"/>
        </w:rPr>
        <w:t xml:space="preserve"> de simulatie van de situatie dat het percentage eigen bijdrage naar 50 procent zou gaan, </w:t>
      </w:r>
      <w:r>
        <w:rPr>
          <w:rFonts w:ascii="Verdana" w:hAnsi="Verdana"/>
          <w:sz w:val="18"/>
          <w:szCs w:val="18"/>
        </w:rPr>
        <w:t>zijn</w:t>
      </w:r>
      <w:r w:rsidRPr="00F6063A" w:rsidR="007260E0">
        <w:rPr>
          <w:rFonts w:ascii="Verdana" w:hAnsi="Verdana"/>
          <w:sz w:val="18"/>
          <w:szCs w:val="18"/>
        </w:rPr>
        <w:t xml:space="preserve"> ook simulaties gemaakt van de situatie dat de eigen bijdrage naar 37,5 procent of naar 75 procent verhoogd zou worden. De resultaten hiervan lieten zien dat een verhoging van de eigen bijdrage naar 37,5 procent te weinig invloed zou hebben om een stimulerende werking op werkgevers te kunnen hebben. Een eigen bijdrage van 75 procent zou daarentegen het solidariteitsprincipe te veel teniet doen en een te groot negatief financieel effect hebben op een deel van de schoolbesturen. De eigen bijdrage van 50 procent is hier een mooie balans tussen.</w:t>
      </w:r>
    </w:p>
    <w:p w:rsidRPr="00F82D05" w:rsidR="008F643C" w:rsidP="007260E0" w:rsidRDefault="007260E0" w14:paraId="282169A3" w14:textId="6205DDEA">
      <w:pPr>
        <w:keepNext/>
        <w:spacing w:line="240" w:lineRule="atLeast"/>
        <w:rPr>
          <w:rFonts w:ascii="Verdana" w:hAnsi="Verdana"/>
          <w:b/>
          <w:bCs/>
          <w:sz w:val="18"/>
          <w:szCs w:val="18"/>
        </w:rPr>
      </w:pPr>
      <w:r>
        <w:rPr>
          <w:rFonts w:ascii="Verdana" w:hAnsi="Verdana"/>
          <w:b/>
          <w:bCs/>
          <w:sz w:val="18"/>
          <w:szCs w:val="18"/>
        </w:rPr>
        <w:t>5.</w:t>
      </w:r>
      <w:r>
        <w:rPr>
          <w:rFonts w:ascii="Verdana" w:hAnsi="Verdana"/>
          <w:b/>
          <w:bCs/>
          <w:sz w:val="18"/>
          <w:szCs w:val="18"/>
        </w:rPr>
        <w:tab/>
      </w:r>
      <w:r w:rsidRPr="00F82D05" w:rsidR="008F643C">
        <w:rPr>
          <w:rFonts w:ascii="Verdana" w:hAnsi="Verdana"/>
          <w:b/>
          <w:bCs/>
          <w:sz w:val="18"/>
          <w:szCs w:val="18"/>
        </w:rPr>
        <w:t>Uitvoerbaarheid en handhaafbaarheid</w:t>
      </w:r>
    </w:p>
    <w:p w:rsidR="007260E0" w:rsidP="007A620C" w:rsidRDefault="007260E0" w14:paraId="28ACEBCC" w14:textId="7E06B834">
      <w:pPr>
        <w:pStyle w:val="Default"/>
        <w:spacing w:after="160" w:line="240" w:lineRule="atLeast"/>
        <w:rPr>
          <w:sz w:val="18"/>
          <w:szCs w:val="18"/>
        </w:rPr>
      </w:pPr>
      <w:r>
        <w:rPr>
          <w:sz w:val="18"/>
          <w:szCs w:val="18"/>
        </w:rPr>
        <w:t>D</w:t>
      </w:r>
      <w:r w:rsidRPr="00F6063A">
        <w:rPr>
          <w:sz w:val="18"/>
          <w:szCs w:val="18"/>
        </w:rPr>
        <w:t>UO voert de verevening en facturatie van de uitkeringskosten uit. De regeling is daarom voor een uitvoeringstoets voorgelegd aan DUO en via DUO aan de Inspectie van het Onderwijs. Andere uitvoeringstoetsen zijn niet nodig.</w:t>
      </w:r>
      <w:r>
        <w:rPr>
          <w:sz w:val="18"/>
          <w:szCs w:val="18"/>
        </w:rPr>
        <w:t xml:space="preserve"> </w:t>
      </w:r>
    </w:p>
    <w:p w:rsidRPr="007A620C" w:rsidR="00424AA6" w:rsidP="007A620C" w:rsidRDefault="007260E0" w14:paraId="4663412A" w14:textId="1E7E9457">
      <w:pPr>
        <w:pStyle w:val="Default"/>
        <w:spacing w:after="160" w:line="240" w:lineRule="atLeast"/>
        <w:rPr>
          <w:rFonts w:cstheme="minorBidi"/>
          <w:color w:val="auto"/>
          <w:kern w:val="2"/>
          <w:sz w:val="18"/>
          <w:szCs w:val="18"/>
        </w:rPr>
      </w:pPr>
      <w:r w:rsidRPr="007A620C">
        <w:rPr>
          <w:rFonts w:cstheme="minorBidi"/>
          <w:color w:val="auto"/>
          <w:kern w:val="2"/>
          <w:sz w:val="18"/>
          <w:szCs w:val="18"/>
        </w:rPr>
        <w:t xml:space="preserve">Duo acht de regeling </w:t>
      </w:r>
      <w:r w:rsidRPr="007A620C" w:rsidR="007A620C">
        <w:rPr>
          <w:rFonts w:cstheme="minorBidi"/>
          <w:color w:val="auto"/>
          <w:kern w:val="2"/>
          <w:sz w:val="18"/>
          <w:szCs w:val="18"/>
        </w:rPr>
        <w:t>haalbaar, maakbaar en uitvoerbaar. De Inspectie van het Onderwijs heeft geen opmerkingen gemaakt.</w:t>
      </w:r>
      <w:r w:rsidRPr="007A620C" w:rsidR="00424AA6">
        <w:rPr>
          <w:rFonts w:cstheme="minorBidi"/>
          <w:color w:val="auto"/>
          <w:kern w:val="2"/>
          <w:sz w:val="18"/>
          <w:szCs w:val="18"/>
        </w:rPr>
        <w:t xml:space="preserve"> </w:t>
      </w:r>
    </w:p>
    <w:p w:rsidRPr="007A620C" w:rsidR="005E149B" w:rsidP="007A620C" w:rsidRDefault="00424AA6" w14:paraId="730F4C28" w14:textId="119BD798">
      <w:pPr>
        <w:pStyle w:val="Default"/>
        <w:spacing w:after="160" w:line="240" w:lineRule="atLeast"/>
        <w:rPr>
          <w:rFonts w:cstheme="minorBidi"/>
          <w:color w:val="auto"/>
          <w:kern w:val="2"/>
          <w:sz w:val="18"/>
          <w:szCs w:val="18"/>
        </w:rPr>
      </w:pPr>
      <w:r w:rsidRPr="007A620C">
        <w:rPr>
          <w:rFonts w:cstheme="minorBidi"/>
          <w:color w:val="auto"/>
          <w:kern w:val="2"/>
          <w:sz w:val="18"/>
          <w:szCs w:val="18"/>
        </w:rPr>
        <w:t>Daarnaast is het veld betrokken bij deze wijziging. Het WOVO-onderzoek is uitgevoerd in samenwerking met de VO-raad. Over de aanpassing van de regeling heeft overleg plaatsgevonden met de VO-raad</w:t>
      </w:r>
      <w:r w:rsidRPr="007A620C" w:rsidR="007A620C">
        <w:rPr>
          <w:rFonts w:cstheme="minorBidi"/>
          <w:color w:val="auto"/>
          <w:kern w:val="2"/>
          <w:sz w:val="18"/>
          <w:szCs w:val="18"/>
        </w:rPr>
        <w:t>. De aanpassing is ook ter informatie voorgelegd aan het Overkoepelend Netwerk Samenwerkingsverbanden (ONSwv)</w:t>
      </w:r>
      <w:r w:rsidRPr="007A620C">
        <w:rPr>
          <w:rFonts w:cstheme="minorBidi"/>
          <w:color w:val="auto"/>
          <w:kern w:val="2"/>
          <w:sz w:val="18"/>
          <w:szCs w:val="18"/>
        </w:rPr>
        <w:t>.</w:t>
      </w:r>
    </w:p>
    <w:p w:rsidRPr="00F6063A" w:rsidR="007260E0" w:rsidP="007260E0" w:rsidRDefault="007260E0" w14:paraId="59D02B83" w14:textId="77777777">
      <w:pPr>
        <w:spacing w:line="240" w:lineRule="atLeast"/>
        <w:rPr>
          <w:rFonts w:ascii="Verdana" w:hAnsi="Verdana"/>
          <w:b/>
          <w:bCs/>
          <w:sz w:val="18"/>
          <w:szCs w:val="18"/>
        </w:rPr>
      </w:pPr>
      <w:r w:rsidRPr="00F6063A">
        <w:rPr>
          <w:rFonts w:ascii="Verdana" w:hAnsi="Verdana"/>
          <w:b/>
          <w:bCs/>
          <w:sz w:val="18"/>
          <w:szCs w:val="18"/>
        </w:rPr>
        <w:t>6.</w:t>
      </w:r>
      <w:r w:rsidRPr="00F6063A">
        <w:rPr>
          <w:rFonts w:ascii="Verdana" w:hAnsi="Verdana"/>
          <w:b/>
          <w:bCs/>
          <w:sz w:val="18"/>
          <w:szCs w:val="18"/>
        </w:rPr>
        <w:tab/>
        <w:t>Inwerkingtreding en overgangsrecht</w:t>
      </w:r>
    </w:p>
    <w:p w:rsidRPr="00F6063A" w:rsidR="007260E0" w:rsidP="007260E0" w:rsidRDefault="009764A6" w14:paraId="22222C1D" w14:textId="447BFD74">
      <w:pPr>
        <w:spacing w:line="240" w:lineRule="atLeast"/>
        <w:rPr>
          <w:rFonts w:ascii="Verdana" w:hAnsi="Verdana"/>
          <w:sz w:val="18"/>
          <w:szCs w:val="18"/>
        </w:rPr>
      </w:pPr>
      <w:r w:rsidRPr="009764A6">
        <w:rPr>
          <w:rFonts w:ascii="Verdana" w:hAnsi="Verdana"/>
          <w:sz w:val="18"/>
          <w:szCs w:val="18"/>
        </w:rPr>
        <w:t>Om de regeling uitvoerbaar te houden, is ervoor gekozen om geen overgangsrecht toe te passen, maar om de regeling uitgesteld in werking te laten treden. Hiermee wordt voorkomen dat er een ander regime/percentage moet worden toegepast voor de verrekening van de oude uitkeringsrechten dan voor de nieuwe uitkeringsrechten, hetgeen onder andere aanpassing door de uitkeringsinstanties zou vergen van de gegevensleveringen aan DUO en uitvoeringstechnisch complex is.</w:t>
      </w:r>
    </w:p>
    <w:p w:rsidRPr="00F6063A" w:rsidR="007260E0" w:rsidP="007260E0" w:rsidRDefault="007260E0" w14:paraId="1403211D" w14:textId="759BE6F7">
      <w:pPr>
        <w:spacing w:line="240" w:lineRule="atLeast"/>
        <w:rPr>
          <w:rFonts w:ascii="Verdana" w:hAnsi="Verdana"/>
          <w:sz w:val="18"/>
          <w:szCs w:val="18"/>
        </w:rPr>
      </w:pPr>
      <w:r w:rsidRPr="00F6063A">
        <w:rPr>
          <w:rFonts w:ascii="Verdana" w:hAnsi="Verdana"/>
          <w:sz w:val="18"/>
          <w:szCs w:val="18"/>
        </w:rPr>
        <w:t>Omdat een deel van de schoolbesturen, namelijk degenen met relatief hoge werkloosheidskosten, meer gaan betalen aan uitkeringskosten, is een overgangstermijn noodzakelijk. Deze schoolbesturen hebben namelijk de beslissing om iemand te ontslaan, genomen in de afweging dat zij 25 procent van de werkloosheidskosten als eigen bijdrage zouden betalen. Als dit percentage gedurende de uitkeringsduur verandert, dan moeten de werkgevers de tijd krijgen om de effecten van de wijziging zo goed mogelijk op te vangen. Vooral voor kleine schoolbesturen is dit van belang, omdat</w:t>
      </w:r>
      <w:r w:rsidR="00A36C72">
        <w:rPr>
          <w:rFonts w:ascii="Verdana" w:hAnsi="Verdana"/>
          <w:sz w:val="18"/>
          <w:szCs w:val="18"/>
        </w:rPr>
        <w:t xml:space="preserve"> de kosten voor</w:t>
      </w:r>
      <w:r w:rsidRPr="00F6063A">
        <w:rPr>
          <w:rFonts w:ascii="Verdana" w:hAnsi="Verdana"/>
          <w:sz w:val="18"/>
          <w:szCs w:val="18"/>
        </w:rPr>
        <w:t xml:space="preserve"> deze groep </w:t>
      </w:r>
      <w:r w:rsidR="00A36C72">
        <w:rPr>
          <w:rFonts w:ascii="Verdana" w:hAnsi="Verdana"/>
          <w:sz w:val="18"/>
          <w:szCs w:val="18"/>
        </w:rPr>
        <w:t>sterker kunnen fluctueren</w:t>
      </w:r>
      <w:r w:rsidRPr="00F6063A">
        <w:rPr>
          <w:rFonts w:ascii="Verdana" w:hAnsi="Verdana"/>
          <w:sz w:val="18"/>
          <w:szCs w:val="18"/>
        </w:rPr>
        <w:t xml:space="preserve">. </w:t>
      </w:r>
    </w:p>
    <w:p w:rsidR="00CC3260" w:rsidP="007260E0" w:rsidRDefault="007260E0" w14:paraId="1557CDD1" w14:textId="77777777">
      <w:pPr>
        <w:spacing w:line="240" w:lineRule="atLeast"/>
        <w:rPr>
          <w:rFonts w:ascii="Verdana" w:hAnsi="Verdana"/>
          <w:sz w:val="18"/>
          <w:szCs w:val="18"/>
        </w:rPr>
      </w:pPr>
      <w:r w:rsidRPr="00F6063A">
        <w:rPr>
          <w:rFonts w:ascii="Verdana" w:hAnsi="Verdana"/>
          <w:sz w:val="18"/>
          <w:szCs w:val="18"/>
        </w:rPr>
        <w:t>Er is daarom gekozen om de regeling per 1 januari 2028 in werking te laten treden. Dit geeft de werkgevers ruim 1,5 jaar de tijd om de</w:t>
      </w:r>
      <w:r w:rsidR="00A36C72">
        <w:rPr>
          <w:rFonts w:ascii="Verdana" w:hAnsi="Verdana"/>
          <w:sz w:val="18"/>
          <w:szCs w:val="18"/>
        </w:rPr>
        <w:t xml:space="preserve"> kosten te kunnen opvangen en de</w:t>
      </w:r>
      <w:r w:rsidRPr="00F6063A">
        <w:rPr>
          <w:rFonts w:ascii="Verdana" w:hAnsi="Verdana"/>
          <w:sz w:val="18"/>
          <w:szCs w:val="18"/>
        </w:rPr>
        <w:t xml:space="preserve"> re-integratieactiviteiten te intensiveren met het doel zoveel mogelijk van hun uitkeringsgerechtigden terug naar de arbeidsmarkt te begeleiden. Daarnaast  zullen in deze periode veel mensen uit de uitkering stromen omdat zij de maximale uitkeringsduur hebben bereikt. </w:t>
      </w:r>
    </w:p>
    <w:p w:rsidRPr="00F6063A" w:rsidR="007260E0" w:rsidP="007260E0" w:rsidRDefault="00CC3260" w14:paraId="20819F9B" w14:textId="49EAF48B">
      <w:pPr>
        <w:spacing w:line="240" w:lineRule="atLeast"/>
        <w:rPr>
          <w:rFonts w:ascii="Verdana" w:hAnsi="Verdana"/>
          <w:sz w:val="18"/>
          <w:szCs w:val="18"/>
        </w:rPr>
      </w:pPr>
      <w:r>
        <w:rPr>
          <w:rFonts w:ascii="Verdana" w:hAnsi="Verdana"/>
          <w:sz w:val="18"/>
          <w:szCs w:val="18"/>
        </w:rPr>
        <w:t xml:space="preserve">De uitstroom </w:t>
      </w:r>
      <w:r w:rsidRPr="00F6063A">
        <w:rPr>
          <w:rFonts w:ascii="Verdana" w:hAnsi="Verdana"/>
          <w:sz w:val="18"/>
          <w:szCs w:val="18"/>
        </w:rPr>
        <w:t>uit de bovenwettelijke regelingen</w:t>
      </w:r>
      <w:r>
        <w:rPr>
          <w:rFonts w:ascii="Verdana" w:hAnsi="Verdana"/>
          <w:sz w:val="18"/>
          <w:szCs w:val="18"/>
        </w:rPr>
        <w:t xml:space="preserve"> kan worden geïllustreerd op basis van een </w:t>
      </w:r>
      <w:r w:rsidRPr="00F6063A" w:rsidR="007260E0">
        <w:rPr>
          <w:rFonts w:ascii="Verdana" w:hAnsi="Verdana"/>
          <w:sz w:val="18"/>
          <w:szCs w:val="18"/>
        </w:rPr>
        <w:t>tabel</w:t>
      </w:r>
      <w:r>
        <w:rPr>
          <w:rFonts w:ascii="Verdana" w:hAnsi="Verdana"/>
          <w:sz w:val="18"/>
          <w:szCs w:val="18"/>
        </w:rPr>
        <w:t xml:space="preserve"> die is</w:t>
      </w:r>
      <w:r w:rsidRPr="00F6063A" w:rsidR="007260E0">
        <w:rPr>
          <w:rFonts w:ascii="Verdana" w:hAnsi="Verdana"/>
          <w:sz w:val="18"/>
          <w:szCs w:val="18"/>
        </w:rPr>
        <w:t xml:space="preserve"> opgesteld op basis van gegevens van WW-Plus</w:t>
      </w:r>
      <w:r>
        <w:rPr>
          <w:rFonts w:ascii="Verdana" w:hAnsi="Verdana"/>
          <w:sz w:val="18"/>
          <w:szCs w:val="18"/>
        </w:rPr>
        <w:t>.</w:t>
      </w:r>
    </w:p>
    <w:tbl>
      <w:tblPr>
        <w:tblW w:w="8924" w:type="dxa"/>
        <w:tblInd w:w="-1" w:type="dxa"/>
        <w:tblCellMar>
          <w:left w:w="0" w:type="dxa"/>
          <w:right w:w="0" w:type="dxa"/>
        </w:tblCellMar>
        <w:tblLook w:val="04A0" w:firstRow="1" w:lastRow="0" w:firstColumn="1" w:lastColumn="0" w:noHBand="0" w:noVBand="1"/>
      </w:tblPr>
      <w:tblGrid>
        <w:gridCol w:w="4280"/>
        <w:gridCol w:w="2760"/>
        <w:gridCol w:w="1884"/>
      </w:tblGrid>
      <w:tr w:rsidRPr="00AF5304" w:rsidR="007260E0" w14:paraId="23AC0BE5" w14:textId="77777777">
        <w:trPr>
          <w:trHeight w:val="540"/>
        </w:trPr>
        <w:tc>
          <w:tcPr>
            <w:tcW w:w="4280" w:type="dxa"/>
            <w:tcBorders>
              <w:top w:val="single" w:color="auto" w:sz="8" w:space="0"/>
              <w:left w:val="single" w:color="auto" w:sz="8" w:space="0"/>
              <w:bottom w:val="double" w:color="auto" w:sz="6" w:space="0"/>
              <w:right w:val="single" w:color="auto" w:sz="8" w:space="0"/>
            </w:tcBorders>
            <w:tcMar>
              <w:top w:w="0" w:type="dxa"/>
              <w:left w:w="70" w:type="dxa"/>
              <w:bottom w:w="0" w:type="dxa"/>
              <w:right w:w="70" w:type="dxa"/>
            </w:tcMar>
            <w:vAlign w:val="center"/>
            <w:hideMark/>
          </w:tcPr>
          <w:p w:rsidRPr="00AF5304" w:rsidR="007260E0" w:rsidRDefault="007260E0" w14:paraId="27D4AF96" w14:textId="77777777">
            <w:pPr>
              <w:spacing w:line="240" w:lineRule="atLeast"/>
              <w:rPr>
                <w:b/>
                <w:bCs/>
                <w:sz w:val="16"/>
                <w:szCs w:val="16"/>
              </w:rPr>
            </w:pPr>
            <w:r w:rsidRPr="00AF5304">
              <w:rPr>
                <w:b/>
                <w:bCs/>
                <w:sz w:val="16"/>
                <w:szCs w:val="16"/>
              </w:rPr>
              <w:lastRenderedPageBreak/>
              <w:t>VO</w:t>
            </w:r>
          </w:p>
        </w:tc>
        <w:tc>
          <w:tcPr>
            <w:tcW w:w="2760" w:type="dxa"/>
            <w:tcBorders>
              <w:top w:val="single" w:color="auto" w:sz="8" w:space="0"/>
              <w:left w:val="nil"/>
              <w:bottom w:val="double" w:color="auto" w:sz="6" w:space="0"/>
              <w:right w:val="single" w:color="auto" w:sz="8" w:space="0"/>
            </w:tcBorders>
            <w:tcMar>
              <w:top w:w="0" w:type="dxa"/>
              <w:left w:w="70" w:type="dxa"/>
              <w:bottom w:w="0" w:type="dxa"/>
              <w:right w:w="70" w:type="dxa"/>
            </w:tcMar>
            <w:vAlign w:val="center"/>
            <w:hideMark/>
          </w:tcPr>
          <w:p w:rsidRPr="00AF5304" w:rsidR="007260E0" w:rsidRDefault="007260E0" w14:paraId="2560E2C3" w14:textId="77777777">
            <w:pPr>
              <w:spacing w:line="240" w:lineRule="atLeast"/>
              <w:rPr>
                <w:b/>
                <w:bCs/>
                <w:sz w:val="16"/>
                <w:szCs w:val="16"/>
              </w:rPr>
            </w:pPr>
            <w:r w:rsidRPr="00AF5304">
              <w:rPr>
                <w:b/>
                <w:bCs/>
                <w:sz w:val="16"/>
                <w:szCs w:val="16"/>
              </w:rPr>
              <w:t>Aantallen</w:t>
            </w:r>
          </w:p>
        </w:tc>
        <w:tc>
          <w:tcPr>
            <w:tcW w:w="1884" w:type="dxa"/>
            <w:tcBorders>
              <w:top w:val="single" w:color="auto" w:sz="8" w:space="0"/>
              <w:left w:val="nil"/>
              <w:bottom w:val="double" w:color="auto" w:sz="6" w:space="0"/>
              <w:right w:val="single" w:color="auto" w:sz="8" w:space="0"/>
            </w:tcBorders>
            <w:tcMar>
              <w:top w:w="0" w:type="dxa"/>
              <w:left w:w="70" w:type="dxa"/>
              <w:bottom w:w="0" w:type="dxa"/>
              <w:right w:w="70" w:type="dxa"/>
            </w:tcMar>
            <w:vAlign w:val="center"/>
            <w:hideMark/>
          </w:tcPr>
          <w:p w:rsidRPr="00AF5304" w:rsidR="007260E0" w:rsidP="00B17A15" w:rsidRDefault="00F45941" w14:paraId="3457B448" w14:textId="75A2EA47">
            <w:pPr>
              <w:rPr>
                <w:b/>
                <w:bCs/>
                <w:sz w:val="16"/>
                <w:szCs w:val="16"/>
              </w:rPr>
            </w:pPr>
            <w:r>
              <w:rPr>
                <w:b/>
                <w:bCs/>
                <w:sz w:val="16"/>
                <w:szCs w:val="16"/>
              </w:rPr>
              <w:t>Resterend</w:t>
            </w:r>
            <w:r w:rsidR="007260E0">
              <w:rPr>
                <w:b/>
                <w:bCs/>
                <w:sz w:val="16"/>
                <w:szCs w:val="16"/>
              </w:rPr>
              <w:t xml:space="preserve"> </w:t>
            </w:r>
            <w:r w:rsidR="00B17A15">
              <w:rPr>
                <w:b/>
                <w:bCs/>
                <w:sz w:val="16"/>
                <w:szCs w:val="16"/>
              </w:rPr>
              <w:t xml:space="preserve">ultimo jaar </w:t>
            </w:r>
            <w:r w:rsidRPr="00AF5304" w:rsidR="007260E0">
              <w:rPr>
                <w:b/>
                <w:bCs/>
                <w:sz w:val="16"/>
                <w:szCs w:val="16"/>
              </w:rPr>
              <w:t>t</w:t>
            </w:r>
            <w:r>
              <w:rPr>
                <w:b/>
                <w:bCs/>
                <w:sz w:val="16"/>
                <w:szCs w:val="16"/>
              </w:rPr>
              <w:t>.</w:t>
            </w:r>
            <w:r w:rsidRPr="00AF5304" w:rsidR="007260E0">
              <w:rPr>
                <w:b/>
                <w:bCs/>
                <w:sz w:val="16"/>
                <w:szCs w:val="16"/>
              </w:rPr>
              <w:t>o</w:t>
            </w:r>
            <w:r>
              <w:rPr>
                <w:b/>
                <w:bCs/>
                <w:sz w:val="16"/>
                <w:szCs w:val="16"/>
              </w:rPr>
              <w:t>.</w:t>
            </w:r>
            <w:r w:rsidRPr="00AF5304" w:rsidR="007260E0">
              <w:rPr>
                <w:b/>
                <w:bCs/>
                <w:sz w:val="16"/>
                <w:szCs w:val="16"/>
              </w:rPr>
              <w:t>v</w:t>
            </w:r>
            <w:r>
              <w:rPr>
                <w:b/>
                <w:bCs/>
                <w:sz w:val="16"/>
                <w:szCs w:val="16"/>
              </w:rPr>
              <w:t>.</w:t>
            </w:r>
            <w:r w:rsidRPr="00AF5304" w:rsidR="007260E0">
              <w:rPr>
                <w:b/>
                <w:bCs/>
                <w:sz w:val="16"/>
                <w:szCs w:val="16"/>
              </w:rPr>
              <w:t xml:space="preserve"> </w:t>
            </w:r>
            <w:r w:rsidR="00B17A15">
              <w:rPr>
                <w:b/>
                <w:bCs/>
                <w:sz w:val="16"/>
                <w:szCs w:val="16"/>
              </w:rPr>
              <w:t xml:space="preserve">beginstand </w:t>
            </w:r>
            <w:r w:rsidR="007260E0">
              <w:rPr>
                <w:b/>
                <w:bCs/>
                <w:sz w:val="16"/>
                <w:szCs w:val="16"/>
              </w:rPr>
              <w:t>1-1-202</w:t>
            </w:r>
            <w:r>
              <w:rPr>
                <w:b/>
                <w:bCs/>
                <w:sz w:val="16"/>
                <w:szCs w:val="16"/>
              </w:rPr>
              <w:t>6 (aantal en %)</w:t>
            </w:r>
          </w:p>
        </w:tc>
      </w:tr>
      <w:tr w:rsidRPr="00AF5304" w:rsidR="00B17A15" w14:paraId="370A2E12" w14:textId="77777777">
        <w:trPr>
          <w:trHeight w:val="276"/>
        </w:trPr>
        <w:tc>
          <w:tcPr>
            <w:tcW w:w="4280"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AF5304" w:rsidR="00B17A15" w:rsidP="00B17A15" w:rsidRDefault="00B17A15" w14:paraId="1A510C96" w14:textId="7D3C6BAF">
            <w:pPr>
              <w:spacing w:line="240" w:lineRule="atLeast"/>
              <w:rPr>
                <w:sz w:val="16"/>
                <w:szCs w:val="16"/>
              </w:rPr>
            </w:pPr>
            <w:r w:rsidRPr="00AF5304">
              <w:rPr>
                <w:sz w:val="16"/>
                <w:szCs w:val="16"/>
              </w:rPr>
              <w:t>Aantal lopende rechten op 1-1-202</w:t>
            </w:r>
            <w:r>
              <w:rPr>
                <w:sz w:val="16"/>
                <w:szCs w:val="16"/>
              </w:rPr>
              <w:t>6</w:t>
            </w:r>
          </w:p>
        </w:tc>
        <w:tc>
          <w:tcPr>
            <w:tcW w:w="2760"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AF5304" w:rsidR="00B17A15" w:rsidP="00B17A15" w:rsidRDefault="00B17A15" w14:paraId="325C9968" w14:textId="19BE057C">
            <w:pPr>
              <w:spacing w:line="240" w:lineRule="atLeast"/>
              <w:rPr>
                <w:sz w:val="16"/>
                <w:szCs w:val="16"/>
              </w:rPr>
            </w:pPr>
            <w:r>
              <w:rPr>
                <w:sz w:val="16"/>
                <w:szCs w:val="16"/>
              </w:rPr>
              <w:t>1848</w:t>
            </w:r>
          </w:p>
        </w:tc>
        <w:tc>
          <w:tcPr>
            <w:tcW w:w="1884"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AF5304" w:rsidR="00B17A15" w:rsidP="00B17A15" w:rsidRDefault="00B17A15" w14:paraId="2575E620" w14:textId="06028F12">
            <w:pPr>
              <w:spacing w:line="240" w:lineRule="atLeast"/>
              <w:rPr>
                <w:sz w:val="16"/>
                <w:szCs w:val="16"/>
              </w:rPr>
            </w:pPr>
          </w:p>
        </w:tc>
      </w:tr>
      <w:tr w:rsidRPr="00AF5304" w:rsidR="00B17A15" w14:paraId="1F80A149" w14:textId="77777777">
        <w:trPr>
          <w:trHeight w:val="264"/>
        </w:trPr>
        <w:tc>
          <w:tcPr>
            <w:tcW w:w="4280"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AF5304" w:rsidR="00B17A15" w:rsidP="00B17A15" w:rsidRDefault="00B17A15" w14:paraId="1C963737" w14:textId="0FA5982A">
            <w:pPr>
              <w:spacing w:line="240" w:lineRule="atLeast"/>
              <w:rPr>
                <w:sz w:val="16"/>
                <w:szCs w:val="16"/>
              </w:rPr>
            </w:pPr>
            <w:r w:rsidRPr="00AF5304">
              <w:rPr>
                <w:sz w:val="16"/>
                <w:szCs w:val="16"/>
              </w:rPr>
              <w:t>Uitstroom 202</w:t>
            </w:r>
            <w:r>
              <w:rPr>
                <w:sz w:val="16"/>
                <w:szCs w:val="16"/>
              </w:rPr>
              <w:t>6</w:t>
            </w:r>
          </w:p>
        </w:tc>
        <w:tc>
          <w:tcPr>
            <w:tcW w:w="2760"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AF5304" w:rsidR="00B17A15" w:rsidP="00B17A15" w:rsidRDefault="00B17A15" w14:paraId="49D1082E" w14:textId="55199AF6">
            <w:pPr>
              <w:spacing w:line="240" w:lineRule="atLeast"/>
              <w:rPr>
                <w:sz w:val="16"/>
                <w:szCs w:val="16"/>
              </w:rPr>
            </w:pPr>
            <w:r w:rsidRPr="00AF5304">
              <w:rPr>
                <w:sz w:val="16"/>
                <w:szCs w:val="16"/>
              </w:rPr>
              <w:t>6</w:t>
            </w:r>
            <w:r>
              <w:rPr>
                <w:sz w:val="16"/>
                <w:szCs w:val="16"/>
              </w:rPr>
              <w:t>27</w:t>
            </w:r>
          </w:p>
        </w:tc>
        <w:tc>
          <w:tcPr>
            <w:tcW w:w="1884" w:type="dxa"/>
            <w:tcBorders>
              <w:top w:val="nil"/>
              <w:left w:val="nil"/>
              <w:bottom w:val="single" w:color="auto" w:sz="8" w:space="0"/>
              <w:right w:val="single" w:color="auto" w:sz="8" w:space="0"/>
            </w:tcBorders>
            <w:tcMar>
              <w:top w:w="0" w:type="dxa"/>
              <w:left w:w="70" w:type="dxa"/>
              <w:bottom w:w="0" w:type="dxa"/>
              <w:right w:w="70" w:type="dxa"/>
            </w:tcMar>
            <w:vAlign w:val="center"/>
          </w:tcPr>
          <w:p w:rsidRPr="00AF5304" w:rsidR="00B17A15" w:rsidP="00B17A15" w:rsidRDefault="00B17A15" w14:paraId="7333A653" w14:textId="388C6666">
            <w:pPr>
              <w:spacing w:line="240" w:lineRule="atLeast"/>
              <w:rPr>
                <w:sz w:val="16"/>
                <w:szCs w:val="16"/>
              </w:rPr>
            </w:pPr>
            <w:r>
              <w:rPr>
                <w:sz w:val="16"/>
                <w:szCs w:val="16"/>
              </w:rPr>
              <w:t>1.221 (66,1%)</w:t>
            </w:r>
          </w:p>
        </w:tc>
      </w:tr>
      <w:tr w:rsidRPr="00AF5304" w:rsidR="00B17A15" w14:paraId="1D6C3907" w14:textId="77777777">
        <w:trPr>
          <w:trHeight w:val="264"/>
        </w:trPr>
        <w:tc>
          <w:tcPr>
            <w:tcW w:w="4280"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AF5304" w:rsidR="00B17A15" w:rsidP="00B17A15" w:rsidRDefault="00B17A15" w14:paraId="24B82CFC" w14:textId="34B1FF76">
            <w:pPr>
              <w:spacing w:line="240" w:lineRule="atLeast"/>
              <w:rPr>
                <w:sz w:val="16"/>
                <w:szCs w:val="16"/>
              </w:rPr>
            </w:pPr>
            <w:r w:rsidRPr="00AF5304">
              <w:rPr>
                <w:sz w:val="16"/>
                <w:szCs w:val="16"/>
              </w:rPr>
              <w:t>Uitstroom 202</w:t>
            </w:r>
            <w:r>
              <w:rPr>
                <w:sz w:val="16"/>
                <w:szCs w:val="16"/>
              </w:rPr>
              <w:t>7</w:t>
            </w:r>
          </w:p>
        </w:tc>
        <w:tc>
          <w:tcPr>
            <w:tcW w:w="2760"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AF5304" w:rsidR="00B17A15" w:rsidP="00B17A15" w:rsidRDefault="00B17A15" w14:paraId="48A2939E" w14:textId="7EEE5BD2">
            <w:pPr>
              <w:spacing w:line="240" w:lineRule="atLeast"/>
              <w:rPr>
                <w:sz w:val="16"/>
                <w:szCs w:val="16"/>
              </w:rPr>
            </w:pPr>
            <w:r w:rsidRPr="00AF5304">
              <w:rPr>
                <w:sz w:val="16"/>
                <w:szCs w:val="16"/>
              </w:rPr>
              <w:t>4</w:t>
            </w:r>
            <w:r>
              <w:rPr>
                <w:sz w:val="16"/>
                <w:szCs w:val="16"/>
              </w:rPr>
              <w:t>28</w:t>
            </w:r>
          </w:p>
        </w:tc>
        <w:tc>
          <w:tcPr>
            <w:tcW w:w="1884" w:type="dxa"/>
            <w:tcBorders>
              <w:top w:val="nil"/>
              <w:left w:val="nil"/>
              <w:bottom w:val="single" w:color="auto" w:sz="8" w:space="0"/>
              <w:right w:val="single" w:color="auto" w:sz="8" w:space="0"/>
            </w:tcBorders>
            <w:tcMar>
              <w:top w:w="0" w:type="dxa"/>
              <w:left w:w="70" w:type="dxa"/>
              <w:bottom w:w="0" w:type="dxa"/>
              <w:right w:w="70" w:type="dxa"/>
            </w:tcMar>
            <w:vAlign w:val="center"/>
          </w:tcPr>
          <w:p w:rsidRPr="00AF5304" w:rsidR="00B17A15" w:rsidP="00B17A15" w:rsidRDefault="00B17A15" w14:paraId="2005E699" w14:textId="5C210ED2">
            <w:pPr>
              <w:spacing w:line="240" w:lineRule="atLeast"/>
              <w:rPr>
                <w:sz w:val="16"/>
                <w:szCs w:val="16"/>
              </w:rPr>
            </w:pPr>
            <w:r>
              <w:rPr>
                <w:sz w:val="16"/>
                <w:szCs w:val="16"/>
              </w:rPr>
              <w:t>793 (42,9%)</w:t>
            </w:r>
          </w:p>
        </w:tc>
      </w:tr>
      <w:tr w:rsidRPr="00AF5304" w:rsidR="00B17A15" w14:paraId="6F85A705" w14:textId="77777777">
        <w:trPr>
          <w:trHeight w:val="264"/>
        </w:trPr>
        <w:tc>
          <w:tcPr>
            <w:tcW w:w="4280"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AF5304" w:rsidR="00B17A15" w:rsidP="00B17A15" w:rsidRDefault="00B17A15" w14:paraId="5BD472EB" w14:textId="06CFB7CD">
            <w:pPr>
              <w:spacing w:line="240" w:lineRule="atLeast"/>
              <w:rPr>
                <w:sz w:val="16"/>
                <w:szCs w:val="16"/>
              </w:rPr>
            </w:pPr>
            <w:r w:rsidRPr="00AF5304">
              <w:rPr>
                <w:sz w:val="16"/>
                <w:szCs w:val="16"/>
              </w:rPr>
              <w:t>Uitstroom 202</w:t>
            </w:r>
            <w:r>
              <w:rPr>
                <w:sz w:val="16"/>
                <w:szCs w:val="16"/>
              </w:rPr>
              <w:t>8</w:t>
            </w:r>
          </w:p>
        </w:tc>
        <w:tc>
          <w:tcPr>
            <w:tcW w:w="2760"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AF5304" w:rsidR="00B17A15" w:rsidP="00B17A15" w:rsidRDefault="00B17A15" w14:paraId="0049961D" w14:textId="1D79C6EE">
            <w:pPr>
              <w:spacing w:line="240" w:lineRule="atLeast"/>
              <w:rPr>
                <w:sz w:val="16"/>
                <w:szCs w:val="16"/>
              </w:rPr>
            </w:pPr>
            <w:r>
              <w:rPr>
                <w:sz w:val="16"/>
                <w:szCs w:val="16"/>
              </w:rPr>
              <w:t>281</w:t>
            </w:r>
          </w:p>
        </w:tc>
        <w:tc>
          <w:tcPr>
            <w:tcW w:w="1884" w:type="dxa"/>
            <w:tcBorders>
              <w:top w:val="nil"/>
              <w:left w:val="nil"/>
              <w:bottom w:val="single" w:color="auto" w:sz="8" w:space="0"/>
              <w:right w:val="single" w:color="auto" w:sz="8" w:space="0"/>
            </w:tcBorders>
            <w:tcMar>
              <w:top w:w="0" w:type="dxa"/>
              <w:left w:w="70" w:type="dxa"/>
              <w:bottom w:w="0" w:type="dxa"/>
              <w:right w:w="70" w:type="dxa"/>
            </w:tcMar>
            <w:vAlign w:val="center"/>
          </w:tcPr>
          <w:p w:rsidRPr="00AF5304" w:rsidR="00B17A15" w:rsidP="00B17A15" w:rsidRDefault="00B17A15" w14:paraId="221089DD" w14:textId="33D75337">
            <w:pPr>
              <w:spacing w:line="240" w:lineRule="atLeast"/>
              <w:rPr>
                <w:sz w:val="16"/>
                <w:szCs w:val="16"/>
              </w:rPr>
            </w:pPr>
            <w:r>
              <w:rPr>
                <w:sz w:val="16"/>
                <w:szCs w:val="16"/>
              </w:rPr>
              <w:t>512 (27,7%)</w:t>
            </w:r>
          </w:p>
        </w:tc>
      </w:tr>
      <w:tr w:rsidRPr="00AF5304" w:rsidR="007260E0" w14:paraId="7352E552" w14:textId="77777777">
        <w:trPr>
          <w:trHeight w:val="264"/>
        </w:trPr>
        <w:tc>
          <w:tcPr>
            <w:tcW w:w="4280" w:type="dxa"/>
            <w:tcBorders>
              <w:top w:val="single" w:color="auto" w:sz="12" w:space="0"/>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AF5304" w:rsidR="007260E0" w:rsidRDefault="007260E0" w14:paraId="7B2CB32B" w14:textId="77777777">
            <w:pPr>
              <w:spacing w:line="240" w:lineRule="atLeast"/>
              <w:rPr>
                <w:sz w:val="16"/>
                <w:szCs w:val="16"/>
              </w:rPr>
            </w:pPr>
            <w:r w:rsidRPr="00AF5304">
              <w:rPr>
                <w:sz w:val="16"/>
                <w:szCs w:val="16"/>
              </w:rPr>
              <w:t>Aantal lopende rechten op 1-1-2029</w:t>
            </w:r>
          </w:p>
        </w:tc>
        <w:tc>
          <w:tcPr>
            <w:tcW w:w="2760" w:type="dxa"/>
            <w:tcBorders>
              <w:top w:val="single" w:color="auto" w:sz="12" w:space="0"/>
              <w:left w:val="nil"/>
              <w:bottom w:val="single" w:color="auto" w:sz="8" w:space="0"/>
              <w:right w:val="single" w:color="auto" w:sz="8" w:space="0"/>
            </w:tcBorders>
            <w:tcMar>
              <w:top w:w="0" w:type="dxa"/>
              <w:left w:w="70" w:type="dxa"/>
              <w:bottom w:w="0" w:type="dxa"/>
              <w:right w:w="70" w:type="dxa"/>
            </w:tcMar>
            <w:vAlign w:val="center"/>
            <w:hideMark/>
          </w:tcPr>
          <w:p w:rsidRPr="00AF5304" w:rsidR="00B17A15" w:rsidP="00B17A15" w:rsidRDefault="00B17A15" w14:paraId="7CE2687C" w14:textId="1DB4689B">
            <w:pPr>
              <w:spacing w:line="240" w:lineRule="atLeast"/>
              <w:rPr>
                <w:sz w:val="16"/>
                <w:szCs w:val="16"/>
              </w:rPr>
            </w:pPr>
            <w:r>
              <w:rPr>
                <w:sz w:val="16"/>
                <w:szCs w:val="16"/>
              </w:rPr>
              <w:t>512</w:t>
            </w:r>
          </w:p>
        </w:tc>
        <w:tc>
          <w:tcPr>
            <w:tcW w:w="1884" w:type="dxa"/>
            <w:tcBorders>
              <w:top w:val="single" w:color="auto" w:sz="12" w:space="0"/>
              <w:left w:val="nil"/>
              <w:bottom w:val="single" w:color="auto" w:sz="8" w:space="0"/>
              <w:right w:val="single" w:color="auto" w:sz="8" w:space="0"/>
            </w:tcBorders>
            <w:tcMar>
              <w:top w:w="0" w:type="dxa"/>
              <w:left w:w="70" w:type="dxa"/>
              <w:bottom w:w="0" w:type="dxa"/>
              <w:right w:w="70" w:type="dxa"/>
            </w:tcMar>
            <w:vAlign w:val="center"/>
            <w:hideMark/>
          </w:tcPr>
          <w:p w:rsidRPr="00AF5304" w:rsidR="007260E0" w:rsidP="00B17A15" w:rsidRDefault="007260E0" w14:paraId="14CF6498" w14:textId="59305CE2">
            <w:pPr>
              <w:spacing w:line="240" w:lineRule="atLeast"/>
              <w:rPr>
                <w:sz w:val="16"/>
                <w:szCs w:val="16"/>
              </w:rPr>
            </w:pPr>
          </w:p>
        </w:tc>
      </w:tr>
    </w:tbl>
    <w:p w:rsidRPr="00F6063A" w:rsidR="007260E0" w:rsidP="007260E0" w:rsidRDefault="007260E0" w14:paraId="4E346D47" w14:textId="77777777">
      <w:pPr>
        <w:spacing w:line="240" w:lineRule="atLeast"/>
        <w:rPr>
          <w:rFonts w:ascii="Verdana" w:hAnsi="Verdana"/>
          <w:b/>
          <w:bCs/>
          <w:sz w:val="18"/>
          <w:szCs w:val="18"/>
        </w:rPr>
      </w:pPr>
    </w:p>
    <w:p w:rsidRPr="00F6063A" w:rsidR="007260E0" w:rsidP="007260E0" w:rsidRDefault="007260E0" w14:paraId="4C512B9D" w14:textId="514D9A47">
      <w:pPr>
        <w:spacing w:line="240" w:lineRule="atLeast"/>
        <w:rPr>
          <w:rFonts w:ascii="Verdana" w:hAnsi="Verdana"/>
          <w:sz w:val="18"/>
          <w:szCs w:val="18"/>
        </w:rPr>
      </w:pPr>
      <w:r w:rsidRPr="00F6063A">
        <w:rPr>
          <w:rFonts w:ascii="Verdana" w:hAnsi="Verdana"/>
          <w:sz w:val="18"/>
          <w:szCs w:val="18"/>
        </w:rPr>
        <w:t>De tabel laat zien dat slechts maximaal 2</w:t>
      </w:r>
      <w:r w:rsidR="00B17A15">
        <w:rPr>
          <w:rFonts w:ascii="Verdana" w:hAnsi="Verdana"/>
          <w:sz w:val="18"/>
          <w:szCs w:val="18"/>
        </w:rPr>
        <w:t>8</w:t>
      </w:r>
      <w:r w:rsidRPr="00F6063A">
        <w:rPr>
          <w:rFonts w:ascii="Verdana" w:hAnsi="Verdana"/>
          <w:sz w:val="18"/>
          <w:szCs w:val="18"/>
        </w:rPr>
        <w:t xml:space="preserve"> procent van de bovenwettelijke uitkeringen die er op 1 januari 202</w:t>
      </w:r>
      <w:r w:rsidR="00B17A15">
        <w:rPr>
          <w:rFonts w:ascii="Verdana" w:hAnsi="Verdana"/>
          <w:sz w:val="18"/>
          <w:szCs w:val="18"/>
        </w:rPr>
        <w:t>6</w:t>
      </w:r>
      <w:r w:rsidRPr="00F6063A">
        <w:rPr>
          <w:rFonts w:ascii="Verdana" w:hAnsi="Verdana"/>
          <w:sz w:val="18"/>
          <w:szCs w:val="18"/>
        </w:rPr>
        <w:t xml:space="preserve"> waren, </w:t>
      </w:r>
      <w:r w:rsidR="00712CB5">
        <w:rPr>
          <w:rFonts w:ascii="Verdana" w:hAnsi="Verdana"/>
          <w:sz w:val="18"/>
          <w:szCs w:val="18"/>
        </w:rPr>
        <w:t>een jaar na de</w:t>
      </w:r>
      <w:r w:rsidRPr="00F6063A">
        <w:rPr>
          <w:rFonts w:ascii="Verdana" w:hAnsi="Verdana"/>
          <w:sz w:val="18"/>
          <w:szCs w:val="18"/>
        </w:rPr>
        <w:t xml:space="preserve"> inwerkingtreding van de regeling nog actief zijn. Voor</w:t>
      </w:r>
      <w:r w:rsidR="00E83FD2">
        <w:rPr>
          <w:rFonts w:ascii="Verdana" w:hAnsi="Verdana"/>
          <w:sz w:val="18"/>
          <w:szCs w:val="18"/>
        </w:rPr>
        <w:t xml:space="preserve"> het grootste deel van de bij aankondiging van de beleidsaanpassing lopende uitkeringsrechten geldt dus dat deze voor inwerkingtreding van deze regeling zijn geëindigd</w:t>
      </w:r>
      <w:r w:rsidR="007310A5">
        <w:rPr>
          <w:rFonts w:ascii="Verdana" w:hAnsi="Verdana"/>
          <w:sz w:val="18"/>
          <w:szCs w:val="18"/>
        </w:rPr>
        <w:t xml:space="preserve"> of binnen een jaar eindigen.</w:t>
      </w:r>
      <w:r w:rsidR="00E83FD2">
        <w:rPr>
          <w:rFonts w:ascii="Verdana" w:hAnsi="Verdana"/>
          <w:sz w:val="18"/>
          <w:szCs w:val="18"/>
        </w:rPr>
        <w:t xml:space="preserve"> </w:t>
      </w:r>
      <w:r w:rsidRPr="00F6063A">
        <w:rPr>
          <w:rFonts w:ascii="Verdana" w:hAnsi="Verdana"/>
          <w:sz w:val="18"/>
          <w:szCs w:val="18"/>
        </w:rPr>
        <w:t xml:space="preserve"> De tabel is vormgegeven op basis van bereiken van het einde van de uitkering en houdt geen rekening met uitstroom wegens tussentijdse eerdere </w:t>
      </w:r>
      <w:r w:rsidR="001215BD">
        <w:rPr>
          <w:rFonts w:ascii="Verdana" w:hAnsi="Verdana"/>
          <w:sz w:val="18"/>
          <w:szCs w:val="18"/>
        </w:rPr>
        <w:t>werkhervatting</w:t>
      </w:r>
      <w:r w:rsidRPr="00F6063A">
        <w:rPr>
          <w:rFonts w:ascii="Verdana" w:hAnsi="Verdana"/>
          <w:sz w:val="18"/>
          <w:szCs w:val="18"/>
        </w:rPr>
        <w:t>. In de praktijk is het aantal oude rechten dat op 1 januari 2028 nog van kracht is waarschijnlijk lager. Doel is immers dat de hogere eigen bijdrage ervoor zorgt dat werkgevers meer werk maken van de ondersteuning bij re-integratie.</w:t>
      </w:r>
    </w:p>
    <w:p w:rsidRPr="00F6063A" w:rsidR="007260E0" w:rsidP="007260E0" w:rsidRDefault="007260E0" w14:paraId="4916BD74" w14:textId="2432168B">
      <w:pPr>
        <w:spacing w:line="240" w:lineRule="atLeast"/>
        <w:rPr>
          <w:rFonts w:ascii="Verdana" w:hAnsi="Verdana"/>
          <w:sz w:val="18"/>
          <w:szCs w:val="18"/>
        </w:rPr>
      </w:pPr>
      <w:r w:rsidRPr="00F6063A">
        <w:rPr>
          <w:rFonts w:ascii="Verdana" w:hAnsi="Verdana"/>
          <w:sz w:val="18"/>
          <w:szCs w:val="18"/>
        </w:rPr>
        <w:t>Bij de nieuwe ontslagen (tussen publicatie en inwerkingtreding van de regeling) heeft de werkgever</w:t>
      </w:r>
      <w:r w:rsidR="001215BD">
        <w:rPr>
          <w:rFonts w:ascii="Verdana" w:hAnsi="Verdana"/>
          <w:sz w:val="18"/>
          <w:szCs w:val="18"/>
        </w:rPr>
        <w:t xml:space="preserve"> door de uitgestelde inwerkingtreding</w:t>
      </w:r>
      <w:r w:rsidRPr="00F6063A">
        <w:rPr>
          <w:rFonts w:ascii="Verdana" w:hAnsi="Verdana"/>
          <w:sz w:val="18"/>
          <w:szCs w:val="18"/>
        </w:rPr>
        <w:t xml:space="preserve"> rekening kunnen houden met het hogere percentage eigen bijdrage. Voor deze kosten is daarom geen overgangsrecht nodig.</w:t>
      </w:r>
    </w:p>
    <w:p w:rsidR="007260E0" w:rsidP="00CD4593" w:rsidRDefault="007260E0" w14:paraId="39A69962" w14:textId="77777777">
      <w:pPr>
        <w:spacing w:line="240" w:lineRule="atLeast"/>
        <w:rPr>
          <w:rFonts w:ascii="Verdana" w:hAnsi="Verdana"/>
          <w:sz w:val="18"/>
          <w:szCs w:val="18"/>
        </w:rPr>
      </w:pPr>
    </w:p>
    <w:p w:rsidRPr="007260E0" w:rsidR="00AC087B" w:rsidP="00CD4593" w:rsidRDefault="00AC087B" w14:paraId="5D01C366" w14:textId="1A2B9217">
      <w:pPr>
        <w:spacing w:line="240" w:lineRule="atLeast"/>
        <w:rPr>
          <w:rFonts w:ascii="Verdana" w:hAnsi="Verdana"/>
          <w:b/>
          <w:bCs/>
          <w:sz w:val="18"/>
          <w:szCs w:val="18"/>
        </w:rPr>
      </w:pPr>
      <w:r w:rsidRPr="007260E0">
        <w:rPr>
          <w:rFonts w:ascii="Verdana" w:hAnsi="Verdana"/>
          <w:b/>
          <w:bCs/>
          <w:sz w:val="18"/>
          <w:szCs w:val="18"/>
        </w:rPr>
        <w:t>II.</w:t>
      </w:r>
      <w:r w:rsidR="007260E0">
        <w:rPr>
          <w:rFonts w:ascii="Verdana" w:hAnsi="Verdana"/>
          <w:b/>
          <w:bCs/>
          <w:sz w:val="18"/>
          <w:szCs w:val="18"/>
        </w:rPr>
        <w:tab/>
      </w:r>
      <w:r w:rsidRPr="007260E0">
        <w:rPr>
          <w:rFonts w:ascii="Verdana" w:hAnsi="Verdana"/>
          <w:b/>
          <w:bCs/>
          <w:sz w:val="18"/>
          <w:szCs w:val="18"/>
        </w:rPr>
        <w:t>Artikelsgewijs</w:t>
      </w:r>
      <w:r w:rsidRPr="007260E0" w:rsidR="00F40355">
        <w:rPr>
          <w:rFonts w:ascii="Verdana" w:hAnsi="Verdana"/>
          <w:b/>
          <w:bCs/>
          <w:sz w:val="18"/>
          <w:szCs w:val="18"/>
        </w:rPr>
        <w:t xml:space="preserve"> </w:t>
      </w:r>
    </w:p>
    <w:p w:rsidR="00F40355" w:rsidP="00F40355" w:rsidRDefault="00F40355" w14:paraId="1F0F222C" w14:textId="1D42E8E3">
      <w:pPr>
        <w:pStyle w:val="Default"/>
        <w:spacing w:line="240" w:lineRule="atLeast"/>
        <w:rPr>
          <w:sz w:val="18"/>
          <w:szCs w:val="18"/>
        </w:rPr>
      </w:pPr>
      <w:r w:rsidRPr="00DE10EE">
        <w:rPr>
          <w:i/>
          <w:iCs/>
          <w:sz w:val="18"/>
          <w:szCs w:val="18"/>
        </w:rPr>
        <w:t>Onderdeel A</w:t>
      </w:r>
    </w:p>
    <w:p w:rsidRPr="00432D03" w:rsidR="00123BA1" w:rsidP="004A7BB7" w:rsidRDefault="00F40355" w14:paraId="79F7B96B" w14:textId="2AED105A">
      <w:pPr>
        <w:spacing w:line="240" w:lineRule="atLeast"/>
        <w:rPr>
          <w:rFonts w:ascii="Verdana" w:hAnsi="Verdana"/>
          <w:sz w:val="18"/>
          <w:szCs w:val="18"/>
        </w:rPr>
      </w:pPr>
      <w:r>
        <w:rPr>
          <w:rFonts w:ascii="Verdana" w:hAnsi="Verdana"/>
          <w:sz w:val="18"/>
          <w:szCs w:val="18"/>
        </w:rPr>
        <w:br/>
      </w:r>
      <w:r w:rsidR="004A7BB7">
        <w:rPr>
          <w:rFonts w:ascii="Verdana" w:hAnsi="Verdana"/>
          <w:sz w:val="18"/>
          <w:szCs w:val="18"/>
        </w:rPr>
        <w:t xml:space="preserve">Het percentage dat behoort bij </w:t>
      </w:r>
      <w:r w:rsidRPr="004A7BB7" w:rsidR="004A7BB7">
        <w:rPr>
          <w:rFonts w:ascii="Verdana" w:hAnsi="Verdana"/>
          <w:sz w:val="18"/>
          <w:szCs w:val="18"/>
        </w:rPr>
        <w:t>uitkeringskosten als bedoeld in </w:t>
      </w:r>
      <w:hyperlink w:history="1" r:id="rId12">
        <w:r w:rsidRPr="004A7BB7" w:rsidR="004A7BB7">
          <w:rPr>
            <w:rStyle w:val="Hyperlink"/>
            <w:rFonts w:ascii="Verdana" w:hAnsi="Verdana"/>
            <w:sz w:val="18"/>
            <w:szCs w:val="18"/>
          </w:rPr>
          <w:t>artikel 6.4, eerste lid, van het Uitvoeringsbesluit WVO 2020</w:t>
        </w:r>
      </w:hyperlink>
      <w:r w:rsidR="004A7BB7">
        <w:rPr>
          <w:rFonts w:ascii="Verdana" w:hAnsi="Verdana"/>
          <w:sz w:val="18"/>
          <w:szCs w:val="18"/>
        </w:rPr>
        <w:t xml:space="preserve"> (het collectieve deel) wordt verlaagd van 75 naar 50.</w:t>
      </w:r>
    </w:p>
    <w:p w:rsidRPr="00CD4593" w:rsidR="003732B8" w:rsidP="003732B8" w:rsidRDefault="003732B8" w14:paraId="64E5370D" w14:textId="48D1AD51">
      <w:pPr>
        <w:spacing w:line="240" w:lineRule="atLeast"/>
        <w:rPr>
          <w:rFonts w:ascii="Verdana" w:hAnsi="Verdana"/>
          <w:i/>
          <w:iCs/>
          <w:sz w:val="18"/>
          <w:szCs w:val="18"/>
        </w:rPr>
      </w:pPr>
      <w:r>
        <w:rPr>
          <w:rFonts w:ascii="Verdana" w:hAnsi="Verdana"/>
          <w:i/>
          <w:iCs/>
          <w:sz w:val="18"/>
          <w:szCs w:val="18"/>
        </w:rPr>
        <w:t>O</w:t>
      </w:r>
      <w:r w:rsidRPr="00CD4593">
        <w:rPr>
          <w:rFonts w:ascii="Verdana" w:hAnsi="Verdana"/>
          <w:i/>
          <w:iCs/>
          <w:sz w:val="18"/>
          <w:szCs w:val="18"/>
        </w:rPr>
        <w:t xml:space="preserve">nderdeel </w:t>
      </w:r>
      <w:r>
        <w:rPr>
          <w:rFonts w:ascii="Verdana" w:hAnsi="Verdana"/>
          <w:i/>
          <w:iCs/>
          <w:sz w:val="18"/>
          <w:szCs w:val="18"/>
        </w:rPr>
        <w:t>B</w:t>
      </w:r>
    </w:p>
    <w:p w:rsidR="003732B8" w:rsidP="003732B8" w:rsidRDefault="003732B8" w14:paraId="487DD905" w14:textId="5A1232B3">
      <w:pPr>
        <w:spacing w:line="240" w:lineRule="atLeast"/>
        <w:rPr>
          <w:rFonts w:ascii="Verdana" w:hAnsi="Verdana"/>
          <w:sz w:val="18"/>
          <w:szCs w:val="18"/>
        </w:rPr>
      </w:pPr>
      <w:r>
        <w:rPr>
          <w:rFonts w:ascii="Verdana" w:hAnsi="Verdana"/>
          <w:sz w:val="18"/>
          <w:szCs w:val="18"/>
        </w:rPr>
        <w:t>Deze technische wijziging betreft de correctie van een onjuiste verwijzing in artikel 3.</w:t>
      </w:r>
    </w:p>
    <w:p w:rsidRPr="005B1048" w:rsidR="005E149B" w:rsidP="0032207F" w:rsidRDefault="004A7BB7" w14:paraId="163BED28" w14:textId="63066A12">
      <w:pPr>
        <w:spacing w:line="240" w:lineRule="atLeast"/>
        <w:rPr>
          <w:rFonts w:ascii="Verdana" w:hAnsi="Verdana"/>
          <w:i/>
          <w:iCs/>
          <w:sz w:val="18"/>
          <w:szCs w:val="18"/>
        </w:rPr>
      </w:pPr>
      <w:r>
        <w:rPr>
          <w:rFonts w:ascii="Verdana" w:hAnsi="Verdana"/>
          <w:i/>
          <w:iCs/>
          <w:sz w:val="18"/>
          <w:szCs w:val="18"/>
        </w:rPr>
        <w:t>O</w:t>
      </w:r>
      <w:r w:rsidRPr="005B1048" w:rsidR="005E149B">
        <w:rPr>
          <w:rFonts w:ascii="Verdana" w:hAnsi="Verdana"/>
          <w:i/>
          <w:iCs/>
          <w:sz w:val="18"/>
          <w:szCs w:val="18"/>
        </w:rPr>
        <w:t xml:space="preserve">nderdeel </w:t>
      </w:r>
      <w:r w:rsidR="003732B8">
        <w:rPr>
          <w:rFonts w:ascii="Verdana" w:hAnsi="Verdana"/>
          <w:i/>
          <w:iCs/>
          <w:sz w:val="18"/>
          <w:szCs w:val="18"/>
        </w:rPr>
        <w:t>C</w:t>
      </w:r>
    </w:p>
    <w:p w:rsidR="005E149B" w:rsidP="004A7BB7" w:rsidRDefault="004A7BB7" w14:paraId="209045D0" w14:textId="21C46968">
      <w:pPr>
        <w:spacing w:line="240" w:lineRule="atLeast"/>
        <w:rPr>
          <w:rFonts w:ascii="Verdana" w:hAnsi="Verdana"/>
          <w:sz w:val="18"/>
          <w:szCs w:val="18"/>
        </w:rPr>
      </w:pPr>
      <w:r>
        <w:rPr>
          <w:rFonts w:ascii="Verdana" w:hAnsi="Verdana"/>
          <w:sz w:val="18"/>
          <w:szCs w:val="18"/>
        </w:rPr>
        <w:t xml:space="preserve">Het percentage dat behoort bij </w:t>
      </w:r>
      <w:r w:rsidRPr="004A7BB7">
        <w:rPr>
          <w:rFonts w:ascii="Verdana" w:hAnsi="Verdana"/>
          <w:sz w:val="18"/>
          <w:szCs w:val="18"/>
        </w:rPr>
        <w:t>uitkeringskosten als bedoeld</w:t>
      </w:r>
      <w:r w:rsidR="00BD37DA">
        <w:rPr>
          <w:rFonts w:ascii="Verdana" w:hAnsi="Verdana"/>
          <w:sz w:val="18"/>
          <w:szCs w:val="18"/>
        </w:rPr>
        <w:t xml:space="preserve"> in</w:t>
      </w:r>
      <w:r w:rsidRPr="004A7BB7">
        <w:rPr>
          <w:rFonts w:ascii="Verdana" w:hAnsi="Verdana"/>
          <w:sz w:val="18"/>
          <w:szCs w:val="18"/>
        </w:rPr>
        <w:t xml:space="preserve"> </w:t>
      </w:r>
      <w:hyperlink w:history="1" r:id="rId13">
        <w:r w:rsidRPr="004A7BB7">
          <w:rPr>
            <w:rStyle w:val="Hyperlink"/>
            <w:rFonts w:ascii="Verdana" w:hAnsi="Verdana"/>
            <w:sz w:val="18"/>
            <w:szCs w:val="18"/>
          </w:rPr>
          <w:t>artikel 6.4, tweede lid, van het Uitvoeringsbesluit WVO 2020</w:t>
        </w:r>
      </w:hyperlink>
      <w:r>
        <w:rPr>
          <w:rFonts w:ascii="Verdana" w:hAnsi="Verdana"/>
          <w:sz w:val="18"/>
          <w:szCs w:val="18"/>
        </w:rPr>
        <w:t xml:space="preserve"> (het individuele deel) wordt verhoogd van 25 naar 50.</w:t>
      </w:r>
      <w:r w:rsidR="00B4067C">
        <w:rPr>
          <w:rFonts w:ascii="Verdana" w:hAnsi="Verdana"/>
          <w:sz w:val="18"/>
          <w:szCs w:val="18"/>
        </w:rPr>
        <w:t xml:space="preserve"> </w:t>
      </w:r>
    </w:p>
    <w:p w:rsidRPr="00CD4593" w:rsidR="00147CCD" w:rsidP="0032207F" w:rsidRDefault="004A7BB7" w14:paraId="043B68B0" w14:textId="0820199F">
      <w:pPr>
        <w:spacing w:line="240" w:lineRule="atLeast"/>
        <w:rPr>
          <w:rFonts w:ascii="Verdana" w:hAnsi="Verdana"/>
          <w:i/>
          <w:iCs/>
          <w:sz w:val="18"/>
          <w:szCs w:val="18"/>
        </w:rPr>
      </w:pPr>
      <w:r>
        <w:rPr>
          <w:rFonts w:ascii="Verdana" w:hAnsi="Verdana"/>
          <w:i/>
          <w:iCs/>
          <w:sz w:val="18"/>
          <w:szCs w:val="18"/>
        </w:rPr>
        <w:t>O</w:t>
      </w:r>
      <w:r w:rsidRPr="00CD4593" w:rsidR="00147CCD">
        <w:rPr>
          <w:rFonts w:ascii="Verdana" w:hAnsi="Verdana"/>
          <w:i/>
          <w:iCs/>
          <w:sz w:val="18"/>
          <w:szCs w:val="18"/>
        </w:rPr>
        <w:t xml:space="preserve">nderdeel </w:t>
      </w:r>
      <w:r w:rsidR="003732B8">
        <w:rPr>
          <w:rFonts w:ascii="Verdana" w:hAnsi="Verdana"/>
          <w:i/>
          <w:iCs/>
          <w:sz w:val="18"/>
          <w:szCs w:val="18"/>
        </w:rPr>
        <w:t>D</w:t>
      </w:r>
    </w:p>
    <w:p w:rsidR="00302E4C" w:rsidP="004A7BB7" w:rsidRDefault="004A7BB7" w14:paraId="5A15652B" w14:textId="2AE736E3">
      <w:pPr>
        <w:spacing w:line="240" w:lineRule="atLeast"/>
        <w:rPr>
          <w:rFonts w:ascii="Verdana" w:hAnsi="Verdana"/>
          <w:sz w:val="18"/>
          <w:szCs w:val="18"/>
        </w:rPr>
      </w:pPr>
      <w:r>
        <w:rPr>
          <w:rFonts w:ascii="Verdana" w:hAnsi="Verdana"/>
          <w:sz w:val="18"/>
          <w:szCs w:val="18"/>
        </w:rPr>
        <w:t>Deze technische wijziging betreft de correctie van een onjuiste verwijzing in artikel 5</w:t>
      </w:r>
      <w:r w:rsidR="007F0722">
        <w:rPr>
          <w:rFonts w:ascii="Verdana" w:hAnsi="Verdana"/>
          <w:sz w:val="18"/>
          <w:szCs w:val="18"/>
        </w:rPr>
        <w:t>.</w:t>
      </w:r>
    </w:p>
    <w:p w:rsidR="0020390E" w:rsidRDefault="0020390E" w14:paraId="5DF1529E" w14:textId="77777777">
      <w:pPr>
        <w:rPr>
          <w:rFonts w:ascii="Verdana" w:hAnsi="Verdana"/>
          <w:i/>
          <w:iCs/>
          <w:sz w:val="18"/>
          <w:szCs w:val="18"/>
        </w:rPr>
      </w:pPr>
      <w:r>
        <w:rPr>
          <w:rFonts w:ascii="Verdana" w:hAnsi="Verdana"/>
          <w:i/>
          <w:iCs/>
          <w:sz w:val="18"/>
          <w:szCs w:val="18"/>
        </w:rPr>
        <w:br w:type="page"/>
      </w:r>
    </w:p>
    <w:p w:rsidRPr="004A7BB7" w:rsidR="004A7BB7" w:rsidP="00CD4593" w:rsidRDefault="004A7BB7" w14:paraId="1BE514BC" w14:textId="15223FAB">
      <w:pPr>
        <w:spacing w:line="240" w:lineRule="atLeast"/>
        <w:rPr>
          <w:rFonts w:ascii="Verdana" w:hAnsi="Verdana"/>
          <w:i/>
          <w:iCs/>
          <w:sz w:val="18"/>
          <w:szCs w:val="18"/>
        </w:rPr>
      </w:pPr>
      <w:r>
        <w:rPr>
          <w:rFonts w:ascii="Verdana" w:hAnsi="Verdana"/>
          <w:i/>
          <w:iCs/>
          <w:sz w:val="18"/>
          <w:szCs w:val="18"/>
        </w:rPr>
        <w:lastRenderedPageBreak/>
        <w:t>O</w:t>
      </w:r>
      <w:r w:rsidRPr="00CD4593">
        <w:rPr>
          <w:rFonts w:ascii="Verdana" w:hAnsi="Verdana"/>
          <w:i/>
          <w:iCs/>
          <w:sz w:val="18"/>
          <w:szCs w:val="18"/>
        </w:rPr>
        <w:t xml:space="preserve">nderdeel </w:t>
      </w:r>
      <w:r w:rsidR="003732B8">
        <w:rPr>
          <w:rFonts w:ascii="Verdana" w:hAnsi="Verdana"/>
          <w:i/>
          <w:iCs/>
          <w:sz w:val="18"/>
          <w:szCs w:val="18"/>
        </w:rPr>
        <w:t>E</w:t>
      </w:r>
    </w:p>
    <w:p w:rsidR="004A7BB7" w:rsidP="004A7BB7" w:rsidRDefault="004A7BB7" w14:paraId="000B6596" w14:textId="30A1B20D">
      <w:pPr>
        <w:spacing w:line="240" w:lineRule="atLeast"/>
        <w:rPr>
          <w:rFonts w:ascii="Verdana" w:hAnsi="Verdana"/>
          <w:sz w:val="18"/>
          <w:szCs w:val="18"/>
        </w:rPr>
      </w:pPr>
      <w:r>
        <w:rPr>
          <w:rFonts w:ascii="Verdana" w:hAnsi="Verdana"/>
          <w:sz w:val="18"/>
          <w:szCs w:val="18"/>
        </w:rPr>
        <w:t>Deze regeling treedt op 1 januari 2028 in werking, zodat schoolbesturen</w:t>
      </w:r>
      <w:r w:rsidR="00423890">
        <w:rPr>
          <w:rFonts w:ascii="Verdana" w:hAnsi="Verdana"/>
          <w:sz w:val="18"/>
          <w:szCs w:val="18"/>
        </w:rPr>
        <w:t xml:space="preserve"> en samenwerkingsverbanden</w:t>
      </w:r>
      <w:r>
        <w:rPr>
          <w:rFonts w:ascii="Verdana" w:hAnsi="Verdana"/>
          <w:sz w:val="18"/>
          <w:szCs w:val="18"/>
        </w:rPr>
        <w:t xml:space="preserve"> na publicatie van deze regeling ruim de tijd hebben zich voor te bereiden op een hoger individueel eigen risico in de uitkeringskosten.</w:t>
      </w:r>
    </w:p>
    <w:p w:rsidR="004A7BB7" w:rsidP="00CD4593" w:rsidRDefault="004A7BB7" w14:paraId="082848E0" w14:textId="77777777">
      <w:pPr>
        <w:spacing w:line="240" w:lineRule="atLeast"/>
        <w:rPr>
          <w:rFonts w:ascii="Verdana" w:hAnsi="Verdana"/>
          <w:sz w:val="18"/>
          <w:szCs w:val="18"/>
        </w:rPr>
      </w:pPr>
    </w:p>
    <w:p w:rsidR="00FA126D" w:rsidP="00FA126D" w:rsidRDefault="00FA126D" w14:paraId="3774550C" w14:textId="77777777">
      <w:pPr>
        <w:spacing w:line="240" w:lineRule="atLeast"/>
        <w:rPr>
          <w:rFonts w:ascii="Verdana" w:hAnsi="Verdana"/>
          <w:sz w:val="18"/>
          <w:szCs w:val="18"/>
        </w:rPr>
      </w:pPr>
      <w:r>
        <w:rPr>
          <w:rFonts w:ascii="Verdana" w:hAnsi="Verdana"/>
          <w:sz w:val="18"/>
          <w:szCs w:val="18"/>
        </w:rPr>
        <w:t>De Staatssecretaris van Onderwijs, Cultuur en Wetenschap,</w:t>
      </w:r>
    </w:p>
    <w:p w:rsidR="00FA126D" w:rsidP="00FA126D" w:rsidRDefault="00FA126D" w14:paraId="04EF8541" w14:textId="77777777">
      <w:pPr>
        <w:spacing w:line="240" w:lineRule="atLeast"/>
        <w:rPr>
          <w:rFonts w:ascii="Verdana" w:hAnsi="Verdana"/>
          <w:sz w:val="18"/>
          <w:szCs w:val="18"/>
        </w:rPr>
      </w:pPr>
    </w:p>
    <w:p w:rsidR="00FA126D" w:rsidP="00FA126D" w:rsidRDefault="00FA126D" w14:paraId="7472E7C7" w14:textId="77777777">
      <w:pPr>
        <w:spacing w:line="240" w:lineRule="atLeast"/>
        <w:rPr>
          <w:rFonts w:ascii="Verdana" w:hAnsi="Verdana"/>
          <w:sz w:val="18"/>
          <w:szCs w:val="18"/>
        </w:rPr>
      </w:pPr>
    </w:p>
    <w:p w:rsidRPr="00F23BDD" w:rsidR="00FA126D" w:rsidP="00FA126D" w:rsidRDefault="00976674" w14:paraId="73D7C48F" w14:textId="7741557F">
      <w:pPr>
        <w:spacing w:line="240" w:lineRule="atLeast"/>
        <w:rPr>
          <w:rFonts w:ascii="Verdana" w:hAnsi="Verdana"/>
          <w:sz w:val="18"/>
          <w:szCs w:val="18"/>
        </w:rPr>
      </w:pPr>
      <w:r w:rsidRPr="00976674">
        <w:rPr>
          <w:rFonts w:ascii="Verdana" w:hAnsi="Verdana"/>
          <w:sz w:val="18"/>
          <w:szCs w:val="18"/>
        </w:rPr>
        <w:t>Judith Zs.C.M. Tielen</w:t>
      </w:r>
    </w:p>
    <w:sectPr w:rsidRPr="00F23BDD" w:rsidR="00FA126D">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C80E" w14:textId="77777777" w:rsidR="00F36F2F" w:rsidRDefault="00F36F2F" w:rsidP="00D46FE6">
      <w:pPr>
        <w:spacing w:after="0" w:line="240" w:lineRule="auto"/>
      </w:pPr>
      <w:r>
        <w:separator/>
      </w:r>
    </w:p>
  </w:endnote>
  <w:endnote w:type="continuationSeparator" w:id="0">
    <w:p w14:paraId="028AB4A2" w14:textId="77777777" w:rsidR="00F36F2F" w:rsidRDefault="00F36F2F" w:rsidP="00D46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020843"/>
      <w:docPartObj>
        <w:docPartGallery w:val="Page Numbers (Bottom of Page)"/>
        <w:docPartUnique/>
      </w:docPartObj>
    </w:sdtPr>
    <w:sdtEndPr/>
    <w:sdtContent>
      <w:p w14:paraId="150F3CF2" w14:textId="356A0435" w:rsidR="0020390E" w:rsidRDefault="0020390E">
        <w:pPr>
          <w:pStyle w:val="Voettekst"/>
          <w:jc w:val="right"/>
        </w:pPr>
        <w:r>
          <w:fldChar w:fldCharType="begin"/>
        </w:r>
        <w:r>
          <w:instrText>PAGE   \* MERGEFORMAT</w:instrText>
        </w:r>
        <w:r>
          <w:fldChar w:fldCharType="separate"/>
        </w:r>
        <w:r>
          <w:t>2</w:t>
        </w:r>
        <w:r>
          <w:fldChar w:fldCharType="end"/>
        </w:r>
      </w:p>
    </w:sdtContent>
  </w:sdt>
  <w:p w14:paraId="76E0DB7D" w14:textId="77777777" w:rsidR="0020390E" w:rsidRDefault="002039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ADB9" w14:textId="77777777" w:rsidR="00F36F2F" w:rsidRDefault="00F36F2F" w:rsidP="00D46FE6">
      <w:pPr>
        <w:spacing w:after="0" w:line="240" w:lineRule="auto"/>
      </w:pPr>
      <w:r>
        <w:separator/>
      </w:r>
    </w:p>
  </w:footnote>
  <w:footnote w:type="continuationSeparator" w:id="0">
    <w:p w14:paraId="0A68CFB0" w14:textId="77777777" w:rsidR="00F36F2F" w:rsidRDefault="00F36F2F" w:rsidP="00D46FE6">
      <w:pPr>
        <w:spacing w:after="0" w:line="240" w:lineRule="auto"/>
      </w:pPr>
      <w:r>
        <w:continuationSeparator/>
      </w:r>
    </w:p>
  </w:footnote>
  <w:footnote w:id="1">
    <w:p w14:paraId="641B9BF6" w14:textId="77777777" w:rsidR="00725CA8" w:rsidRPr="009065EE" w:rsidRDefault="00725CA8" w:rsidP="00725CA8">
      <w:pPr>
        <w:pStyle w:val="Voetnoottekst"/>
        <w:rPr>
          <w:sz w:val="16"/>
          <w:szCs w:val="16"/>
        </w:rPr>
      </w:pPr>
      <w:r w:rsidRPr="00AA642E">
        <w:rPr>
          <w:rStyle w:val="Voetnootmarkering"/>
          <w:sz w:val="16"/>
          <w:szCs w:val="16"/>
        </w:rPr>
        <w:footnoteRef/>
      </w:r>
      <w:r w:rsidRPr="00112758">
        <w:rPr>
          <w:sz w:val="16"/>
          <w:szCs w:val="16"/>
        </w:rPr>
        <w:t xml:space="preserve"> WOVO staat voor werkloosheidsregeling onderwijspersoneel voortgezet onderwijs</w:t>
      </w:r>
      <w:r>
        <w:rPr>
          <w:sz w:val="16"/>
          <w:szCs w:val="16"/>
        </w:rPr>
        <w:t>.</w:t>
      </w:r>
    </w:p>
  </w:footnote>
  <w:footnote w:id="2">
    <w:p w14:paraId="71950F11" w14:textId="08A24A7A" w:rsidR="0096252C" w:rsidRPr="009065EE" w:rsidRDefault="0096252C">
      <w:pPr>
        <w:pStyle w:val="Voetnoottekst"/>
        <w:rPr>
          <w:sz w:val="16"/>
          <w:szCs w:val="16"/>
        </w:rPr>
      </w:pPr>
      <w:r w:rsidRPr="00AA642E">
        <w:rPr>
          <w:rStyle w:val="Voetnootmarkering"/>
          <w:sz w:val="16"/>
          <w:szCs w:val="16"/>
        </w:rPr>
        <w:footnoteRef/>
      </w:r>
      <w:r w:rsidRPr="00112758">
        <w:rPr>
          <w:sz w:val="16"/>
          <w:szCs w:val="16"/>
        </w:rPr>
        <w:t xml:space="preserve"> </w:t>
      </w:r>
      <w:hyperlink r:id="rId1" w:history="1">
        <w:r w:rsidR="00725CA8" w:rsidRPr="008C74C8">
          <w:rPr>
            <w:rFonts w:eastAsiaTheme="minorHAnsi" w:cstheme="minorBidi"/>
            <w:noProof w:val="0"/>
            <w:color w:val="0000FF"/>
            <w:kern w:val="2"/>
            <w:sz w:val="16"/>
            <w:szCs w:val="16"/>
            <w:u w:val="single"/>
            <w14:ligatures w14:val="standardContextual"/>
          </w:rPr>
          <w:t>Werken in het onderwijs | Tweede Kamer der Staten-Generaal</w:t>
        </w:r>
      </w:hyperlink>
      <w:r w:rsidR="00725CA8">
        <w:rPr>
          <w:sz w:val="16"/>
          <w:szCs w:val="16"/>
        </w:rPr>
        <w:t xml:space="preserve"> </w:t>
      </w:r>
      <w:r w:rsidR="00725CA8" w:rsidRPr="008C74C8">
        <w:rPr>
          <w:sz w:val="16"/>
          <w:szCs w:val="16"/>
        </w:rPr>
        <w:t xml:space="preserve"> </w:t>
      </w:r>
      <w:hyperlink r:id="rId2" w:history="1">
        <w:r w:rsidR="00725CA8" w:rsidRPr="008C74C8">
          <w:rPr>
            <w:rFonts w:eastAsiaTheme="minorHAnsi" w:cstheme="minorBidi"/>
            <w:noProof w:val="0"/>
            <w:color w:val="0000FF"/>
            <w:kern w:val="2"/>
            <w:sz w:val="16"/>
            <w:szCs w:val="16"/>
            <w:u w:val="single"/>
            <w14:ligatures w14:val="standardContextual"/>
          </w:rPr>
          <w:t>Eindrapport Werking van de werkloosheidsregeling in het vo.pdf</w:t>
        </w:r>
      </w:hyperlink>
      <w:r>
        <w:rPr>
          <w:sz w:val="16"/>
          <w:szCs w:val="16"/>
        </w:rPr>
        <w:t>.</w:t>
      </w:r>
    </w:p>
  </w:footnote>
  <w:footnote w:id="3">
    <w:p w14:paraId="5EEBD37F" w14:textId="681FECBA" w:rsidR="00F4176C" w:rsidRPr="00112758" w:rsidRDefault="00F4176C">
      <w:pPr>
        <w:pStyle w:val="Voetnoottekst"/>
        <w:rPr>
          <w:sz w:val="16"/>
          <w:szCs w:val="16"/>
        </w:rPr>
      </w:pPr>
      <w:r w:rsidRPr="00112758">
        <w:rPr>
          <w:rStyle w:val="Voetnootmarkering"/>
          <w:sz w:val="16"/>
          <w:szCs w:val="16"/>
        </w:rPr>
        <w:footnoteRef/>
      </w:r>
      <w:r w:rsidRPr="00112758">
        <w:rPr>
          <w:sz w:val="16"/>
          <w:szCs w:val="16"/>
        </w:rPr>
        <w:t xml:space="preserve"> Onderhandelaarsakkoord cao vo 2025-2027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533"/>
    <w:multiLevelType w:val="multilevel"/>
    <w:tmpl w:val="2C203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37DD0"/>
    <w:multiLevelType w:val="hybridMultilevel"/>
    <w:tmpl w:val="44B0A7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6A66B89"/>
    <w:multiLevelType w:val="hybridMultilevel"/>
    <w:tmpl w:val="A1AE17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EBE2FB7"/>
    <w:multiLevelType w:val="hybridMultilevel"/>
    <w:tmpl w:val="EF006D2C"/>
    <w:lvl w:ilvl="0" w:tplc="44E8EE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415C31F1"/>
    <w:multiLevelType w:val="multilevel"/>
    <w:tmpl w:val="4326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0574D"/>
    <w:multiLevelType w:val="hybridMultilevel"/>
    <w:tmpl w:val="D0C0CC5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2A22501"/>
    <w:multiLevelType w:val="hybridMultilevel"/>
    <w:tmpl w:val="90963B14"/>
    <w:lvl w:ilvl="0" w:tplc="6B4E22BA">
      <w:start w:val="39"/>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67105257">
    <w:abstractNumId w:val="2"/>
  </w:num>
  <w:num w:numId="2" w16cid:durableId="1697847281">
    <w:abstractNumId w:val="3"/>
  </w:num>
  <w:num w:numId="3" w16cid:durableId="1536767970">
    <w:abstractNumId w:val="1"/>
  </w:num>
  <w:num w:numId="4" w16cid:durableId="1201092237">
    <w:abstractNumId w:val="4"/>
  </w:num>
  <w:num w:numId="5" w16cid:durableId="762184083">
    <w:abstractNumId w:val="0"/>
  </w:num>
  <w:num w:numId="6" w16cid:durableId="1474180877">
    <w:abstractNumId w:val="6"/>
  </w:num>
  <w:num w:numId="7" w16cid:durableId="1731884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ED"/>
    <w:rsid w:val="00016417"/>
    <w:rsid w:val="00017AB0"/>
    <w:rsid w:val="000271B6"/>
    <w:rsid w:val="000309C8"/>
    <w:rsid w:val="00037B46"/>
    <w:rsid w:val="00053C02"/>
    <w:rsid w:val="00054C3F"/>
    <w:rsid w:val="0005526F"/>
    <w:rsid w:val="00057D7C"/>
    <w:rsid w:val="0006302F"/>
    <w:rsid w:val="000666CD"/>
    <w:rsid w:val="0008265A"/>
    <w:rsid w:val="000841B9"/>
    <w:rsid w:val="00090AE8"/>
    <w:rsid w:val="00091FE6"/>
    <w:rsid w:val="00093E61"/>
    <w:rsid w:val="000A69F0"/>
    <w:rsid w:val="000B0A48"/>
    <w:rsid w:val="000B3A2B"/>
    <w:rsid w:val="000B489F"/>
    <w:rsid w:val="000B55DB"/>
    <w:rsid w:val="000D7AA6"/>
    <w:rsid w:val="000E4B5B"/>
    <w:rsid w:val="000E693F"/>
    <w:rsid w:val="000F74FA"/>
    <w:rsid w:val="00103A45"/>
    <w:rsid w:val="00104327"/>
    <w:rsid w:val="00107446"/>
    <w:rsid w:val="001074F1"/>
    <w:rsid w:val="00112758"/>
    <w:rsid w:val="00112FDD"/>
    <w:rsid w:val="001215BD"/>
    <w:rsid w:val="00121C63"/>
    <w:rsid w:val="00123BA1"/>
    <w:rsid w:val="00142D4C"/>
    <w:rsid w:val="0014604C"/>
    <w:rsid w:val="00147872"/>
    <w:rsid w:val="00147CCD"/>
    <w:rsid w:val="00153470"/>
    <w:rsid w:val="00153ACA"/>
    <w:rsid w:val="00172A86"/>
    <w:rsid w:val="00180F4D"/>
    <w:rsid w:val="00185FA7"/>
    <w:rsid w:val="0019109B"/>
    <w:rsid w:val="001A1629"/>
    <w:rsid w:val="001A7019"/>
    <w:rsid w:val="001B2063"/>
    <w:rsid w:val="001B2B44"/>
    <w:rsid w:val="001B531C"/>
    <w:rsid w:val="001C2DA0"/>
    <w:rsid w:val="001C3EA8"/>
    <w:rsid w:val="001C4F73"/>
    <w:rsid w:val="001C7A1F"/>
    <w:rsid w:val="001C7D06"/>
    <w:rsid w:val="001D01B1"/>
    <w:rsid w:val="001D1052"/>
    <w:rsid w:val="001D46F5"/>
    <w:rsid w:val="001F434E"/>
    <w:rsid w:val="001F5AFA"/>
    <w:rsid w:val="0020390E"/>
    <w:rsid w:val="00206C10"/>
    <w:rsid w:val="00216FB8"/>
    <w:rsid w:val="00234BAB"/>
    <w:rsid w:val="00234FEF"/>
    <w:rsid w:val="00235362"/>
    <w:rsid w:val="00236F1B"/>
    <w:rsid w:val="00241579"/>
    <w:rsid w:val="002456B8"/>
    <w:rsid w:val="0024641B"/>
    <w:rsid w:val="002471F6"/>
    <w:rsid w:val="00247C88"/>
    <w:rsid w:val="0025467B"/>
    <w:rsid w:val="00260DBD"/>
    <w:rsid w:val="00267214"/>
    <w:rsid w:val="00267840"/>
    <w:rsid w:val="00267AD0"/>
    <w:rsid w:val="00272F91"/>
    <w:rsid w:val="00276869"/>
    <w:rsid w:val="00276CC9"/>
    <w:rsid w:val="00282865"/>
    <w:rsid w:val="00297F40"/>
    <w:rsid w:val="002A2CED"/>
    <w:rsid w:val="002A3D7A"/>
    <w:rsid w:val="002C3BBC"/>
    <w:rsid w:val="002E0925"/>
    <w:rsid w:val="002E290B"/>
    <w:rsid w:val="002E3F13"/>
    <w:rsid w:val="002F1061"/>
    <w:rsid w:val="002F2C23"/>
    <w:rsid w:val="002F6EA7"/>
    <w:rsid w:val="00302E4C"/>
    <w:rsid w:val="00307C40"/>
    <w:rsid w:val="00311ADC"/>
    <w:rsid w:val="0032207F"/>
    <w:rsid w:val="00336B66"/>
    <w:rsid w:val="00345928"/>
    <w:rsid w:val="00347284"/>
    <w:rsid w:val="003732B8"/>
    <w:rsid w:val="00383480"/>
    <w:rsid w:val="00386290"/>
    <w:rsid w:val="0039083A"/>
    <w:rsid w:val="003945AC"/>
    <w:rsid w:val="00397B22"/>
    <w:rsid w:val="003A2421"/>
    <w:rsid w:val="003C0296"/>
    <w:rsid w:val="003C5C5A"/>
    <w:rsid w:val="003C6A2B"/>
    <w:rsid w:val="003F7015"/>
    <w:rsid w:val="00403166"/>
    <w:rsid w:val="00414428"/>
    <w:rsid w:val="00420DD2"/>
    <w:rsid w:val="00421F98"/>
    <w:rsid w:val="00423890"/>
    <w:rsid w:val="00424AA6"/>
    <w:rsid w:val="00427F65"/>
    <w:rsid w:val="00431934"/>
    <w:rsid w:val="00432D03"/>
    <w:rsid w:val="004337C4"/>
    <w:rsid w:val="00442EF8"/>
    <w:rsid w:val="004448DB"/>
    <w:rsid w:val="00454942"/>
    <w:rsid w:val="00454DA7"/>
    <w:rsid w:val="00456888"/>
    <w:rsid w:val="0046271A"/>
    <w:rsid w:val="0047086E"/>
    <w:rsid w:val="00472C6B"/>
    <w:rsid w:val="004847C6"/>
    <w:rsid w:val="0048501C"/>
    <w:rsid w:val="0049557D"/>
    <w:rsid w:val="004A7BB7"/>
    <w:rsid w:val="004B0C72"/>
    <w:rsid w:val="004B1AC1"/>
    <w:rsid w:val="004B208F"/>
    <w:rsid w:val="004B3F83"/>
    <w:rsid w:val="004C4F37"/>
    <w:rsid w:val="004C5C0E"/>
    <w:rsid w:val="004D02F6"/>
    <w:rsid w:val="004D15D4"/>
    <w:rsid w:val="004D4111"/>
    <w:rsid w:val="004E2C32"/>
    <w:rsid w:val="004E41CF"/>
    <w:rsid w:val="004E5ABA"/>
    <w:rsid w:val="004E7388"/>
    <w:rsid w:val="004F1D4B"/>
    <w:rsid w:val="004F4224"/>
    <w:rsid w:val="004F431F"/>
    <w:rsid w:val="004F4548"/>
    <w:rsid w:val="004F5544"/>
    <w:rsid w:val="00507801"/>
    <w:rsid w:val="00524AB1"/>
    <w:rsid w:val="00532F5D"/>
    <w:rsid w:val="00535FD6"/>
    <w:rsid w:val="00547CB8"/>
    <w:rsid w:val="00563204"/>
    <w:rsid w:val="00565D96"/>
    <w:rsid w:val="0057508E"/>
    <w:rsid w:val="005779D5"/>
    <w:rsid w:val="00597E34"/>
    <w:rsid w:val="005A0CBF"/>
    <w:rsid w:val="005A247D"/>
    <w:rsid w:val="005A5225"/>
    <w:rsid w:val="005A580A"/>
    <w:rsid w:val="005B1048"/>
    <w:rsid w:val="005C5130"/>
    <w:rsid w:val="005C5F46"/>
    <w:rsid w:val="005C6742"/>
    <w:rsid w:val="005D3555"/>
    <w:rsid w:val="005E149B"/>
    <w:rsid w:val="005E366E"/>
    <w:rsid w:val="005F03C4"/>
    <w:rsid w:val="005F2FD5"/>
    <w:rsid w:val="00615BCE"/>
    <w:rsid w:val="00622FA2"/>
    <w:rsid w:val="00635DBE"/>
    <w:rsid w:val="00636545"/>
    <w:rsid w:val="0063789C"/>
    <w:rsid w:val="00641227"/>
    <w:rsid w:val="00644E1B"/>
    <w:rsid w:val="00645AC7"/>
    <w:rsid w:val="006542B8"/>
    <w:rsid w:val="0067506E"/>
    <w:rsid w:val="00677A45"/>
    <w:rsid w:val="006806FC"/>
    <w:rsid w:val="006B269A"/>
    <w:rsid w:val="006B6C60"/>
    <w:rsid w:val="006B7C7C"/>
    <w:rsid w:val="006C0FA5"/>
    <w:rsid w:val="006D0C06"/>
    <w:rsid w:val="006E42C2"/>
    <w:rsid w:val="006F4754"/>
    <w:rsid w:val="007012A9"/>
    <w:rsid w:val="00702E1F"/>
    <w:rsid w:val="007069A5"/>
    <w:rsid w:val="00707701"/>
    <w:rsid w:val="00710350"/>
    <w:rsid w:val="00712CB5"/>
    <w:rsid w:val="00722D56"/>
    <w:rsid w:val="00725CA8"/>
    <w:rsid w:val="007260E0"/>
    <w:rsid w:val="007310A5"/>
    <w:rsid w:val="00732DAE"/>
    <w:rsid w:val="0073663C"/>
    <w:rsid w:val="0073717A"/>
    <w:rsid w:val="00742BEE"/>
    <w:rsid w:val="00755245"/>
    <w:rsid w:val="00790A0C"/>
    <w:rsid w:val="00797694"/>
    <w:rsid w:val="007A132D"/>
    <w:rsid w:val="007A39FB"/>
    <w:rsid w:val="007A5068"/>
    <w:rsid w:val="007A620C"/>
    <w:rsid w:val="007B1FC4"/>
    <w:rsid w:val="007B6E05"/>
    <w:rsid w:val="007D17D4"/>
    <w:rsid w:val="007D79C5"/>
    <w:rsid w:val="007F0722"/>
    <w:rsid w:val="007F5352"/>
    <w:rsid w:val="007F741B"/>
    <w:rsid w:val="00806484"/>
    <w:rsid w:val="0081377D"/>
    <w:rsid w:val="00817EE8"/>
    <w:rsid w:val="00832239"/>
    <w:rsid w:val="00841B4B"/>
    <w:rsid w:val="0084376C"/>
    <w:rsid w:val="00857F09"/>
    <w:rsid w:val="008615A2"/>
    <w:rsid w:val="0086625C"/>
    <w:rsid w:val="0087031C"/>
    <w:rsid w:val="008714AE"/>
    <w:rsid w:val="0089577E"/>
    <w:rsid w:val="00895FB4"/>
    <w:rsid w:val="008A294B"/>
    <w:rsid w:val="008B070E"/>
    <w:rsid w:val="008B3605"/>
    <w:rsid w:val="008C2288"/>
    <w:rsid w:val="008D2A6A"/>
    <w:rsid w:val="008E5764"/>
    <w:rsid w:val="008E5BB5"/>
    <w:rsid w:val="008E78EF"/>
    <w:rsid w:val="008E7FB1"/>
    <w:rsid w:val="008F643C"/>
    <w:rsid w:val="009065EE"/>
    <w:rsid w:val="00937EDB"/>
    <w:rsid w:val="009455F8"/>
    <w:rsid w:val="009510F6"/>
    <w:rsid w:val="00952617"/>
    <w:rsid w:val="00956EC0"/>
    <w:rsid w:val="0096252C"/>
    <w:rsid w:val="009764A6"/>
    <w:rsid w:val="00976674"/>
    <w:rsid w:val="00977E9B"/>
    <w:rsid w:val="00987BF8"/>
    <w:rsid w:val="00995A1C"/>
    <w:rsid w:val="009A3FE8"/>
    <w:rsid w:val="009A62EC"/>
    <w:rsid w:val="009A7CF0"/>
    <w:rsid w:val="009B1F4B"/>
    <w:rsid w:val="009B4497"/>
    <w:rsid w:val="009C3CEE"/>
    <w:rsid w:val="009C6BCB"/>
    <w:rsid w:val="009C70AB"/>
    <w:rsid w:val="009D52CD"/>
    <w:rsid w:val="009E2B4C"/>
    <w:rsid w:val="009E3C49"/>
    <w:rsid w:val="009E49A3"/>
    <w:rsid w:val="009E5CD6"/>
    <w:rsid w:val="009F6B56"/>
    <w:rsid w:val="00A00020"/>
    <w:rsid w:val="00A01F6F"/>
    <w:rsid w:val="00A12AF9"/>
    <w:rsid w:val="00A24232"/>
    <w:rsid w:val="00A36181"/>
    <w:rsid w:val="00A36C72"/>
    <w:rsid w:val="00A44AB2"/>
    <w:rsid w:val="00A53441"/>
    <w:rsid w:val="00A60B66"/>
    <w:rsid w:val="00A64619"/>
    <w:rsid w:val="00A73421"/>
    <w:rsid w:val="00A84CB4"/>
    <w:rsid w:val="00A85698"/>
    <w:rsid w:val="00A87F11"/>
    <w:rsid w:val="00A904CC"/>
    <w:rsid w:val="00A92ADB"/>
    <w:rsid w:val="00A948FD"/>
    <w:rsid w:val="00A95593"/>
    <w:rsid w:val="00AA3278"/>
    <w:rsid w:val="00AA58F6"/>
    <w:rsid w:val="00AA642E"/>
    <w:rsid w:val="00AB5838"/>
    <w:rsid w:val="00AC087B"/>
    <w:rsid w:val="00AC1212"/>
    <w:rsid w:val="00AE18E8"/>
    <w:rsid w:val="00AE685F"/>
    <w:rsid w:val="00AF6D35"/>
    <w:rsid w:val="00AF6F30"/>
    <w:rsid w:val="00B0627A"/>
    <w:rsid w:val="00B17A15"/>
    <w:rsid w:val="00B2071D"/>
    <w:rsid w:val="00B3087F"/>
    <w:rsid w:val="00B33328"/>
    <w:rsid w:val="00B4067C"/>
    <w:rsid w:val="00B415F1"/>
    <w:rsid w:val="00B526BD"/>
    <w:rsid w:val="00B52B2F"/>
    <w:rsid w:val="00B548E0"/>
    <w:rsid w:val="00B54A73"/>
    <w:rsid w:val="00B668B3"/>
    <w:rsid w:val="00B73154"/>
    <w:rsid w:val="00B75CB9"/>
    <w:rsid w:val="00B84444"/>
    <w:rsid w:val="00B87C51"/>
    <w:rsid w:val="00B928DD"/>
    <w:rsid w:val="00BA0AC8"/>
    <w:rsid w:val="00BA2C68"/>
    <w:rsid w:val="00BB5F9D"/>
    <w:rsid w:val="00BC3F4E"/>
    <w:rsid w:val="00BC468B"/>
    <w:rsid w:val="00BD0A8F"/>
    <w:rsid w:val="00BD37DA"/>
    <w:rsid w:val="00BE10E3"/>
    <w:rsid w:val="00BE1244"/>
    <w:rsid w:val="00BE184B"/>
    <w:rsid w:val="00BE75EF"/>
    <w:rsid w:val="00BF06F6"/>
    <w:rsid w:val="00BF1CF6"/>
    <w:rsid w:val="00BF21A0"/>
    <w:rsid w:val="00BF4810"/>
    <w:rsid w:val="00BF5145"/>
    <w:rsid w:val="00C063E7"/>
    <w:rsid w:val="00C06E4C"/>
    <w:rsid w:val="00C07D67"/>
    <w:rsid w:val="00C1044C"/>
    <w:rsid w:val="00C16BA7"/>
    <w:rsid w:val="00C175D0"/>
    <w:rsid w:val="00C262F0"/>
    <w:rsid w:val="00C32B2D"/>
    <w:rsid w:val="00C40819"/>
    <w:rsid w:val="00C52D9E"/>
    <w:rsid w:val="00C63772"/>
    <w:rsid w:val="00C67FEC"/>
    <w:rsid w:val="00C74249"/>
    <w:rsid w:val="00C93883"/>
    <w:rsid w:val="00CA027F"/>
    <w:rsid w:val="00CA1443"/>
    <w:rsid w:val="00CB3370"/>
    <w:rsid w:val="00CB417E"/>
    <w:rsid w:val="00CB6D71"/>
    <w:rsid w:val="00CB7473"/>
    <w:rsid w:val="00CC1529"/>
    <w:rsid w:val="00CC3260"/>
    <w:rsid w:val="00CC3644"/>
    <w:rsid w:val="00CD2B5E"/>
    <w:rsid w:val="00CD4593"/>
    <w:rsid w:val="00CE4B80"/>
    <w:rsid w:val="00D22E8E"/>
    <w:rsid w:val="00D26F3C"/>
    <w:rsid w:val="00D3123F"/>
    <w:rsid w:val="00D3386B"/>
    <w:rsid w:val="00D4610A"/>
    <w:rsid w:val="00D46AA8"/>
    <w:rsid w:val="00D46FE6"/>
    <w:rsid w:val="00D62BDD"/>
    <w:rsid w:val="00D8581A"/>
    <w:rsid w:val="00DC0F8D"/>
    <w:rsid w:val="00DC15D5"/>
    <w:rsid w:val="00DC2508"/>
    <w:rsid w:val="00DC27DD"/>
    <w:rsid w:val="00DC3836"/>
    <w:rsid w:val="00DD61F7"/>
    <w:rsid w:val="00DE0411"/>
    <w:rsid w:val="00DE10EE"/>
    <w:rsid w:val="00DE3D53"/>
    <w:rsid w:val="00DF0054"/>
    <w:rsid w:val="00DF184D"/>
    <w:rsid w:val="00DF6E30"/>
    <w:rsid w:val="00E01146"/>
    <w:rsid w:val="00E0264A"/>
    <w:rsid w:val="00E16A3A"/>
    <w:rsid w:val="00E16B55"/>
    <w:rsid w:val="00E33630"/>
    <w:rsid w:val="00E40539"/>
    <w:rsid w:val="00E43171"/>
    <w:rsid w:val="00E63802"/>
    <w:rsid w:val="00E667C9"/>
    <w:rsid w:val="00E74ED6"/>
    <w:rsid w:val="00E76C92"/>
    <w:rsid w:val="00E76E7D"/>
    <w:rsid w:val="00E814CD"/>
    <w:rsid w:val="00E815DC"/>
    <w:rsid w:val="00E83BD5"/>
    <w:rsid w:val="00E83FD2"/>
    <w:rsid w:val="00EA4976"/>
    <w:rsid w:val="00EA657C"/>
    <w:rsid w:val="00EB09C3"/>
    <w:rsid w:val="00EB2083"/>
    <w:rsid w:val="00EC46FA"/>
    <w:rsid w:val="00EE00BB"/>
    <w:rsid w:val="00EE5EBC"/>
    <w:rsid w:val="00EF0062"/>
    <w:rsid w:val="00EF07D3"/>
    <w:rsid w:val="00EF1365"/>
    <w:rsid w:val="00EF20B8"/>
    <w:rsid w:val="00F07ED5"/>
    <w:rsid w:val="00F104E0"/>
    <w:rsid w:val="00F114AB"/>
    <w:rsid w:val="00F22FE3"/>
    <w:rsid w:val="00F23BDD"/>
    <w:rsid w:val="00F25582"/>
    <w:rsid w:val="00F27CD2"/>
    <w:rsid w:val="00F3537F"/>
    <w:rsid w:val="00F36F2F"/>
    <w:rsid w:val="00F40355"/>
    <w:rsid w:val="00F4176C"/>
    <w:rsid w:val="00F449B0"/>
    <w:rsid w:val="00F45523"/>
    <w:rsid w:val="00F45941"/>
    <w:rsid w:val="00F55663"/>
    <w:rsid w:val="00F57EE2"/>
    <w:rsid w:val="00F60EAE"/>
    <w:rsid w:val="00F83B7B"/>
    <w:rsid w:val="00FA126D"/>
    <w:rsid w:val="00FA7F60"/>
    <w:rsid w:val="00FB1169"/>
    <w:rsid w:val="00FB1CF5"/>
    <w:rsid w:val="00FB306F"/>
    <w:rsid w:val="00FB774F"/>
    <w:rsid w:val="00FD23ED"/>
    <w:rsid w:val="00FD2D6B"/>
    <w:rsid w:val="00FD6CEB"/>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0E42"/>
  <w15:chartTrackingRefBased/>
  <w15:docId w15:val="{15E4B6D7-3838-47A8-BDDF-23E31AFB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32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nhideWhenUsed/>
    <w:rsid w:val="009A62EC"/>
    <w:rPr>
      <w:sz w:val="16"/>
      <w:szCs w:val="16"/>
    </w:rPr>
  </w:style>
  <w:style w:type="paragraph" w:styleId="Tekstopmerking">
    <w:name w:val="annotation text"/>
    <w:basedOn w:val="Standaard"/>
    <w:link w:val="TekstopmerkingChar"/>
    <w:uiPriority w:val="99"/>
    <w:unhideWhenUsed/>
    <w:rsid w:val="009A62EC"/>
    <w:pPr>
      <w:spacing w:line="240" w:lineRule="auto"/>
    </w:pPr>
    <w:rPr>
      <w:sz w:val="20"/>
      <w:szCs w:val="20"/>
    </w:rPr>
  </w:style>
  <w:style w:type="character" w:customStyle="1" w:styleId="TekstopmerkingChar">
    <w:name w:val="Tekst opmerking Char"/>
    <w:basedOn w:val="Standaardalinea-lettertype"/>
    <w:link w:val="Tekstopmerking"/>
    <w:uiPriority w:val="99"/>
    <w:rsid w:val="009A62EC"/>
    <w:rPr>
      <w:sz w:val="20"/>
      <w:szCs w:val="20"/>
    </w:rPr>
  </w:style>
  <w:style w:type="paragraph" w:styleId="Onderwerpvanopmerking">
    <w:name w:val="annotation subject"/>
    <w:basedOn w:val="Tekstopmerking"/>
    <w:next w:val="Tekstopmerking"/>
    <w:link w:val="OnderwerpvanopmerkingChar"/>
    <w:uiPriority w:val="99"/>
    <w:semiHidden/>
    <w:unhideWhenUsed/>
    <w:rsid w:val="009A62EC"/>
    <w:rPr>
      <w:b/>
      <w:bCs/>
    </w:rPr>
  </w:style>
  <w:style w:type="character" w:customStyle="1" w:styleId="OnderwerpvanopmerkingChar">
    <w:name w:val="Onderwerp van opmerking Char"/>
    <w:basedOn w:val="TekstopmerkingChar"/>
    <w:link w:val="Onderwerpvanopmerking"/>
    <w:uiPriority w:val="99"/>
    <w:semiHidden/>
    <w:rsid w:val="009A62EC"/>
    <w:rPr>
      <w:b/>
      <w:bCs/>
      <w:sz w:val="20"/>
      <w:szCs w:val="20"/>
    </w:rPr>
  </w:style>
  <w:style w:type="paragraph" w:customStyle="1" w:styleId="Default">
    <w:name w:val="Default"/>
    <w:rsid w:val="00A92ADB"/>
    <w:pPr>
      <w:autoSpaceDE w:val="0"/>
      <w:autoSpaceDN w:val="0"/>
      <w:adjustRightInd w:val="0"/>
      <w:spacing w:after="0" w:line="240" w:lineRule="auto"/>
    </w:pPr>
    <w:rPr>
      <w:rFonts w:ascii="Verdana" w:hAnsi="Verdana" w:cs="Verdana"/>
      <w:color w:val="000000"/>
      <w:kern w:val="0"/>
      <w:sz w:val="24"/>
      <w:szCs w:val="24"/>
    </w:rPr>
  </w:style>
  <w:style w:type="paragraph" w:styleId="Revisie">
    <w:name w:val="Revision"/>
    <w:hidden/>
    <w:uiPriority w:val="99"/>
    <w:semiHidden/>
    <w:rsid w:val="003C6A2B"/>
    <w:pPr>
      <w:spacing w:after="0" w:line="240" w:lineRule="auto"/>
    </w:pPr>
  </w:style>
  <w:style w:type="paragraph" w:styleId="Lijstalinea">
    <w:name w:val="List Paragraph"/>
    <w:basedOn w:val="Standaard"/>
    <w:uiPriority w:val="34"/>
    <w:qFormat/>
    <w:rsid w:val="005E149B"/>
    <w:pPr>
      <w:ind w:left="720"/>
      <w:contextualSpacing/>
    </w:pPr>
  </w:style>
  <w:style w:type="paragraph" w:styleId="Voetnoottekst">
    <w:name w:val="footnote text"/>
    <w:basedOn w:val="Standaard"/>
    <w:link w:val="VoetnoottekstChar"/>
    <w:uiPriority w:val="99"/>
    <w:semiHidden/>
    <w:unhideWhenUsed/>
    <w:rsid w:val="00D46FE6"/>
    <w:pPr>
      <w:spacing w:after="0" w:line="240" w:lineRule="auto"/>
    </w:pPr>
    <w:rPr>
      <w:rFonts w:ascii="Verdana" w:eastAsia="Times New Roman" w:hAnsi="Verdana" w:cs="Times New Roman"/>
      <w:noProof/>
      <w:kern w:val="0"/>
      <w:sz w:val="20"/>
      <w:szCs w:val="20"/>
      <w14:ligatures w14:val="none"/>
    </w:rPr>
  </w:style>
  <w:style w:type="character" w:customStyle="1" w:styleId="VoetnoottekstChar">
    <w:name w:val="Voetnoottekst Char"/>
    <w:basedOn w:val="Standaardalinea-lettertype"/>
    <w:link w:val="Voetnoottekst"/>
    <w:uiPriority w:val="99"/>
    <w:semiHidden/>
    <w:rsid w:val="00D46FE6"/>
    <w:rPr>
      <w:rFonts w:ascii="Verdana" w:eastAsia="Times New Roman" w:hAnsi="Verdana" w:cs="Times New Roman"/>
      <w:noProof/>
      <w:kern w:val="0"/>
      <w:sz w:val="20"/>
      <w:szCs w:val="20"/>
      <w14:ligatures w14:val="none"/>
    </w:rPr>
  </w:style>
  <w:style w:type="character" w:styleId="Voetnootmarkering">
    <w:name w:val="footnote reference"/>
    <w:basedOn w:val="Standaardalinea-lettertype"/>
    <w:uiPriority w:val="99"/>
    <w:unhideWhenUsed/>
    <w:rsid w:val="00D46FE6"/>
    <w:rPr>
      <w:vertAlign w:val="superscript"/>
    </w:rPr>
  </w:style>
  <w:style w:type="character" w:styleId="Hyperlink">
    <w:name w:val="Hyperlink"/>
    <w:basedOn w:val="Standaardalinea-lettertype"/>
    <w:uiPriority w:val="99"/>
    <w:unhideWhenUsed/>
    <w:rsid w:val="00644E1B"/>
    <w:rPr>
      <w:color w:val="0563C1" w:themeColor="hyperlink"/>
      <w:u w:val="single"/>
    </w:rPr>
  </w:style>
  <w:style w:type="character" w:styleId="Onopgelostemelding">
    <w:name w:val="Unresolved Mention"/>
    <w:basedOn w:val="Standaardalinea-lettertype"/>
    <w:uiPriority w:val="99"/>
    <w:semiHidden/>
    <w:unhideWhenUsed/>
    <w:rsid w:val="00644E1B"/>
    <w:rPr>
      <w:color w:val="605E5C"/>
      <w:shd w:val="clear" w:color="auto" w:fill="E1DFDD"/>
    </w:rPr>
  </w:style>
  <w:style w:type="table" w:styleId="Tabelraster">
    <w:name w:val="Table Grid"/>
    <w:basedOn w:val="Standaardtabel"/>
    <w:uiPriority w:val="39"/>
    <w:rsid w:val="00BB5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F184D"/>
    <w:rPr>
      <w:color w:val="954F72" w:themeColor="followedHyperlink"/>
      <w:u w:val="single"/>
    </w:rPr>
  </w:style>
  <w:style w:type="paragraph" w:styleId="Eindnoottekst">
    <w:name w:val="endnote text"/>
    <w:basedOn w:val="Standaard"/>
    <w:link w:val="EindnoottekstChar"/>
    <w:uiPriority w:val="99"/>
    <w:semiHidden/>
    <w:unhideWhenUsed/>
    <w:rsid w:val="00F4176C"/>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F4176C"/>
    <w:rPr>
      <w:sz w:val="20"/>
      <w:szCs w:val="20"/>
    </w:rPr>
  </w:style>
  <w:style w:type="character" w:styleId="Eindnootmarkering">
    <w:name w:val="endnote reference"/>
    <w:basedOn w:val="Standaardalinea-lettertype"/>
    <w:uiPriority w:val="99"/>
    <w:semiHidden/>
    <w:unhideWhenUsed/>
    <w:rsid w:val="00F4176C"/>
    <w:rPr>
      <w:vertAlign w:val="superscript"/>
    </w:rPr>
  </w:style>
  <w:style w:type="paragraph" w:styleId="Koptekst">
    <w:name w:val="header"/>
    <w:basedOn w:val="Standaard"/>
    <w:link w:val="KoptekstChar"/>
    <w:uiPriority w:val="99"/>
    <w:unhideWhenUsed/>
    <w:rsid w:val="002039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390E"/>
  </w:style>
  <w:style w:type="paragraph" w:styleId="Voettekst">
    <w:name w:val="footer"/>
    <w:basedOn w:val="Standaard"/>
    <w:link w:val="VoettekstChar"/>
    <w:uiPriority w:val="99"/>
    <w:unhideWhenUsed/>
    <w:rsid w:val="002039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3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0325">
      <w:bodyDiv w:val="1"/>
      <w:marLeft w:val="0"/>
      <w:marRight w:val="0"/>
      <w:marTop w:val="0"/>
      <w:marBottom w:val="0"/>
      <w:divBdr>
        <w:top w:val="none" w:sz="0" w:space="0" w:color="auto"/>
        <w:left w:val="none" w:sz="0" w:space="0" w:color="auto"/>
        <w:bottom w:val="none" w:sz="0" w:space="0" w:color="auto"/>
        <w:right w:val="none" w:sz="0" w:space="0" w:color="auto"/>
      </w:divBdr>
    </w:div>
    <w:div w:id="245386049">
      <w:bodyDiv w:val="1"/>
      <w:marLeft w:val="0"/>
      <w:marRight w:val="0"/>
      <w:marTop w:val="0"/>
      <w:marBottom w:val="0"/>
      <w:divBdr>
        <w:top w:val="none" w:sz="0" w:space="0" w:color="auto"/>
        <w:left w:val="none" w:sz="0" w:space="0" w:color="auto"/>
        <w:bottom w:val="none" w:sz="0" w:space="0" w:color="auto"/>
        <w:right w:val="none" w:sz="0" w:space="0" w:color="auto"/>
      </w:divBdr>
    </w:div>
    <w:div w:id="495998549">
      <w:bodyDiv w:val="1"/>
      <w:marLeft w:val="0"/>
      <w:marRight w:val="0"/>
      <w:marTop w:val="0"/>
      <w:marBottom w:val="0"/>
      <w:divBdr>
        <w:top w:val="none" w:sz="0" w:space="0" w:color="auto"/>
        <w:left w:val="none" w:sz="0" w:space="0" w:color="auto"/>
        <w:bottom w:val="none" w:sz="0" w:space="0" w:color="auto"/>
        <w:right w:val="none" w:sz="0" w:space="0" w:color="auto"/>
      </w:divBdr>
    </w:div>
    <w:div w:id="683096479">
      <w:bodyDiv w:val="1"/>
      <w:marLeft w:val="0"/>
      <w:marRight w:val="0"/>
      <w:marTop w:val="0"/>
      <w:marBottom w:val="0"/>
      <w:divBdr>
        <w:top w:val="none" w:sz="0" w:space="0" w:color="auto"/>
        <w:left w:val="none" w:sz="0" w:space="0" w:color="auto"/>
        <w:bottom w:val="none" w:sz="0" w:space="0" w:color="auto"/>
        <w:right w:val="none" w:sz="0" w:space="0" w:color="auto"/>
      </w:divBdr>
    </w:div>
    <w:div w:id="821041446">
      <w:bodyDiv w:val="1"/>
      <w:marLeft w:val="0"/>
      <w:marRight w:val="0"/>
      <w:marTop w:val="0"/>
      <w:marBottom w:val="0"/>
      <w:divBdr>
        <w:top w:val="none" w:sz="0" w:space="0" w:color="auto"/>
        <w:left w:val="none" w:sz="0" w:space="0" w:color="auto"/>
        <w:bottom w:val="none" w:sz="0" w:space="0" w:color="auto"/>
        <w:right w:val="none" w:sz="0" w:space="0" w:color="auto"/>
      </w:divBdr>
    </w:div>
    <w:div w:id="1025250568">
      <w:bodyDiv w:val="1"/>
      <w:marLeft w:val="0"/>
      <w:marRight w:val="0"/>
      <w:marTop w:val="0"/>
      <w:marBottom w:val="0"/>
      <w:divBdr>
        <w:top w:val="none" w:sz="0" w:space="0" w:color="auto"/>
        <w:left w:val="none" w:sz="0" w:space="0" w:color="auto"/>
        <w:bottom w:val="none" w:sz="0" w:space="0" w:color="auto"/>
        <w:right w:val="none" w:sz="0" w:space="0" w:color="auto"/>
      </w:divBdr>
    </w:div>
    <w:div w:id="1039478284">
      <w:bodyDiv w:val="1"/>
      <w:marLeft w:val="0"/>
      <w:marRight w:val="0"/>
      <w:marTop w:val="0"/>
      <w:marBottom w:val="0"/>
      <w:divBdr>
        <w:top w:val="none" w:sz="0" w:space="0" w:color="auto"/>
        <w:left w:val="none" w:sz="0" w:space="0" w:color="auto"/>
        <w:bottom w:val="none" w:sz="0" w:space="0" w:color="auto"/>
        <w:right w:val="none" w:sz="0" w:space="0" w:color="auto"/>
      </w:divBdr>
      <w:divsChild>
        <w:div w:id="660695101">
          <w:marLeft w:val="0"/>
          <w:marRight w:val="0"/>
          <w:marTop w:val="60"/>
          <w:marBottom w:val="60"/>
          <w:divBdr>
            <w:top w:val="none" w:sz="0" w:space="0" w:color="auto"/>
            <w:left w:val="none" w:sz="0" w:space="0" w:color="auto"/>
            <w:bottom w:val="none" w:sz="0" w:space="0" w:color="auto"/>
            <w:right w:val="none" w:sz="0" w:space="0" w:color="auto"/>
          </w:divBdr>
        </w:div>
      </w:divsChild>
    </w:div>
    <w:div w:id="1081831414">
      <w:bodyDiv w:val="1"/>
      <w:marLeft w:val="0"/>
      <w:marRight w:val="0"/>
      <w:marTop w:val="0"/>
      <w:marBottom w:val="0"/>
      <w:divBdr>
        <w:top w:val="none" w:sz="0" w:space="0" w:color="auto"/>
        <w:left w:val="none" w:sz="0" w:space="0" w:color="auto"/>
        <w:bottom w:val="none" w:sz="0" w:space="0" w:color="auto"/>
        <w:right w:val="none" w:sz="0" w:space="0" w:color="auto"/>
      </w:divBdr>
      <w:divsChild>
        <w:div w:id="189152861">
          <w:marLeft w:val="0"/>
          <w:marRight w:val="0"/>
          <w:marTop w:val="0"/>
          <w:marBottom w:val="0"/>
          <w:divBdr>
            <w:top w:val="none" w:sz="0" w:space="0" w:color="auto"/>
            <w:left w:val="none" w:sz="0" w:space="0" w:color="auto"/>
            <w:bottom w:val="none" w:sz="0" w:space="0" w:color="auto"/>
            <w:right w:val="none" w:sz="0" w:space="0" w:color="auto"/>
          </w:divBdr>
          <w:divsChild>
            <w:div w:id="40132470">
              <w:marLeft w:val="0"/>
              <w:marRight w:val="0"/>
              <w:marTop w:val="60"/>
              <w:marBottom w:val="60"/>
              <w:divBdr>
                <w:top w:val="none" w:sz="0" w:space="0" w:color="auto"/>
                <w:left w:val="none" w:sz="0" w:space="0" w:color="auto"/>
                <w:bottom w:val="none" w:sz="0" w:space="0" w:color="auto"/>
                <w:right w:val="none" w:sz="0" w:space="0" w:color="auto"/>
              </w:divBdr>
            </w:div>
          </w:divsChild>
        </w:div>
        <w:div w:id="2007785834">
          <w:marLeft w:val="0"/>
          <w:marRight w:val="0"/>
          <w:marTop w:val="0"/>
          <w:marBottom w:val="0"/>
          <w:divBdr>
            <w:top w:val="none" w:sz="0" w:space="0" w:color="auto"/>
            <w:left w:val="none" w:sz="0" w:space="0" w:color="auto"/>
            <w:bottom w:val="none" w:sz="0" w:space="0" w:color="auto"/>
            <w:right w:val="none" w:sz="0" w:space="0" w:color="auto"/>
          </w:divBdr>
          <w:divsChild>
            <w:div w:id="119920439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084455202">
      <w:bodyDiv w:val="1"/>
      <w:marLeft w:val="0"/>
      <w:marRight w:val="0"/>
      <w:marTop w:val="0"/>
      <w:marBottom w:val="0"/>
      <w:divBdr>
        <w:top w:val="none" w:sz="0" w:space="0" w:color="auto"/>
        <w:left w:val="none" w:sz="0" w:space="0" w:color="auto"/>
        <w:bottom w:val="none" w:sz="0" w:space="0" w:color="auto"/>
        <w:right w:val="none" w:sz="0" w:space="0" w:color="auto"/>
      </w:divBdr>
    </w:div>
    <w:div w:id="1109282000">
      <w:bodyDiv w:val="1"/>
      <w:marLeft w:val="0"/>
      <w:marRight w:val="0"/>
      <w:marTop w:val="0"/>
      <w:marBottom w:val="0"/>
      <w:divBdr>
        <w:top w:val="none" w:sz="0" w:space="0" w:color="auto"/>
        <w:left w:val="none" w:sz="0" w:space="0" w:color="auto"/>
        <w:bottom w:val="none" w:sz="0" w:space="0" w:color="auto"/>
        <w:right w:val="none" w:sz="0" w:space="0" w:color="auto"/>
      </w:divBdr>
    </w:div>
    <w:div w:id="1250119419">
      <w:bodyDiv w:val="1"/>
      <w:marLeft w:val="0"/>
      <w:marRight w:val="0"/>
      <w:marTop w:val="0"/>
      <w:marBottom w:val="0"/>
      <w:divBdr>
        <w:top w:val="none" w:sz="0" w:space="0" w:color="auto"/>
        <w:left w:val="none" w:sz="0" w:space="0" w:color="auto"/>
        <w:bottom w:val="none" w:sz="0" w:space="0" w:color="auto"/>
        <w:right w:val="none" w:sz="0" w:space="0" w:color="auto"/>
      </w:divBdr>
    </w:div>
    <w:div w:id="1273243158">
      <w:bodyDiv w:val="1"/>
      <w:marLeft w:val="0"/>
      <w:marRight w:val="0"/>
      <w:marTop w:val="0"/>
      <w:marBottom w:val="0"/>
      <w:divBdr>
        <w:top w:val="none" w:sz="0" w:space="0" w:color="auto"/>
        <w:left w:val="none" w:sz="0" w:space="0" w:color="auto"/>
        <w:bottom w:val="none" w:sz="0" w:space="0" w:color="auto"/>
        <w:right w:val="none" w:sz="0" w:space="0" w:color="auto"/>
      </w:divBdr>
    </w:div>
    <w:div w:id="1389380556">
      <w:bodyDiv w:val="1"/>
      <w:marLeft w:val="0"/>
      <w:marRight w:val="0"/>
      <w:marTop w:val="0"/>
      <w:marBottom w:val="0"/>
      <w:divBdr>
        <w:top w:val="none" w:sz="0" w:space="0" w:color="auto"/>
        <w:left w:val="none" w:sz="0" w:space="0" w:color="auto"/>
        <w:bottom w:val="none" w:sz="0" w:space="0" w:color="auto"/>
        <w:right w:val="none" w:sz="0" w:space="0" w:color="auto"/>
      </w:divBdr>
    </w:div>
    <w:div w:id="1607344672">
      <w:bodyDiv w:val="1"/>
      <w:marLeft w:val="0"/>
      <w:marRight w:val="0"/>
      <w:marTop w:val="0"/>
      <w:marBottom w:val="0"/>
      <w:divBdr>
        <w:top w:val="none" w:sz="0" w:space="0" w:color="auto"/>
        <w:left w:val="none" w:sz="0" w:space="0" w:color="auto"/>
        <w:bottom w:val="none" w:sz="0" w:space="0" w:color="auto"/>
        <w:right w:val="none" w:sz="0" w:space="0" w:color="auto"/>
      </w:divBdr>
    </w:div>
    <w:div w:id="166057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jci1.3:c:BWBR0045787&amp;artikel=6.4&amp;g=2025-10-15&amp;z=2025-10-15" TargetMode="External" Id="rId8" /><Relationship Type="http://schemas.openxmlformats.org/officeDocument/2006/relationships/hyperlink" Target="https://wetten.overheid.nl/jci1.3:c:BWBR0045787&amp;artikel=6.4&amp;g=2025-10-15&amp;z=2025-10-15"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etten.overheid.nl/jci1.3:c:BWBR0045787&amp;artikel=6.4&amp;g=2025-10-15&amp;z=2025-10-15"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ettings" Target="settings.xml" Id="rId4" /><Relationship Type="http://schemas.openxmlformats.org/officeDocument/2006/relationships/hyperlink" Target="https://wetten.overheid.nl/jci1.3:c:BWBR0045787&amp;artikel=6.14&amp;g=2025-10-15&amp;z=2025-10-15" TargetMode="Externa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proza.ocw.local/otcsdav/nodes/55042304/Eindrapport%20Werking%20van%20de%20werkloosheidsregeling%20in%20het%20vo.pdf" TargetMode="External"/><Relationship Id="rId1" Type="http://schemas.openxmlformats.org/officeDocument/2006/relationships/hyperlink" Target="https://www.tweedekamer.nl/kamerstukken/brieven_regering/detail?id=2024Z21310&amp;did=2024D5035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2847</ap:Words>
  <ap:Characters>15664</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2025-06-10T13:05:00.0000000Z</lastPrinted>
  <dcterms:created xsi:type="dcterms:W3CDTF">2026-05-11T12:29:00.0000000Z</dcterms:created>
  <dcterms:modified xsi:type="dcterms:W3CDTF">2026-05-11T12:29:00.0000000Z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62314317</vt:lpwstr>
  </property>
</Properties>
</file>