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E7258" w:rsidTr="00D9561B" w14:paraId="612CDC71" w14:textId="77777777">
        <w:trPr>
          <w:trHeight w:val="1514"/>
        </w:trPr>
        <w:tc>
          <w:tcPr>
            <w:tcW w:w="7522" w:type="dxa"/>
            <w:tcBorders>
              <w:top w:val="nil"/>
              <w:left w:val="nil"/>
              <w:bottom w:val="nil"/>
              <w:right w:val="nil"/>
            </w:tcBorders>
            <w:tcMar>
              <w:left w:w="0" w:type="dxa"/>
              <w:right w:w="0" w:type="dxa"/>
            </w:tcMar>
          </w:tcPr>
          <w:p w:rsidR="00374412" w:rsidP="00D9561B" w:rsidRDefault="00E44C93" w14:paraId="78ED37F7" w14:textId="77777777">
            <w:r>
              <w:t>De v</w:t>
            </w:r>
            <w:r w:rsidR="008E3932">
              <w:t>oorzitter van de Tweede Kamer der Staten-Generaal</w:t>
            </w:r>
          </w:p>
          <w:p w:rsidR="00374412" w:rsidP="00D9561B" w:rsidRDefault="00E44C93" w14:paraId="3F89065A" w14:textId="77777777">
            <w:r>
              <w:t>Postbus 20018</w:t>
            </w:r>
          </w:p>
          <w:p w:rsidR="008E3932" w:rsidP="00D9561B" w:rsidRDefault="00E44C93" w14:paraId="06C57BD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E7258" w:rsidTr="00FF66F9" w14:paraId="4CA70ABE" w14:textId="77777777">
        <w:trPr>
          <w:trHeight w:val="289" w:hRule="exact"/>
        </w:trPr>
        <w:tc>
          <w:tcPr>
            <w:tcW w:w="929" w:type="dxa"/>
          </w:tcPr>
          <w:p w:rsidRPr="00434042" w:rsidR="0005404B" w:rsidP="00FF66F9" w:rsidRDefault="00E44C93" w14:paraId="1111C620" w14:textId="77777777">
            <w:pPr>
              <w:rPr>
                <w:lang w:eastAsia="en-US"/>
              </w:rPr>
            </w:pPr>
            <w:r>
              <w:rPr>
                <w:lang w:eastAsia="en-US"/>
              </w:rPr>
              <w:t>Datum</w:t>
            </w:r>
          </w:p>
        </w:tc>
        <w:tc>
          <w:tcPr>
            <w:tcW w:w="6581" w:type="dxa"/>
          </w:tcPr>
          <w:p w:rsidRPr="00434042" w:rsidR="0005404B" w:rsidP="00FF66F9" w:rsidRDefault="00410057" w14:paraId="71EA82C1" w14:textId="790ED65D">
            <w:pPr>
              <w:rPr>
                <w:lang w:eastAsia="en-US"/>
              </w:rPr>
            </w:pPr>
            <w:r>
              <w:rPr>
                <w:lang w:eastAsia="en-US"/>
              </w:rPr>
              <w:t>11 mei 2026</w:t>
            </w:r>
          </w:p>
        </w:tc>
      </w:tr>
      <w:tr w:rsidR="00AE7258" w:rsidTr="00FF66F9" w14:paraId="7CB66274" w14:textId="77777777">
        <w:trPr>
          <w:trHeight w:val="368"/>
        </w:trPr>
        <w:tc>
          <w:tcPr>
            <w:tcW w:w="929" w:type="dxa"/>
          </w:tcPr>
          <w:p w:rsidR="0005404B" w:rsidP="00FF66F9" w:rsidRDefault="00E44C93" w14:paraId="3F53F2C4" w14:textId="77777777">
            <w:pPr>
              <w:rPr>
                <w:lang w:eastAsia="en-US"/>
              </w:rPr>
            </w:pPr>
            <w:r>
              <w:rPr>
                <w:lang w:eastAsia="en-US"/>
              </w:rPr>
              <w:t>Betreft</w:t>
            </w:r>
          </w:p>
        </w:tc>
        <w:tc>
          <w:tcPr>
            <w:tcW w:w="6581" w:type="dxa"/>
          </w:tcPr>
          <w:p w:rsidR="0005404B" w:rsidP="00FF66F9" w:rsidRDefault="00E44C93" w14:paraId="12951795" w14:textId="77777777">
            <w:pPr>
              <w:rPr>
                <w:lang w:eastAsia="en-US"/>
              </w:rPr>
            </w:pPr>
            <w:r>
              <w:rPr>
                <w:lang w:eastAsia="en-US"/>
              </w:rPr>
              <w:t>Verslag onderzoeks- en innovatiedeel informele Raad voor Concurrentievermogen 31 maart 2026</w:t>
            </w:r>
          </w:p>
        </w:tc>
      </w:tr>
    </w:tbl>
    <w:p w:rsidR="00AE7258" w:rsidRDefault="001C2C36" w14:paraId="7BEBE63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6575C" w:rsidR="00AE7258" w:rsidTr="00A421A1" w14:paraId="437A2390" w14:textId="77777777">
        <w:tc>
          <w:tcPr>
            <w:tcW w:w="2160" w:type="dxa"/>
          </w:tcPr>
          <w:p w:rsidRPr="00F53C9D" w:rsidR="006205C0" w:rsidP="00686AED" w:rsidRDefault="00E44C93" w14:paraId="23EC93CB" w14:textId="77777777">
            <w:pPr>
              <w:pStyle w:val="Colofonkop"/>
              <w:framePr w:hSpace="0" w:wrap="auto" w:hAnchor="text" w:vAnchor="margin" w:xAlign="left" w:yAlign="inline"/>
            </w:pPr>
            <w:r>
              <w:t>Onderzoek en Wetenschapsbeleid</w:t>
            </w:r>
          </w:p>
          <w:p w:rsidR="006205C0" w:rsidP="00A421A1" w:rsidRDefault="00E44C93" w14:paraId="45EEA04C" w14:textId="77777777">
            <w:pPr>
              <w:pStyle w:val="Huisstijl-Gegeven"/>
              <w:spacing w:after="0"/>
            </w:pPr>
            <w:r>
              <w:t xml:space="preserve">Rijnstraat 50 </w:t>
            </w:r>
          </w:p>
          <w:p w:rsidR="004425A7" w:rsidP="00E972A2" w:rsidRDefault="00E44C93" w14:paraId="6E885D5F" w14:textId="77777777">
            <w:pPr>
              <w:pStyle w:val="Huisstijl-Gegeven"/>
              <w:spacing w:after="0"/>
            </w:pPr>
            <w:r>
              <w:t>Den Haag</w:t>
            </w:r>
          </w:p>
          <w:p w:rsidR="004425A7" w:rsidP="00E972A2" w:rsidRDefault="00E44C93" w14:paraId="0072F695" w14:textId="77777777">
            <w:pPr>
              <w:pStyle w:val="Huisstijl-Gegeven"/>
              <w:spacing w:after="0"/>
            </w:pPr>
            <w:r>
              <w:t>Postbus 16375</w:t>
            </w:r>
          </w:p>
          <w:p w:rsidR="004425A7" w:rsidP="00E972A2" w:rsidRDefault="00E44C93" w14:paraId="556A695A" w14:textId="77777777">
            <w:pPr>
              <w:pStyle w:val="Huisstijl-Gegeven"/>
              <w:spacing w:after="0"/>
            </w:pPr>
            <w:r>
              <w:t>2500 BJ Den Haag</w:t>
            </w:r>
          </w:p>
          <w:p w:rsidR="004425A7" w:rsidP="00E972A2" w:rsidRDefault="00E44C93" w14:paraId="6E587683" w14:textId="77777777">
            <w:pPr>
              <w:pStyle w:val="Huisstijl-Gegeven"/>
              <w:spacing w:after="90"/>
            </w:pPr>
            <w:r>
              <w:t>www.rijksoverheid.nl</w:t>
            </w:r>
          </w:p>
          <w:p w:rsidRPr="00410057" w:rsidR="006205C0" w:rsidP="00410057" w:rsidRDefault="00E44C93" w14:paraId="1A68D9D9" w14:textId="65C45437">
            <w:pPr>
              <w:spacing w:line="180" w:lineRule="exact"/>
              <w:rPr>
                <w:b/>
                <w:sz w:val="13"/>
                <w:szCs w:val="13"/>
              </w:rPr>
            </w:pPr>
            <w:r>
              <w:rPr>
                <w:b/>
                <w:sz w:val="13"/>
                <w:szCs w:val="13"/>
              </w:rPr>
              <w:t>Contactpersoon</w:t>
            </w:r>
          </w:p>
        </w:tc>
      </w:tr>
      <w:tr w:rsidRPr="0026575C" w:rsidR="00AE7258" w:rsidTr="00A421A1" w14:paraId="551E2C6D" w14:textId="77777777">
        <w:trPr>
          <w:trHeight w:val="200" w:hRule="exact"/>
        </w:trPr>
        <w:tc>
          <w:tcPr>
            <w:tcW w:w="2160" w:type="dxa"/>
          </w:tcPr>
          <w:p w:rsidRPr="0026575C" w:rsidR="006205C0" w:rsidP="00A421A1" w:rsidRDefault="006205C0" w14:paraId="3FB31AF6" w14:textId="77777777">
            <w:pPr>
              <w:spacing w:after="90" w:line="180" w:lineRule="exact"/>
              <w:rPr>
                <w:sz w:val="13"/>
                <w:szCs w:val="13"/>
                <w:lang w:val="en-US"/>
              </w:rPr>
            </w:pPr>
          </w:p>
        </w:tc>
      </w:tr>
      <w:tr w:rsidR="00AE7258" w:rsidTr="00A421A1" w14:paraId="1075EA5C" w14:textId="77777777">
        <w:trPr>
          <w:trHeight w:val="450"/>
        </w:trPr>
        <w:tc>
          <w:tcPr>
            <w:tcW w:w="2160" w:type="dxa"/>
          </w:tcPr>
          <w:p w:rsidR="00F51A76" w:rsidP="00A421A1" w:rsidRDefault="00E44C93" w14:paraId="019B425E" w14:textId="77777777">
            <w:pPr>
              <w:spacing w:line="180" w:lineRule="exact"/>
              <w:rPr>
                <w:b/>
                <w:sz w:val="13"/>
                <w:szCs w:val="13"/>
              </w:rPr>
            </w:pPr>
            <w:r>
              <w:rPr>
                <w:b/>
                <w:sz w:val="13"/>
                <w:szCs w:val="13"/>
              </w:rPr>
              <w:t>Onze referentie</w:t>
            </w:r>
          </w:p>
          <w:p w:rsidRPr="00FA7882" w:rsidR="006205C0" w:rsidP="00215356" w:rsidRDefault="00E44C93" w14:paraId="3C4DD1C9" w14:textId="77777777">
            <w:pPr>
              <w:spacing w:line="180" w:lineRule="exact"/>
              <w:rPr>
                <w:sz w:val="13"/>
                <w:szCs w:val="13"/>
              </w:rPr>
            </w:pPr>
            <w:r>
              <w:rPr>
                <w:sz w:val="13"/>
                <w:szCs w:val="13"/>
              </w:rPr>
              <w:t>63351141</w:t>
            </w:r>
          </w:p>
        </w:tc>
      </w:tr>
      <w:tr w:rsidR="00AE7258" w:rsidTr="00D130C0" w14:paraId="72761042" w14:textId="77777777">
        <w:trPr>
          <w:trHeight w:val="113"/>
        </w:trPr>
        <w:tc>
          <w:tcPr>
            <w:tcW w:w="2160" w:type="dxa"/>
          </w:tcPr>
          <w:p w:rsidRPr="00C5333A" w:rsidR="006205C0" w:rsidP="00D36088" w:rsidRDefault="00E44C93" w14:paraId="16AC7E4D" w14:textId="77777777">
            <w:pPr>
              <w:tabs>
                <w:tab w:val="center" w:pos="1080"/>
              </w:tabs>
              <w:spacing w:line="180" w:lineRule="exact"/>
              <w:rPr>
                <w:sz w:val="13"/>
                <w:szCs w:val="13"/>
              </w:rPr>
            </w:pPr>
            <w:r>
              <w:rPr>
                <w:b/>
                <w:sz w:val="13"/>
                <w:szCs w:val="13"/>
              </w:rPr>
              <w:t>Bijlagen</w:t>
            </w:r>
          </w:p>
        </w:tc>
      </w:tr>
      <w:tr w:rsidR="00AE7258" w:rsidTr="00D130C0" w14:paraId="4FDEE48B" w14:textId="77777777">
        <w:trPr>
          <w:trHeight w:val="113"/>
        </w:trPr>
        <w:tc>
          <w:tcPr>
            <w:tcW w:w="2160" w:type="dxa"/>
          </w:tcPr>
          <w:p w:rsidRPr="00D74F66" w:rsidR="006205C0" w:rsidP="00A421A1" w:rsidRDefault="006205C0" w14:paraId="365AAE56" w14:textId="77777777">
            <w:pPr>
              <w:spacing w:after="90" w:line="180" w:lineRule="exact"/>
              <w:rPr>
                <w:sz w:val="13"/>
              </w:rPr>
            </w:pPr>
          </w:p>
        </w:tc>
      </w:tr>
    </w:tbl>
    <w:p w:rsidR="00215356" w:rsidRDefault="00215356" w14:paraId="34F29764" w14:textId="77777777"/>
    <w:p w:rsidR="0026575C" w:rsidP="0026575C" w:rsidRDefault="0026575C" w14:paraId="514241EB" w14:textId="065D3FC2">
      <w:r>
        <w:t xml:space="preserve">Hierbij bied ik uw Kamer, mede namens de minister van Economische Zaken en Klimaat, het verslag van het onderzoeks- en innovatiedeel van de digitale informele Raad voor Concurrentievermogen aan </w:t>
      </w:r>
      <w:r w:rsidR="004874AA">
        <w:t>van</w:t>
      </w:r>
      <w:r>
        <w:t xml:space="preserve"> 31 maart jongstleden. </w:t>
      </w:r>
    </w:p>
    <w:p w:rsidR="006205C0" w:rsidP="00A421A1" w:rsidRDefault="006205C0" w14:paraId="59A6AA92" w14:textId="77777777"/>
    <w:p w:rsidR="00105677" w:rsidP="00CA35E4" w:rsidRDefault="00105677" w14:paraId="69EA9BAC" w14:textId="77777777"/>
    <w:p w:rsidR="007851C4" w:rsidP="00CA35E4" w:rsidRDefault="00E44C93" w14:paraId="390DB799" w14:textId="77777777">
      <w:r w:rsidRPr="007851C4">
        <w:t xml:space="preserve"> </w:t>
      </w:r>
    </w:p>
    <w:p w:rsidR="007851C4" w:rsidP="00CA35E4" w:rsidRDefault="007851C4" w14:paraId="5E493755" w14:textId="77777777"/>
    <w:p w:rsidR="00820DDA" w:rsidP="00CA35E4" w:rsidRDefault="00E44C93" w14:paraId="39DC8E0C" w14:textId="77777777">
      <w:r>
        <w:t>De minister van Onderwijs, Cultuur en Wetenschap,</w:t>
      </w:r>
    </w:p>
    <w:p w:rsidR="000F521E" w:rsidP="003A7160" w:rsidRDefault="000F521E" w14:paraId="5D4237DA" w14:textId="77777777"/>
    <w:p w:rsidR="000F521E" w:rsidP="003A7160" w:rsidRDefault="000F521E" w14:paraId="506589B3" w14:textId="77777777"/>
    <w:p w:rsidR="000F521E" w:rsidP="003A7160" w:rsidRDefault="000F521E" w14:paraId="62607A42" w14:textId="77777777"/>
    <w:p w:rsidR="000F521E" w:rsidP="003A7160" w:rsidRDefault="000F521E" w14:paraId="2A3F14D6" w14:textId="77777777"/>
    <w:p w:rsidR="004874AA" w:rsidP="003A7160" w:rsidRDefault="00E44C93" w14:paraId="510F2DEF" w14:textId="66780B3A">
      <w:pPr>
        <w:rPr>
          <w:lang w:eastAsia="en-US"/>
        </w:rPr>
      </w:pPr>
      <w:r w:rsidRPr="006C6CF8">
        <w:rPr>
          <w:lang w:eastAsia="en-US"/>
        </w:rPr>
        <w:t>Rianne Letschert</w:t>
      </w:r>
    </w:p>
    <w:p w:rsidR="004874AA" w:rsidRDefault="004874AA" w14:paraId="2653A110" w14:textId="77777777">
      <w:pPr>
        <w:spacing w:line="240" w:lineRule="auto"/>
        <w:rPr>
          <w:lang w:eastAsia="en-US"/>
        </w:rPr>
      </w:pPr>
      <w:r>
        <w:rPr>
          <w:lang w:eastAsia="en-US"/>
        </w:rPr>
        <w:br w:type="page"/>
      </w:r>
    </w:p>
    <w:p w:rsidRPr="004874AA" w:rsidR="000D4F1D" w:rsidP="000D4F1D" w:rsidRDefault="000D4F1D" w14:paraId="2F01BE21" w14:textId="77777777">
      <w:pPr>
        <w:rPr>
          <w:b/>
          <w:bCs/>
          <w:szCs w:val="18"/>
        </w:rPr>
      </w:pPr>
      <w:r w:rsidRPr="004874AA">
        <w:rPr>
          <w:b/>
          <w:bCs/>
          <w:szCs w:val="18"/>
        </w:rPr>
        <w:lastRenderedPageBreak/>
        <w:t>Verslag van het onderzoeks- en innovatiedeel van de</w:t>
      </w:r>
      <w:r>
        <w:rPr>
          <w:b/>
          <w:bCs/>
          <w:szCs w:val="18"/>
        </w:rPr>
        <w:t xml:space="preserve"> digitale</w:t>
      </w:r>
      <w:r w:rsidRPr="004874AA">
        <w:rPr>
          <w:b/>
          <w:bCs/>
          <w:szCs w:val="18"/>
        </w:rPr>
        <w:t xml:space="preserve"> </w:t>
      </w:r>
      <w:r>
        <w:rPr>
          <w:b/>
          <w:bCs/>
          <w:szCs w:val="18"/>
        </w:rPr>
        <w:t>in</w:t>
      </w:r>
      <w:r w:rsidRPr="004874AA">
        <w:rPr>
          <w:b/>
          <w:bCs/>
          <w:szCs w:val="18"/>
        </w:rPr>
        <w:t>formele Raad voor Concurrentievermogen</w:t>
      </w:r>
      <w:r>
        <w:rPr>
          <w:b/>
          <w:bCs/>
          <w:szCs w:val="18"/>
        </w:rPr>
        <w:t xml:space="preserve"> op 31 maart </w:t>
      </w:r>
      <w:r w:rsidRPr="004874AA">
        <w:rPr>
          <w:b/>
          <w:bCs/>
          <w:szCs w:val="18"/>
        </w:rPr>
        <w:t>2026</w:t>
      </w:r>
    </w:p>
    <w:p w:rsidRPr="004874AA" w:rsidR="000D4F1D" w:rsidP="000D4F1D" w:rsidRDefault="000D4F1D" w14:paraId="70E7B966" w14:textId="77777777">
      <w:pPr>
        <w:widowControl w:val="0"/>
        <w:rPr>
          <w:szCs w:val="18"/>
        </w:rPr>
      </w:pPr>
    </w:p>
    <w:p w:rsidRPr="004874AA" w:rsidR="000D4F1D" w:rsidP="000D4F1D" w:rsidRDefault="000D4F1D" w14:paraId="6542F7F8" w14:textId="77777777">
      <w:pPr>
        <w:rPr>
          <w:b/>
          <w:bCs/>
          <w:kern w:val="2"/>
          <w14:ligatures w14:val="standardContextual"/>
        </w:rPr>
      </w:pPr>
      <w:r>
        <w:rPr>
          <w:b/>
          <w:bCs/>
          <w:kern w:val="2"/>
          <w14:ligatures w14:val="standardContextual"/>
        </w:rPr>
        <w:t>Van excellent onderzoek naar mondiale schaal: het Europese innovatiepotentieel ontsluiten</w:t>
      </w:r>
    </w:p>
    <w:p w:rsidRPr="004874AA" w:rsidR="000D4F1D" w:rsidP="000D4F1D" w:rsidRDefault="000D4F1D" w14:paraId="552FD2A3" w14:textId="77777777">
      <w:pPr>
        <w:widowControl w:val="0"/>
        <w:rPr>
          <w:i/>
          <w:szCs w:val="18"/>
        </w:rPr>
      </w:pPr>
      <w:r w:rsidRPr="004874AA">
        <w:rPr>
          <w:i/>
          <w:szCs w:val="18"/>
        </w:rPr>
        <w:t xml:space="preserve">Beleidsdebat </w:t>
      </w:r>
    </w:p>
    <w:p w:rsidR="000D4F1D" w:rsidP="000D4F1D" w:rsidRDefault="000D4F1D" w14:paraId="26B0A67C" w14:textId="77777777">
      <w:pPr>
        <w:spacing w:after="160" w:line="278" w:lineRule="auto"/>
        <w:contextualSpacing/>
      </w:pPr>
    </w:p>
    <w:p w:rsidR="009E7F88" w:rsidP="009E7F88" w:rsidRDefault="009E7F88" w14:paraId="62EB13A5" w14:textId="77777777">
      <w:pPr>
        <w:spacing w:after="160" w:line="278" w:lineRule="auto"/>
        <w:contextualSpacing/>
      </w:pPr>
      <w:r>
        <w:t xml:space="preserve">Het beleidsdebat ging in op </w:t>
      </w:r>
      <w:r w:rsidRPr="007F53D0">
        <w:t>het optimaal benutten van het Europese innovatiepotentieel</w:t>
      </w:r>
      <w:r>
        <w:t>. Het Cypriotisch voorzitterschap gaf bij de introductie van het beleidsdebat aan dat fundamenteel onderzoek en ‘deep tech’-innovatie bepalend zijn voor de toekomst van de EU. Het voorzitterschap benoemde dat het innovatiepotentieel van de EU ontsloten moet worden en dat we daar gezamenlijk voor aan de lat staan. Het voorstel van de Commissie om een 28</w:t>
      </w:r>
      <w:r w:rsidRPr="003419AF">
        <w:rPr>
          <w:vertAlign w:val="superscript"/>
        </w:rPr>
        <w:t>ste</w:t>
      </w:r>
      <w:r>
        <w:t xml:space="preserve"> regime te introduceren, draagt hieraan bij. Dit regime </w:t>
      </w:r>
      <w:r w:rsidRPr="005C352E">
        <w:t>introduceert een geharmoniseerde optionele Europese rechtsvorm, de EU Inc. Dit is een rechtsvorm die vergelijkbaar is met de Nederlandse BV.</w:t>
      </w:r>
      <w:r>
        <w:rPr>
          <w:rStyle w:val="Voetnootmarkering"/>
        </w:rPr>
        <w:footnoteReference w:id="1"/>
      </w:r>
      <w:r w:rsidDel="005C352E">
        <w:t xml:space="preserve"> </w:t>
      </w:r>
      <w:r w:rsidRPr="006A5CAF">
        <w:t>De doelstellingen van het voorstel zijn het creëren van betere voorwaarden voor het starten van ondernemingen, het realiseren van betere kansen voor het groeien en opschalen van ondernemingen in de Europese Unie en het aanmoedigen van investeringen in Europese ondernemingen.</w:t>
      </w:r>
      <w:r>
        <w:t xml:space="preserve"> </w:t>
      </w:r>
    </w:p>
    <w:p w:rsidR="009E7F88" w:rsidP="009E7F88" w:rsidRDefault="009E7F88" w14:paraId="4DADC589" w14:textId="375C16FF">
      <w:pPr>
        <w:spacing w:after="160" w:line="278" w:lineRule="auto"/>
        <w:contextualSpacing/>
      </w:pPr>
      <w:r>
        <w:t xml:space="preserve">Het Cypriotisch voorzitterschap sloot af met de oproep dat het van belang is dat de EU talent aan blijft trekken. </w:t>
      </w:r>
    </w:p>
    <w:p w:rsidR="009E7F88" w:rsidP="009E7F88" w:rsidRDefault="009E7F88" w14:paraId="1E7FECEB" w14:textId="77777777">
      <w:pPr>
        <w:spacing w:after="160" w:line="278" w:lineRule="auto"/>
        <w:contextualSpacing/>
      </w:pPr>
    </w:p>
    <w:p w:rsidR="009E7F88" w:rsidP="009E7F88" w:rsidRDefault="009E7F88" w14:paraId="2CB0A62D" w14:textId="77777777">
      <w:pPr>
        <w:spacing w:after="160" w:line="278" w:lineRule="auto"/>
        <w:contextualSpacing/>
      </w:pPr>
      <w:r>
        <w:t>De Eurocommissaris vulde aan dat de Commissie, naast het 28</w:t>
      </w:r>
      <w:r w:rsidRPr="004D38F1">
        <w:rPr>
          <w:vertAlign w:val="superscript"/>
        </w:rPr>
        <w:t>ste</w:t>
      </w:r>
      <w:r>
        <w:t xml:space="preserve"> regime, ook werkt aan de implementatie van de startup en scale-up strategie</w:t>
      </w:r>
      <w:r>
        <w:rPr>
          <w:rStyle w:val="Voetnootmarkering"/>
        </w:rPr>
        <w:footnoteReference w:id="2"/>
      </w:r>
      <w:r>
        <w:t xml:space="preserve"> zodat fragmentatie van regelgeving in de EU tegen wordt gegaan en meer investeerders kunnen worden aangetrokken. Verder zet de Commissie in op het Scaleup Europe Fund</w:t>
      </w:r>
      <w:r>
        <w:rPr>
          <w:rStyle w:val="Voetnootmarkering"/>
        </w:rPr>
        <w:footnoteReference w:id="3"/>
      </w:r>
      <w:r>
        <w:t xml:space="preserve">, dat investeringen in scale-ups mogelijk maakt en bijdraagt aan strategische groei van baanbrekende technologieën. De Commissie gaf aan dat dit fonds, samen met het nieuwe kaderprogramma, Horizon Europe (2028-2034), bijdraagt aan het doel om 3% van het bbp aan investeringen in onderzoek en ontwikkeling te besteden. De Eurocommissaris onderschreef de oproep van het Cypriotische voorzitterschap dat het aantrekken van talent voor Europa cruciaal is. Dit zal daarom worden meegenomen in de ERA Act, waarin ook bijvoorbeeld academische vrijheid als onderwerp terugkomt. </w:t>
      </w:r>
    </w:p>
    <w:p w:rsidR="009E7F88" w:rsidP="009E7F88" w:rsidRDefault="009E7F88" w14:paraId="0FE3C5AC" w14:textId="77777777">
      <w:pPr>
        <w:spacing w:after="160" w:line="278" w:lineRule="auto"/>
        <w:contextualSpacing/>
      </w:pPr>
    </w:p>
    <w:p w:rsidR="009E7F88" w:rsidP="009E7F88" w:rsidRDefault="009E7F88" w14:paraId="3023093D" w14:textId="77777777">
      <w:pPr>
        <w:spacing w:after="160" w:line="278" w:lineRule="auto"/>
        <w:contextualSpacing/>
      </w:pPr>
      <w:r w:rsidRPr="00927F45">
        <w:t>Lidstaten</w:t>
      </w:r>
      <w:r>
        <w:t>, waaronder Nederland,</w:t>
      </w:r>
      <w:r w:rsidRPr="00927F45">
        <w:t xml:space="preserve"> verwelkomden de inzet van het voorzitterschap en de Commissie, omdat dit goed aansluit bij de positie van Nederland zoals onder andere verwoord in </w:t>
      </w:r>
      <w:r>
        <w:t>het BNC-fiche over het nieuwe kaderprogramma.</w:t>
      </w:r>
      <w:r>
        <w:rPr>
          <w:rStyle w:val="Voetnootmarkering"/>
        </w:rPr>
        <w:footnoteReference w:id="4"/>
      </w:r>
      <w:r>
        <w:t xml:space="preserve"> </w:t>
      </w:r>
    </w:p>
    <w:p w:rsidR="009E7F88" w:rsidP="009E7F88" w:rsidRDefault="009E7F88" w14:paraId="4B263403" w14:textId="77777777">
      <w:pPr>
        <w:spacing w:after="160" w:line="278" w:lineRule="auto"/>
        <w:contextualSpacing/>
      </w:pPr>
      <w:r>
        <w:t xml:space="preserve">Zo werd door veel lidstaten benadrukt dat het </w:t>
      </w:r>
      <w:r w:rsidRPr="001859AA">
        <w:t>noodzaak</w:t>
      </w:r>
      <w:r>
        <w:t xml:space="preserve"> is om een naadloos investeringstraject van fundamenteel en toegepast onderzoek tot startup, scale-up en wereldwijde productie te ontwikkelen. Hierbij werd ook benoemd dat strategische O&amp;I-ecosystemen hierin van groot belang</w:t>
      </w:r>
      <w:r w:rsidRPr="007B1A62">
        <w:t xml:space="preserve"> </w:t>
      </w:r>
      <w:r>
        <w:t xml:space="preserve">zijn, zodat excellent </w:t>
      </w:r>
      <w:r>
        <w:lastRenderedPageBreak/>
        <w:t xml:space="preserve">onderzoek ook tot economische impact kan leiden en kennis kansen biedt voor bedrijven. Inzet op </w:t>
      </w:r>
      <w:r w:rsidRPr="001859AA">
        <w:t xml:space="preserve">financiering voor opschaling, bijvoorbeeld </w:t>
      </w:r>
      <w:r>
        <w:t xml:space="preserve">via </w:t>
      </w:r>
      <w:r w:rsidRPr="001859AA">
        <w:t>het Scaleup</w:t>
      </w:r>
      <w:r>
        <w:t xml:space="preserve"> Europe Fund, werd om deze reden verwelkomd. </w:t>
      </w:r>
    </w:p>
    <w:p w:rsidR="009E7F88" w:rsidP="009E7F88" w:rsidRDefault="009E7F88" w14:paraId="13A6428A" w14:textId="77777777">
      <w:pPr>
        <w:spacing w:after="160" w:line="278" w:lineRule="auto"/>
        <w:contextualSpacing/>
      </w:pPr>
    </w:p>
    <w:p w:rsidR="009E7F88" w:rsidP="009E7F88" w:rsidRDefault="009E7F88" w14:paraId="6C536DBD" w14:textId="77777777">
      <w:pPr>
        <w:spacing w:after="160" w:line="278" w:lineRule="auto"/>
        <w:contextualSpacing/>
      </w:pPr>
      <w:r>
        <w:t xml:space="preserve">De lidstaten gaven verder aan dat bovengenoemde punten ook onder het volgende Meerjarig Financieel Kader (MFK) zouden moeten worden doorgezet, onder andere door de verbinding tussen Horizon Europe (2028-2034) en het Europees Concurrentievermogenfonds (ECF). Hierdoor zal in Europa het klimaat voor publiek-private samenwerking versterken en komt de doelstelling om 3% van het bbp te investeren in onderzoek en ontwikkeling dichterbij. Nederland verwelkomde deze interventies van andere lidstaten, omdat Nederland ook het belang van investeringen in onderzoek, ontwikkeling en innovatie voor het versterken van het concurrentievermogen ziet. </w:t>
      </w:r>
    </w:p>
    <w:p w:rsidR="009E7F88" w:rsidP="009E7F88" w:rsidRDefault="009E7F88" w14:paraId="57A5E20C" w14:textId="77777777">
      <w:pPr>
        <w:suppressAutoHyphens/>
        <w:spacing w:line="276" w:lineRule="auto"/>
      </w:pPr>
    </w:p>
    <w:p w:rsidR="009E7F88" w:rsidP="009E7F88" w:rsidRDefault="009E7F88" w14:paraId="11DDBFE7" w14:textId="77777777">
      <w:pPr>
        <w:suppressAutoHyphens/>
        <w:spacing w:line="276" w:lineRule="auto"/>
      </w:pPr>
      <w:r>
        <w:t xml:space="preserve">Nederland omarmde de inzet van de Commissie om de staatssteunregels te herzien. Het is hierbij met name belangrijk om de definitie voor ‘Onderneming in Moeilijkheden’ aan te passen. Beginnende bedrijven, met name startups en scale-ups, worden gefinancierd met veel vreemd kapitaal en hebben op papier grote schulden. Dat verhindert hen om binnen de huidige staatsteunregels publieke investeringen aan te trekken. </w:t>
      </w:r>
    </w:p>
    <w:p w:rsidR="009E7F88" w:rsidP="009E7F88" w:rsidRDefault="009E7F88" w14:paraId="0317B6B8" w14:textId="77777777">
      <w:pPr>
        <w:spacing w:after="160" w:line="278" w:lineRule="auto"/>
        <w:contextualSpacing/>
      </w:pPr>
    </w:p>
    <w:p w:rsidRPr="001E3010" w:rsidR="009E7F88" w:rsidP="009E7F88" w:rsidRDefault="009E7F88" w14:paraId="3FC9745B" w14:textId="77777777">
      <w:pPr>
        <w:spacing w:after="160" w:line="278" w:lineRule="auto"/>
      </w:pPr>
      <w:r>
        <w:t xml:space="preserve">Met betrekking tot het aantrekken van talentvolle onderzoekers, innovators en investeerders, een ambitie die ook in het regeerakkoord is opgenomen, noemde Nederland het belang van stabiliteit en voorspelbaarheid in beleid en betrouwbare structuren. Verder werd door vele lidstaten, waaronder Nederland, het ‘talent trekt talent aan’-effect benadrukt van instrumenten zoals de European Research Council (ERC) en Marie Skłodowska Curie Actions (MSCA). </w:t>
      </w:r>
    </w:p>
    <w:p w:rsidR="009E7F88" w:rsidP="009E7F88" w:rsidRDefault="009E7F88" w14:paraId="2E8193CA" w14:textId="77777777">
      <w:pPr>
        <w:spacing w:after="160" w:line="278" w:lineRule="auto"/>
        <w:contextualSpacing/>
      </w:pPr>
      <w:r>
        <w:t>Als laatste benadrukten verschillende lidstaten de noodzaak van het verder omarmen van “de vijfde vrijheid”, in lijn met het Letta rapport</w:t>
      </w:r>
      <w:r>
        <w:rPr>
          <w:rStyle w:val="Voetnootmarkering"/>
        </w:rPr>
        <w:footnoteReference w:id="5"/>
      </w:r>
      <w:r>
        <w:t xml:space="preserve"> uit 2024. </w:t>
      </w:r>
      <w:r w:rsidRPr="0041281F">
        <w:t>De vijfde vrijheid</w:t>
      </w:r>
      <w:r>
        <w:t xml:space="preserve"> </w:t>
      </w:r>
      <w:r w:rsidRPr="0041281F">
        <w:t>bepleit het vrije verkeer van onderzoek, innovatie, kennis en onderwijs binnen de Europese Unie.</w:t>
      </w:r>
      <w:r>
        <w:t xml:space="preserve"> </w:t>
      </w:r>
      <w:r w:rsidRPr="0041281F">
        <w:t>Het is een uitbreiding op</w:t>
      </w:r>
      <w:r>
        <w:t xml:space="preserve"> de</w:t>
      </w:r>
      <w:r w:rsidRPr="0041281F">
        <w:t xml:space="preserve"> klassieke interne markt: de ruimte zonder binnengrenzen waarin het vrije verkeer van </w:t>
      </w:r>
      <w:r>
        <w:t>1.</w:t>
      </w:r>
      <w:r w:rsidRPr="0041281F">
        <w:t xml:space="preserve"> goederen, </w:t>
      </w:r>
      <w:r>
        <w:t xml:space="preserve">2. </w:t>
      </w:r>
      <w:r w:rsidRPr="0041281F">
        <w:t xml:space="preserve">diensten, </w:t>
      </w:r>
      <w:r>
        <w:t xml:space="preserve">3. </w:t>
      </w:r>
      <w:r w:rsidRPr="0041281F">
        <w:t xml:space="preserve">kapitaal en </w:t>
      </w:r>
      <w:r>
        <w:t xml:space="preserve">4. </w:t>
      </w:r>
      <w:r w:rsidRPr="0041281F">
        <w:t>personen is gewaarborgd.</w:t>
      </w:r>
      <w:r>
        <w:t xml:space="preserve"> De lidstaten kijken uit naar verdere uitwerking van de vijfde vrijheid onder de ERA-act. </w:t>
      </w:r>
    </w:p>
    <w:p w:rsidR="009E7F88" w:rsidP="009E7F88" w:rsidRDefault="009E7F88" w14:paraId="3C0F76DD" w14:textId="77777777">
      <w:pPr>
        <w:spacing w:line="278" w:lineRule="auto"/>
      </w:pPr>
    </w:p>
    <w:p w:rsidR="009E7F88" w:rsidP="009E7F88" w:rsidRDefault="009E7F88" w14:paraId="384FC4E4" w14:textId="77777777">
      <w:pPr>
        <w:spacing w:line="278" w:lineRule="auto"/>
        <w:rPr>
          <w:rFonts w:eastAsia="Aptos"/>
          <w:kern w:val="2"/>
          <w:szCs w:val="18"/>
          <w:lang w:eastAsia="en-US"/>
          <w14:ligatures w14:val="standardContextual"/>
        </w:rPr>
      </w:pPr>
      <w:r>
        <w:rPr>
          <w:rFonts w:eastAsia="Aptos"/>
          <w:kern w:val="2"/>
          <w:szCs w:val="18"/>
          <w:lang w:eastAsia="en-US"/>
          <w14:ligatures w14:val="standardContextual"/>
        </w:rPr>
        <w:t xml:space="preserve">Het Cypriotisch voorzitterschap sloot de discussie en de Raad af met de constatering dat dat er een sterke en gezamenlijke ambitie is om het Europese onderzoek- en innovatiesysteem te versterken. </w:t>
      </w:r>
    </w:p>
    <w:p w:rsidR="000D4F1D" w:rsidP="000D4F1D" w:rsidRDefault="000D4F1D" w14:paraId="1FB49D5E" w14:textId="77777777"/>
    <w:p w:rsidRPr="00820DDA" w:rsidR="000D4F1D" w:rsidP="000D4F1D" w:rsidRDefault="000D4F1D" w14:paraId="6F05EFD8" w14:textId="77777777">
      <w:pPr>
        <w:spacing w:line="240" w:lineRule="auto"/>
      </w:pPr>
    </w:p>
    <w:p w:rsidRPr="00820DDA" w:rsidR="000D4F1D" w:rsidP="000D4F1D" w:rsidRDefault="000D4F1D" w14:paraId="51CF235C" w14:textId="77777777">
      <w:pPr>
        <w:spacing w:line="240" w:lineRule="auto"/>
      </w:pPr>
    </w:p>
    <w:p w:rsidRPr="00820DDA" w:rsidR="00E44C93" w:rsidP="000D4F1D" w:rsidRDefault="00E44C93" w14:paraId="39465078" w14:textId="77777777"/>
    <w:sectPr w:rsidRPr="00820DDA" w:rsidR="00E44C93"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2428" w14:textId="77777777" w:rsidR="00DC691C" w:rsidRDefault="00E44C93">
      <w:r>
        <w:separator/>
      </w:r>
    </w:p>
    <w:p w14:paraId="642AE241" w14:textId="77777777" w:rsidR="00DC691C" w:rsidRDefault="00DC691C"/>
  </w:endnote>
  <w:endnote w:type="continuationSeparator" w:id="0">
    <w:p w14:paraId="3AC96F3A" w14:textId="77777777" w:rsidR="00DC691C" w:rsidRDefault="00E44C93">
      <w:r>
        <w:continuationSeparator/>
      </w:r>
    </w:p>
    <w:p w14:paraId="5CBCC61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A03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B2C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E7258" w14:paraId="0FCB662A" w14:textId="77777777" w:rsidTr="004C7E1D">
      <w:trPr>
        <w:trHeight w:hRule="exact" w:val="357"/>
      </w:trPr>
      <w:tc>
        <w:tcPr>
          <w:tcW w:w="7603" w:type="dxa"/>
        </w:tcPr>
        <w:p w14:paraId="2AD42875" w14:textId="77777777" w:rsidR="002F71BB" w:rsidRPr="004C7E1D" w:rsidRDefault="002F71BB" w:rsidP="004C7E1D">
          <w:pPr>
            <w:spacing w:line="180" w:lineRule="exact"/>
            <w:rPr>
              <w:sz w:val="13"/>
              <w:szCs w:val="13"/>
            </w:rPr>
          </w:pPr>
        </w:p>
      </w:tc>
      <w:tc>
        <w:tcPr>
          <w:tcW w:w="2172" w:type="dxa"/>
        </w:tcPr>
        <w:p w14:paraId="2820DD02" w14:textId="44094CF7" w:rsidR="002F71BB" w:rsidRPr="004C7E1D" w:rsidRDefault="00E44C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0057">
            <w:rPr>
              <w:szCs w:val="13"/>
            </w:rPr>
            <w:t>3</w:t>
          </w:r>
          <w:r w:rsidRPr="004C7E1D">
            <w:rPr>
              <w:szCs w:val="13"/>
            </w:rPr>
            <w:fldChar w:fldCharType="end"/>
          </w:r>
        </w:p>
      </w:tc>
    </w:tr>
  </w:tbl>
  <w:p w14:paraId="091B1F9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E7258" w14:paraId="78F6CA1E" w14:textId="77777777" w:rsidTr="004C7E1D">
      <w:trPr>
        <w:trHeight w:hRule="exact" w:val="357"/>
      </w:trPr>
      <w:tc>
        <w:tcPr>
          <w:tcW w:w="7709" w:type="dxa"/>
        </w:tcPr>
        <w:p w14:paraId="2151AD5E" w14:textId="77777777" w:rsidR="00D17084" w:rsidRPr="004C7E1D" w:rsidRDefault="00D17084" w:rsidP="004C7E1D">
          <w:pPr>
            <w:spacing w:line="180" w:lineRule="exact"/>
            <w:rPr>
              <w:sz w:val="13"/>
              <w:szCs w:val="13"/>
            </w:rPr>
          </w:pPr>
        </w:p>
      </w:tc>
      <w:tc>
        <w:tcPr>
          <w:tcW w:w="2060" w:type="dxa"/>
        </w:tcPr>
        <w:p w14:paraId="5574B2A8" w14:textId="4BE2DA86" w:rsidR="00D17084" w:rsidRPr="004C7E1D" w:rsidRDefault="00E44C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0057">
            <w:rPr>
              <w:szCs w:val="13"/>
            </w:rPr>
            <w:t>3</w:t>
          </w:r>
          <w:r w:rsidRPr="004C7E1D">
            <w:rPr>
              <w:szCs w:val="13"/>
            </w:rPr>
            <w:fldChar w:fldCharType="end"/>
          </w:r>
        </w:p>
      </w:tc>
    </w:tr>
  </w:tbl>
  <w:p w14:paraId="2EB4E11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AE02" w14:textId="77777777" w:rsidR="00DC691C" w:rsidRDefault="00E44C93">
      <w:r>
        <w:separator/>
      </w:r>
    </w:p>
    <w:p w14:paraId="4D983A66" w14:textId="77777777" w:rsidR="00DC691C" w:rsidRDefault="00DC691C"/>
  </w:footnote>
  <w:footnote w:type="continuationSeparator" w:id="0">
    <w:p w14:paraId="368EC095" w14:textId="77777777" w:rsidR="00DC691C" w:rsidRDefault="00E44C93">
      <w:r>
        <w:continuationSeparator/>
      </w:r>
    </w:p>
    <w:p w14:paraId="1D7EEE45" w14:textId="77777777" w:rsidR="00DC691C" w:rsidRDefault="00DC691C"/>
  </w:footnote>
  <w:footnote w:id="1">
    <w:p w14:paraId="6741390A" w14:textId="77777777" w:rsidR="009E7F88" w:rsidRDefault="009E7F88" w:rsidP="009E7F88">
      <w:pPr>
        <w:pStyle w:val="Voetnoottekst"/>
      </w:pPr>
      <w:r>
        <w:rPr>
          <w:rStyle w:val="Voetnootmarkering"/>
        </w:rPr>
        <w:footnoteRef/>
      </w:r>
      <w:r>
        <w:t xml:space="preserve"> </w:t>
      </w:r>
      <w:r w:rsidRPr="004834D5">
        <w:t>https://www.rijksoverheid.nl/documenten/2026/03/18/fiche1voorstel28steregimevoorondernemingeneuinc</w:t>
      </w:r>
    </w:p>
  </w:footnote>
  <w:footnote w:id="2">
    <w:p w14:paraId="4C362925" w14:textId="77777777" w:rsidR="009E7F88" w:rsidRDefault="009E7F88" w:rsidP="009E7F88">
      <w:pPr>
        <w:pStyle w:val="Voetnoottekst"/>
      </w:pPr>
      <w:r>
        <w:rPr>
          <w:rStyle w:val="Voetnootmarkering"/>
        </w:rPr>
        <w:footnoteRef/>
      </w:r>
      <w:r>
        <w:t xml:space="preserve"> </w:t>
      </w:r>
      <w:hyperlink r:id="rId1" w:history="1">
        <w:r w:rsidRPr="0026358C">
          <w:rPr>
            <w:rStyle w:val="Hyperlink"/>
          </w:rPr>
          <w:t>https://research-and-innovation.ec.europa.eu/strategy/strategy-research-and-innovation/jobs-and-economy/eu-startup-and-scaleup-strategy_en</w:t>
        </w:r>
      </w:hyperlink>
      <w:r>
        <w:t xml:space="preserve"> </w:t>
      </w:r>
    </w:p>
  </w:footnote>
  <w:footnote w:id="3">
    <w:p w14:paraId="54D55B97" w14:textId="77777777" w:rsidR="009E7F88" w:rsidRPr="00AD1367" w:rsidRDefault="009E7F88" w:rsidP="009E7F88">
      <w:pPr>
        <w:pStyle w:val="Voetnoottekst"/>
      </w:pPr>
      <w:r>
        <w:rPr>
          <w:rStyle w:val="Voetnootmarkering"/>
        </w:rPr>
        <w:footnoteRef/>
      </w:r>
      <w:r w:rsidRPr="00AD1367">
        <w:t xml:space="preserve"> </w:t>
      </w:r>
      <w:hyperlink r:id="rId2" w:history="1">
        <w:r w:rsidRPr="000A7666">
          <w:rPr>
            <w:rStyle w:val="Hyperlink"/>
          </w:rPr>
          <w:t>https://eic.ec.europa.eu/eic-fund/scaleup-europe-fund_en</w:t>
        </w:r>
      </w:hyperlink>
      <w:r>
        <w:t xml:space="preserve"> </w:t>
      </w:r>
      <w:r>
        <w:fldChar w:fldCharType="begin"/>
      </w:r>
      <w:r w:rsidRPr="00AD1367">
        <w:instrText>HYPhttps://eic.ec.europa.eu/eic-fund/scaleup-europe-fund_en"</w:instrText>
      </w:r>
      <w:r>
        <w:fldChar w:fldCharType="separate"/>
      </w:r>
      <w:r w:rsidRPr="00AD1367">
        <w:rPr>
          <w:rStyle w:val="Hyperlink"/>
        </w:rPr>
        <w:t>Scaleup Europe Fund - European Innovation Council - European Commission</w:t>
      </w:r>
      <w:r>
        <w:fldChar w:fldCharType="end"/>
      </w:r>
    </w:p>
  </w:footnote>
  <w:footnote w:id="4">
    <w:p w14:paraId="18277FF5" w14:textId="77777777" w:rsidR="009E7F88" w:rsidRDefault="009E7F88" w:rsidP="009E7F88">
      <w:pPr>
        <w:pStyle w:val="Voetnoottekst"/>
      </w:pPr>
      <w:r>
        <w:rPr>
          <w:rStyle w:val="Voetnootmarkering"/>
        </w:rPr>
        <w:footnoteRef/>
      </w:r>
      <w:r>
        <w:t xml:space="preserve"> </w:t>
      </w:r>
      <w:hyperlink r:id="rId3" w:history="1">
        <w:r w:rsidRPr="00E46E8B">
          <w:rPr>
            <w:rStyle w:val="Hyperlink"/>
          </w:rPr>
          <w:t>https://www.rijksoverheid.nl/documenten/publicaties/2025/09/12/bnc-fiche-mfk-voorstel-verordening-en-besluit-horizon-europa-het-europese-kaderprogramma-voor-onderzoek-en-innovatie</w:t>
        </w:r>
      </w:hyperlink>
      <w:r>
        <w:t xml:space="preserve"> </w:t>
      </w:r>
    </w:p>
  </w:footnote>
  <w:footnote w:id="5">
    <w:p w14:paraId="3E649426" w14:textId="77777777" w:rsidR="009E7F88" w:rsidRPr="00AD1367" w:rsidRDefault="009E7F88" w:rsidP="009E7F88">
      <w:pPr>
        <w:pStyle w:val="Voetnoottekst"/>
      </w:pPr>
      <w:r>
        <w:rPr>
          <w:rStyle w:val="Voetnootmarkering"/>
        </w:rPr>
        <w:footnoteRef/>
      </w:r>
      <w:r w:rsidRPr="00AD1367">
        <w:t xml:space="preserve"> </w:t>
      </w:r>
      <w:hyperlink r:id="rId4" w:history="1">
        <w:r w:rsidRPr="00AD1367">
          <w:rPr>
            <w:rStyle w:val="Hyperlink"/>
          </w:rPr>
          <w:t>https://european-research-area.ec.europa.eu/documents/letta-report-much-more-market-april-2024</w:t>
        </w:r>
      </w:hyperlink>
      <w:r w:rsidRPr="00AD13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449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E7258" w14:paraId="79836589" w14:textId="77777777" w:rsidTr="006D2D53">
      <w:trPr>
        <w:trHeight w:hRule="exact" w:val="400"/>
      </w:trPr>
      <w:tc>
        <w:tcPr>
          <w:tcW w:w="7518" w:type="dxa"/>
        </w:tcPr>
        <w:p w14:paraId="21A2B195" w14:textId="77777777" w:rsidR="00527BD4" w:rsidRPr="00275984" w:rsidRDefault="00527BD4" w:rsidP="00BF4427">
          <w:pPr>
            <w:pStyle w:val="Huisstijl-Rubricering"/>
          </w:pPr>
        </w:p>
      </w:tc>
    </w:tr>
  </w:tbl>
  <w:p w14:paraId="40DB32C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E7258" w14:paraId="38F6C874" w14:textId="77777777" w:rsidTr="003B528D">
      <w:tc>
        <w:tcPr>
          <w:tcW w:w="2160" w:type="dxa"/>
        </w:tcPr>
        <w:p w14:paraId="3436E4DD" w14:textId="77777777" w:rsidR="002F71BB" w:rsidRPr="000407BB" w:rsidRDefault="00E44C93" w:rsidP="005D283A">
          <w:pPr>
            <w:pStyle w:val="Colofonkop"/>
            <w:framePr w:hSpace="0" w:wrap="auto" w:vAnchor="margin" w:hAnchor="text" w:xAlign="left" w:yAlign="inline"/>
          </w:pPr>
          <w:r>
            <w:t>Onze referentie</w:t>
          </w:r>
        </w:p>
      </w:tc>
    </w:tr>
    <w:tr w:rsidR="00AE7258" w14:paraId="14B42D5C" w14:textId="77777777" w:rsidTr="002F71BB">
      <w:trPr>
        <w:trHeight w:val="259"/>
      </w:trPr>
      <w:tc>
        <w:tcPr>
          <w:tcW w:w="2160" w:type="dxa"/>
        </w:tcPr>
        <w:p w14:paraId="6E74DFA2" w14:textId="77777777" w:rsidR="00E35CF4" w:rsidRPr="005D283A" w:rsidRDefault="00E44C93" w:rsidP="0049501A">
          <w:pPr>
            <w:spacing w:line="180" w:lineRule="exact"/>
            <w:rPr>
              <w:sz w:val="13"/>
              <w:szCs w:val="13"/>
            </w:rPr>
          </w:pPr>
          <w:r>
            <w:rPr>
              <w:sz w:val="13"/>
              <w:szCs w:val="13"/>
            </w:rPr>
            <w:t>63351141</w:t>
          </w:r>
        </w:p>
      </w:tc>
    </w:tr>
  </w:tbl>
  <w:p w14:paraId="5F3CDE4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7258" w14:paraId="526C08CD" w14:textId="77777777" w:rsidTr="001377D4">
      <w:trPr>
        <w:trHeight w:val="2636"/>
      </w:trPr>
      <w:tc>
        <w:tcPr>
          <w:tcW w:w="737" w:type="dxa"/>
        </w:tcPr>
        <w:p w14:paraId="76E95FFB" w14:textId="77777777" w:rsidR="00704845" w:rsidRDefault="00704845" w:rsidP="0047126E">
          <w:pPr>
            <w:framePr w:w="6339" w:h="2750" w:hRule="exact" w:hSpace="181" w:wrap="around" w:vAnchor="page" w:hAnchor="page" w:x="5586" w:y="1"/>
            <w:spacing w:line="240" w:lineRule="auto"/>
          </w:pPr>
        </w:p>
      </w:tc>
      <w:tc>
        <w:tcPr>
          <w:tcW w:w="5156" w:type="dxa"/>
        </w:tcPr>
        <w:p w14:paraId="72142661" w14:textId="77777777" w:rsidR="00704845" w:rsidRDefault="00E44C93" w:rsidP="0047126E">
          <w:pPr>
            <w:framePr w:w="3873" w:h="2625" w:hRule="exact" w:wrap="around" w:vAnchor="page" w:hAnchor="page" w:x="6323" w:y="1"/>
          </w:pPr>
          <w:r>
            <w:rPr>
              <w:noProof/>
              <w:lang w:val="en-US" w:eastAsia="en-US"/>
            </w:rPr>
            <w:drawing>
              <wp:inline distT="0" distB="0" distL="0" distR="0" wp14:anchorId="3E465B26" wp14:editId="2C239AD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113D5F" w14:textId="77777777" w:rsidR="00483ECA" w:rsidRDefault="00483ECA" w:rsidP="00D037A9"/>
      </w:tc>
    </w:tr>
  </w:tbl>
  <w:p w14:paraId="159A8F8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E7258" w14:paraId="11F2B4BF" w14:textId="77777777" w:rsidTr="0008539E">
      <w:trPr>
        <w:trHeight w:hRule="exact" w:val="572"/>
      </w:trPr>
      <w:tc>
        <w:tcPr>
          <w:tcW w:w="7520" w:type="dxa"/>
        </w:tcPr>
        <w:p w14:paraId="65809C22" w14:textId="77777777" w:rsidR="00527BD4" w:rsidRPr="00963440" w:rsidRDefault="00E44C93" w:rsidP="00210BA3">
          <w:pPr>
            <w:pStyle w:val="Huisstijl-Adres"/>
            <w:spacing w:after="0"/>
          </w:pPr>
          <w:r w:rsidRPr="009E3B07">
            <w:t>&gt;Retouradres </w:t>
          </w:r>
          <w:r>
            <w:t>Postbus 16375 2500 BJ Den Haag</w:t>
          </w:r>
          <w:r w:rsidRPr="009E3B07">
            <w:t xml:space="preserve"> </w:t>
          </w:r>
        </w:p>
      </w:tc>
    </w:tr>
    <w:tr w:rsidR="00AE7258" w14:paraId="30766F70" w14:textId="77777777" w:rsidTr="00E776C6">
      <w:trPr>
        <w:cantSplit/>
        <w:trHeight w:hRule="exact" w:val="238"/>
      </w:trPr>
      <w:tc>
        <w:tcPr>
          <w:tcW w:w="7520" w:type="dxa"/>
        </w:tcPr>
        <w:p w14:paraId="270CC88C" w14:textId="77777777" w:rsidR="00093ABC" w:rsidRPr="00963440" w:rsidRDefault="00093ABC" w:rsidP="00963440"/>
      </w:tc>
    </w:tr>
    <w:tr w:rsidR="00AE7258" w14:paraId="26CA65C5" w14:textId="77777777" w:rsidTr="00E776C6">
      <w:trPr>
        <w:cantSplit/>
        <w:trHeight w:hRule="exact" w:val="1520"/>
      </w:trPr>
      <w:tc>
        <w:tcPr>
          <w:tcW w:w="7520" w:type="dxa"/>
        </w:tcPr>
        <w:p w14:paraId="4A9DE797" w14:textId="77777777" w:rsidR="00A604D3" w:rsidRPr="00963440" w:rsidRDefault="00A604D3" w:rsidP="00963440"/>
      </w:tc>
    </w:tr>
    <w:tr w:rsidR="00AE7258" w14:paraId="7FE73985" w14:textId="77777777" w:rsidTr="00E776C6">
      <w:trPr>
        <w:trHeight w:hRule="exact" w:val="1077"/>
      </w:trPr>
      <w:tc>
        <w:tcPr>
          <w:tcW w:w="7520" w:type="dxa"/>
        </w:tcPr>
        <w:p w14:paraId="3DAF0F35" w14:textId="77777777" w:rsidR="00892BA5" w:rsidRPr="00035E67" w:rsidRDefault="00892BA5" w:rsidP="00892BA5">
          <w:pPr>
            <w:tabs>
              <w:tab w:val="left" w:pos="740"/>
            </w:tabs>
            <w:autoSpaceDE w:val="0"/>
            <w:autoSpaceDN w:val="0"/>
            <w:adjustRightInd w:val="0"/>
            <w:rPr>
              <w:rFonts w:cs="Verdana"/>
              <w:szCs w:val="18"/>
            </w:rPr>
          </w:pPr>
        </w:p>
      </w:tc>
    </w:tr>
  </w:tbl>
  <w:p w14:paraId="64969847" w14:textId="77777777" w:rsidR="006F273B" w:rsidRDefault="006F273B" w:rsidP="00BC4AE3">
    <w:pPr>
      <w:pStyle w:val="Koptekst"/>
    </w:pPr>
  </w:p>
  <w:p w14:paraId="005CCA77" w14:textId="77777777" w:rsidR="00153BD0" w:rsidRDefault="00153BD0" w:rsidP="00BC4AE3">
    <w:pPr>
      <w:pStyle w:val="Koptekst"/>
    </w:pPr>
  </w:p>
  <w:p w14:paraId="02CFF593" w14:textId="77777777" w:rsidR="0044605E" w:rsidRDefault="0044605E" w:rsidP="00BC4AE3">
    <w:pPr>
      <w:pStyle w:val="Koptekst"/>
    </w:pPr>
  </w:p>
  <w:p w14:paraId="7F0CC0AC" w14:textId="77777777" w:rsidR="0044605E" w:rsidRDefault="0044605E" w:rsidP="00BC4AE3">
    <w:pPr>
      <w:pStyle w:val="Koptekst"/>
    </w:pPr>
  </w:p>
  <w:p w14:paraId="27487E8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3F828C8">
      <w:start w:val="1"/>
      <w:numFmt w:val="bullet"/>
      <w:pStyle w:val="Lijstopsomteken"/>
      <w:lvlText w:val="•"/>
      <w:lvlJc w:val="left"/>
      <w:pPr>
        <w:tabs>
          <w:tab w:val="num" w:pos="227"/>
        </w:tabs>
        <w:ind w:left="227" w:hanging="227"/>
      </w:pPr>
      <w:rPr>
        <w:rFonts w:ascii="Verdana" w:hAnsi="Verdana" w:hint="default"/>
        <w:sz w:val="18"/>
        <w:szCs w:val="18"/>
      </w:rPr>
    </w:lvl>
    <w:lvl w:ilvl="1" w:tplc="C55A9772" w:tentative="1">
      <w:start w:val="1"/>
      <w:numFmt w:val="bullet"/>
      <w:lvlText w:val="o"/>
      <w:lvlJc w:val="left"/>
      <w:pPr>
        <w:tabs>
          <w:tab w:val="num" w:pos="1440"/>
        </w:tabs>
        <w:ind w:left="1440" w:hanging="360"/>
      </w:pPr>
      <w:rPr>
        <w:rFonts w:ascii="Courier New" w:hAnsi="Courier New" w:cs="Courier New" w:hint="default"/>
      </w:rPr>
    </w:lvl>
    <w:lvl w:ilvl="2" w:tplc="78BE7978" w:tentative="1">
      <w:start w:val="1"/>
      <w:numFmt w:val="bullet"/>
      <w:lvlText w:val=""/>
      <w:lvlJc w:val="left"/>
      <w:pPr>
        <w:tabs>
          <w:tab w:val="num" w:pos="2160"/>
        </w:tabs>
        <w:ind w:left="2160" w:hanging="360"/>
      </w:pPr>
      <w:rPr>
        <w:rFonts w:ascii="Wingdings" w:hAnsi="Wingdings" w:hint="default"/>
      </w:rPr>
    </w:lvl>
    <w:lvl w:ilvl="3" w:tplc="56FED7CC" w:tentative="1">
      <w:start w:val="1"/>
      <w:numFmt w:val="bullet"/>
      <w:lvlText w:val=""/>
      <w:lvlJc w:val="left"/>
      <w:pPr>
        <w:tabs>
          <w:tab w:val="num" w:pos="2880"/>
        </w:tabs>
        <w:ind w:left="2880" w:hanging="360"/>
      </w:pPr>
      <w:rPr>
        <w:rFonts w:ascii="Symbol" w:hAnsi="Symbol" w:hint="default"/>
      </w:rPr>
    </w:lvl>
    <w:lvl w:ilvl="4" w:tplc="607E571E" w:tentative="1">
      <w:start w:val="1"/>
      <w:numFmt w:val="bullet"/>
      <w:lvlText w:val="o"/>
      <w:lvlJc w:val="left"/>
      <w:pPr>
        <w:tabs>
          <w:tab w:val="num" w:pos="3600"/>
        </w:tabs>
        <w:ind w:left="3600" w:hanging="360"/>
      </w:pPr>
      <w:rPr>
        <w:rFonts w:ascii="Courier New" w:hAnsi="Courier New" w:cs="Courier New" w:hint="default"/>
      </w:rPr>
    </w:lvl>
    <w:lvl w:ilvl="5" w:tplc="A8F67B90" w:tentative="1">
      <w:start w:val="1"/>
      <w:numFmt w:val="bullet"/>
      <w:lvlText w:val=""/>
      <w:lvlJc w:val="left"/>
      <w:pPr>
        <w:tabs>
          <w:tab w:val="num" w:pos="4320"/>
        </w:tabs>
        <w:ind w:left="4320" w:hanging="360"/>
      </w:pPr>
      <w:rPr>
        <w:rFonts w:ascii="Wingdings" w:hAnsi="Wingdings" w:hint="default"/>
      </w:rPr>
    </w:lvl>
    <w:lvl w:ilvl="6" w:tplc="E626E32C" w:tentative="1">
      <w:start w:val="1"/>
      <w:numFmt w:val="bullet"/>
      <w:lvlText w:val=""/>
      <w:lvlJc w:val="left"/>
      <w:pPr>
        <w:tabs>
          <w:tab w:val="num" w:pos="5040"/>
        </w:tabs>
        <w:ind w:left="5040" w:hanging="360"/>
      </w:pPr>
      <w:rPr>
        <w:rFonts w:ascii="Symbol" w:hAnsi="Symbol" w:hint="default"/>
      </w:rPr>
    </w:lvl>
    <w:lvl w:ilvl="7" w:tplc="AEB85C42" w:tentative="1">
      <w:start w:val="1"/>
      <w:numFmt w:val="bullet"/>
      <w:lvlText w:val="o"/>
      <w:lvlJc w:val="left"/>
      <w:pPr>
        <w:tabs>
          <w:tab w:val="num" w:pos="5760"/>
        </w:tabs>
        <w:ind w:left="5760" w:hanging="360"/>
      </w:pPr>
      <w:rPr>
        <w:rFonts w:ascii="Courier New" w:hAnsi="Courier New" w:cs="Courier New" w:hint="default"/>
      </w:rPr>
    </w:lvl>
    <w:lvl w:ilvl="8" w:tplc="B2ACF8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C31338"/>
    <w:multiLevelType w:val="hybridMultilevel"/>
    <w:tmpl w:val="8B5A6396"/>
    <w:lvl w:ilvl="0" w:tplc="1222DFA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4FDAE5D4">
      <w:start w:val="1"/>
      <w:numFmt w:val="bullet"/>
      <w:pStyle w:val="Lijstopsomteken2"/>
      <w:lvlText w:val="–"/>
      <w:lvlJc w:val="left"/>
      <w:pPr>
        <w:tabs>
          <w:tab w:val="num" w:pos="227"/>
        </w:tabs>
        <w:ind w:left="227" w:firstLine="0"/>
      </w:pPr>
      <w:rPr>
        <w:rFonts w:ascii="Verdana" w:hAnsi="Verdana" w:hint="default"/>
      </w:rPr>
    </w:lvl>
    <w:lvl w:ilvl="1" w:tplc="73947646" w:tentative="1">
      <w:start w:val="1"/>
      <w:numFmt w:val="bullet"/>
      <w:lvlText w:val="o"/>
      <w:lvlJc w:val="left"/>
      <w:pPr>
        <w:tabs>
          <w:tab w:val="num" w:pos="1440"/>
        </w:tabs>
        <w:ind w:left="1440" w:hanging="360"/>
      </w:pPr>
      <w:rPr>
        <w:rFonts w:ascii="Courier New" w:hAnsi="Courier New" w:cs="Courier New" w:hint="default"/>
      </w:rPr>
    </w:lvl>
    <w:lvl w:ilvl="2" w:tplc="FA149D46" w:tentative="1">
      <w:start w:val="1"/>
      <w:numFmt w:val="bullet"/>
      <w:lvlText w:val=""/>
      <w:lvlJc w:val="left"/>
      <w:pPr>
        <w:tabs>
          <w:tab w:val="num" w:pos="2160"/>
        </w:tabs>
        <w:ind w:left="2160" w:hanging="360"/>
      </w:pPr>
      <w:rPr>
        <w:rFonts w:ascii="Wingdings" w:hAnsi="Wingdings" w:hint="default"/>
      </w:rPr>
    </w:lvl>
    <w:lvl w:ilvl="3" w:tplc="36FCF47E" w:tentative="1">
      <w:start w:val="1"/>
      <w:numFmt w:val="bullet"/>
      <w:lvlText w:val=""/>
      <w:lvlJc w:val="left"/>
      <w:pPr>
        <w:tabs>
          <w:tab w:val="num" w:pos="2880"/>
        </w:tabs>
        <w:ind w:left="2880" w:hanging="360"/>
      </w:pPr>
      <w:rPr>
        <w:rFonts w:ascii="Symbol" w:hAnsi="Symbol" w:hint="default"/>
      </w:rPr>
    </w:lvl>
    <w:lvl w:ilvl="4" w:tplc="30C20F46" w:tentative="1">
      <w:start w:val="1"/>
      <w:numFmt w:val="bullet"/>
      <w:lvlText w:val="o"/>
      <w:lvlJc w:val="left"/>
      <w:pPr>
        <w:tabs>
          <w:tab w:val="num" w:pos="3600"/>
        </w:tabs>
        <w:ind w:left="3600" w:hanging="360"/>
      </w:pPr>
      <w:rPr>
        <w:rFonts w:ascii="Courier New" w:hAnsi="Courier New" w:cs="Courier New" w:hint="default"/>
      </w:rPr>
    </w:lvl>
    <w:lvl w:ilvl="5" w:tplc="76D8BA62" w:tentative="1">
      <w:start w:val="1"/>
      <w:numFmt w:val="bullet"/>
      <w:lvlText w:val=""/>
      <w:lvlJc w:val="left"/>
      <w:pPr>
        <w:tabs>
          <w:tab w:val="num" w:pos="4320"/>
        </w:tabs>
        <w:ind w:left="4320" w:hanging="360"/>
      </w:pPr>
      <w:rPr>
        <w:rFonts w:ascii="Wingdings" w:hAnsi="Wingdings" w:hint="default"/>
      </w:rPr>
    </w:lvl>
    <w:lvl w:ilvl="6" w:tplc="BC046684" w:tentative="1">
      <w:start w:val="1"/>
      <w:numFmt w:val="bullet"/>
      <w:lvlText w:val=""/>
      <w:lvlJc w:val="left"/>
      <w:pPr>
        <w:tabs>
          <w:tab w:val="num" w:pos="5040"/>
        </w:tabs>
        <w:ind w:left="5040" w:hanging="360"/>
      </w:pPr>
      <w:rPr>
        <w:rFonts w:ascii="Symbol" w:hAnsi="Symbol" w:hint="default"/>
      </w:rPr>
    </w:lvl>
    <w:lvl w:ilvl="7" w:tplc="41A48BAE" w:tentative="1">
      <w:start w:val="1"/>
      <w:numFmt w:val="bullet"/>
      <w:lvlText w:val="o"/>
      <w:lvlJc w:val="left"/>
      <w:pPr>
        <w:tabs>
          <w:tab w:val="num" w:pos="5760"/>
        </w:tabs>
        <w:ind w:left="5760" w:hanging="360"/>
      </w:pPr>
      <w:rPr>
        <w:rFonts w:ascii="Courier New" w:hAnsi="Courier New" w:cs="Courier New" w:hint="default"/>
      </w:rPr>
    </w:lvl>
    <w:lvl w:ilvl="8" w:tplc="05F617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0D77BB"/>
    <w:multiLevelType w:val="hybridMultilevel"/>
    <w:tmpl w:val="03EEFF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000000"/>
    <w:multiLevelType w:val="hybridMultilevel"/>
    <w:tmpl w:val="2C4B9934"/>
    <w:lvl w:ilvl="0" w:tplc="B910125A">
      <w:start w:val="1"/>
      <w:numFmt w:val="bullet"/>
      <w:lvlText w:val=""/>
      <w:lvlJc w:val="left"/>
      <w:pPr>
        <w:tabs>
          <w:tab w:val="left" w:pos="-360"/>
        </w:tabs>
        <w:ind w:left="360" w:hanging="360"/>
      </w:pPr>
      <w:rPr>
        <w:rFonts w:ascii="Symbol" w:eastAsia="Symbol" w:hAnsi="Symbol" w:cs="Symbol" w:hint="default"/>
        <w:shd w:val="clear" w:color="auto" w:fill="auto"/>
      </w:rPr>
    </w:lvl>
    <w:lvl w:ilvl="1" w:tplc="457064B0">
      <w:start w:val="1"/>
      <w:numFmt w:val="bullet"/>
      <w:lvlText w:val=""/>
      <w:lvlJc w:val="left"/>
      <w:pPr>
        <w:tabs>
          <w:tab w:val="left" w:pos="-360"/>
        </w:tabs>
        <w:ind w:left="360" w:hanging="360"/>
      </w:pPr>
      <w:rPr>
        <w:rFonts w:ascii="Symbol" w:eastAsia="Symbol" w:hAnsi="Symbol" w:cs="Symbol" w:hint="default"/>
        <w:shd w:val="clear" w:color="auto" w:fill="auto"/>
      </w:rPr>
    </w:lvl>
    <w:lvl w:ilvl="2" w:tplc="1090D26C">
      <w:start w:val="1"/>
      <w:numFmt w:val="bullet"/>
      <w:lvlText w:val=""/>
      <w:lvlJc w:val="left"/>
      <w:pPr>
        <w:tabs>
          <w:tab w:val="left" w:pos="-360"/>
        </w:tabs>
        <w:ind w:left="360" w:hanging="360"/>
      </w:pPr>
      <w:rPr>
        <w:rFonts w:ascii="Symbol" w:eastAsia="Symbol" w:hAnsi="Symbol" w:cs="Symbol" w:hint="default"/>
        <w:shd w:val="clear" w:color="auto" w:fill="auto"/>
      </w:rPr>
    </w:lvl>
    <w:lvl w:ilvl="3" w:tplc="F9BE8FCC">
      <w:start w:val="1"/>
      <w:numFmt w:val="bullet"/>
      <w:lvlText w:val=""/>
      <w:lvlJc w:val="left"/>
      <w:pPr>
        <w:tabs>
          <w:tab w:val="left" w:pos="-360"/>
        </w:tabs>
        <w:ind w:left="360" w:hanging="360"/>
      </w:pPr>
      <w:rPr>
        <w:rFonts w:ascii="Symbol" w:eastAsia="Symbol" w:hAnsi="Symbol" w:cs="Symbol" w:hint="default"/>
        <w:shd w:val="clear" w:color="auto" w:fill="auto"/>
      </w:rPr>
    </w:lvl>
    <w:lvl w:ilvl="4" w:tplc="0CA0D816">
      <w:start w:val="1"/>
      <w:numFmt w:val="bullet"/>
      <w:lvlText w:val=""/>
      <w:lvlJc w:val="left"/>
      <w:pPr>
        <w:tabs>
          <w:tab w:val="left" w:pos="-360"/>
        </w:tabs>
        <w:ind w:left="360" w:hanging="360"/>
      </w:pPr>
      <w:rPr>
        <w:rFonts w:ascii="Symbol" w:eastAsia="Symbol" w:hAnsi="Symbol" w:cs="Symbol" w:hint="default"/>
        <w:shd w:val="clear" w:color="auto" w:fill="auto"/>
      </w:rPr>
    </w:lvl>
    <w:lvl w:ilvl="5" w:tplc="5E869C0E">
      <w:start w:val="1"/>
      <w:numFmt w:val="bullet"/>
      <w:lvlText w:val=""/>
      <w:lvlJc w:val="left"/>
      <w:pPr>
        <w:tabs>
          <w:tab w:val="left" w:pos="-360"/>
        </w:tabs>
        <w:ind w:left="360" w:hanging="360"/>
      </w:pPr>
      <w:rPr>
        <w:rFonts w:ascii="Symbol" w:eastAsia="Symbol" w:hAnsi="Symbol" w:cs="Symbol" w:hint="default"/>
        <w:shd w:val="clear" w:color="auto" w:fill="auto"/>
      </w:rPr>
    </w:lvl>
    <w:lvl w:ilvl="6" w:tplc="326A5C1C">
      <w:start w:val="1"/>
      <w:numFmt w:val="bullet"/>
      <w:lvlText w:val=""/>
      <w:lvlJc w:val="left"/>
      <w:pPr>
        <w:tabs>
          <w:tab w:val="left" w:pos="-360"/>
        </w:tabs>
        <w:ind w:left="360" w:hanging="360"/>
      </w:pPr>
      <w:rPr>
        <w:rFonts w:ascii="Symbol" w:eastAsia="Symbol" w:hAnsi="Symbol" w:cs="Symbol" w:hint="default"/>
        <w:shd w:val="clear" w:color="auto" w:fill="auto"/>
      </w:rPr>
    </w:lvl>
    <w:lvl w:ilvl="7" w:tplc="15BC291C">
      <w:start w:val="1"/>
      <w:numFmt w:val="bullet"/>
      <w:lvlText w:val=""/>
      <w:lvlJc w:val="left"/>
      <w:pPr>
        <w:tabs>
          <w:tab w:val="left" w:pos="-360"/>
        </w:tabs>
        <w:ind w:left="360" w:hanging="360"/>
      </w:pPr>
      <w:rPr>
        <w:rFonts w:ascii="Symbol" w:eastAsia="Symbol" w:hAnsi="Symbol" w:cs="Symbol" w:hint="default"/>
        <w:shd w:val="clear" w:color="auto" w:fill="auto"/>
      </w:rPr>
    </w:lvl>
    <w:lvl w:ilvl="8" w:tplc="625A73DC">
      <w:start w:val="1"/>
      <w:numFmt w:val="bullet"/>
      <w:lvlText w:val=""/>
      <w:lvlJc w:val="left"/>
      <w:pPr>
        <w:tabs>
          <w:tab w:val="left" w:pos="-360"/>
        </w:tabs>
        <w:ind w:left="360" w:hanging="360"/>
      </w:pPr>
      <w:rPr>
        <w:rFonts w:ascii="Symbol" w:eastAsia="Symbol" w:hAnsi="Symbol" w:cs="Symbol" w:hint="default"/>
        <w:shd w:val="clear" w:color="auto" w:fill="auto"/>
      </w:rPr>
    </w:lvl>
  </w:abstractNum>
  <w:abstractNum w:abstractNumId="16" w15:restartNumberingAfterBreak="0">
    <w:nsid w:val="2F000001"/>
    <w:multiLevelType w:val="hybridMultilevel"/>
    <w:tmpl w:val="48180CDE"/>
    <w:lvl w:ilvl="0" w:tplc="7752ED9C">
      <w:start w:val="1"/>
      <w:numFmt w:val="bullet"/>
      <w:lvlText w:val=""/>
      <w:lvlJc w:val="left"/>
      <w:pPr>
        <w:ind w:left="360" w:hanging="360"/>
      </w:pPr>
      <w:rPr>
        <w:rFonts w:ascii="Symbol" w:eastAsia="Symbol" w:hAnsi="Symbol" w:cs="Symbol" w:hint="default"/>
        <w:shd w:val="clear" w:color="auto" w:fill="auto"/>
      </w:rPr>
    </w:lvl>
    <w:lvl w:ilvl="1" w:tplc="17DCCAFA">
      <w:start w:val="1"/>
      <w:numFmt w:val="bullet"/>
      <w:lvlText w:val="o"/>
      <w:lvlJc w:val="left"/>
      <w:pPr>
        <w:ind w:left="1080" w:hanging="360"/>
      </w:pPr>
      <w:rPr>
        <w:rFonts w:ascii="Courier New" w:eastAsia="Courier New" w:hAnsi="Courier New" w:cs="Courier New" w:hint="default"/>
        <w:shd w:val="clear" w:color="auto" w:fill="auto"/>
      </w:rPr>
    </w:lvl>
    <w:lvl w:ilvl="2" w:tplc="60E6AD96">
      <w:start w:val="1"/>
      <w:numFmt w:val="bullet"/>
      <w:lvlText w:val=""/>
      <w:lvlJc w:val="left"/>
      <w:pPr>
        <w:ind w:left="1800" w:hanging="360"/>
      </w:pPr>
      <w:rPr>
        <w:rFonts w:ascii="Wingdings" w:eastAsia="Wingdings" w:hAnsi="Wingdings" w:cs="Wingdings" w:hint="default"/>
        <w:shd w:val="clear" w:color="auto" w:fill="auto"/>
      </w:rPr>
    </w:lvl>
    <w:lvl w:ilvl="3" w:tplc="E1DC7012">
      <w:start w:val="1"/>
      <w:numFmt w:val="bullet"/>
      <w:lvlText w:val=""/>
      <w:lvlJc w:val="left"/>
      <w:pPr>
        <w:ind w:left="2520" w:hanging="360"/>
      </w:pPr>
      <w:rPr>
        <w:rFonts w:ascii="Symbol" w:eastAsia="Symbol" w:hAnsi="Symbol" w:cs="Symbol" w:hint="default"/>
        <w:shd w:val="clear" w:color="auto" w:fill="auto"/>
      </w:rPr>
    </w:lvl>
    <w:lvl w:ilvl="4" w:tplc="F4AC2DF0">
      <w:start w:val="1"/>
      <w:numFmt w:val="bullet"/>
      <w:lvlText w:val="o"/>
      <w:lvlJc w:val="left"/>
      <w:pPr>
        <w:ind w:left="3240" w:hanging="360"/>
      </w:pPr>
      <w:rPr>
        <w:rFonts w:ascii="Courier New" w:eastAsia="Courier New" w:hAnsi="Courier New" w:cs="Courier New" w:hint="default"/>
        <w:shd w:val="clear" w:color="auto" w:fill="auto"/>
      </w:rPr>
    </w:lvl>
    <w:lvl w:ilvl="5" w:tplc="BC9E8294">
      <w:start w:val="1"/>
      <w:numFmt w:val="bullet"/>
      <w:lvlText w:val=""/>
      <w:lvlJc w:val="left"/>
      <w:pPr>
        <w:ind w:left="3960" w:hanging="360"/>
      </w:pPr>
      <w:rPr>
        <w:rFonts w:ascii="Wingdings" w:eastAsia="Wingdings" w:hAnsi="Wingdings" w:cs="Wingdings" w:hint="default"/>
        <w:shd w:val="clear" w:color="auto" w:fill="auto"/>
      </w:rPr>
    </w:lvl>
    <w:lvl w:ilvl="6" w:tplc="F7D067DC">
      <w:start w:val="1"/>
      <w:numFmt w:val="bullet"/>
      <w:lvlText w:val=""/>
      <w:lvlJc w:val="left"/>
      <w:pPr>
        <w:ind w:left="4680" w:hanging="360"/>
      </w:pPr>
      <w:rPr>
        <w:rFonts w:ascii="Symbol" w:eastAsia="Symbol" w:hAnsi="Symbol" w:cs="Symbol" w:hint="default"/>
        <w:shd w:val="clear" w:color="auto" w:fill="auto"/>
      </w:rPr>
    </w:lvl>
    <w:lvl w:ilvl="7" w:tplc="FBC415C0">
      <w:start w:val="1"/>
      <w:numFmt w:val="bullet"/>
      <w:lvlText w:val="o"/>
      <w:lvlJc w:val="left"/>
      <w:pPr>
        <w:ind w:left="5400" w:hanging="360"/>
      </w:pPr>
      <w:rPr>
        <w:rFonts w:ascii="Courier New" w:eastAsia="Courier New" w:hAnsi="Courier New" w:cs="Courier New" w:hint="default"/>
        <w:shd w:val="clear" w:color="auto" w:fill="auto"/>
      </w:rPr>
    </w:lvl>
    <w:lvl w:ilvl="8" w:tplc="BD841A50">
      <w:start w:val="1"/>
      <w:numFmt w:val="bullet"/>
      <w:lvlText w:val=""/>
      <w:lvlJc w:val="left"/>
      <w:pPr>
        <w:ind w:left="6120" w:hanging="360"/>
      </w:pPr>
      <w:rPr>
        <w:rFonts w:ascii="Wingdings" w:eastAsia="Wingdings" w:hAnsi="Wingdings" w:cs="Wingdings" w:hint="default"/>
        <w:shd w:val="clear" w:color="auto" w:fill="auto"/>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26A05"/>
    <w:multiLevelType w:val="hybridMultilevel"/>
    <w:tmpl w:val="9F22792E"/>
    <w:lvl w:ilvl="0" w:tplc="99A859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7522853">
    <w:abstractNumId w:val="10"/>
  </w:num>
  <w:num w:numId="2" w16cid:durableId="197746438">
    <w:abstractNumId w:val="7"/>
  </w:num>
  <w:num w:numId="3" w16cid:durableId="1324436223">
    <w:abstractNumId w:val="6"/>
  </w:num>
  <w:num w:numId="4" w16cid:durableId="1386488706">
    <w:abstractNumId w:val="5"/>
  </w:num>
  <w:num w:numId="5" w16cid:durableId="1802844813">
    <w:abstractNumId w:val="4"/>
  </w:num>
  <w:num w:numId="6" w16cid:durableId="318271335">
    <w:abstractNumId w:val="8"/>
  </w:num>
  <w:num w:numId="7" w16cid:durableId="744305408">
    <w:abstractNumId w:val="3"/>
  </w:num>
  <w:num w:numId="8" w16cid:durableId="1730691564">
    <w:abstractNumId w:val="2"/>
  </w:num>
  <w:num w:numId="9" w16cid:durableId="1789009550">
    <w:abstractNumId w:val="1"/>
  </w:num>
  <w:num w:numId="10" w16cid:durableId="1144394701">
    <w:abstractNumId w:val="0"/>
  </w:num>
  <w:num w:numId="11" w16cid:durableId="1646427054">
    <w:abstractNumId w:val="9"/>
  </w:num>
  <w:num w:numId="12" w16cid:durableId="1562400785">
    <w:abstractNumId w:val="11"/>
  </w:num>
  <w:num w:numId="13" w16cid:durableId="326372902">
    <w:abstractNumId w:val="17"/>
  </w:num>
  <w:num w:numId="14" w16cid:durableId="204366025">
    <w:abstractNumId w:val="13"/>
  </w:num>
  <w:num w:numId="15" w16cid:durableId="1890679362">
    <w:abstractNumId w:val="12"/>
  </w:num>
  <w:num w:numId="16" w16cid:durableId="1808625256">
    <w:abstractNumId w:val="18"/>
  </w:num>
  <w:num w:numId="17" w16cid:durableId="692147754">
    <w:abstractNumId w:val="16"/>
  </w:num>
  <w:num w:numId="18" w16cid:durableId="898394533">
    <w:abstractNumId w:val="14"/>
  </w:num>
  <w:num w:numId="19" w16cid:durableId="73049469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4F1D"/>
    <w:rsid w:val="000D6399"/>
    <w:rsid w:val="000E224E"/>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16CC"/>
    <w:rsid w:val="00132540"/>
    <w:rsid w:val="001377D4"/>
    <w:rsid w:val="00142E41"/>
    <w:rsid w:val="0014786A"/>
    <w:rsid w:val="001516A4"/>
    <w:rsid w:val="00151E5F"/>
    <w:rsid w:val="00153BD0"/>
    <w:rsid w:val="001569AB"/>
    <w:rsid w:val="00164D63"/>
    <w:rsid w:val="00165A33"/>
    <w:rsid w:val="0016725C"/>
    <w:rsid w:val="00167DE5"/>
    <w:rsid w:val="0017008F"/>
    <w:rsid w:val="001726F3"/>
    <w:rsid w:val="00173C51"/>
    <w:rsid w:val="001740B9"/>
    <w:rsid w:val="00174CC2"/>
    <w:rsid w:val="00176CC6"/>
    <w:rsid w:val="00177B41"/>
    <w:rsid w:val="00180FF2"/>
    <w:rsid w:val="0018193C"/>
    <w:rsid w:val="00181BE4"/>
    <w:rsid w:val="0018496F"/>
    <w:rsid w:val="00185576"/>
    <w:rsid w:val="00185951"/>
    <w:rsid w:val="001859AA"/>
    <w:rsid w:val="00194A00"/>
    <w:rsid w:val="00195BF3"/>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0CD8"/>
    <w:rsid w:val="002610A6"/>
    <w:rsid w:val="00263FD6"/>
    <w:rsid w:val="002650F7"/>
    <w:rsid w:val="0026575C"/>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5F1"/>
    <w:rsid w:val="002F258D"/>
    <w:rsid w:val="002F3F37"/>
    <w:rsid w:val="002F493B"/>
    <w:rsid w:val="002F4ED5"/>
    <w:rsid w:val="002F5147"/>
    <w:rsid w:val="002F5A0B"/>
    <w:rsid w:val="002F71BB"/>
    <w:rsid w:val="002F7ABD"/>
    <w:rsid w:val="00307B3C"/>
    <w:rsid w:val="00310403"/>
    <w:rsid w:val="00310759"/>
    <w:rsid w:val="00310EF2"/>
    <w:rsid w:val="003115A6"/>
    <w:rsid w:val="00312597"/>
    <w:rsid w:val="00322836"/>
    <w:rsid w:val="00334154"/>
    <w:rsid w:val="003341D0"/>
    <w:rsid w:val="003372C4"/>
    <w:rsid w:val="003419AF"/>
    <w:rsid w:val="00341FA0"/>
    <w:rsid w:val="00342374"/>
    <w:rsid w:val="00344F3D"/>
    <w:rsid w:val="00345299"/>
    <w:rsid w:val="00351A8D"/>
    <w:rsid w:val="003526BB"/>
    <w:rsid w:val="00352BCF"/>
    <w:rsid w:val="00353932"/>
    <w:rsid w:val="0035464B"/>
    <w:rsid w:val="00356D2B"/>
    <w:rsid w:val="00361A56"/>
    <w:rsid w:val="0036252A"/>
    <w:rsid w:val="00364D9D"/>
    <w:rsid w:val="00370DCC"/>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10B8"/>
    <w:rsid w:val="003E3DD5"/>
    <w:rsid w:val="003F07C6"/>
    <w:rsid w:val="003F1F6B"/>
    <w:rsid w:val="003F3757"/>
    <w:rsid w:val="003F44B7"/>
    <w:rsid w:val="004008E9"/>
    <w:rsid w:val="00407991"/>
    <w:rsid w:val="00410057"/>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74AA"/>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09EF"/>
    <w:rsid w:val="00516022"/>
    <w:rsid w:val="00521CEE"/>
    <w:rsid w:val="00527BD4"/>
    <w:rsid w:val="00533061"/>
    <w:rsid w:val="00533FA1"/>
    <w:rsid w:val="00534C77"/>
    <w:rsid w:val="005403C8"/>
    <w:rsid w:val="00541AD9"/>
    <w:rsid w:val="005429DC"/>
    <w:rsid w:val="005565F9"/>
    <w:rsid w:val="005639D2"/>
    <w:rsid w:val="00565739"/>
    <w:rsid w:val="00565FDC"/>
    <w:rsid w:val="00573041"/>
    <w:rsid w:val="00575B80"/>
    <w:rsid w:val="00577559"/>
    <w:rsid w:val="005819CE"/>
    <w:rsid w:val="0058298D"/>
    <w:rsid w:val="00590595"/>
    <w:rsid w:val="00590D0F"/>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1EA4"/>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79C3"/>
    <w:rsid w:val="007E0469"/>
    <w:rsid w:val="007E14E4"/>
    <w:rsid w:val="007E2B20"/>
    <w:rsid w:val="007F5331"/>
    <w:rsid w:val="00800CCA"/>
    <w:rsid w:val="008020F2"/>
    <w:rsid w:val="008028DC"/>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2949"/>
    <w:rsid w:val="00946703"/>
    <w:rsid w:val="009528B2"/>
    <w:rsid w:val="009607C4"/>
    <w:rsid w:val="009616CD"/>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7D3"/>
    <w:rsid w:val="009B5846"/>
    <w:rsid w:val="009B601B"/>
    <w:rsid w:val="009C3F20"/>
    <w:rsid w:val="009C64FB"/>
    <w:rsid w:val="009C7CA1"/>
    <w:rsid w:val="009D043D"/>
    <w:rsid w:val="009D716F"/>
    <w:rsid w:val="009E3B07"/>
    <w:rsid w:val="009E7F88"/>
    <w:rsid w:val="009F2AEE"/>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03C0"/>
    <w:rsid w:val="00AD34B3"/>
    <w:rsid w:val="00AD5B44"/>
    <w:rsid w:val="00AD7608"/>
    <w:rsid w:val="00AE013D"/>
    <w:rsid w:val="00AE11B7"/>
    <w:rsid w:val="00AE18BA"/>
    <w:rsid w:val="00AE7130"/>
    <w:rsid w:val="00AE7258"/>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F6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B48CF"/>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EB2"/>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4C93"/>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AD350"/>
  <w15:docId w15:val="{C9688B7A-E989-43F8-8EAF-DE435D27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3419AF"/>
    <w:rPr>
      <w:vertAlign w:val="superscript"/>
    </w:rPr>
  </w:style>
  <w:style w:type="character" w:styleId="Onopgelostemelding">
    <w:name w:val="Unresolved Mention"/>
    <w:basedOn w:val="Standaardalinea-lettertype"/>
    <w:uiPriority w:val="99"/>
    <w:semiHidden/>
    <w:unhideWhenUsed/>
    <w:rsid w:val="003419AF"/>
    <w:rPr>
      <w:color w:val="605E5C"/>
      <w:shd w:val="clear" w:color="auto" w:fill="E1DFDD"/>
    </w:rPr>
  </w:style>
  <w:style w:type="character" w:customStyle="1" w:styleId="VoetnoottekstChar">
    <w:name w:val="Voetnoottekst Char"/>
    <w:basedOn w:val="Standaardalinea-lettertype"/>
    <w:link w:val="Voetnoottekst"/>
    <w:semiHidden/>
    <w:rsid w:val="003419AF"/>
    <w:rPr>
      <w:rFonts w:ascii="Verdana" w:hAnsi="Verdana"/>
      <w:sz w:val="13"/>
      <w:lang w:val="nl-NL" w:eastAsia="nl-NL"/>
    </w:rPr>
  </w:style>
  <w:style w:type="character" w:styleId="Verwijzingopmerking">
    <w:name w:val="annotation reference"/>
    <w:basedOn w:val="Standaardalinea-lettertype"/>
    <w:rsid w:val="00D91EB2"/>
    <w:rPr>
      <w:sz w:val="16"/>
      <w:szCs w:val="16"/>
    </w:rPr>
  </w:style>
  <w:style w:type="paragraph" w:styleId="Tekstopmerking">
    <w:name w:val="annotation text"/>
    <w:basedOn w:val="Standaard"/>
    <w:link w:val="TekstopmerkingChar"/>
    <w:rsid w:val="00D91EB2"/>
    <w:pPr>
      <w:spacing w:line="240" w:lineRule="auto"/>
    </w:pPr>
    <w:rPr>
      <w:sz w:val="20"/>
      <w:szCs w:val="20"/>
    </w:rPr>
  </w:style>
  <w:style w:type="character" w:customStyle="1" w:styleId="TekstopmerkingChar">
    <w:name w:val="Tekst opmerking Char"/>
    <w:basedOn w:val="Standaardalinea-lettertype"/>
    <w:link w:val="Tekstopmerking"/>
    <w:rsid w:val="00D91EB2"/>
    <w:rPr>
      <w:rFonts w:ascii="Verdana" w:hAnsi="Verdana"/>
      <w:lang w:val="nl-NL" w:eastAsia="nl-NL"/>
    </w:rPr>
  </w:style>
  <w:style w:type="paragraph" w:styleId="Onderwerpvanopmerking">
    <w:name w:val="annotation subject"/>
    <w:basedOn w:val="Tekstopmerking"/>
    <w:next w:val="Tekstopmerking"/>
    <w:link w:val="OnderwerpvanopmerkingChar"/>
    <w:rsid w:val="00D91EB2"/>
    <w:rPr>
      <w:b/>
      <w:bCs/>
    </w:rPr>
  </w:style>
  <w:style w:type="character" w:customStyle="1" w:styleId="OnderwerpvanopmerkingChar">
    <w:name w:val="Onderwerp van opmerking Char"/>
    <w:basedOn w:val="TekstopmerkingChar"/>
    <w:link w:val="Onderwerpvanopmerking"/>
    <w:rsid w:val="00D91EB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en-besluit-horizon-europa-het-europese-kaderprogramma-voor-onderzoek-en-innovatie" TargetMode="External"/><Relationship Id="rId2" Type="http://schemas.openxmlformats.org/officeDocument/2006/relationships/hyperlink" Target="https://eic.ec.europa.eu/eic-fund/scaleup-europe-fund_en" TargetMode="External"/><Relationship Id="rId1" Type="http://schemas.openxmlformats.org/officeDocument/2006/relationships/hyperlink" Target="https://research-and-innovation.ec.europa.eu/strategy/strategy-research-and-innovation/jobs-and-economy/eu-startup-and-scaleup-strategy_en" TargetMode="External"/><Relationship Id="rId4" Type="http://schemas.openxmlformats.org/officeDocument/2006/relationships/hyperlink" Target="https://european-research-area.ec.europa.eu/documents/letta-report-much-more-market-april-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890</ap:Words>
  <ap:Characters>4900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2026-05-11T10:18:00.0000000Z</dcterms:created>
  <dcterms:modified xsi:type="dcterms:W3CDTF">2026-05-11T10:18:00.0000000Z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onderzoeks- en innovatiedeel informele Raad voor Concurrentievermogen 31 maart 2026</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O217MEE</vt:lpwstr>
  </property>
</Properties>
</file>