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2B2" w:rsidP="002D02B2" w:rsidRDefault="002D02B2" w14:paraId="2DB2336B" w14:textId="5E368612">
      <w:pPr>
        <w:pStyle w:val="Geenafstand"/>
      </w:pPr>
      <w:r>
        <w:t>AH 1860</w:t>
      </w:r>
    </w:p>
    <w:p w:rsidR="002D02B2" w:rsidP="002D02B2" w:rsidRDefault="002D02B2" w14:paraId="77093613" w14:textId="3321D6A0">
      <w:pPr>
        <w:pStyle w:val="Geenafstand"/>
      </w:pPr>
      <w:r>
        <w:t>2026Z06247</w:t>
      </w:r>
    </w:p>
    <w:p w:rsidR="002D02B2" w:rsidP="002D02B2" w:rsidRDefault="002D02B2" w14:paraId="624F3C9D" w14:textId="77777777">
      <w:pPr>
        <w:pStyle w:val="Geenafstand"/>
      </w:pPr>
    </w:p>
    <w:p w:rsidR="002D02B2" w:rsidP="002D02B2" w:rsidRDefault="002D02B2" w14:paraId="7E3E8E24" w14:textId="0B3A3692">
      <w:pPr>
        <w:pStyle w:val="Geenafstand"/>
        <w:rPr>
          <w:sz w:val="24"/>
          <w:szCs w:val="24"/>
        </w:rPr>
      </w:pPr>
      <w:r w:rsidRPr="002D02B2">
        <w:rPr>
          <w:sz w:val="24"/>
          <w:szCs w:val="24"/>
        </w:rPr>
        <w:t xml:space="preserve">Antwoord van minister Van Weel (Justitie en Veiligheid) (ontvangen </w:t>
      </w:r>
      <w:r>
        <w:rPr>
          <w:sz w:val="24"/>
          <w:szCs w:val="24"/>
        </w:rPr>
        <w:t xml:space="preserve"> 11 mei 2026)</w:t>
      </w:r>
    </w:p>
    <w:p w:rsidR="002D02B2" w:rsidP="002D02B2" w:rsidRDefault="002D02B2" w14:paraId="2CFB8679" w14:textId="77777777">
      <w:pPr>
        <w:pStyle w:val="Geenafstand"/>
      </w:pPr>
    </w:p>
    <w:p w:rsidR="002D02B2" w:rsidP="002D02B2" w:rsidRDefault="002D02B2" w14:paraId="564EC3AF" w14:textId="39BBEF51">
      <w:pPr>
        <w:pStyle w:val="Geenafstand"/>
      </w:pPr>
      <w:r w:rsidRPr="00D73ED1">
        <w:rPr>
          <w:color w:val="000000"/>
          <w:sz w:val="24"/>
          <w:szCs w:val="24"/>
        </w:rPr>
        <w:t>Zie ook Aanhangsel Handelingen, vergaderjaar 2025-2026, nr.</w:t>
      </w:r>
      <w:r>
        <w:rPr>
          <w:color w:val="000000"/>
          <w:sz w:val="24"/>
          <w:szCs w:val="24"/>
        </w:rPr>
        <w:t xml:space="preserve"> </w:t>
      </w:r>
      <w:r>
        <w:t>1717</w:t>
      </w:r>
    </w:p>
    <w:p w:rsidRPr="0065201B" w:rsidR="002D02B2" w:rsidP="002D02B2" w:rsidRDefault="002D02B2" w14:paraId="286B54E2" w14:textId="77777777">
      <w:pPr>
        <w:pStyle w:val="Geenafstand"/>
      </w:pPr>
    </w:p>
    <w:p w:rsidRPr="0065201B" w:rsidR="002D02B2" w:rsidP="002D02B2" w:rsidRDefault="002D02B2" w14:paraId="38A420BE" w14:textId="77777777">
      <w:pPr>
        <w:ind w:right="170"/>
        <w:rPr>
          <w:b/>
          <w:bCs/>
        </w:rPr>
      </w:pPr>
      <w:r w:rsidRPr="0065201B">
        <w:rPr>
          <w:b/>
          <w:bCs/>
        </w:rPr>
        <w:t>Vraag 1</w:t>
      </w:r>
      <w:r w:rsidRPr="0065201B">
        <w:rPr>
          <w:b/>
          <w:bCs/>
        </w:rPr>
        <w:br/>
        <w:t>Heeft u kennisgenomen van recente berichtgeving, onder meer van het Centrum Informatie en Documentatie Israël (CIDI), over een uitspraak in een strafzaak rond bekladding van een Joodse instelling</w:t>
      </w:r>
      <w:r w:rsidRPr="0065201B">
        <w:rPr>
          <w:rStyle w:val="Voetnootmarkering"/>
          <w:b/>
          <w:bCs/>
        </w:rPr>
        <w:footnoteReference w:id="1"/>
      </w:r>
      <w:r w:rsidRPr="0065201B">
        <w:rPr>
          <w:b/>
          <w:bCs/>
        </w:rPr>
        <w:t xml:space="preserve"> en hoe verhoudt deze zich tot een eerdere uitspraak uit 2024 waarbij voor een vergelijkbaar feit tegen een moskee celstraffen zijn opgelegd?</w:t>
      </w:r>
      <w:r w:rsidRPr="0065201B">
        <w:rPr>
          <w:rStyle w:val="Voetnootmarkering"/>
          <w:b/>
          <w:bCs/>
        </w:rPr>
        <w:footnoteReference w:id="2"/>
      </w:r>
    </w:p>
    <w:p w:rsidRPr="0065201B" w:rsidR="002D02B2" w:rsidP="002D02B2" w:rsidRDefault="002D02B2" w14:paraId="0B88ED2C" w14:textId="77777777">
      <w:pPr>
        <w:ind w:right="170"/>
        <w:rPr>
          <w:b/>
          <w:bCs/>
        </w:rPr>
      </w:pPr>
    </w:p>
    <w:p w:rsidRPr="0065201B" w:rsidR="002D02B2" w:rsidP="002D02B2" w:rsidRDefault="002D02B2" w14:paraId="1EFF63CA" w14:textId="77777777">
      <w:pPr>
        <w:ind w:right="170"/>
        <w:rPr>
          <w:b/>
          <w:bCs/>
        </w:rPr>
      </w:pPr>
      <w:r w:rsidRPr="0065201B">
        <w:rPr>
          <w:b/>
          <w:bCs/>
        </w:rPr>
        <w:t>Antwoord op vraag 1</w:t>
      </w:r>
    </w:p>
    <w:p w:rsidRPr="0065201B" w:rsidR="002D02B2" w:rsidP="002D02B2" w:rsidRDefault="002D02B2" w14:paraId="46A3F5B4" w14:textId="77777777">
      <w:pPr>
        <w:ind w:right="170"/>
      </w:pPr>
      <w:r w:rsidRPr="0065201B">
        <w:t xml:space="preserve">Ja, ik ben bekend met deze berichten. Ik treed niet in de beoordeling van rechterlijke uitspraken. Wel kan ik toelichten dat strafrechters in elke zaak zelfstandig beoordelen of sprake is van een strafbaar feit, welke juridische kwalificatie daaraan wordt gegeven en welke straf passend en geboden is, mede op basis van de specifieke feiten en omstandigheden van het geval, waaronder eventueel een discriminatoir motief. Het is daarbij niet ongebruikelijk dat zaken die op het eerste gezicht vergelijkbaar lijken, juridisch verschillend worden beoordeeld, omdat de bewijsvoering, de context van het delict en de omstandigheden van het geval kunnen verschillen. </w:t>
      </w:r>
    </w:p>
    <w:p w:rsidRPr="0065201B" w:rsidR="002D02B2" w:rsidP="002D02B2" w:rsidRDefault="002D02B2" w14:paraId="1B15D282" w14:textId="77777777">
      <w:pPr>
        <w:ind w:right="170"/>
      </w:pPr>
    </w:p>
    <w:p w:rsidRPr="0065201B" w:rsidR="002D02B2" w:rsidP="002D02B2" w:rsidRDefault="002D02B2" w14:paraId="2F399015" w14:textId="77777777">
      <w:pPr>
        <w:ind w:right="170"/>
        <w:rPr>
          <w:b/>
          <w:bCs/>
        </w:rPr>
      </w:pPr>
      <w:r w:rsidRPr="0065201B">
        <w:rPr>
          <w:b/>
          <w:bCs/>
        </w:rPr>
        <w:t>Vraag 2</w:t>
      </w:r>
      <w:r w:rsidRPr="0065201B">
        <w:rPr>
          <w:b/>
          <w:bCs/>
        </w:rPr>
        <w:br/>
        <w:t>Begrijpt u dat het niet erkennen van een antisemitisch motief in dit soort zaken door de Joodse gemeenschap kan worden ervaren als een gebrek aan erkenning van de ernst van antisemitisme?</w:t>
      </w:r>
      <w:r w:rsidRPr="0065201B">
        <w:rPr>
          <w:b/>
          <w:bCs/>
        </w:rPr>
        <w:br/>
      </w:r>
    </w:p>
    <w:p w:rsidRPr="0065201B" w:rsidR="002D02B2" w:rsidP="002D02B2" w:rsidRDefault="002D02B2" w14:paraId="4E593AB6" w14:textId="77777777">
      <w:pPr>
        <w:ind w:right="170"/>
        <w:rPr>
          <w:b/>
          <w:bCs/>
        </w:rPr>
      </w:pPr>
      <w:r w:rsidRPr="0065201B">
        <w:rPr>
          <w:b/>
          <w:bCs/>
        </w:rPr>
        <w:t>Antwoord op vraag 2</w:t>
      </w:r>
    </w:p>
    <w:p w:rsidRPr="0065201B" w:rsidR="002D02B2" w:rsidP="002D02B2" w:rsidRDefault="002D02B2" w14:paraId="502E4417" w14:textId="77777777">
      <w:pPr>
        <w:ind w:right="170"/>
      </w:pPr>
      <w:r w:rsidRPr="0065201B">
        <w:t xml:space="preserve">Ik begrijp dat beslissingen in strafzaken in de samenleving en in specifieke gemeenschappen verschillend kunnen worden ervaren en emoties kunnen oproepen, zeker bij feiten die raken aan discriminatie. Tegelijkertijd is het aan </w:t>
      </w:r>
      <w:r w:rsidRPr="0065201B">
        <w:lastRenderedPageBreak/>
        <w:t>de strafrechter om vast te stellen of een discriminatoir aspect kan worden bewezen. Die juridische toets kan niet worden vervangen door de maatschappelijke beleving van een feit, hoe invoelbaar die beleving ook kan zijn.</w:t>
      </w:r>
    </w:p>
    <w:p w:rsidRPr="0065201B" w:rsidR="002D02B2" w:rsidP="002D02B2" w:rsidRDefault="002D02B2" w14:paraId="19F6F662" w14:textId="77777777">
      <w:pPr>
        <w:ind w:right="170"/>
      </w:pPr>
    </w:p>
    <w:p w:rsidRPr="0065201B" w:rsidR="002D02B2" w:rsidP="002D02B2" w:rsidRDefault="002D02B2" w14:paraId="3256C0C7" w14:textId="77777777">
      <w:pPr>
        <w:ind w:right="170"/>
        <w:rPr>
          <w:b/>
          <w:bCs/>
        </w:rPr>
      </w:pPr>
      <w:r w:rsidRPr="0065201B">
        <w:rPr>
          <w:b/>
          <w:bCs/>
        </w:rPr>
        <w:t>Vraag 3</w:t>
      </w:r>
    </w:p>
    <w:p w:rsidRPr="0065201B" w:rsidR="002D02B2" w:rsidP="002D02B2" w:rsidRDefault="002D02B2" w14:paraId="452E6E74" w14:textId="77777777">
      <w:pPr>
        <w:ind w:right="170"/>
        <w:rPr>
          <w:b/>
          <w:bCs/>
        </w:rPr>
      </w:pPr>
      <w:r w:rsidRPr="0065201B">
        <w:rPr>
          <w:b/>
          <w:bCs/>
        </w:rPr>
        <w:t>Hoe vaak wordt in dit soort zaken uiteindelijk juridisch vastgesteld dat sprake is van antisemitisme en hoe vaak niet? Kunt u concrete cijfers geven?</w:t>
      </w:r>
    </w:p>
    <w:p w:rsidRPr="0065201B" w:rsidR="002D02B2" w:rsidP="002D02B2" w:rsidRDefault="002D02B2" w14:paraId="21504204" w14:textId="77777777">
      <w:pPr>
        <w:ind w:right="170"/>
        <w:rPr>
          <w:b/>
          <w:bCs/>
        </w:rPr>
      </w:pPr>
    </w:p>
    <w:p w:rsidR="002D02B2" w:rsidP="002D02B2" w:rsidRDefault="002D02B2" w14:paraId="1F01602F" w14:textId="77777777">
      <w:pPr>
        <w:ind w:right="170"/>
        <w:rPr>
          <w:b/>
          <w:bCs/>
        </w:rPr>
      </w:pPr>
    </w:p>
    <w:p w:rsidR="002D02B2" w:rsidP="002D02B2" w:rsidRDefault="002D02B2" w14:paraId="12D39E8E" w14:textId="77777777">
      <w:pPr>
        <w:ind w:right="170"/>
        <w:rPr>
          <w:b/>
          <w:bCs/>
        </w:rPr>
      </w:pPr>
    </w:p>
    <w:p w:rsidRPr="0065201B" w:rsidR="002D02B2" w:rsidP="002D02B2" w:rsidRDefault="002D02B2" w14:paraId="5B7658E5" w14:textId="77777777">
      <w:pPr>
        <w:ind w:right="170"/>
        <w:rPr>
          <w:b/>
          <w:bCs/>
        </w:rPr>
      </w:pPr>
      <w:r w:rsidRPr="0065201B">
        <w:rPr>
          <w:b/>
          <w:bCs/>
        </w:rPr>
        <w:t>Antwoord op vraag 3</w:t>
      </w:r>
    </w:p>
    <w:p w:rsidRPr="0065201B" w:rsidR="002D02B2" w:rsidP="002D02B2" w:rsidRDefault="002D02B2" w14:paraId="663D2294" w14:textId="77777777">
      <w:pPr>
        <w:ind w:right="170"/>
        <w:rPr>
          <w:b/>
          <w:bCs/>
        </w:rPr>
      </w:pPr>
      <w:r w:rsidRPr="0065201B">
        <w:t>In het rapport </w:t>
      </w:r>
      <w:r w:rsidRPr="0065201B">
        <w:rPr>
          <w:i/>
          <w:iCs/>
        </w:rPr>
        <w:t>Strafbare Discriminatie in Beeld 2025 </w:t>
      </w:r>
      <w:r w:rsidRPr="0065201B">
        <w:t>van het OM is antisemitisme 93 keer geregistreerd als discriminatiegrond. Dit betreft 8% van het totaal aantal geregistreerde discriminatiegronden in dat jaar. In 2024 betrof dit 69 registraties, oftewel 11% van het totaal aantal geregistreerde discriminatiegronden in dat jaar.</w:t>
      </w:r>
    </w:p>
    <w:p w:rsidRPr="0065201B" w:rsidR="002D02B2" w:rsidP="002D02B2" w:rsidRDefault="002D02B2" w14:paraId="52647C5A" w14:textId="77777777">
      <w:pPr>
        <w:ind w:right="170"/>
      </w:pPr>
    </w:p>
    <w:p w:rsidRPr="0065201B" w:rsidR="002D02B2" w:rsidP="002D02B2" w:rsidRDefault="002D02B2" w14:paraId="74037ACF" w14:textId="77777777">
      <w:pPr>
        <w:ind w:right="170"/>
        <w:rPr>
          <w:b/>
          <w:bCs/>
        </w:rPr>
      </w:pPr>
      <w:r w:rsidRPr="0065201B">
        <w:rPr>
          <w:b/>
          <w:bCs/>
        </w:rPr>
        <w:t>Vraag 4</w:t>
      </w:r>
      <w:r w:rsidRPr="0065201B">
        <w:rPr>
          <w:b/>
          <w:bCs/>
        </w:rPr>
        <w:br/>
        <w:t>Deelt u de mening dat het niet vaststellen van een antisemitisch oogmerk in gevallen waarin dat door betrokkenen en de maatschappij in zijn geheel wel zo wordt ervaren juist bijdraagt aan het toenemende antisemitisme in Nederland?</w:t>
      </w:r>
      <w:r w:rsidRPr="0065201B">
        <w:rPr>
          <w:b/>
          <w:bCs/>
        </w:rPr>
        <w:br/>
      </w:r>
    </w:p>
    <w:p w:rsidRPr="0065201B" w:rsidR="002D02B2" w:rsidP="002D02B2" w:rsidRDefault="002D02B2" w14:paraId="448B498A" w14:textId="77777777">
      <w:pPr>
        <w:ind w:right="170"/>
        <w:rPr>
          <w:b/>
          <w:bCs/>
        </w:rPr>
      </w:pPr>
      <w:r w:rsidRPr="0065201B">
        <w:rPr>
          <w:b/>
          <w:bCs/>
        </w:rPr>
        <w:t>Antwoord op vraag 4</w:t>
      </w:r>
    </w:p>
    <w:p w:rsidRPr="0065201B" w:rsidR="002D02B2" w:rsidP="002D02B2" w:rsidRDefault="002D02B2" w14:paraId="2E91142B" w14:textId="77777777">
      <w:pPr>
        <w:ind w:right="170"/>
      </w:pPr>
      <w:r w:rsidRPr="0065201B">
        <w:t>Ik deel die mening niet. Het strafrecht is gericht op het vaststellen van individuele strafbare feiten. Het al dan niet kunnen bewijzen van een discriminatoir aspect in een concrete strafzaak betekent niet dat het onderliggende feit daarmee wordt gebagatelliseerd of niet als ernstig wordt erkend. Daarnaast denk ik niet dat het in een strafzaak niet kunnen vaststellen van een antisemitisch aspect op zichzelf bijdraagt aan het toenemend antisemitisme in de samenleving.</w:t>
      </w:r>
    </w:p>
    <w:p w:rsidRPr="0065201B" w:rsidR="002D02B2" w:rsidP="002D02B2" w:rsidRDefault="002D02B2" w14:paraId="0EBF71B8" w14:textId="77777777">
      <w:pPr>
        <w:ind w:right="170"/>
      </w:pPr>
    </w:p>
    <w:p w:rsidRPr="0065201B" w:rsidR="002D02B2" w:rsidP="002D02B2" w:rsidRDefault="002D02B2" w14:paraId="617A46E1" w14:textId="77777777">
      <w:pPr>
        <w:ind w:right="170"/>
        <w:rPr>
          <w:b/>
          <w:bCs/>
        </w:rPr>
      </w:pPr>
      <w:r w:rsidRPr="0065201B">
        <w:rPr>
          <w:b/>
          <w:bCs/>
        </w:rPr>
        <w:lastRenderedPageBreak/>
        <w:t>Vraag 5</w:t>
      </w:r>
      <w:r w:rsidRPr="0065201B">
        <w:rPr>
          <w:b/>
          <w:bCs/>
        </w:rPr>
        <w:br/>
        <w:t>Deelt u de mening dat antisemitisme als motief bij strafbare feiten explicieter en zwaarder meegewogen moet worden in de strafmaat? Zo nee, waarom niet?</w:t>
      </w:r>
      <w:r w:rsidRPr="0065201B">
        <w:rPr>
          <w:b/>
          <w:bCs/>
        </w:rPr>
        <w:br/>
      </w:r>
    </w:p>
    <w:p w:rsidRPr="0065201B" w:rsidR="002D02B2" w:rsidP="002D02B2" w:rsidRDefault="002D02B2" w14:paraId="2AFE17EE" w14:textId="77777777">
      <w:pPr>
        <w:ind w:right="170"/>
        <w:rPr>
          <w:b/>
          <w:bCs/>
        </w:rPr>
      </w:pPr>
      <w:r w:rsidRPr="0065201B">
        <w:rPr>
          <w:b/>
          <w:bCs/>
        </w:rPr>
        <w:t>Antwoord op vraag 5</w:t>
      </w:r>
    </w:p>
    <w:p w:rsidRPr="0065201B" w:rsidR="002D02B2" w:rsidP="002D02B2" w:rsidRDefault="002D02B2" w14:paraId="70E8D867" w14:textId="77777777">
      <w:pPr>
        <w:ind w:right="170"/>
      </w:pPr>
      <w:r w:rsidRPr="0065201B">
        <w:t xml:space="preserve">Het huidige strafrechtelijke kader biedt al uitdrukkelijk de mogelijkheid om een discriminatoir aspect, waaronder antisemitisme, zwaar te laten meewegen bij vaststelling van de strafmaat. </w:t>
      </w:r>
    </w:p>
    <w:p w:rsidRPr="0065201B" w:rsidR="002D02B2" w:rsidP="002D02B2" w:rsidRDefault="002D02B2" w14:paraId="2FC2EA8B" w14:textId="77777777">
      <w:pPr>
        <w:ind w:right="170"/>
      </w:pPr>
    </w:p>
    <w:p w:rsidRPr="0065201B" w:rsidR="002D02B2" w:rsidP="002D02B2" w:rsidRDefault="002D02B2" w14:paraId="63ACAB8A" w14:textId="77777777">
      <w:pPr>
        <w:ind w:right="170"/>
      </w:pPr>
      <w:r w:rsidRPr="0065201B">
        <w:t xml:space="preserve">Gedragingen met een discriminatoir karakter zijn strafbaar gesteld in de artikelen 137c tot en met 137g van het Wetboek van Strafrecht. Daarnaast kan een discriminatoir aspect worden aangemerkt als strafverzwarende omstandigheid bij bepaling van de straf. Met ingang van 1 juli 2025 is een algemene wettelijke strafverzwaringsgrond geïntroduceerd (artikel 44bis Wetboek van Strafrecht). Deze bepaling regelt dat de rechter de op te leggen straf met één derde kan verhogen indien een strafbaar feit (bijvoorbeeld een mishandeling of vernieling) is gepleegd met een discriminatoir aspect. </w:t>
      </w:r>
    </w:p>
    <w:p w:rsidRPr="0065201B" w:rsidR="002D02B2" w:rsidP="002D02B2" w:rsidRDefault="002D02B2" w14:paraId="723DAD30" w14:textId="77777777">
      <w:pPr>
        <w:ind w:right="170"/>
      </w:pPr>
    </w:p>
    <w:p w:rsidRPr="0065201B" w:rsidR="002D02B2" w:rsidP="002D02B2" w:rsidRDefault="002D02B2" w14:paraId="432A0565" w14:textId="77777777">
      <w:pPr>
        <w:ind w:right="170"/>
        <w:rPr>
          <w:b/>
          <w:bCs/>
        </w:rPr>
      </w:pPr>
      <w:r w:rsidRPr="0065201B">
        <w:rPr>
          <w:b/>
          <w:bCs/>
        </w:rPr>
        <w:t>Vraag 6</w:t>
      </w:r>
      <w:r w:rsidRPr="0065201B">
        <w:rPr>
          <w:b/>
          <w:bCs/>
        </w:rPr>
        <w:br/>
        <w:t>Hoe duidt u de verschillen in strafmaat en kwalificatie in het licht van het gelijkheidsbeginsel en het uitgangspunt van rechtsgelijkheid?</w:t>
      </w:r>
      <w:r w:rsidRPr="0065201B">
        <w:rPr>
          <w:b/>
          <w:bCs/>
        </w:rPr>
        <w:br/>
      </w:r>
    </w:p>
    <w:p w:rsidRPr="0065201B" w:rsidR="002D02B2" w:rsidP="002D02B2" w:rsidRDefault="002D02B2" w14:paraId="3E1DD061" w14:textId="77777777">
      <w:pPr>
        <w:ind w:right="170"/>
        <w:rPr>
          <w:b/>
          <w:bCs/>
        </w:rPr>
      </w:pPr>
      <w:r w:rsidRPr="0065201B">
        <w:rPr>
          <w:b/>
          <w:bCs/>
        </w:rPr>
        <w:t>Antwoord op vraag 6</w:t>
      </w:r>
    </w:p>
    <w:p w:rsidRPr="0065201B" w:rsidR="002D02B2" w:rsidP="002D02B2" w:rsidRDefault="002D02B2" w14:paraId="18CFE72B" w14:textId="77777777">
      <w:pPr>
        <w:tabs>
          <w:tab w:val="num" w:pos="720"/>
        </w:tabs>
        <w:ind w:right="170"/>
      </w:pPr>
      <w:r w:rsidRPr="0065201B">
        <w:t>Het gelijkheidsbeginsel houdt in dat gelijke gevallen gelijk moeten worden behandeld. In het strafrecht betekent dit echter niet dat zaken die in eerste opzicht vergelijkbaar lijken, automatisch tot dezelfde uitkomst moeten leiden. De strafrechter beoordeelt per zaak afzonderlijk de concrete feiten en omstandigheden, de bewijslast, de ernst van het feit en de persoonlijke omstandigheden van de verdachte. Verschillen in strafmaat of kwalificatie kunnen daarom gerechtvaardigd zijn wanneer deze verschillen berusten op relevante verschillen in bewijs, context of juridische beoordeling.</w:t>
      </w:r>
    </w:p>
    <w:p w:rsidRPr="0065201B" w:rsidR="002D02B2" w:rsidP="002D02B2" w:rsidRDefault="002D02B2" w14:paraId="7AE40C7F" w14:textId="77777777">
      <w:pPr>
        <w:ind w:right="170"/>
      </w:pPr>
    </w:p>
    <w:p w:rsidRPr="0065201B" w:rsidR="002D02B2" w:rsidP="002D02B2" w:rsidRDefault="002D02B2" w14:paraId="19C066F7" w14:textId="77777777">
      <w:pPr>
        <w:ind w:right="170"/>
      </w:pPr>
    </w:p>
    <w:p w:rsidRPr="0065201B" w:rsidR="002D02B2" w:rsidP="002D02B2" w:rsidRDefault="002D02B2" w14:paraId="053ACAE8" w14:textId="77777777">
      <w:pPr>
        <w:ind w:right="170"/>
        <w:rPr>
          <w:b/>
          <w:bCs/>
        </w:rPr>
      </w:pPr>
      <w:bookmarkStart w:name="_Hlk225158487" w:id="0"/>
      <w:bookmarkStart w:name="_Hlk225158826" w:id="1"/>
      <w:r w:rsidRPr="0065201B">
        <w:rPr>
          <w:b/>
          <w:bCs/>
        </w:rPr>
        <w:t>Vraag 7</w:t>
      </w:r>
    </w:p>
    <w:p w:rsidRPr="0065201B" w:rsidR="002D02B2" w:rsidP="002D02B2" w:rsidRDefault="002D02B2" w14:paraId="3B86CA19" w14:textId="77777777">
      <w:pPr>
        <w:ind w:right="170"/>
        <w:rPr>
          <w:b/>
          <w:bCs/>
        </w:rPr>
      </w:pPr>
      <w:r w:rsidRPr="0065201B">
        <w:rPr>
          <w:b/>
          <w:bCs/>
        </w:rPr>
        <w:t xml:space="preserve">In hoeverre wordt bij incidenten zoals bekladding van Joodse instellingen standaard onderzocht of sprake is van een antisemitisch motief en welke </w:t>
      </w:r>
      <w:r w:rsidRPr="0065201B">
        <w:rPr>
          <w:b/>
          <w:bCs/>
        </w:rPr>
        <w:lastRenderedPageBreak/>
        <w:t>factoren zijn hierbij van belang bij de overweging van de rechter voor het aannemen van een antisemitisch oogmerk? Bent u bereid in overleg met het Openbaar Ministerie en de rechtspraak te bezien of nadere richtlijnen of verduidelijkingen nodig zijn om meer consistentie te bevorderen?</w:t>
      </w:r>
    </w:p>
    <w:p w:rsidRPr="0065201B" w:rsidR="002D02B2" w:rsidP="002D02B2" w:rsidRDefault="002D02B2" w14:paraId="3D03F42E" w14:textId="77777777">
      <w:pPr>
        <w:ind w:right="170"/>
        <w:rPr>
          <w:b/>
          <w:bCs/>
        </w:rPr>
      </w:pPr>
      <w:r w:rsidRPr="0065201B">
        <w:br/>
      </w:r>
      <w:r w:rsidRPr="0065201B">
        <w:rPr>
          <w:b/>
          <w:bCs/>
        </w:rPr>
        <w:t>Antwoord op vraag 7</w:t>
      </w:r>
      <w:bookmarkEnd w:id="0"/>
      <w:bookmarkEnd w:id="1"/>
    </w:p>
    <w:p w:rsidRPr="0065201B" w:rsidR="002D02B2" w:rsidP="002D02B2" w:rsidRDefault="002D02B2" w14:paraId="5BBB4D0B" w14:textId="77777777">
      <w:pPr>
        <w:ind w:right="170"/>
      </w:pPr>
      <w:r w:rsidRPr="0065201B">
        <w:t>In strafrechtelijke onderzoeken wordt in zaken waarin mogelijk sprake is van discriminatoire aspecten, waaronder antisemitisme, standaard onderzocht of aanwijzingen bestaan voor een dergelijk motief. Het OM hanteert daarbij de Aanwijzing Discriminatie.</w:t>
      </w:r>
      <w:r w:rsidRPr="0065201B">
        <w:rPr>
          <w:rStyle w:val="Voetnootmarkering"/>
        </w:rPr>
        <w:footnoteReference w:id="3"/>
      </w:r>
      <w:r w:rsidRPr="0065201B">
        <w:t xml:space="preserve"> </w:t>
      </w:r>
    </w:p>
    <w:p w:rsidRPr="0065201B" w:rsidR="002D02B2" w:rsidP="002D02B2" w:rsidRDefault="002D02B2" w14:paraId="3B879203" w14:textId="77777777">
      <w:pPr>
        <w:ind w:right="170"/>
      </w:pPr>
    </w:p>
    <w:p w:rsidRPr="0065201B" w:rsidR="002D02B2" w:rsidP="002D02B2" w:rsidRDefault="002D02B2" w14:paraId="5AF94FF6" w14:textId="77777777">
      <w:pPr>
        <w:ind w:right="170"/>
      </w:pPr>
      <w:r w:rsidRPr="0065201B">
        <w:t>Of een discriminatoir motief uiteindelijk juridisch kan worden bewezen, hangt af van de beschikbare bewijsmiddelen en de beoordeling daarvan door de rechter.</w:t>
      </w:r>
    </w:p>
    <w:p w:rsidRPr="0065201B" w:rsidR="002D02B2" w:rsidP="002D02B2" w:rsidRDefault="002D02B2" w14:paraId="297D6629" w14:textId="77777777">
      <w:pPr>
        <w:ind w:right="170"/>
      </w:pPr>
    </w:p>
    <w:p w:rsidRPr="0065201B" w:rsidR="002D02B2" w:rsidP="002D02B2" w:rsidRDefault="002D02B2" w14:paraId="4AC50BE9" w14:textId="77777777">
      <w:pPr>
        <w:ind w:right="170"/>
      </w:pPr>
      <w:r w:rsidRPr="0065201B">
        <w:t>Ik zie, mede gelet op de bestaande wettelijke kaders en de Aanwijzing Discriminatie van het OM, op dit moment geen aanleiding om aanvullende of nadere richtlijnen te ontwikkelen. Wel blijf ik in gesprek met het OM en de rechtspraak over de effectieve werking van het bestaande instrumentarium en de bestrijding van discriminatie in al haar vormen.</w:t>
      </w:r>
    </w:p>
    <w:p w:rsidRPr="0065201B" w:rsidR="002D02B2" w:rsidP="002D02B2" w:rsidRDefault="002D02B2" w14:paraId="0466BB65" w14:textId="77777777">
      <w:pPr>
        <w:rPr>
          <w:vanish/>
        </w:rPr>
      </w:pPr>
      <w:r w:rsidRPr="0065201B">
        <w:rPr>
          <w:vanish/>
        </w:rPr>
        <w:t>Bovenkant formulier</w:t>
      </w:r>
    </w:p>
    <w:p w:rsidRPr="00D95279" w:rsidR="002D02B2" w:rsidP="002D02B2" w:rsidRDefault="002D02B2" w14:paraId="742FCBAF" w14:textId="77777777">
      <w:pPr>
        <w:rPr>
          <w:vanish/>
        </w:rPr>
      </w:pPr>
      <w:r w:rsidRPr="0065201B">
        <w:rPr>
          <w:vanish/>
        </w:rPr>
        <w:t>Onderkant formulier</w:t>
      </w:r>
    </w:p>
    <w:p w:rsidR="002D02B2" w:rsidP="002D02B2" w:rsidRDefault="002D02B2" w14:paraId="68A5E90A" w14:textId="77777777"/>
    <w:p w:rsidR="002D02B2" w:rsidP="002D02B2" w:rsidRDefault="002D02B2" w14:paraId="3FEA1733" w14:textId="77777777"/>
    <w:p w:rsidR="002D02B2" w:rsidP="002D02B2" w:rsidRDefault="002D02B2" w14:paraId="1288CEF4" w14:textId="77777777"/>
    <w:p w:rsidR="002D02B2" w:rsidP="002D02B2" w:rsidRDefault="002D02B2" w14:paraId="25782ECC" w14:textId="77777777"/>
    <w:p w:rsidR="002D02B2" w:rsidP="002D02B2" w:rsidRDefault="002D02B2" w14:paraId="0EA81EE1" w14:textId="77777777"/>
    <w:p w:rsidR="002D02B2" w:rsidP="002D02B2" w:rsidRDefault="002D02B2" w14:paraId="62B55E40" w14:textId="77777777"/>
    <w:p w:rsidR="002D02B2" w:rsidP="002D02B2" w:rsidRDefault="002D02B2" w14:paraId="62EDA626" w14:textId="77777777"/>
    <w:p w:rsidR="002D02B2" w:rsidP="002D02B2" w:rsidRDefault="002D02B2" w14:paraId="520BE508" w14:textId="77777777"/>
    <w:p w:rsidRPr="00364C1C" w:rsidR="002D02B2" w:rsidP="002D02B2" w:rsidRDefault="002D02B2" w14:paraId="2D5E4CF5" w14:textId="77777777"/>
    <w:p w:rsidRPr="00364C1C" w:rsidR="002D02B2" w:rsidP="002D02B2" w:rsidRDefault="002D02B2" w14:paraId="15BB1FCF" w14:textId="77777777"/>
    <w:p w:rsidRPr="00364C1C" w:rsidR="002D02B2" w:rsidP="002D02B2" w:rsidRDefault="002D02B2" w14:paraId="46C002A5" w14:textId="77777777"/>
    <w:p w:rsidRPr="00364C1C" w:rsidR="002D02B2" w:rsidP="002D02B2" w:rsidRDefault="002D02B2" w14:paraId="4F32417E" w14:textId="77777777"/>
    <w:p w:rsidRPr="00364C1C" w:rsidR="002D02B2" w:rsidP="002D02B2" w:rsidRDefault="002D02B2" w14:paraId="56075889" w14:textId="77777777"/>
    <w:p w:rsidRPr="00364C1C" w:rsidR="002D02B2" w:rsidP="002D02B2" w:rsidRDefault="002D02B2" w14:paraId="72DC70D5" w14:textId="77777777"/>
    <w:p w:rsidRPr="00364C1C" w:rsidR="002D02B2" w:rsidP="002D02B2" w:rsidRDefault="002D02B2" w14:paraId="0DE19F42" w14:textId="77777777"/>
    <w:p w:rsidRPr="00364C1C" w:rsidR="002D02B2" w:rsidP="002D02B2" w:rsidRDefault="002D02B2" w14:paraId="23A74E77" w14:textId="77777777"/>
    <w:p w:rsidRPr="00364C1C" w:rsidR="002D02B2" w:rsidP="002D02B2" w:rsidRDefault="002D02B2" w14:paraId="6479FA81" w14:textId="77777777"/>
    <w:p w:rsidRPr="00364C1C" w:rsidR="002D02B2" w:rsidP="002D02B2" w:rsidRDefault="002D02B2" w14:paraId="368C0772" w14:textId="77777777"/>
    <w:p w:rsidRPr="00364C1C" w:rsidR="002D02B2" w:rsidP="002D02B2" w:rsidRDefault="002D02B2" w14:paraId="35067F6D" w14:textId="77777777"/>
    <w:p w:rsidRPr="00364C1C" w:rsidR="002D02B2" w:rsidP="002D02B2" w:rsidRDefault="002D02B2" w14:paraId="5553385C" w14:textId="77777777"/>
    <w:p w:rsidRPr="00364C1C" w:rsidR="002D02B2" w:rsidP="002D02B2" w:rsidRDefault="002D02B2" w14:paraId="74A6115D" w14:textId="77777777"/>
    <w:p w:rsidR="002D02B2" w:rsidP="002D02B2" w:rsidRDefault="002D02B2" w14:paraId="21F504DD" w14:textId="77777777"/>
    <w:p w:rsidRPr="00364C1C" w:rsidR="002D02B2" w:rsidP="002D02B2" w:rsidRDefault="002D02B2" w14:paraId="4FC8514D" w14:textId="77777777">
      <w:pPr>
        <w:ind w:firstLine="708"/>
      </w:pPr>
    </w:p>
    <w:p w:rsidR="002C3023" w:rsidRDefault="002C3023" w14:paraId="52E3C798" w14:textId="77777777"/>
    <w:sectPr w:rsidR="002C3023" w:rsidSect="002D02B2">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21B4" w14:textId="77777777" w:rsidR="002D02B2" w:rsidRDefault="002D02B2" w:rsidP="002D02B2">
      <w:pPr>
        <w:spacing w:after="0" w:line="240" w:lineRule="auto"/>
      </w:pPr>
      <w:r>
        <w:separator/>
      </w:r>
    </w:p>
  </w:endnote>
  <w:endnote w:type="continuationSeparator" w:id="0">
    <w:p w14:paraId="41F8B245" w14:textId="77777777" w:rsidR="002D02B2" w:rsidRDefault="002D02B2" w:rsidP="002D0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87A4" w14:textId="77777777" w:rsidR="002D02B2" w:rsidRPr="002D02B2" w:rsidRDefault="002D02B2" w:rsidP="002D02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852A" w14:textId="77777777" w:rsidR="002D02B2" w:rsidRPr="002D02B2" w:rsidRDefault="002D02B2" w:rsidP="002D02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6189" w14:textId="77777777" w:rsidR="002D02B2" w:rsidRPr="002D02B2" w:rsidRDefault="002D02B2" w:rsidP="002D02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89F0" w14:textId="77777777" w:rsidR="002D02B2" w:rsidRDefault="002D02B2" w:rsidP="002D02B2">
      <w:pPr>
        <w:spacing w:after="0" w:line="240" w:lineRule="auto"/>
      </w:pPr>
      <w:r>
        <w:separator/>
      </w:r>
    </w:p>
  </w:footnote>
  <w:footnote w:type="continuationSeparator" w:id="0">
    <w:p w14:paraId="510230A6" w14:textId="77777777" w:rsidR="002D02B2" w:rsidRDefault="002D02B2" w:rsidP="002D02B2">
      <w:pPr>
        <w:spacing w:after="0" w:line="240" w:lineRule="auto"/>
      </w:pPr>
      <w:r>
        <w:continuationSeparator/>
      </w:r>
    </w:p>
  </w:footnote>
  <w:footnote w:id="1">
    <w:p w14:paraId="19E784D5" w14:textId="77777777" w:rsidR="002D02B2" w:rsidRPr="00364C1C" w:rsidRDefault="002D02B2" w:rsidP="002D02B2">
      <w:pPr>
        <w:spacing w:line="240" w:lineRule="auto"/>
        <w:rPr>
          <w:sz w:val="16"/>
          <w:szCs w:val="16"/>
        </w:rPr>
      </w:pPr>
      <w:r w:rsidRPr="00364C1C">
        <w:rPr>
          <w:rStyle w:val="Voetnootmarkering"/>
          <w:sz w:val="16"/>
          <w:szCs w:val="16"/>
        </w:rPr>
        <w:footnoteRef/>
      </w:r>
      <w:r w:rsidRPr="00364C1C">
        <w:rPr>
          <w:sz w:val="16"/>
          <w:szCs w:val="16"/>
        </w:rPr>
        <w:t xml:space="preserve"> CIDI, 24 maart 2026, Rechter trekt een streep: vernieling van ons pand valt niet onder demonstratierecht (https://www.cidi.nl/rechter-trekt-een-streep-vernieling-van-ons-pand-valt-niet-onder-demonstratierecht/).</w:t>
      </w:r>
    </w:p>
  </w:footnote>
  <w:footnote w:id="2">
    <w:p w14:paraId="61DFA476" w14:textId="77777777" w:rsidR="002D02B2" w:rsidRPr="00364C1C" w:rsidRDefault="002D02B2" w:rsidP="002D02B2">
      <w:pPr>
        <w:spacing w:line="240" w:lineRule="auto"/>
        <w:rPr>
          <w:sz w:val="16"/>
          <w:szCs w:val="16"/>
        </w:rPr>
      </w:pPr>
      <w:r w:rsidRPr="00364C1C">
        <w:rPr>
          <w:rStyle w:val="Voetnootmarkering"/>
          <w:sz w:val="16"/>
          <w:szCs w:val="16"/>
        </w:rPr>
        <w:footnoteRef/>
      </w:r>
      <w:r w:rsidRPr="00364C1C">
        <w:rPr>
          <w:sz w:val="16"/>
          <w:szCs w:val="16"/>
        </w:rPr>
        <w:t xml:space="preserve"> NOS, 6 juni 2026, Celstraffen voor bekladden moskee in Heerlen (https://nos.nl/artikel/2523376-celstraffen-voor-bekladden-moskee-in-heerlen).</w:t>
      </w:r>
    </w:p>
  </w:footnote>
  <w:footnote w:id="3">
    <w:p w14:paraId="5BB52ED6" w14:textId="77777777" w:rsidR="002D02B2" w:rsidRPr="00364C1C" w:rsidRDefault="002D02B2" w:rsidP="002D02B2">
      <w:pPr>
        <w:spacing w:line="240" w:lineRule="auto"/>
        <w:rPr>
          <w:sz w:val="16"/>
          <w:szCs w:val="16"/>
        </w:rPr>
      </w:pPr>
      <w:r w:rsidRPr="00364C1C">
        <w:rPr>
          <w:rStyle w:val="Voetnootmarkering"/>
          <w:sz w:val="16"/>
          <w:szCs w:val="16"/>
        </w:rPr>
        <w:footnoteRef/>
      </w:r>
      <w:r w:rsidRPr="00364C1C">
        <w:rPr>
          <w:sz w:val="16"/>
          <w:szCs w:val="16"/>
        </w:rPr>
        <w:t xml:space="preserve"> </w:t>
      </w:r>
      <w:hyperlink r:id="rId1" w:history="1">
        <w:r w:rsidRPr="00364C1C">
          <w:rPr>
            <w:rStyle w:val="Hyperlink"/>
            <w:sz w:val="16"/>
            <w:szCs w:val="16"/>
          </w:rPr>
          <w:t>wetten.nl - Regeling - Aanwijzing discriminatie - BWBR0041649</w:t>
        </w:r>
      </w:hyperlink>
      <w:r w:rsidRPr="00364C1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EB22" w14:textId="77777777" w:rsidR="002D02B2" w:rsidRPr="002D02B2" w:rsidRDefault="002D02B2" w:rsidP="002D02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4AB8" w14:textId="77777777" w:rsidR="002D02B2" w:rsidRPr="002D02B2" w:rsidRDefault="002D02B2" w:rsidP="002D02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07D" w14:textId="77777777" w:rsidR="002D02B2" w:rsidRPr="002D02B2" w:rsidRDefault="002D02B2" w:rsidP="002D02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B2"/>
    <w:rsid w:val="002C3023"/>
    <w:rsid w:val="002D02B2"/>
    <w:rsid w:val="005B495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833F"/>
  <w15:chartTrackingRefBased/>
  <w15:docId w15:val="{DAE58AF1-F224-4805-AB89-663C624B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0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0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02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02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02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02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02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02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02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02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02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02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02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02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02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02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02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02B2"/>
    <w:rPr>
      <w:rFonts w:eastAsiaTheme="majorEastAsia" w:cstheme="majorBidi"/>
      <w:color w:val="272727" w:themeColor="text1" w:themeTint="D8"/>
    </w:rPr>
  </w:style>
  <w:style w:type="paragraph" w:styleId="Titel">
    <w:name w:val="Title"/>
    <w:basedOn w:val="Standaard"/>
    <w:next w:val="Standaard"/>
    <w:link w:val="TitelChar"/>
    <w:uiPriority w:val="10"/>
    <w:qFormat/>
    <w:rsid w:val="002D0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02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02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02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02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02B2"/>
    <w:rPr>
      <w:i/>
      <w:iCs/>
      <w:color w:val="404040" w:themeColor="text1" w:themeTint="BF"/>
    </w:rPr>
  </w:style>
  <w:style w:type="paragraph" w:styleId="Lijstalinea">
    <w:name w:val="List Paragraph"/>
    <w:basedOn w:val="Standaard"/>
    <w:uiPriority w:val="34"/>
    <w:qFormat/>
    <w:rsid w:val="002D02B2"/>
    <w:pPr>
      <w:ind w:left="720"/>
      <w:contextualSpacing/>
    </w:pPr>
  </w:style>
  <w:style w:type="character" w:styleId="Intensievebenadrukking">
    <w:name w:val="Intense Emphasis"/>
    <w:basedOn w:val="Standaardalinea-lettertype"/>
    <w:uiPriority w:val="21"/>
    <w:qFormat/>
    <w:rsid w:val="002D02B2"/>
    <w:rPr>
      <w:i/>
      <w:iCs/>
      <w:color w:val="0F4761" w:themeColor="accent1" w:themeShade="BF"/>
    </w:rPr>
  </w:style>
  <w:style w:type="paragraph" w:styleId="Duidelijkcitaat">
    <w:name w:val="Intense Quote"/>
    <w:basedOn w:val="Standaard"/>
    <w:next w:val="Standaard"/>
    <w:link w:val="DuidelijkcitaatChar"/>
    <w:uiPriority w:val="30"/>
    <w:qFormat/>
    <w:rsid w:val="002D0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02B2"/>
    <w:rPr>
      <w:i/>
      <w:iCs/>
      <w:color w:val="0F4761" w:themeColor="accent1" w:themeShade="BF"/>
    </w:rPr>
  </w:style>
  <w:style w:type="character" w:styleId="Intensieveverwijzing">
    <w:name w:val="Intense Reference"/>
    <w:basedOn w:val="Standaardalinea-lettertype"/>
    <w:uiPriority w:val="32"/>
    <w:qFormat/>
    <w:rsid w:val="002D02B2"/>
    <w:rPr>
      <w:b/>
      <w:bCs/>
      <w:smallCaps/>
      <w:color w:val="0F4761" w:themeColor="accent1" w:themeShade="BF"/>
      <w:spacing w:val="5"/>
    </w:rPr>
  </w:style>
  <w:style w:type="character" w:styleId="Hyperlink">
    <w:name w:val="Hyperlink"/>
    <w:basedOn w:val="Standaardalinea-lettertype"/>
    <w:uiPriority w:val="99"/>
    <w:unhideWhenUsed/>
    <w:rsid w:val="002D02B2"/>
    <w:rPr>
      <w:color w:val="467886" w:themeColor="hyperlink"/>
      <w:u w:val="single"/>
    </w:rPr>
  </w:style>
  <w:style w:type="paragraph" w:customStyle="1" w:styleId="Referentiegegevens">
    <w:name w:val="Referentiegegevens"/>
    <w:basedOn w:val="Standaard"/>
    <w:next w:val="Standaard"/>
    <w:rsid w:val="002D02B2"/>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D02B2"/>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character" w:styleId="Voetnootmarkering">
    <w:name w:val="footnote reference"/>
    <w:basedOn w:val="Standaardalinea-lettertype"/>
    <w:uiPriority w:val="99"/>
    <w:semiHidden/>
    <w:unhideWhenUsed/>
    <w:rsid w:val="002D02B2"/>
    <w:rPr>
      <w:vertAlign w:val="superscript"/>
    </w:rPr>
  </w:style>
  <w:style w:type="paragraph" w:styleId="Koptekst">
    <w:name w:val="header"/>
    <w:basedOn w:val="Standaard"/>
    <w:link w:val="KoptekstChar"/>
    <w:uiPriority w:val="99"/>
    <w:unhideWhenUsed/>
    <w:rsid w:val="002D02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02B2"/>
  </w:style>
  <w:style w:type="paragraph" w:styleId="Voettekst">
    <w:name w:val="footer"/>
    <w:basedOn w:val="Standaard"/>
    <w:link w:val="VoettekstChar"/>
    <w:uiPriority w:val="99"/>
    <w:unhideWhenUsed/>
    <w:rsid w:val="002D02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02B2"/>
  </w:style>
  <w:style w:type="paragraph" w:styleId="Geenafstand">
    <w:name w:val="No Spacing"/>
    <w:uiPriority w:val="1"/>
    <w:qFormat/>
    <w:rsid w:val="002D02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1649/2019-0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941</ap:Words>
  <ap:Characters>5179</ap:Characters>
  <ap:DocSecurity>0</ap:DocSecurity>
  <ap:Lines>43</ap:Lines>
  <ap:Paragraphs>12</ap:Paragraphs>
  <ap:ScaleCrop>false</ap:ScaleCrop>
  <ap:LinksUpToDate>false</ap:LinksUpToDate>
  <ap:CharactersWithSpaces>6108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2026-05-11T10:10:00.0000000Z</dcterms:created>
  <dcterms:modified xsi:type="dcterms:W3CDTF">2026-05-11T10:11:00.0000000Z</dcterms:modified>
  <version/>
  <category/>
</coreProperties>
</file>