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2D74" w:rsidR="00FB4A6F" w:rsidP="00FB4A6F" w:rsidRDefault="00FB4A6F" w14:paraId="2185C1D1" w14:textId="77777777">
      <w:pPr>
        <w:rPr>
          <w:b/>
          <w:bCs/>
        </w:rPr>
      </w:pPr>
      <w:r w:rsidRPr="003C2D74">
        <w:rPr>
          <w:b/>
          <w:bCs/>
        </w:rPr>
        <w:t>BIJLAGE 1.</w:t>
      </w:r>
      <w:r w:rsidRPr="003C2D74">
        <w:rPr>
          <w:b/>
          <w:bCs/>
        </w:rPr>
        <w:tab/>
      </w:r>
      <w:r w:rsidRPr="003C2D74">
        <w:rPr>
          <w:b/>
          <w:bCs/>
        </w:rPr>
        <w:tab/>
        <w:t>FACTSHEET OPENBARE JAARVERANTWOORDING</w:t>
      </w:r>
    </w:p>
    <w:p w:rsidRPr="00E92E0B" w:rsidR="00FB4A6F" w:rsidP="00FB4A6F" w:rsidRDefault="00FB4A6F" w14:paraId="23692686" w14:textId="77777777">
      <w:pPr>
        <w:rPr>
          <w:b/>
          <w:bCs/>
          <w:sz w:val="16"/>
          <w:szCs w:val="16"/>
        </w:rPr>
      </w:pPr>
    </w:p>
    <w:p w:rsidRPr="001160C6" w:rsidR="00FB4A6F" w:rsidP="00FB4A6F" w:rsidRDefault="00FB4A6F" w14:paraId="13F7B3FB" w14:textId="77777777">
      <w:pPr>
        <w:rPr>
          <w:b/>
          <w:bCs/>
          <w:szCs w:val="18"/>
        </w:rPr>
      </w:pPr>
      <w:r w:rsidRPr="001160C6">
        <w:rPr>
          <w:b/>
          <w:bCs/>
          <w:szCs w:val="18"/>
        </w:rPr>
        <w:t>Doelstelling:</w:t>
      </w:r>
    </w:p>
    <w:p w:rsidRPr="001160C6" w:rsidR="00FB4A6F" w:rsidP="00FB4A6F" w:rsidRDefault="00FB4A6F" w14:paraId="20C05ABC" w14:textId="77777777">
      <w:pPr>
        <w:rPr>
          <w:szCs w:val="18"/>
        </w:rPr>
      </w:pPr>
      <w:r w:rsidRPr="001160C6">
        <w:rPr>
          <w:szCs w:val="18"/>
        </w:rPr>
        <w:t>De openbare jaarverantwoording heeft als doel dat alle zorgaanbieders kunnen worden aangesproken op hun bedrijfsvoering. Het betreft een verantwoording over de besteding van collectieve middelen aan zowel de maatschappij (zoals journalisten) en directe belanghebbenden als aan de externe toezichthouders.</w:t>
      </w:r>
    </w:p>
    <w:p w:rsidRPr="001160C6" w:rsidR="00FB4A6F" w:rsidP="00FB4A6F" w:rsidRDefault="00FB4A6F" w14:paraId="0E659AC4" w14:textId="77777777">
      <w:pPr>
        <w:rPr>
          <w:szCs w:val="18"/>
        </w:rPr>
      </w:pPr>
    </w:p>
    <w:p w:rsidRPr="001160C6" w:rsidR="00FB4A6F" w:rsidP="00FB4A6F" w:rsidRDefault="00FB4A6F" w14:paraId="6AEF1B15" w14:textId="77777777">
      <w:pPr>
        <w:rPr>
          <w:b/>
          <w:bCs/>
          <w:szCs w:val="18"/>
        </w:rPr>
      </w:pPr>
      <w:r w:rsidRPr="001160C6">
        <w:rPr>
          <w:b/>
          <w:bCs/>
          <w:szCs w:val="18"/>
        </w:rPr>
        <w:t>Doelgroep:</w:t>
      </w:r>
    </w:p>
    <w:p w:rsidRPr="001160C6" w:rsidR="00FB4A6F" w:rsidP="00FB4A6F" w:rsidRDefault="00FB4A6F" w14:paraId="71EED236" w14:textId="77777777">
      <w:pPr>
        <w:rPr>
          <w:szCs w:val="18"/>
        </w:rPr>
      </w:pPr>
      <w:r w:rsidRPr="001160C6">
        <w:rPr>
          <w:szCs w:val="18"/>
        </w:rPr>
        <w:t>De meeste zorgaanbieders zijn verplicht om een jaarverantwoording openbaar te maken. Er zijn uitzonderingen gemaakt voor de volgende type zorgaanbieders:</w:t>
      </w:r>
    </w:p>
    <w:p w:rsidRPr="001160C6" w:rsidR="00FB4A6F" w:rsidP="00FB4A6F" w:rsidRDefault="00FB4A6F" w14:paraId="72035CDF" w14:textId="77777777">
      <w:pPr>
        <w:pStyle w:val="Lijstalinea"/>
        <w:numPr>
          <w:ilvl w:val="0"/>
          <w:numId w:val="1"/>
        </w:numPr>
        <w:rPr>
          <w:szCs w:val="18"/>
        </w:rPr>
      </w:pPr>
      <w:r w:rsidRPr="001160C6">
        <w:rPr>
          <w:szCs w:val="18"/>
        </w:rPr>
        <w:t xml:space="preserve">Zorgaanbieders die uitsluitend zorg verlenen die niet worden bekostigd vanuit collectieve middelen (basisverzekering, verzekerd pakket </w:t>
      </w:r>
      <w:proofErr w:type="spellStart"/>
      <w:r w:rsidRPr="001160C6">
        <w:rPr>
          <w:szCs w:val="18"/>
        </w:rPr>
        <w:t>Wlz</w:t>
      </w:r>
      <w:proofErr w:type="spellEnd"/>
      <w:r w:rsidRPr="001160C6">
        <w:rPr>
          <w:szCs w:val="18"/>
        </w:rPr>
        <w:t xml:space="preserve"> of een subsidie van de minister van Volksgezondheid, Welzijn en Sport, zoals de abortusklinieken);</w:t>
      </w:r>
    </w:p>
    <w:p w:rsidRPr="001160C6" w:rsidR="00FB4A6F" w:rsidP="00FB4A6F" w:rsidRDefault="00FB4A6F" w14:paraId="060ECF93" w14:textId="77777777">
      <w:pPr>
        <w:pStyle w:val="Lijstalinea"/>
        <w:numPr>
          <w:ilvl w:val="0"/>
          <w:numId w:val="1"/>
        </w:numPr>
        <w:rPr>
          <w:szCs w:val="18"/>
        </w:rPr>
      </w:pPr>
      <w:r w:rsidRPr="001160C6">
        <w:rPr>
          <w:szCs w:val="18"/>
        </w:rPr>
        <w:t>Zorgaanbieders die uitsluitend ondersteunde werkzaamheden verrichten, zoals taxi, schoonmaak en catering;</w:t>
      </w:r>
    </w:p>
    <w:p w:rsidRPr="001160C6" w:rsidR="00FB4A6F" w:rsidP="00FB4A6F" w:rsidRDefault="00FB4A6F" w14:paraId="013DF7EC" w14:textId="77777777">
      <w:pPr>
        <w:pStyle w:val="Lijstalinea"/>
        <w:numPr>
          <w:ilvl w:val="0"/>
          <w:numId w:val="1"/>
        </w:numPr>
        <w:rPr>
          <w:szCs w:val="18"/>
        </w:rPr>
      </w:pPr>
      <w:r w:rsidRPr="001160C6">
        <w:rPr>
          <w:szCs w:val="18"/>
        </w:rPr>
        <w:t>Factureringsbedrijven;</w:t>
      </w:r>
    </w:p>
    <w:p w:rsidRPr="001160C6" w:rsidR="00FB4A6F" w:rsidP="00FB4A6F" w:rsidRDefault="00FB4A6F" w14:paraId="415CD115" w14:textId="77777777">
      <w:pPr>
        <w:pStyle w:val="Lijstalinea"/>
        <w:numPr>
          <w:ilvl w:val="0"/>
          <w:numId w:val="1"/>
        </w:numPr>
        <w:rPr>
          <w:szCs w:val="18"/>
        </w:rPr>
      </w:pPr>
      <w:r w:rsidRPr="001160C6">
        <w:rPr>
          <w:szCs w:val="18"/>
        </w:rPr>
        <w:t>Werknemers en bepaalde zelfstandige zonder personeel (zzp’ers);</w:t>
      </w:r>
    </w:p>
    <w:p w:rsidRPr="001160C6" w:rsidR="00FB4A6F" w:rsidP="00FB4A6F" w:rsidRDefault="00FB4A6F" w14:paraId="20CDDCE3" w14:textId="77777777">
      <w:pPr>
        <w:pStyle w:val="Lijstalinea"/>
        <w:numPr>
          <w:ilvl w:val="0"/>
          <w:numId w:val="1"/>
        </w:numPr>
        <w:rPr>
          <w:szCs w:val="18"/>
        </w:rPr>
      </w:pPr>
      <w:r w:rsidRPr="001160C6">
        <w:rPr>
          <w:szCs w:val="18"/>
        </w:rPr>
        <w:t>Maten en vennoten die uitsluitend zorg verlenen binnen de vennootschap.</w:t>
      </w:r>
    </w:p>
    <w:p w:rsidRPr="001160C6" w:rsidR="00FB4A6F" w:rsidP="00FB4A6F" w:rsidRDefault="00FB4A6F" w14:paraId="149FAFA2" w14:textId="77777777">
      <w:pPr>
        <w:rPr>
          <w:szCs w:val="18"/>
        </w:rPr>
      </w:pPr>
    </w:p>
    <w:p w:rsidRPr="001160C6" w:rsidR="00FB4A6F" w:rsidP="00FB4A6F" w:rsidRDefault="00FB4A6F" w14:paraId="4D21920C" w14:textId="77777777">
      <w:pPr>
        <w:rPr>
          <w:b/>
          <w:bCs/>
          <w:szCs w:val="18"/>
        </w:rPr>
      </w:pPr>
      <w:r w:rsidRPr="001160C6">
        <w:rPr>
          <w:b/>
          <w:bCs/>
          <w:szCs w:val="18"/>
        </w:rPr>
        <w:t>Waaruit bestaat de openbare jaarverantwoording?</w:t>
      </w:r>
    </w:p>
    <w:p w:rsidRPr="001160C6" w:rsidR="00FB4A6F" w:rsidP="00FB4A6F" w:rsidRDefault="00FB4A6F" w14:paraId="1BECB90B" w14:textId="77777777">
      <w:pPr>
        <w:rPr>
          <w:szCs w:val="18"/>
        </w:rPr>
      </w:pPr>
      <w:r w:rsidRPr="001160C6">
        <w:rPr>
          <w:szCs w:val="18"/>
        </w:rPr>
        <w:t>De openbare jaarverantwoording bestaat uit:</w:t>
      </w:r>
    </w:p>
    <w:p w:rsidRPr="001160C6" w:rsidR="00FB4A6F" w:rsidP="00FB4A6F" w:rsidRDefault="00FB4A6F" w14:paraId="638396F0" w14:textId="77777777">
      <w:pPr>
        <w:pStyle w:val="Lijstalinea"/>
        <w:numPr>
          <w:ilvl w:val="0"/>
          <w:numId w:val="2"/>
        </w:numPr>
        <w:rPr>
          <w:szCs w:val="18"/>
        </w:rPr>
      </w:pPr>
      <w:r w:rsidRPr="001160C6">
        <w:rPr>
          <w:szCs w:val="18"/>
        </w:rPr>
        <w:t>Financiële verantwoording, zoals een jaarrekening;</w:t>
      </w:r>
    </w:p>
    <w:p w:rsidRPr="001160C6" w:rsidR="00FB4A6F" w:rsidP="00FB4A6F" w:rsidRDefault="00FB4A6F" w14:paraId="4A425B04" w14:textId="77777777">
      <w:pPr>
        <w:pStyle w:val="Lijstalinea"/>
        <w:numPr>
          <w:ilvl w:val="0"/>
          <w:numId w:val="2"/>
        </w:numPr>
        <w:rPr>
          <w:szCs w:val="18"/>
        </w:rPr>
      </w:pPr>
      <w:r w:rsidRPr="001160C6">
        <w:rPr>
          <w:szCs w:val="18"/>
        </w:rPr>
        <w:t xml:space="preserve">In bepaalde gevallen: </w:t>
      </w:r>
      <w:proofErr w:type="spellStart"/>
      <w:r w:rsidRPr="001160C6">
        <w:rPr>
          <w:szCs w:val="18"/>
        </w:rPr>
        <w:t>bestuursverslag</w:t>
      </w:r>
      <w:proofErr w:type="spellEnd"/>
      <w:r w:rsidRPr="001160C6">
        <w:rPr>
          <w:szCs w:val="18"/>
        </w:rPr>
        <w:t>, verslag interne toezichthouder en accountantsverklaring;</w:t>
      </w:r>
    </w:p>
    <w:p w:rsidRPr="001160C6" w:rsidR="00FB4A6F" w:rsidP="00FB4A6F" w:rsidRDefault="00FB4A6F" w14:paraId="6EAA7C85" w14:textId="77777777">
      <w:pPr>
        <w:pStyle w:val="Lijstalinea"/>
        <w:numPr>
          <w:ilvl w:val="0"/>
          <w:numId w:val="2"/>
        </w:numPr>
        <w:rPr>
          <w:szCs w:val="18"/>
        </w:rPr>
      </w:pPr>
      <w:r w:rsidRPr="001160C6">
        <w:rPr>
          <w:szCs w:val="18"/>
        </w:rPr>
        <w:t>Aanvullende vragenlijst over de bedrijfsvoering van de zorgaanbieder.</w:t>
      </w:r>
    </w:p>
    <w:p w:rsidRPr="001160C6" w:rsidR="00FB4A6F" w:rsidP="00FB4A6F" w:rsidRDefault="00FB4A6F" w14:paraId="1D77F2E1" w14:textId="77777777">
      <w:pPr>
        <w:rPr>
          <w:szCs w:val="18"/>
        </w:rPr>
      </w:pPr>
    </w:p>
    <w:p w:rsidRPr="001160C6" w:rsidR="00FB4A6F" w:rsidP="00FB4A6F" w:rsidRDefault="00FB4A6F" w14:paraId="1DAD5F42" w14:textId="77777777">
      <w:pPr>
        <w:rPr>
          <w:b/>
          <w:bCs/>
          <w:szCs w:val="18"/>
        </w:rPr>
      </w:pPr>
      <w:r w:rsidRPr="001160C6">
        <w:rPr>
          <w:b/>
          <w:bCs/>
          <w:szCs w:val="18"/>
        </w:rPr>
        <w:t>Onderscheid naar omvang van het bedrijf van de zorgaanbieder</w:t>
      </w:r>
    </w:p>
    <w:p w:rsidRPr="001160C6" w:rsidR="00FB4A6F" w:rsidP="00FB4A6F" w:rsidRDefault="00FB4A6F" w14:paraId="1F2C1F53" w14:textId="77777777">
      <w:pPr>
        <w:rPr>
          <w:szCs w:val="18"/>
        </w:rPr>
      </w:pPr>
      <w:r w:rsidRPr="001160C6">
        <w:rPr>
          <w:szCs w:val="18"/>
        </w:rPr>
        <w:t xml:space="preserve">Er wordt in de Regeling openbare jaarverantwoording WMG ook onderscheid gemaakt op basis van de omvang van zorgaanbieders. Naar mate de zorgaanbieder groter wordt, is de openbare jaarverantwoording uitgebreider. </w:t>
      </w:r>
      <w:r w:rsidRPr="00DE305B">
        <w:rPr>
          <w:szCs w:val="18"/>
        </w:rPr>
        <w:t>Bij micro zorgaanbieders wordt de jaarverantwoording slechts beperkt openbaar.</w:t>
      </w:r>
    </w:p>
    <w:p w:rsidRPr="00E92E0B" w:rsidR="00FB4A6F" w:rsidP="00FB4A6F" w:rsidRDefault="00FB4A6F" w14:paraId="7ABA7D67" w14:textId="77777777">
      <w:pPr>
        <w:rPr>
          <w:sz w:val="16"/>
          <w:szCs w:val="16"/>
        </w:rPr>
      </w:pPr>
    </w:p>
    <w:p w:rsidRPr="005B720A" w:rsidR="00FB4A6F" w:rsidP="00FB4A6F" w:rsidRDefault="00FB4A6F" w14:paraId="5F69D8D8" w14:textId="77777777">
      <w:pPr>
        <w:rPr>
          <w:i/>
          <w:iCs/>
          <w:sz w:val="14"/>
          <w:szCs w:val="14"/>
        </w:rPr>
      </w:pPr>
      <w:r w:rsidRPr="005B720A">
        <w:rPr>
          <w:i/>
          <w:iCs/>
          <w:sz w:val="14"/>
          <w:szCs w:val="14"/>
        </w:rPr>
        <w:t>Tabel: Groottecriteria van zorgaanbieders (vergelijkbaar met Burgerlijk Wetboek)</w:t>
      </w:r>
    </w:p>
    <w:tbl>
      <w:tblPr>
        <w:tblStyle w:val="Tabelraster"/>
        <w:tblW w:w="0" w:type="auto"/>
        <w:tblLook w:val="04A0" w:firstRow="1" w:lastRow="0" w:firstColumn="1" w:lastColumn="0" w:noHBand="0" w:noVBand="1"/>
      </w:tblPr>
      <w:tblGrid>
        <w:gridCol w:w="1882"/>
        <w:gridCol w:w="1882"/>
        <w:gridCol w:w="1882"/>
        <w:gridCol w:w="1883"/>
      </w:tblGrid>
      <w:tr w:rsidRPr="005B720A" w:rsidR="00FB4A6F" w:rsidTr="00967543" w14:paraId="4B818F71" w14:textId="77777777">
        <w:tc>
          <w:tcPr>
            <w:tcW w:w="1882" w:type="dxa"/>
          </w:tcPr>
          <w:p w:rsidRPr="005B720A" w:rsidR="00FB4A6F" w:rsidP="00967543" w:rsidRDefault="00FB4A6F" w14:paraId="7AB0BD31" w14:textId="77777777">
            <w:pPr>
              <w:rPr>
                <w:rFonts w:ascii="Verdana" w:hAnsi="Verdana"/>
                <w:sz w:val="14"/>
                <w:szCs w:val="14"/>
              </w:rPr>
            </w:pPr>
          </w:p>
        </w:tc>
        <w:tc>
          <w:tcPr>
            <w:tcW w:w="1882" w:type="dxa"/>
          </w:tcPr>
          <w:p w:rsidRPr="005B720A" w:rsidR="00FB4A6F" w:rsidP="00967543" w:rsidRDefault="00FB4A6F" w14:paraId="69570220" w14:textId="77777777">
            <w:pPr>
              <w:rPr>
                <w:rFonts w:ascii="Verdana" w:hAnsi="Verdana"/>
                <w:sz w:val="14"/>
                <w:szCs w:val="14"/>
              </w:rPr>
            </w:pPr>
            <w:r w:rsidRPr="005B720A">
              <w:rPr>
                <w:rFonts w:ascii="Verdana" w:hAnsi="Verdana"/>
                <w:sz w:val="14"/>
                <w:szCs w:val="14"/>
              </w:rPr>
              <w:t>Netto-omzet</w:t>
            </w:r>
          </w:p>
        </w:tc>
        <w:tc>
          <w:tcPr>
            <w:tcW w:w="1882" w:type="dxa"/>
          </w:tcPr>
          <w:p w:rsidRPr="005B720A" w:rsidR="00FB4A6F" w:rsidP="00967543" w:rsidRDefault="00FB4A6F" w14:paraId="49F9733F" w14:textId="77777777">
            <w:pPr>
              <w:rPr>
                <w:rFonts w:ascii="Verdana" w:hAnsi="Verdana"/>
                <w:sz w:val="14"/>
                <w:szCs w:val="14"/>
              </w:rPr>
            </w:pPr>
            <w:r w:rsidRPr="005B720A">
              <w:rPr>
                <w:rFonts w:ascii="Verdana" w:hAnsi="Verdana"/>
                <w:sz w:val="14"/>
                <w:szCs w:val="14"/>
              </w:rPr>
              <w:t xml:space="preserve">Balanstotaal </w:t>
            </w:r>
          </w:p>
        </w:tc>
        <w:tc>
          <w:tcPr>
            <w:tcW w:w="1883" w:type="dxa"/>
          </w:tcPr>
          <w:p w:rsidRPr="005B720A" w:rsidR="00FB4A6F" w:rsidP="00967543" w:rsidRDefault="00FB4A6F" w14:paraId="01C707C4" w14:textId="77777777">
            <w:pPr>
              <w:rPr>
                <w:rFonts w:ascii="Verdana" w:hAnsi="Verdana"/>
                <w:sz w:val="14"/>
                <w:szCs w:val="14"/>
              </w:rPr>
            </w:pPr>
            <w:r w:rsidRPr="005B720A">
              <w:rPr>
                <w:rFonts w:ascii="Verdana" w:hAnsi="Verdana"/>
                <w:sz w:val="14"/>
                <w:szCs w:val="14"/>
              </w:rPr>
              <w:t xml:space="preserve">Werknemers </w:t>
            </w:r>
          </w:p>
        </w:tc>
      </w:tr>
      <w:tr w:rsidRPr="005B720A" w:rsidR="00FB4A6F" w:rsidTr="00967543" w14:paraId="0BECEF79" w14:textId="77777777">
        <w:tc>
          <w:tcPr>
            <w:tcW w:w="1882" w:type="dxa"/>
          </w:tcPr>
          <w:p w:rsidRPr="005B720A" w:rsidR="00FB4A6F" w:rsidP="00967543" w:rsidRDefault="00FB4A6F" w14:paraId="4468C675" w14:textId="77777777">
            <w:pPr>
              <w:rPr>
                <w:rFonts w:ascii="Verdana" w:hAnsi="Verdana"/>
                <w:sz w:val="14"/>
                <w:szCs w:val="14"/>
              </w:rPr>
            </w:pPr>
            <w:r w:rsidRPr="005B720A">
              <w:rPr>
                <w:rFonts w:ascii="Verdana" w:hAnsi="Verdana"/>
                <w:sz w:val="14"/>
                <w:szCs w:val="14"/>
              </w:rPr>
              <w:t xml:space="preserve">Micro </w:t>
            </w:r>
          </w:p>
        </w:tc>
        <w:tc>
          <w:tcPr>
            <w:tcW w:w="1882" w:type="dxa"/>
          </w:tcPr>
          <w:p w:rsidRPr="005B720A" w:rsidR="00FB4A6F" w:rsidP="00967543" w:rsidRDefault="00FB4A6F" w14:paraId="02925046" w14:textId="77777777">
            <w:pPr>
              <w:rPr>
                <w:rFonts w:ascii="Verdana" w:hAnsi="Verdana"/>
                <w:sz w:val="14"/>
                <w:szCs w:val="14"/>
              </w:rPr>
            </w:pPr>
            <w:r w:rsidRPr="005B720A">
              <w:rPr>
                <w:rFonts w:ascii="Verdana" w:hAnsi="Verdana"/>
                <w:sz w:val="14"/>
                <w:szCs w:val="14"/>
              </w:rPr>
              <w:t xml:space="preserve">Maximaal </w:t>
            </w:r>
          </w:p>
          <w:p w:rsidRPr="005B720A" w:rsidR="00FB4A6F" w:rsidP="00967543" w:rsidRDefault="00FB4A6F" w14:paraId="421E31C5" w14:textId="77777777">
            <w:pPr>
              <w:rPr>
                <w:rFonts w:ascii="Verdana" w:hAnsi="Verdana"/>
                <w:sz w:val="14"/>
                <w:szCs w:val="14"/>
              </w:rPr>
            </w:pPr>
            <w:r w:rsidRPr="005B720A">
              <w:rPr>
                <w:rFonts w:ascii="Verdana" w:hAnsi="Verdana"/>
                <w:sz w:val="14"/>
                <w:szCs w:val="14"/>
              </w:rPr>
              <w:t>€900.000</w:t>
            </w:r>
          </w:p>
        </w:tc>
        <w:tc>
          <w:tcPr>
            <w:tcW w:w="1882" w:type="dxa"/>
          </w:tcPr>
          <w:p w:rsidRPr="005B720A" w:rsidR="00FB4A6F" w:rsidP="00967543" w:rsidRDefault="00FB4A6F" w14:paraId="1B683015" w14:textId="77777777">
            <w:pPr>
              <w:rPr>
                <w:rFonts w:ascii="Verdana" w:hAnsi="Verdana"/>
                <w:sz w:val="14"/>
                <w:szCs w:val="14"/>
              </w:rPr>
            </w:pPr>
            <w:r w:rsidRPr="005B720A">
              <w:rPr>
                <w:rFonts w:ascii="Verdana" w:hAnsi="Verdana"/>
                <w:sz w:val="14"/>
                <w:szCs w:val="14"/>
              </w:rPr>
              <w:t>Maximaal €450.000</w:t>
            </w:r>
          </w:p>
        </w:tc>
        <w:tc>
          <w:tcPr>
            <w:tcW w:w="1883" w:type="dxa"/>
          </w:tcPr>
          <w:p w:rsidRPr="005B720A" w:rsidR="00FB4A6F" w:rsidP="00967543" w:rsidRDefault="00FB4A6F" w14:paraId="0709541F" w14:textId="77777777">
            <w:pPr>
              <w:rPr>
                <w:rFonts w:ascii="Verdana" w:hAnsi="Verdana"/>
                <w:sz w:val="14"/>
                <w:szCs w:val="14"/>
              </w:rPr>
            </w:pPr>
            <w:r w:rsidRPr="005B720A">
              <w:rPr>
                <w:rFonts w:ascii="Verdana" w:hAnsi="Verdana"/>
                <w:sz w:val="14"/>
                <w:szCs w:val="14"/>
              </w:rPr>
              <w:t>Minder dan 10 fte</w:t>
            </w:r>
          </w:p>
        </w:tc>
      </w:tr>
      <w:tr w:rsidRPr="005B720A" w:rsidR="00FB4A6F" w:rsidTr="00967543" w14:paraId="13127297" w14:textId="77777777">
        <w:tc>
          <w:tcPr>
            <w:tcW w:w="1882" w:type="dxa"/>
          </w:tcPr>
          <w:p w:rsidRPr="005B720A" w:rsidR="00FB4A6F" w:rsidP="00967543" w:rsidRDefault="00FB4A6F" w14:paraId="1BABB001" w14:textId="77777777">
            <w:pPr>
              <w:rPr>
                <w:rFonts w:ascii="Verdana" w:hAnsi="Verdana"/>
                <w:sz w:val="14"/>
                <w:szCs w:val="14"/>
              </w:rPr>
            </w:pPr>
            <w:r w:rsidRPr="005B720A">
              <w:rPr>
                <w:rFonts w:ascii="Verdana" w:hAnsi="Verdana"/>
                <w:sz w:val="14"/>
                <w:szCs w:val="14"/>
              </w:rPr>
              <w:t>Klein</w:t>
            </w:r>
          </w:p>
        </w:tc>
        <w:tc>
          <w:tcPr>
            <w:tcW w:w="1882" w:type="dxa"/>
          </w:tcPr>
          <w:p w:rsidRPr="005B720A" w:rsidR="00FB4A6F" w:rsidP="00967543" w:rsidRDefault="00FB4A6F" w14:paraId="248BCEF0" w14:textId="77777777">
            <w:pPr>
              <w:rPr>
                <w:rFonts w:ascii="Verdana" w:hAnsi="Verdana"/>
                <w:sz w:val="14"/>
                <w:szCs w:val="14"/>
              </w:rPr>
            </w:pPr>
            <w:r w:rsidRPr="005B720A">
              <w:rPr>
                <w:rFonts w:ascii="Verdana" w:hAnsi="Verdana"/>
                <w:sz w:val="14"/>
                <w:szCs w:val="14"/>
              </w:rPr>
              <w:t>Maximaal €15.000.000</w:t>
            </w:r>
          </w:p>
        </w:tc>
        <w:tc>
          <w:tcPr>
            <w:tcW w:w="1882" w:type="dxa"/>
          </w:tcPr>
          <w:p w:rsidRPr="005B720A" w:rsidR="00FB4A6F" w:rsidP="00967543" w:rsidRDefault="00FB4A6F" w14:paraId="228E85FC" w14:textId="77777777">
            <w:pPr>
              <w:rPr>
                <w:rFonts w:ascii="Verdana" w:hAnsi="Verdana"/>
                <w:sz w:val="14"/>
                <w:szCs w:val="14"/>
              </w:rPr>
            </w:pPr>
            <w:r w:rsidRPr="005B720A">
              <w:rPr>
                <w:rFonts w:ascii="Verdana" w:hAnsi="Verdana"/>
                <w:sz w:val="14"/>
                <w:szCs w:val="14"/>
              </w:rPr>
              <w:t>Maximaal €7.500.000</w:t>
            </w:r>
          </w:p>
        </w:tc>
        <w:tc>
          <w:tcPr>
            <w:tcW w:w="1883" w:type="dxa"/>
          </w:tcPr>
          <w:p w:rsidRPr="005B720A" w:rsidR="00FB4A6F" w:rsidP="00967543" w:rsidRDefault="00FB4A6F" w14:paraId="50B6E23F" w14:textId="77777777">
            <w:pPr>
              <w:rPr>
                <w:rFonts w:ascii="Verdana" w:hAnsi="Verdana"/>
                <w:sz w:val="14"/>
                <w:szCs w:val="14"/>
              </w:rPr>
            </w:pPr>
            <w:r w:rsidRPr="005B720A">
              <w:rPr>
                <w:rFonts w:ascii="Verdana" w:hAnsi="Verdana"/>
                <w:sz w:val="14"/>
                <w:szCs w:val="14"/>
              </w:rPr>
              <w:t>Minder dan 50 fte</w:t>
            </w:r>
          </w:p>
        </w:tc>
      </w:tr>
      <w:tr w:rsidRPr="005B720A" w:rsidR="00FB4A6F" w:rsidTr="00967543" w14:paraId="09AE26E5" w14:textId="77777777">
        <w:tc>
          <w:tcPr>
            <w:tcW w:w="1882" w:type="dxa"/>
          </w:tcPr>
          <w:p w:rsidRPr="005B720A" w:rsidR="00FB4A6F" w:rsidP="00967543" w:rsidRDefault="00FB4A6F" w14:paraId="45C2CD51" w14:textId="77777777">
            <w:pPr>
              <w:rPr>
                <w:rFonts w:ascii="Verdana" w:hAnsi="Verdana"/>
                <w:sz w:val="14"/>
                <w:szCs w:val="14"/>
              </w:rPr>
            </w:pPr>
            <w:r w:rsidRPr="005B720A">
              <w:rPr>
                <w:rFonts w:ascii="Verdana" w:hAnsi="Verdana"/>
                <w:sz w:val="14"/>
                <w:szCs w:val="14"/>
              </w:rPr>
              <w:t>Middelgroot</w:t>
            </w:r>
          </w:p>
        </w:tc>
        <w:tc>
          <w:tcPr>
            <w:tcW w:w="1882" w:type="dxa"/>
          </w:tcPr>
          <w:p w:rsidRPr="005B720A" w:rsidR="00FB4A6F" w:rsidP="00967543" w:rsidRDefault="00FB4A6F" w14:paraId="5D4B7AAF" w14:textId="77777777">
            <w:pPr>
              <w:rPr>
                <w:rFonts w:ascii="Verdana" w:hAnsi="Verdana"/>
                <w:sz w:val="14"/>
                <w:szCs w:val="14"/>
              </w:rPr>
            </w:pPr>
            <w:r w:rsidRPr="005B720A">
              <w:rPr>
                <w:rFonts w:ascii="Verdana" w:hAnsi="Verdana"/>
                <w:sz w:val="14"/>
                <w:szCs w:val="14"/>
              </w:rPr>
              <w:t>Maximaal €50.000.000</w:t>
            </w:r>
          </w:p>
        </w:tc>
        <w:tc>
          <w:tcPr>
            <w:tcW w:w="1882" w:type="dxa"/>
          </w:tcPr>
          <w:p w:rsidRPr="005B720A" w:rsidR="00FB4A6F" w:rsidP="00967543" w:rsidRDefault="00FB4A6F" w14:paraId="33AE78BF" w14:textId="77777777">
            <w:pPr>
              <w:rPr>
                <w:rFonts w:ascii="Verdana" w:hAnsi="Verdana"/>
                <w:sz w:val="14"/>
                <w:szCs w:val="14"/>
              </w:rPr>
            </w:pPr>
            <w:r w:rsidRPr="005B720A">
              <w:rPr>
                <w:rFonts w:ascii="Verdana" w:hAnsi="Verdana"/>
                <w:sz w:val="14"/>
                <w:szCs w:val="14"/>
              </w:rPr>
              <w:t>Maximaal €25.000.000</w:t>
            </w:r>
          </w:p>
        </w:tc>
        <w:tc>
          <w:tcPr>
            <w:tcW w:w="1883" w:type="dxa"/>
          </w:tcPr>
          <w:p w:rsidRPr="005B720A" w:rsidR="00FB4A6F" w:rsidP="00967543" w:rsidRDefault="00FB4A6F" w14:paraId="475B03D0" w14:textId="77777777">
            <w:pPr>
              <w:rPr>
                <w:rFonts w:ascii="Verdana" w:hAnsi="Verdana"/>
                <w:sz w:val="14"/>
                <w:szCs w:val="14"/>
              </w:rPr>
            </w:pPr>
            <w:r w:rsidRPr="005B720A">
              <w:rPr>
                <w:rFonts w:ascii="Verdana" w:hAnsi="Verdana"/>
                <w:sz w:val="14"/>
                <w:szCs w:val="14"/>
              </w:rPr>
              <w:t>Minder dan 250 fte</w:t>
            </w:r>
          </w:p>
        </w:tc>
      </w:tr>
      <w:tr w:rsidRPr="005B720A" w:rsidR="00FB4A6F" w:rsidTr="00967543" w14:paraId="2B9FC506" w14:textId="77777777">
        <w:tc>
          <w:tcPr>
            <w:tcW w:w="1882" w:type="dxa"/>
          </w:tcPr>
          <w:p w:rsidRPr="005B720A" w:rsidR="00FB4A6F" w:rsidP="00967543" w:rsidRDefault="00FB4A6F" w14:paraId="7916DAFB" w14:textId="77777777">
            <w:pPr>
              <w:rPr>
                <w:rFonts w:ascii="Verdana" w:hAnsi="Verdana"/>
                <w:sz w:val="14"/>
                <w:szCs w:val="14"/>
              </w:rPr>
            </w:pPr>
            <w:r w:rsidRPr="005B720A">
              <w:rPr>
                <w:rFonts w:ascii="Verdana" w:hAnsi="Verdana"/>
                <w:sz w:val="14"/>
                <w:szCs w:val="14"/>
              </w:rPr>
              <w:t>Groot</w:t>
            </w:r>
          </w:p>
        </w:tc>
        <w:tc>
          <w:tcPr>
            <w:tcW w:w="1882" w:type="dxa"/>
          </w:tcPr>
          <w:p w:rsidRPr="005B720A" w:rsidR="00FB4A6F" w:rsidP="00967543" w:rsidRDefault="00FB4A6F" w14:paraId="7CDBCD6F" w14:textId="77777777">
            <w:pPr>
              <w:rPr>
                <w:rFonts w:ascii="Verdana" w:hAnsi="Verdana"/>
                <w:sz w:val="14"/>
                <w:szCs w:val="14"/>
              </w:rPr>
            </w:pPr>
            <w:r w:rsidRPr="005B720A">
              <w:rPr>
                <w:rFonts w:ascii="Verdana" w:hAnsi="Verdana"/>
                <w:sz w:val="14"/>
                <w:szCs w:val="14"/>
              </w:rPr>
              <w:t xml:space="preserve">Meer dan grensbedrag van middelgroot </w:t>
            </w:r>
          </w:p>
        </w:tc>
        <w:tc>
          <w:tcPr>
            <w:tcW w:w="1882" w:type="dxa"/>
          </w:tcPr>
          <w:p w:rsidRPr="005B720A" w:rsidR="00FB4A6F" w:rsidP="00967543" w:rsidRDefault="00FB4A6F" w14:paraId="17651E14" w14:textId="77777777">
            <w:pPr>
              <w:rPr>
                <w:rFonts w:ascii="Verdana" w:hAnsi="Verdana"/>
                <w:sz w:val="14"/>
                <w:szCs w:val="14"/>
              </w:rPr>
            </w:pPr>
            <w:r w:rsidRPr="005B720A">
              <w:rPr>
                <w:rFonts w:ascii="Verdana" w:hAnsi="Verdana"/>
                <w:sz w:val="14"/>
                <w:szCs w:val="14"/>
              </w:rPr>
              <w:t>Meer dan grensbedrag van middelgroot</w:t>
            </w:r>
          </w:p>
        </w:tc>
        <w:tc>
          <w:tcPr>
            <w:tcW w:w="1883" w:type="dxa"/>
          </w:tcPr>
          <w:p w:rsidRPr="005B720A" w:rsidR="00FB4A6F" w:rsidP="00967543" w:rsidRDefault="00FB4A6F" w14:paraId="1D3F9765" w14:textId="77777777">
            <w:pPr>
              <w:rPr>
                <w:rFonts w:ascii="Verdana" w:hAnsi="Verdana"/>
                <w:sz w:val="14"/>
                <w:szCs w:val="14"/>
              </w:rPr>
            </w:pPr>
            <w:r w:rsidRPr="005B720A">
              <w:rPr>
                <w:rFonts w:ascii="Verdana" w:hAnsi="Verdana"/>
                <w:sz w:val="14"/>
                <w:szCs w:val="14"/>
              </w:rPr>
              <w:t>Meer dan grensbedrag van middelgroot</w:t>
            </w:r>
          </w:p>
        </w:tc>
      </w:tr>
    </w:tbl>
    <w:p w:rsidRPr="00E92E0B" w:rsidR="00FB4A6F" w:rsidP="00FB4A6F" w:rsidRDefault="00FB4A6F" w14:paraId="2B564E06" w14:textId="77777777">
      <w:pPr>
        <w:rPr>
          <w:sz w:val="16"/>
          <w:szCs w:val="16"/>
        </w:rPr>
      </w:pPr>
    </w:p>
    <w:p w:rsidRPr="001160C6" w:rsidR="00FB4A6F" w:rsidP="00FB4A6F" w:rsidRDefault="00FB4A6F" w14:paraId="28FC03AA" w14:textId="77777777">
      <w:pPr>
        <w:rPr>
          <w:szCs w:val="18"/>
        </w:rPr>
      </w:pPr>
      <w:r w:rsidRPr="001160C6">
        <w:rPr>
          <w:szCs w:val="18"/>
        </w:rPr>
        <w:t xml:space="preserve">Daarnaast zijn er andere jaarverslaggevingsregels voor gemeenten, provincies, TBS en abortusklinieken, omdat zij al een eigen jaarrekeningrecht kennen op grond van andere wetgeving dan het Burgerlijk Wetboek. Om de regeldruk beperkt te houden, is aangesloten bij die andere vormen van jaarrekeningenrecht. </w:t>
      </w:r>
    </w:p>
    <w:p w:rsidR="00B06701" w:rsidP="00FB4A6F" w:rsidRDefault="00B06701" w14:paraId="397B9B7E" w14:textId="39F71256"/>
    <w:sectPr w:rsidR="00B06701" w:rsidSect="001E6A24">
      <w:pgSz w:w="11907" w:h="16840" w:code="9"/>
      <w:pgMar w:top="1440" w:right="1440" w:bottom="1440" w:left="1440" w:header="709" w:footer="709"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479AA"/>
    <w:multiLevelType w:val="hybridMultilevel"/>
    <w:tmpl w:val="84DA2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3332431"/>
    <w:multiLevelType w:val="hybridMultilevel"/>
    <w:tmpl w:val="6EC4BF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01931021">
    <w:abstractNumId w:val="1"/>
  </w:num>
  <w:num w:numId="2" w16cid:durableId="130836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6F"/>
    <w:rsid w:val="000369AC"/>
    <w:rsid w:val="001E6A24"/>
    <w:rsid w:val="002B0589"/>
    <w:rsid w:val="00350ABC"/>
    <w:rsid w:val="0040002F"/>
    <w:rsid w:val="005B720A"/>
    <w:rsid w:val="00646C7E"/>
    <w:rsid w:val="00890455"/>
    <w:rsid w:val="00B06701"/>
    <w:rsid w:val="00FB4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D61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4A6F"/>
    <w:pPr>
      <w:widowControl w:val="0"/>
      <w:suppressAutoHyphens/>
      <w:autoSpaceDN w:val="0"/>
      <w:spacing w:after="0" w:line="240" w:lineRule="exact"/>
      <w:textAlignment w:val="baseline"/>
    </w:pPr>
    <w:rPr>
      <w:rFonts w:eastAsia="DejaVu Sans" w:cs="Lohit Hindi"/>
      <w:kern w:val="3"/>
      <w:szCs w:val="24"/>
      <w:lang w:val="nl-NL" w:eastAsia="zh-CN" w:bidi="hi-IN"/>
      <w14:ligatures w14:val="none"/>
    </w:rPr>
  </w:style>
  <w:style w:type="paragraph" w:styleId="Kop1">
    <w:name w:val="heading 1"/>
    <w:basedOn w:val="Standaard"/>
    <w:next w:val="Standaard"/>
    <w:link w:val="Kop1Char"/>
    <w:uiPriority w:val="9"/>
    <w:qFormat/>
    <w:rsid w:val="00FB4A6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FB4A6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FB4A6F"/>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FB4A6F"/>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FB4A6F"/>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FB4A6F"/>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FB4A6F"/>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FB4A6F"/>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FB4A6F"/>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A6F"/>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FB4A6F"/>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FB4A6F"/>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FB4A6F"/>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FB4A6F"/>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FB4A6F"/>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FB4A6F"/>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FB4A6F"/>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FB4A6F"/>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FB4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A6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A6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A6F"/>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FB4A6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A6F"/>
    <w:rPr>
      <w:i/>
      <w:iCs/>
      <w:color w:val="404040" w:themeColor="text1" w:themeTint="BF"/>
    </w:rPr>
  </w:style>
  <w:style w:type="paragraph" w:styleId="Lijstalinea">
    <w:name w:val="List Paragraph"/>
    <w:basedOn w:val="Standaard"/>
    <w:uiPriority w:val="34"/>
    <w:qFormat/>
    <w:rsid w:val="00FB4A6F"/>
    <w:pPr>
      <w:ind w:left="720"/>
      <w:contextualSpacing/>
    </w:pPr>
  </w:style>
  <w:style w:type="character" w:styleId="Intensievebenadrukking">
    <w:name w:val="Intense Emphasis"/>
    <w:basedOn w:val="Standaardalinea-lettertype"/>
    <w:uiPriority w:val="21"/>
    <w:qFormat/>
    <w:rsid w:val="00FB4A6F"/>
    <w:rPr>
      <w:i/>
      <w:iCs/>
      <w:color w:val="2E74B5" w:themeColor="accent1" w:themeShade="BF"/>
    </w:rPr>
  </w:style>
  <w:style w:type="paragraph" w:styleId="Duidelijkcitaat">
    <w:name w:val="Intense Quote"/>
    <w:basedOn w:val="Standaard"/>
    <w:next w:val="Standaard"/>
    <w:link w:val="DuidelijkcitaatChar"/>
    <w:uiPriority w:val="30"/>
    <w:qFormat/>
    <w:rsid w:val="00FB4A6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FB4A6F"/>
    <w:rPr>
      <w:i/>
      <w:iCs/>
      <w:color w:val="2E74B5" w:themeColor="accent1" w:themeShade="BF"/>
    </w:rPr>
  </w:style>
  <w:style w:type="character" w:styleId="Intensieveverwijzing">
    <w:name w:val="Intense Reference"/>
    <w:basedOn w:val="Standaardalinea-lettertype"/>
    <w:uiPriority w:val="32"/>
    <w:qFormat/>
    <w:rsid w:val="00FB4A6F"/>
    <w:rPr>
      <w:b/>
      <w:bCs/>
      <w:smallCaps/>
      <w:color w:val="2E74B5" w:themeColor="accent1" w:themeShade="BF"/>
      <w:spacing w:val="5"/>
    </w:rPr>
  </w:style>
  <w:style w:type="table" w:styleId="Tabelraster">
    <w:name w:val="Table Grid"/>
    <w:basedOn w:val="Standaardtabel"/>
    <w:uiPriority w:val="59"/>
    <w:rsid w:val="00FB4A6F"/>
    <w:pPr>
      <w:widowControl w:val="0"/>
      <w:suppressAutoHyphens/>
      <w:autoSpaceDN w:val="0"/>
      <w:spacing w:after="0" w:line="240" w:lineRule="auto"/>
      <w:textAlignment w:val="baseline"/>
    </w:pPr>
    <w:rPr>
      <w:rFonts w:ascii="Times New Roman" w:eastAsia="DejaVu Sans" w:hAnsi="Times New Roman" w:cs="Lohit Hindi"/>
      <w:kern w:val="3"/>
      <w:sz w:val="24"/>
      <w:szCs w:val="24"/>
      <w:lang w:val="nl-NL" w:eastAsia="zh-CN" w:bidi="hi-IN"/>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377</ap:Words>
  <ap:Characters>2078</ap:Characters>
  <ap:DocSecurity>0</ap:DocSecurity>
  <ap:Lines>17</ap:Lines>
  <ap:Paragraphs>4</ap:Paragraphs>
  <ap:ScaleCrop>false</ap:ScaleCrop>
  <ap:LinksUpToDate>false</ap:LinksUpToDate>
  <ap:CharactersWithSpaces>2451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2026-05-11T08:29:00.0000000Z</dcterms:created>
  <dcterms:modified xsi:type="dcterms:W3CDTF">2026-05-11T08:29:00.0000000Z</dcterms:modified>
  <version/>
  <category/>
</coreProperties>
</file>