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117" w:rsidRDefault="00CD2092" w14:paraId="18FE7BAD" w14:textId="40FD088A">
      <w:bookmarkStart w:name="_GoBack" w:id="0"/>
      <w:bookmarkEnd w:id="0"/>
      <w:r>
        <w:t>Geachte voorzitter,</w:t>
      </w:r>
    </w:p>
    <w:p w:rsidR="00CD2092" w:rsidRDefault="00CD2092" w14:paraId="2E82D498" w14:textId="77777777"/>
    <w:p w:rsidR="00CD2092" w:rsidP="00CD2092" w:rsidRDefault="00CD2092" w14:paraId="281CA409" w14:textId="54BFC095">
      <w:r>
        <w:t xml:space="preserve">Hierbij bied ik u de antwoorden aan op de </w:t>
      </w:r>
      <w:r w:rsidRPr="00155388">
        <w:t xml:space="preserve">schriftelijke vragen van het lid </w:t>
      </w:r>
      <w:r>
        <w:t>Van der Plas</w:t>
      </w:r>
      <w:r w:rsidRPr="00155388">
        <w:t xml:space="preserve"> (</w:t>
      </w:r>
      <w:r>
        <w:t>BBB</w:t>
      </w:r>
      <w:r w:rsidRPr="00155388">
        <w:t xml:space="preserve">) over </w:t>
      </w:r>
      <w:r>
        <w:t>de compensatieregeling vuurwerkbranche</w:t>
      </w:r>
      <w:r w:rsidRPr="00155388">
        <w:t xml:space="preserve"> (ingezonden op </w:t>
      </w:r>
      <w:r>
        <w:t>16 december 2025</w:t>
      </w:r>
      <w:r w:rsidRPr="00155388">
        <w:t>, met kenmerk 202</w:t>
      </w:r>
      <w:r>
        <w:t>5</w:t>
      </w:r>
      <w:r w:rsidRPr="00155388">
        <w:t>Z</w:t>
      </w:r>
      <w:r>
        <w:t>22168</w:t>
      </w:r>
      <w:r w:rsidRPr="00155388">
        <w:t>).</w:t>
      </w:r>
    </w:p>
    <w:p w:rsidR="00CD2092" w:rsidP="00CD2092" w:rsidRDefault="00CD2092" w14:paraId="6DCDC1B6" w14:textId="77777777"/>
    <w:p w:rsidR="00CD2092" w:rsidP="00CD2092" w:rsidRDefault="00CD2092" w14:paraId="098D5829" w14:textId="1B11A8C3">
      <w:r w:rsidRPr="00EC79B9">
        <w:t xml:space="preserve">De gesprekken </w:t>
      </w:r>
      <w:r w:rsidR="00EC79B9">
        <w:t xml:space="preserve">over de </w:t>
      </w:r>
      <w:r w:rsidR="00C77BFF">
        <w:t>nadeel</w:t>
      </w:r>
      <w:r w:rsidR="00EC79B9">
        <w:t xml:space="preserve">compensatieregeling zijn zowel interdepartementaal als </w:t>
      </w:r>
      <w:r w:rsidRPr="00EC79B9">
        <w:t xml:space="preserve">met de vuurwerkbranche </w:t>
      </w:r>
      <w:r w:rsidR="001E4703">
        <w:t>in</w:t>
      </w:r>
      <w:r w:rsidR="005E17D0">
        <w:t>middels</w:t>
      </w:r>
      <w:r w:rsidRPr="00EC79B9">
        <w:t xml:space="preserve"> afgerond</w:t>
      </w:r>
      <w:r w:rsidR="00EC79B9">
        <w:t xml:space="preserve">. Zowel </w:t>
      </w:r>
      <w:r w:rsidRPr="00EC79B9">
        <w:t xml:space="preserve">de uitgangspunten voor de </w:t>
      </w:r>
      <w:r w:rsidR="00C77BFF">
        <w:t>nadeel</w:t>
      </w:r>
      <w:r w:rsidRPr="00EC79B9">
        <w:t xml:space="preserve">compensatieregeling </w:t>
      </w:r>
      <w:r w:rsidR="00EC79B9">
        <w:t xml:space="preserve">als de benodigde dekking </w:t>
      </w:r>
      <w:r w:rsidRPr="00EC79B9">
        <w:t xml:space="preserve">zijn </w:t>
      </w:r>
      <w:r w:rsidR="00EC79B9">
        <w:t xml:space="preserve">nu </w:t>
      </w:r>
      <w:r w:rsidRPr="00EC79B9">
        <w:t>bekend</w:t>
      </w:r>
      <w:r w:rsidR="00EC79B9">
        <w:rPr>
          <w:rStyle w:val="FootnoteReference"/>
        </w:rPr>
        <w:footnoteReference w:id="1"/>
      </w:r>
      <w:r w:rsidR="00EC79B9">
        <w:t xml:space="preserve"> zodat de vragen beantwoord kunnen worden</w:t>
      </w:r>
      <w:r w:rsidRPr="00EC79B9">
        <w:t>.</w:t>
      </w:r>
    </w:p>
    <w:p w:rsidR="00613117" w:rsidRDefault="006668EF" w14:paraId="7B6A7EB5" w14:textId="77777777">
      <w:pPr>
        <w:pStyle w:val="Slotzin"/>
      </w:pPr>
      <w:r>
        <w:t>Hoogachtend,</w:t>
      </w:r>
    </w:p>
    <w:p w:rsidR="00613117" w:rsidRDefault="006668EF" w14:paraId="3F8BD76C" w14:textId="77777777">
      <w:pPr>
        <w:pStyle w:val="OndertekeningArea1"/>
      </w:pPr>
      <w:r>
        <w:t>DE STAATSSECRETARIS VAN INFRASTRUCTUUR EN WATERSTAAT,</w:t>
      </w:r>
    </w:p>
    <w:p w:rsidR="00613117" w:rsidRDefault="00613117" w14:paraId="72D412D6" w14:textId="77777777"/>
    <w:p w:rsidR="00613117" w:rsidRDefault="00613117" w14:paraId="4CE39C52" w14:textId="77777777"/>
    <w:p w:rsidR="00613117" w:rsidRDefault="00613117" w14:paraId="52F0C3F0" w14:textId="77777777"/>
    <w:p w:rsidR="00613117" w:rsidRDefault="00613117" w14:paraId="7999B955" w14:textId="77777777"/>
    <w:p w:rsidR="00613117" w:rsidRDefault="006668EF" w14:paraId="1967E858" w14:textId="77777777">
      <w:r>
        <w:t>Annet Bertram</w:t>
      </w:r>
    </w:p>
    <w:p w:rsidR="00CD2092" w:rsidRDefault="00CD2092" w14:paraId="2C973385" w14:textId="77777777"/>
    <w:p w:rsidR="00CD2092" w:rsidRDefault="00CD2092" w14:paraId="7F5AD921" w14:textId="5B48BEDF">
      <w:pPr>
        <w:spacing w:line="240" w:lineRule="auto"/>
      </w:pPr>
      <w:r>
        <w:br w:type="page"/>
      </w:r>
    </w:p>
    <w:p w:rsidR="00CD2092" w:rsidRDefault="00CD2092" w14:paraId="10CF62D5" w14:textId="4FED7E0C">
      <w:r>
        <w:rPr>
          <w:b/>
          <w:bCs/>
        </w:rPr>
        <w:lastRenderedPageBreak/>
        <w:t>(</w:t>
      </w:r>
      <w:r w:rsidRPr="00CD2092">
        <w:rPr>
          <w:b/>
          <w:bCs/>
        </w:rPr>
        <w:t>2025Z22168</w:t>
      </w:r>
      <w:r>
        <w:rPr>
          <w:b/>
          <w:bCs/>
        </w:rPr>
        <w:t xml:space="preserve">) </w:t>
      </w:r>
      <w:r w:rsidRPr="00CD2092">
        <w:rPr>
          <w:b/>
          <w:bCs/>
        </w:rPr>
        <w:t>Vragen van het lid Van der Plas (BBB) aan de staatssecretaris van Infrastructuur- en Waterstaat over de compensatieregeling vuurwerkbranche</w:t>
      </w:r>
    </w:p>
    <w:p w:rsidRPr="00CD2092" w:rsidR="00CD2092" w:rsidRDefault="00CD2092" w14:paraId="393CEF19" w14:textId="77777777">
      <w:pPr>
        <w:rPr>
          <w:b/>
          <w:bCs/>
        </w:rPr>
      </w:pPr>
    </w:p>
    <w:p w:rsidRPr="00CD2092" w:rsidR="00CD2092" w:rsidP="00CD2092" w:rsidRDefault="00CD2092" w14:paraId="5954D4BA" w14:textId="3A78DF49">
      <w:pPr>
        <w:pStyle w:val="ListParagraph"/>
        <w:numPr>
          <w:ilvl w:val="0"/>
          <w:numId w:val="24"/>
        </w:numPr>
        <w:rPr>
          <w:b/>
          <w:bCs/>
        </w:rPr>
      </w:pPr>
      <w:r w:rsidRPr="00CD2092">
        <w:rPr>
          <w:b/>
          <w:bCs/>
        </w:rPr>
        <w:t>Bent u bekend met de ‘compensatieregeling’ voor ondernemers uit de vuurwerkbranche die gedwongen moeten stoppen in verband met het verbod op consumentenvuurwerk?</w:t>
      </w:r>
    </w:p>
    <w:p w:rsidR="00B26DC0" w:rsidP="00B26DC0" w:rsidRDefault="0080562B" w14:paraId="111560D1" w14:textId="395E9F30">
      <w:pPr>
        <w:ind w:left="709"/>
      </w:pPr>
      <w:r>
        <w:t xml:space="preserve">Ja. </w:t>
      </w:r>
      <w:r w:rsidR="00EC79B9">
        <w:t>H</w:t>
      </w:r>
      <w:r w:rsidRPr="00EC79B9" w:rsidR="00EC79B9">
        <w:t xml:space="preserve">et ministerie van Infrastructuur en Waterstaat </w:t>
      </w:r>
      <w:r>
        <w:t xml:space="preserve">heeft het afgelopen jaar gewerkt aan </w:t>
      </w:r>
      <w:r w:rsidRPr="00EC79B9" w:rsidR="00EC79B9">
        <w:t xml:space="preserve">een </w:t>
      </w:r>
      <w:r w:rsidR="00C77BFF">
        <w:t>nadeel</w:t>
      </w:r>
      <w:r w:rsidRPr="00EC79B9" w:rsidR="00EC79B9">
        <w:t xml:space="preserve">compensatieregeling voor ondernemers uit de vuurwerkbranche. </w:t>
      </w:r>
      <w:r>
        <w:t>De</w:t>
      </w:r>
      <w:r w:rsidR="000920DF">
        <w:t xml:space="preserve"> uitgangspuntenbrief</w:t>
      </w:r>
      <w:r w:rsidR="00810DEB">
        <w:t xml:space="preserve"> </w:t>
      </w:r>
      <w:r>
        <w:t xml:space="preserve">is </w:t>
      </w:r>
      <w:r w:rsidRPr="00BF53EF" w:rsidR="001E4703">
        <w:t>8 mei 2026</w:t>
      </w:r>
      <w:r>
        <w:t xml:space="preserve"> naar uw Kamer gestuurd. </w:t>
      </w:r>
      <w:r w:rsidRPr="00EC79B9" w:rsidR="00EC79B9">
        <w:t xml:space="preserve">Van dwang om </w:t>
      </w:r>
      <w:r w:rsidR="00810DEB">
        <w:t xml:space="preserve">het gehele bedrijf </w:t>
      </w:r>
      <w:r w:rsidRPr="00EC79B9" w:rsidR="00EC79B9">
        <w:t>te stoppen is geen sprake.</w:t>
      </w:r>
    </w:p>
    <w:p w:rsidRPr="00B26DC0" w:rsidR="00EC79B9" w:rsidP="00B26DC0" w:rsidRDefault="00EC79B9" w14:paraId="46C81361" w14:textId="77777777">
      <w:pPr>
        <w:ind w:left="709"/>
      </w:pPr>
    </w:p>
    <w:p w:rsidRPr="00CD2092" w:rsidR="00CD2092" w:rsidP="00CD2092" w:rsidRDefault="00CD2092" w14:paraId="75BB4875" w14:textId="2C662B20">
      <w:pPr>
        <w:pStyle w:val="ListParagraph"/>
        <w:numPr>
          <w:ilvl w:val="0"/>
          <w:numId w:val="24"/>
        </w:numPr>
        <w:rPr>
          <w:b/>
          <w:bCs/>
        </w:rPr>
      </w:pPr>
      <w:r w:rsidRPr="00CD2092">
        <w:rPr>
          <w:b/>
          <w:bCs/>
        </w:rPr>
        <w:t>Hoe verhoudt het ontbreken van een goede compensatie zich tot uw eerdere publieke uitspraken waarin u stelde te “streven naar een nette en eerlijke compensatie”?</w:t>
      </w:r>
    </w:p>
    <w:p w:rsidR="00CD2092" w:rsidP="00B26DC0" w:rsidRDefault="004C073B" w14:paraId="2CD7B32E" w14:textId="178E33F0">
      <w:pPr>
        <w:ind w:left="709"/>
      </w:pPr>
      <w:r>
        <w:t xml:space="preserve">De afgelopen maand zijn de laatste gesprekken zowel interdepartementaal als met de vuurwerkbranche gevoerd en </w:t>
      </w:r>
      <w:r w:rsidR="00511020">
        <w:t xml:space="preserve">inmiddels </w:t>
      </w:r>
      <w:r>
        <w:t xml:space="preserve">zijn de uitgangspunten voor de nadeelcompensatieregeling bekend. </w:t>
      </w:r>
      <w:r w:rsidR="005969F8">
        <w:t xml:space="preserve">In de Kamerbrief van </w:t>
      </w:r>
      <w:r w:rsidRPr="00BF53EF" w:rsidR="001E4703">
        <w:t>8 mei</w:t>
      </w:r>
      <w:r w:rsidR="001E4703">
        <w:t xml:space="preserve"> 2026</w:t>
      </w:r>
      <w:r w:rsidR="005969F8">
        <w:t xml:space="preserve"> kunt</w:t>
      </w:r>
      <w:r w:rsidR="008550E7">
        <w:t xml:space="preserve"> </w:t>
      </w:r>
      <w:r w:rsidR="005969F8">
        <w:t>u de</w:t>
      </w:r>
      <w:r w:rsidR="00511020">
        <w:t>ze</w:t>
      </w:r>
      <w:r w:rsidR="005969F8">
        <w:t xml:space="preserve"> uitgangspunten vinden. Komende maand worden de uitgangspunten nader uitgewerkt in een beleidsregel nadeelcompensatie voor de detailhandelaren en een </w:t>
      </w:r>
      <w:r w:rsidRPr="00BF53EF" w:rsidR="005969F8">
        <w:t>convenant</w:t>
      </w:r>
      <w:r w:rsidR="005969F8">
        <w:t xml:space="preserve"> voor de importeurs.</w:t>
      </w:r>
      <w:r w:rsidR="0080562B">
        <w:t xml:space="preserve"> Met deze uitgangspunten </w:t>
      </w:r>
      <w:r w:rsidR="00077F05">
        <w:t>is er invulling gegeven aan de voorwaarde om te komen</w:t>
      </w:r>
      <w:r w:rsidR="0080562B">
        <w:t xml:space="preserve"> tot een nette en eerlijke nadeelcompensatie</w:t>
      </w:r>
      <w:r w:rsidR="00773336">
        <w:t>regeling</w:t>
      </w:r>
      <w:r w:rsidR="0080562B">
        <w:t xml:space="preserve"> voor vuurwerkondernemers. Voor detailhandelaren, die veelal vuurwerk verkopen als nevenactiviteit, gaat het om een forfaita</w:t>
      </w:r>
      <w:r w:rsidR="00810DEB">
        <w:t>i</w:t>
      </w:r>
      <w:r w:rsidR="0080562B">
        <w:t xml:space="preserve">re regeling. Voor vuurwerkimporteurs </w:t>
      </w:r>
      <w:r w:rsidR="00B519FA">
        <w:t xml:space="preserve">wordt er een </w:t>
      </w:r>
      <w:r w:rsidRPr="00BF53EF" w:rsidR="00B519FA">
        <w:t>convenant</w:t>
      </w:r>
      <w:r w:rsidR="00B519FA">
        <w:t xml:space="preserve"> opgesteld</w:t>
      </w:r>
      <w:r w:rsidR="0080562B">
        <w:t>.</w:t>
      </w:r>
    </w:p>
    <w:p w:rsidRPr="00B26DC0" w:rsidR="004C073B" w:rsidP="00B26DC0" w:rsidRDefault="004C073B" w14:paraId="1807549A" w14:textId="77777777">
      <w:pPr>
        <w:ind w:left="709"/>
      </w:pPr>
    </w:p>
    <w:p w:rsidRPr="00CD2092" w:rsidR="00CD2092" w:rsidP="00CD2092" w:rsidRDefault="00CD2092" w14:paraId="6A01BD28" w14:textId="078F471D">
      <w:pPr>
        <w:pStyle w:val="ListParagraph"/>
        <w:numPr>
          <w:ilvl w:val="0"/>
          <w:numId w:val="24"/>
        </w:numPr>
        <w:rPr>
          <w:b/>
          <w:bCs/>
        </w:rPr>
      </w:pPr>
      <w:r w:rsidRPr="00CD2092">
        <w:rPr>
          <w:b/>
          <w:bCs/>
        </w:rPr>
        <w:t>Hoe beoordeelt u het risico dat honderden ondernemers failliet dreigen te gaan, omdat zij worden geconfronteerd met het verbod, maar noch kunnen overstappen op andere bedrijfsmodellen, noch hun investeringen kunnen terugverdienen?</w:t>
      </w:r>
    </w:p>
    <w:p w:rsidR="00E321D8" w:rsidP="00B26DC0" w:rsidRDefault="00E321D8" w14:paraId="072984E4" w14:textId="6B17137C">
      <w:pPr>
        <w:ind w:left="709"/>
      </w:pPr>
      <w:r w:rsidRPr="00E321D8">
        <w:t xml:space="preserve">Een meerderheid van zowel de Eerste </w:t>
      </w:r>
      <w:r w:rsidR="00947183">
        <w:t xml:space="preserve">Kamer </w:t>
      </w:r>
      <w:r w:rsidRPr="00E321D8">
        <w:t xml:space="preserve">als </w:t>
      </w:r>
      <w:r w:rsidR="00E71363">
        <w:t xml:space="preserve">de </w:t>
      </w:r>
      <w:r w:rsidRPr="00E321D8">
        <w:t xml:space="preserve">Tweede Kamer heeft bij de behandeling van de Wet veilige jaarwisseling duidelijk uitgesproken dat </w:t>
      </w:r>
      <w:r>
        <w:t xml:space="preserve">er een landelijk vuurwerkverbod moet komen en bij voorkeur </w:t>
      </w:r>
      <w:r w:rsidRPr="00E321D8">
        <w:t>zo snel mogelijk</w:t>
      </w:r>
      <w:r>
        <w:t xml:space="preserve">. </w:t>
      </w:r>
      <w:r w:rsidR="005969F8">
        <w:t xml:space="preserve">Bij de afweging van een landelijk verbod </w:t>
      </w:r>
      <w:r w:rsidR="00947183">
        <w:t>zijn de gevolgen daarvan voor vuurvuurwerk</w:t>
      </w:r>
      <w:r w:rsidR="005969F8">
        <w:t>ondernemers door</w:t>
      </w:r>
      <w:r w:rsidR="00DC4EB4">
        <w:t xml:space="preserve"> </w:t>
      </w:r>
      <w:r w:rsidR="005969F8">
        <w:t xml:space="preserve">beide Kamers </w:t>
      </w:r>
      <w:r w:rsidR="00947183">
        <w:t xml:space="preserve">onderkend en meegewogen. Dat heeft geleid tot het aan de inwerkingtreding verbinden van de voorwaarde van een </w:t>
      </w:r>
      <w:r w:rsidR="00C77BFF">
        <w:t>nadeel</w:t>
      </w:r>
      <w:r w:rsidR="00947183">
        <w:t>compensatieregeling</w:t>
      </w:r>
      <w:r w:rsidR="005969F8">
        <w:t xml:space="preserve">. </w:t>
      </w:r>
      <w:r>
        <w:t>Het ministerie van IenW geeft uitvoering aan de</w:t>
      </w:r>
      <w:r w:rsidR="00177FDD">
        <w:t>ze</w:t>
      </w:r>
      <w:r>
        <w:t xml:space="preserve"> voorwaarde</w:t>
      </w:r>
      <w:r w:rsidR="00177FDD">
        <w:t>.</w:t>
      </w:r>
      <w:r w:rsidDel="001E4703" w:rsidR="001E4703">
        <w:t xml:space="preserve"> </w:t>
      </w:r>
      <w:r w:rsidR="001E4703">
        <w:t xml:space="preserve">In de Kamerbrief van </w:t>
      </w:r>
      <w:r w:rsidRPr="00BF53EF" w:rsidR="001E4703">
        <w:t>8 mei 2026</w:t>
      </w:r>
      <w:r w:rsidR="001E4703">
        <w:t xml:space="preserve"> is de uitwerking van deze voorwaarde opgenomen. </w:t>
      </w:r>
    </w:p>
    <w:p w:rsidR="00E321D8" w:rsidP="00B26DC0" w:rsidRDefault="00E321D8" w14:paraId="339E1ACF" w14:textId="77777777">
      <w:pPr>
        <w:ind w:left="709"/>
      </w:pPr>
    </w:p>
    <w:p w:rsidRPr="00CD2092" w:rsidR="00CD2092" w:rsidP="00CD2092" w:rsidRDefault="00CD2092" w14:paraId="46766DD4" w14:textId="2C52D7AC">
      <w:pPr>
        <w:pStyle w:val="ListParagraph"/>
        <w:numPr>
          <w:ilvl w:val="0"/>
          <w:numId w:val="24"/>
        </w:numPr>
        <w:rPr>
          <w:b/>
          <w:bCs/>
        </w:rPr>
      </w:pPr>
      <w:r w:rsidRPr="00CD2092">
        <w:rPr>
          <w:b/>
          <w:bCs/>
        </w:rPr>
        <w:t>Wordt de schade voor vuurwerkondernemers die hebben geïnvesteerd in inpandige bunkers, externe opslaglocaties en zware veiligheidsvoorzieningen, gecompenseerd, aangezien deze investeringen door het verbod waardeloos worden? Zo nee, waarom niet?</w:t>
      </w:r>
    </w:p>
    <w:p w:rsidR="00DC4EB4" w:rsidP="00B26DC0" w:rsidRDefault="00DC4EB4" w14:paraId="721FF247" w14:textId="36F4CC7B">
      <w:pPr>
        <w:ind w:left="709"/>
      </w:pPr>
      <w:r w:rsidRPr="00D11C87">
        <w:t xml:space="preserve">De hoogte van de </w:t>
      </w:r>
      <w:r>
        <w:t xml:space="preserve">nadeelcompensatie </w:t>
      </w:r>
      <w:r w:rsidRPr="00D11C87">
        <w:t>wordt gebaseerd op winstderving en een vergoeding voor andere schade dan winstderving die rechtstreeks voortvloeit uit het vuurwerkverbod</w:t>
      </w:r>
      <w:r w:rsidR="00177FDD">
        <w:t xml:space="preserve"> (</w:t>
      </w:r>
      <w:r w:rsidRPr="00B15ABB" w:rsidR="00177FDD">
        <w:t xml:space="preserve">onder andere </w:t>
      </w:r>
      <w:r w:rsidR="00177FDD">
        <w:t>ontslag- en/of transitiekosten voor afvloeiing van personeel</w:t>
      </w:r>
      <w:r w:rsidRPr="00B15ABB" w:rsidR="00177FDD">
        <w:t xml:space="preserve"> voor zover deze een rechtstreeks causaal verband hebben met het landelijk vuurwerkverbod</w:t>
      </w:r>
      <w:r w:rsidR="00177FDD">
        <w:t>)</w:t>
      </w:r>
      <w:r w:rsidRPr="00B15ABB" w:rsidR="00177FDD">
        <w:t>.</w:t>
      </w:r>
      <w:r>
        <w:t xml:space="preserve"> </w:t>
      </w:r>
      <w:r w:rsidR="00947183">
        <w:t>Eventuele w</w:t>
      </w:r>
      <w:r>
        <w:t xml:space="preserve">aardedaling van onroerende goederen als gevolg van het vuurwerkverbod valt </w:t>
      </w:r>
      <w:r w:rsidR="00947183">
        <w:t xml:space="preserve">volgens deze benadering </w:t>
      </w:r>
      <w:r>
        <w:t>onder het normaal ondernemersrisico.</w:t>
      </w:r>
      <w:r w:rsidR="007B61AD">
        <w:t xml:space="preserve"> Daarbij speelt mee dat in veel gevallen de gedane investeringen na de vuurwerkramp in Enschede (13 mei 2000) reeds zijn terugverdiend.</w:t>
      </w:r>
    </w:p>
    <w:p w:rsidRPr="00B26DC0" w:rsidR="00DC4EB4" w:rsidP="00B26DC0" w:rsidRDefault="00DC4EB4" w14:paraId="299D43D7" w14:textId="77777777">
      <w:pPr>
        <w:ind w:left="709"/>
      </w:pPr>
    </w:p>
    <w:p w:rsidRPr="001E4703" w:rsidR="001E4703" w:rsidP="00CD2092" w:rsidRDefault="001E4703" w14:paraId="483520A1" w14:textId="6C9930AB">
      <w:pPr>
        <w:pStyle w:val="ListParagraph"/>
        <w:numPr>
          <w:ilvl w:val="0"/>
          <w:numId w:val="24"/>
        </w:numPr>
        <w:rPr>
          <w:b/>
          <w:bCs/>
        </w:rPr>
      </w:pPr>
      <w:r w:rsidRPr="001E4703">
        <w:rPr>
          <w:b/>
          <w:bCs/>
        </w:rPr>
        <w:t>Hoe wordt in de compensatieregeling omgegaan met ondernemers die nog voor meerdere jaren vastzitten aan langdurige huurcontracten, terwijl zij geen inkomsten meer kunnen genereren uit de verkoop van vuurwerk</w:t>
      </w:r>
      <w:r>
        <w:rPr>
          <w:b/>
          <w:bCs/>
        </w:rPr>
        <w:t>?</w:t>
      </w:r>
    </w:p>
    <w:p w:rsidR="001E4703" w:rsidP="001E4703" w:rsidRDefault="001E4703" w14:paraId="1377C8B7" w14:textId="0A1985E7">
      <w:pPr>
        <w:pStyle w:val="ListParagraph"/>
      </w:pPr>
      <w:r w:rsidRPr="001E4703">
        <w:t xml:space="preserve">Alleen detailhandelaren die langdurige huurovereenkomsten hebben gesloten die zij niet zonder vergoeding binnen afzienbare tijd kunnen opzeggen en evenmin kunnen gebruiken voor de rest van hun bedrijfsactiviteiten, lijden mogelijk deze schade. Het gaat dan vermoedelijk alleen om (een deel van) de detailhandelaren die uitsluitend vuurwerk verkopen en naar verwachting ook een hogere </w:t>
      </w:r>
      <w:r w:rsidR="00C77BFF">
        <w:t>nadeel</w:t>
      </w:r>
      <w:r w:rsidRPr="001E4703">
        <w:t xml:space="preserve">compensatie voor de winstderving ontvangen. Naast een vergoeding voor winstderving, wordt in algemene zin voorzien in een forfaitaire vergoeding van 15% </w:t>
      </w:r>
      <w:r w:rsidR="00592417">
        <w:t xml:space="preserve">en een vast bedrag van € 3.500 </w:t>
      </w:r>
      <w:r w:rsidRPr="001E4703">
        <w:t>voor diverse schadeposten, waar deze post ook onder valt.</w:t>
      </w:r>
    </w:p>
    <w:p w:rsidRPr="001E4703" w:rsidR="001E4703" w:rsidP="001E4703" w:rsidRDefault="001E4703" w14:paraId="283452B6" w14:textId="77777777">
      <w:pPr>
        <w:pStyle w:val="ListParagraph"/>
      </w:pPr>
    </w:p>
    <w:p w:rsidR="00CD2092" w:rsidP="00CD2092" w:rsidRDefault="00CD2092" w14:paraId="1BAED1B8" w14:textId="4B3B97A3">
      <w:pPr>
        <w:pStyle w:val="ListParagraph"/>
        <w:numPr>
          <w:ilvl w:val="0"/>
          <w:numId w:val="24"/>
        </w:numPr>
        <w:rPr>
          <w:b/>
          <w:bCs/>
        </w:rPr>
      </w:pPr>
      <w:r w:rsidRPr="00CD2092">
        <w:rPr>
          <w:b/>
          <w:bCs/>
        </w:rPr>
        <w:t>Bent u bereid om in de compensatieregeling een aparte component op te nemen voor transitievergoedingen die moeten worden betaald aan personeel dat vanwege het verbod moet worden ontslagen?</w:t>
      </w:r>
    </w:p>
    <w:p w:rsidRPr="00177FDD" w:rsidR="00511020" w:rsidP="00177FDD" w:rsidRDefault="00511020" w14:paraId="6CDB78D1" w14:textId="38D15A9D">
      <w:pPr>
        <w:ind w:left="709"/>
        <w:rPr>
          <w:b/>
          <w:bCs/>
        </w:rPr>
      </w:pPr>
      <w:r>
        <w:t xml:space="preserve">Voor detailhandelaren wordt naast een vergoeding voor winstderving, in algemene zin voorzien in een forfaitaire vergoeding van 15% </w:t>
      </w:r>
      <w:r w:rsidR="00592417">
        <w:t xml:space="preserve">en een vast bedrag van € 3.500 </w:t>
      </w:r>
      <w:r>
        <w:t>voor diverse schadeposten, waar deze post ook onder valt.</w:t>
      </w:r>
    </w:p>
    <w:p w:rsidR="00CD2092" w:rsidP="00B26DC0" w:rsidRDefault="00511020" w14:paraId="1CB03D96" w14:textId="0C409B8E">
      <w:pPr>
        <w:ind w:left="709"/>
      </w:pPr>
      <w:r>
        <w:t>V</w:t>
      </w:r>
      <w:r w:rsidR="007619D9">
        <w:t>oor de importeurs wordt hierin tegemoetgekomen</w:t>
      </w:r>
      <w:r>
        <w:t xml:space="preserve"> voor zover</w:t>
      </w:r>
      <w:r w:rsidRPr="00B15ABB">
        <w:t xml:space="preserve"> </w:t>
      </w:r>
      <w:r>
        <w:t xml:space="preserve">deze kosten </w:t>
      </w:r>
      <w:r w:rsidRPr="00B15ABB">
        <w:t>een rechtstreeks causaal verband hebben met het landelijk vuurwerkverbod</w:t>
      </w:r>
      <w:r w:rsidR="00177FDD">
        <w:t>.</w:t>
      </w:r>
    </w:p>
    <w:p w:rsidRPr="00B26DC0" w:rsidR="007619D9" w:rsidP="00B26DC0" w:rsidRDefault="007619D9" w14:paraId="61F5E0A3" w14:textId="77777777">
      <w:pPr>
        <w:ind w:left="709"/>
      </w:pPr>
    </w:p>
    <w:p w:rsidR="00CD2092" w:rsidP="00CD2092" w:rsidRDefault="00CD2092" w14:paraId="303770BF" w14:textId="637E4D69">
      <w:pPr>
        <w:pStyle w:val="ListParagraph"/>
        <w:numPr>
          <w:ilvl w:val="0"/>
          <w:numId w:val="24"/>
        </w:numPr>
        <w:rPr>
          <w:b/>
          <w:bCs/>
        </w:rPr>
      </w:pPr>
      <w:r w:rsidRPr="00CD2092">
        <w:rPr>
          <w:b/>
          <w:bCs/>
        </w:rPr>
        <w:t>Bent u van mening dat het eerlijk is om het verdienmodel van ondernemers af te nemen en om hen vervolgens te compenseren met slechts een percentage van de jaaromzet?</w:t>
      </w:r>
    </w:p>
    <w:p w:rsidRPr="007619D9" w:rsidR="007619D9" w:rsidP="007619D9" w:rsidRDefault="007039EB" w14:paraId="0A819D1A" w14:textId="7BBC0831">
      <w:pPr>
        <w:pStyle w:val="ListParagraph"/>
      </w:pPr>
      <w:r>
        <w:t>Aan de inwerkingtreding van</w:t>
      </w:r>
      <w:r w:rsidR="007B61AD">
        <w:t xml:space="preserve"> de Wet veilige jaarwisseling </w:t>
      </w:r>
      <w:r>
        <w:t xml:space="preserve">is </w:t>
      </w:r>
      <w:r w:rsidR="007B61AD">
        <w:t xml:space="preserve">door </w:t>
      </w:r>
      <w:r>
        <w:t xml:space="preserve">de Eerste en Tweede </w:t>
      </w:r>
      <w:r w:rsidR="007B61AD">
        <w:t>Kamer</w:t>
      </w:r>
      <w:r>
        <w:t xml:space="preserve"> de voorwaarde verbonden dat er een compensatieregeling ligt. </w:t>
      </w:r>
      <w:r w:rsidR="00066065">
        <w:t>De juridische grondslag van de compensatie aan vuurwerkondernemers is gevonden in het nadeelcompensatierecht, dat</w:t>
      </w:r>
      <w:r w:rsidR="009C3871">
        <w:t xml:space="preserve"> is gebaseerd op het égalitébeginsel. Dit beginsel voorziet in een recht op vergoeding van </w:t>
      </w:r>
      <w:r w:rsidRPr="00555F41" w:rsidR="009C3871">
        <w:rPr>
          <w:i/>
          <w:iCs/>
        </w:rPr>
        <w:t>onevenredige</w:t>
      </w:r>
      <w:r w:rsidR="009C3871">
        <w:t xml:space="preserve"> schade die een gevolg is van </w:t>
      </w:r>
      <w:r w:rsidRPr="00555F41" w:rsidR="009C3871">
        <w:rPr>
          <w:i/>
          <w:iCs/>
        </w:rPr>
        <w:t>rechtmatig</w:t>
      </w:r>
      <w:r w:rsidR="009C3871">
        <w:t xml:space="preserve"> overheidshandelen. Daarvoor is – onder meer – vereist dat de schade zoals de vuurwerkondernemers die lijden, uitstijgt boven hun norma</w:t>
      </w:r>
      <w:r w:rsidR="00511020">
        <w:t>al</w:t>
      </w:r>
      <w:r w:rsidR="009C3871">
        <w:t xml:space="preserve"> ondernemersrisico.</w:t>
      </w:r>
      <w:r w:rsidR="00BD6F8D">
        <w:t xml:space="preserve"> Binnen deze kaders </w:t>
      </w:r>
      <w:r w:rsidR="000A326D">
        <w:t>wordt</w:t>
      </w:r>
      <w:r w:rsidR="009B5348">
        <w:t xml:space="preserve"> </w:t>
      </w:r>
      <w:r w:rsidR="000921B2">
        <w:t xml:space="preserve">de </w:t>
      </w:r>
      <w:r w:rsidR="00C77BFF">
        <w:t>nadeel</w:t>
      </w:r>
      <w:r w:rsidR="00BD6F8D">
        <w:t>compensatieregeling uitgewerkt.</w:t>
      </w:r>
      <w:r w:rsidR="00592417">
        <w:t xml:space="preserve"> </w:t>
      </w:r>
      <w:bookmarkStart w:name="_Hlk229137205" w:id="2"/>
      <w:r w:rsidR="00FB02A2">
        <w:t>Hierbij</w:t>
      </w:r>
      <w:r w:rsidRPr="00FB02A2" w:rsidR="00FB02A2">
        <w:t xml:space="preserve"> is maximaal gezocht naar een nette en eerlijke regeling zonder daarbij de grens van staatssteun te overschrijden.</w:t>
      </w:r>
      <w:bookmarkEnd w:id="2"/>
      <w:r w:rsidR="00FB02A2">
        <w:t xml:space="preserve"> </w:t>
      </w:r>
      <w:r w:rsidR="00592417">
        <w:t xml:space="preserve">In de Kamerbrief van </w:t>
      </w:r>
      <w:r w:rsidRPr="00BF53EF" w:rsidR="00592417">
        <w:t>8 mei</w:t>
      </w:r>
      <w:r w:rsidR="00592417">
        <w:t xml:space="preserve"> 2026 is dit nader toegelicht.</w:t>
      </w:r>
    </w:p>
    <w:p w:rsidRPr="00CD2092" w:rsidR="00CD2092" w:rsidP="00CD2092" w:rsidRDefault="00CD2092" w14:paraId="59ED0D47" w14:textId="77777777">
      <w:pPr>
        <w:rPr>
          <w:b/>
          <w:bCs/>
        </w:rPr>
      </w:pPr>
    </w:p>
    <w:p w:rsidRPr="009C3871" w:rsidR="00CD2092" w:rsidP="00CD2092" w:rsidRDefault="00CD2092" w14:paraId="762337FA" w14:textId="3529A1AC">
      <w:pPr>
        <w:pStyle w:val="ListParagraph"/>
        <w:numPr>
          <w:ilvl w:val="0"/>
          <w:numId w:val="24"/>
        </w:numPr>
        <w:rPr>
          <w:b/>
          <w:bCs/>
        </w:rPr>
      </w:pPr>
      <w:r w:rsidRPr="00CD2092">
        <w:rPr>
          <w:b/>
          <w:bCs/>
        </w:rPr>
        <w:t>Deelt u de mening dat wetgeving die ondernemers dwingt hun (kern)activiteit te beëindigen zonder adequate compensatie, op gespannen voet staat met de rechtsstaat, het eigendomsrecht en de beginselen van behoorlijk bestuur?</w:t>
      </w:r>
    </w:p>
    <w:p w:rsidRPr="007619D9" w:rsidR="009C3871" w:rsidP="009C3871" w:rsidRDefault="00097F1C" w14:paraId="3C3F1F9E" w14:textId="763239EF">
      <w:pPr>
        <w:pStyle w:val="ListParagraph"/>
      </w:pPr>
      <w:r>
        <w:t>Ja</w:t>
      </w:r>
      <w:r w:rsidR="000921B2">
        <w:t xml:space="preserve">. </w:t>
      </w:r>
      <w:r w:rsidR="00066065">
        <w:t xml:space="preserve">Aan de inwerkingtreding van de Wet veilige jaarwisseling is door de Eerste en Tweede Kamer de voorwaarde verbonden dat er een compensatieregeling ligt. </w:t>
      </w:r>
      <w:r w:rsidR="000921B2">
        <w:t xml:space="preserve">Ons </w:t>
      </w:r>
      <w:r w:rsidR="00DA0C7C">
        <w:t>inziens</w:t>
      </w:r>
      <w:r>
        <w:t xml:space="preserve"> wordt</w:t>
      </w:r>
      <w:r w:rsidR="000921B2">
        <w:t xml:space="preserve"> met de aan uw Kamer toegestuurde </w:t>
      </w:r>
      <w:r w:rsidR="005D0774">
        <w:t xml:space="preserve">uitgangspunten voor een </w:t>
      </w:r>
      <w:r w:rsidR="000921B2">
        <w:t>nadeelcompensatieregeling</w:t>
      </w:r>
      <w:r>
        <w:t xml:space="preserve"> een adequate </w:t>
      </w:r>
      <w:r w:rsidR="00C77BFF">
        <w:t>nadeel</w:t>
      </w:r>
      <w:r>
        <w:t>compensatie geboden.</w:t>
      </w:r>
      <w:r w:rsidR="00592417">
        <w:rPr>
          <w:rStyle w:val="FootnoteReference"/>
        </w:rPr>
        <w:footnoteReference w:id="2"/>
      </w:r>
    </w:p>
    <w:p w:rsidRPr="009C3871" w:rsidR="009C3871" w:rsidP="009C3871" w:rsidRDefault="009C3871" w14:paraId="5A6A1EBA" w14:textId="77777777">
      <w:pPr>
        <w:pStyle w:val="ListParagraph"/>
      </w:pPr>
    </w:p>
    <w:p w:rsidR="00CD2092" w:rsidP="00CD2092" w:rsidRDefault="00CD2092" w14:paraId="44A17E1A" w14:textId="162CBD13">
      <w:pPr>
        <w:pStyle w:val="ListParagraph"/>
        <w:numPr>
          <w:ilvl w:val="0"/>
          <w:numId w:val="24"/>
        </w:numPr>
        <w:rPr>
          <w:b/>
          <w:bCs/>
        </w:rPr>
      </w:pPr>
      <w:r w:rsidRPr="00CD2092">
        <w:rPr>
          <w:b/>
          <w:bCs/>
        </w:rPr>
        <w:t>Bent u bekend met het amendement van het lid Michon-Derkzen (Kamerstuk 35386, nr. 16) dat voorschrijft dat het ontwerp-koninklijk besluit tot inwerkingtreding van de wet via een zware voorhangprocedure aan de Staten-Generaal moet worden voorgelegd?</w:t>
      </w:r>
    </w:p>
    <w:p w:rsidRPr="009C3871" w:rsidR="009C3871" w:rsidP="009C3871" w:rsidRDefault="009C3871" w14:paraId="12E6A855" w14:textId="57EE5798">
      <w:pPr>
        <w:pStyle w:val="ListParagraph"/>
      </w:pPr>
      <w:r>
        <w:t>Ja.</w:t>
      </w:r>
    </w:p>
    <w:p w:rsidRPr="00CD2092" w:rsidR="00CD2092" w:rsidP="00CD2092" w:rsidRDefault="00CD2092" w14:paraId="026F806B" w14:textId="77777777">
      <w:pPr>
        <w:rPr>
          <w:b/>
          <w:bCs/>
        </w:rPr>
      </w:pPr>
    </w:p>
    <w:p w:rsidR="00CD2092" w:rsidP="00CD2092" w:rsidRDefault="00CD2092" w14:paraId="0A9E3B9A" w14:textId="19A100B1">
      <w:pPr>
        <w:pStyle w:val="ListParagraph"/>
        <w:numPr>
          <w:ilvl w:val="0"/>
          <w:numId w:val="24"/>
        </w:numPr>
        <w:rPr>
          <w:b/>
          <w:bCs/>
        </w:rPr>
      </w:pPr>
      <w:r w:rsidRPr="00CD2092">
        <w:rPr>
          <w:b/>
          <w:bCs/>
        </w:rPr>
        <w:t>Deelt u de opvatting dat het amendement duidelijk stelt dat voor inwerkingtreding van de wet een “eerlijke en nette compensatieregeling” moet zijn vastgesteld in afstemming met de vuurwerkbranche? Zo ja, kunt u toelichten welke criteria u hanteert om te beoordelen of aan deze voorwaarde is voldaan?</w:t>
      </w:r>
    </w:p>
    <w:p w:rsidR="00C806EE" w:rsidP="009C3871" w:rsidRDefault="000921B2" w14:paraId="49A8D384" w14:textId="7A76176D">
      <w:pPr>
        <w:ind w:left="709"/>
      </w:pPr>
      <w:r>
        <w:t xml:space="preserve">Naar het oordeel van het </w:t>
      </w:r>
      <w:r w:rsidR="009C3871">
        <w:t xml:space="preserve">kabinet wordt aan de voorwaarde van een </w:t>
      </w:r>
      <w:r w:rsidR="00C77BFF">
        <w:t>nadeel</w:t>
      </w:r>
      <w:r w:rsidR="009C3871">
        <w:t xml:space="preserve">compensatieregeling voldaan op het moment dat het kabinet de uitgangspunten van een </w:t>
      </w:r>
      <w:r w:rsidR="00C77BFF">
        <w:t>nadeel</w:t>
      </w:r>
      <w:r w:rsidR="009C3871">
        <w:t>compensatieregeling aan beide Kamers stuurt</w:t>
      </w:r>
      <w:r w:rsidR="00B95DC1">
        <w:t>,</w:t>
      </w:r>
      <w:r w:rsidR="009C3871">
        <w:t xml:space="preserve"> inclusief dekking op de begroting van het ministerie van I</w:t>
      </w:r>
      <w:r w:rsidR="00097F1C">
        <w:t>enW</w:t>
      </w:r>
      <w:r w:rsidR="009C3871">
        <w:t xml:space="preserve">. </w:t>
      </w:r>
      <w:r w:rsidR="00C806EE">
        <w:t xml:space="preserve">Hiervoor is allereerst samen met de brancheverenigingen van de importeurs (BPN) en de detailhandelaren (VuurwerkCheck, SVNC en INretail) gewerkt aan </w:t>
      </w:r>
      <w:r w:rsidRPr="001D06C5" w:rsidR="00C806EE">
        <w:t xml:space="preserve">het in kaart brengen van alle kostenposten die het gevolg zijn van het landelijk vuurwerkverbod. </w:t>
      </w:r>
      <w:r w:rsidR="00C806EE">
        <w:t>Hiervoor is, conform de aangenomen motie Van der Plas</w:t>
      </w:r>
      <w:r w:rsidR="00C806EE">
        <w:rPr>
          <w:rStyle w:val="FootnoteReference"/>
        </w:rPr>
        <w:footnoteReference w:id="3"/>
      </w:r>
      <w:r w:rsidR="00C806EE">
        <w:t xml:space="preserve">, een </w:t>
      </w:r>
      <w:r w:rsidRPr="001D06C5" w:rsidR="00C806EE">
        <w:t>onafhankelijk expert</w:t>
      </w:r>
      <w:r w:rsidR="00C806EE">
        <w:t xml:space="preserve"> gevraagd</w:t>
      </w:r>
      <w:r w:rsidRPr="001D06C5" w:rsidR="00C806EE">
        <w:t>.</w:t>
      </w:r>
      <w:r w:rsidR="00C806EE">
        <w:t xml:space="preserve"> Deze heeft alle informatie, aangeleverd door de importeurs en detailhandelaren, geanalyseerd</w:t>
      </w:r>
      <w:r w:rsidRPr="001D06C5" w:rsidR="00C806EE">
        <w:t xml:space="preserve"> en aan de hand daarvan </w:t>
      </w:r>
      <w:r w:rsidR="00C806EE">
        <w:t xml:space="preserve">een conceptrapport opgesteld </w:t>
      </w:r>
      <w:r w:rsidRPr="001D06C5" w:rsidR="00C806EE">
        <w:t xml:space="preserve">de financiële gevolgen van het vuurwerkverbod. </w:t>
      </w:r>
      <w:r w:rsidR="00C806EE">
        <w:t>Dit conceptrapport is aan alle partijen voor reactie voorgelegd</w:t>
      </w:r>
      <w:r w:rsidR="00B95DC1">
        <w:t>,</w:t>
      </w:r>
      <w:r w:rsidR="00C806EE">
        <w:t xml:space="preserve"> waarna het rapport (hierna: deskundigenrapport) is vastgesteld.</w:t>
      </w:r>
      <w:r w:rsidR="00C806EE">
        <w:rPr>
          <w:rStyle w:val="FootnoteReference"/>
        </w:rPr>
        <w:footnoteReference w:id="4"/>
      </w:r>
      <w:r w:rsidR="00C806EE">
        <w:t xml:space="preserve"> </w:t>
      </w:r>
      <w:r w:rsidRPr="00E81BE6" w:rsidR="00C806EE">
        <w:t xml:space="preserve">Met </w:t>
      </w:r>
      <w:r w:rsidR="00C806EE">
        <w:t>bovenstaande</w:t>
      </w:r>
      <w:r w:rsidRPr="00E81BE6" w:rsidR="00C806EE">
        <w:t xml:space="preserve"> aanpak </w:t>
      </w:r>
      <w:r w:rsidR="00C806EE">
        <w:t>is</w:t>
      </w:r>
      <w:r w:rsidRPr="00E81BE6" w:rsidR="00C806EE">
        <w:t xml:space="preserve"> invulling gegeven aan de motie van de leden Eerdmans en Van der Plas.</w:t>
      </w:r>
      <w:r w:rsidRPr="00E81BE6" w:rsidR="00C806EE">
        <w:rPr>
          <w:rStyle w:val="FootnoteReference"/>
        </w:rPr>
        <w:footnoteReference w:id="5"/>
      </w:r>
      <w:r w:rsidR="00C806EE">
        <w:t xml:space="preserve"> Vervolgens is, met inachtneming van de juridische kaders van het nadeelcompensatierecht, bepaald welke kostenposten </w:t>
      </w:r>
      <w:r w:rsidR="00773336">
        <w:t xml:space="preserve">voor </w:t>
      </w:r>
      <w:r w:rsidR="00C77BFF">
        <w:t>nadeel</w:t>
      </w:r>
      <w:r w:rsidR="00773336">
        <w:t xml:space="preserve">compensatie </w:t>
      </w:r>
      <w:r w:rsidR="00C806EE">
        <w:t xml:space="preserve">in aanmerking komen. Dit is besproken met de vuurwerkbranche. </w:t>
      </w:r>
      <w:r w:rsidR="00EC5C3D">
        <w:t xml:space="preserve">Binnen deze </w:t>
      </w:r>
      <w:r w:rsidR="00066065">
        <w:t xml:space="preserve">kaders </w:t>
      </w:r>
      <w:r w:rsidR="00EC5C3D">
        <w:t>heb ik</w:t>
      </w:r>
      <w:r w:rsidR="00066065">
        <w:t xml:space="preserve"> gezocht naar</w:t>
      </w:r>
      <w:r w:rsidR="00EC5C3D">
        <w:t xml:space="preserve"> een nette en eerlijke nadeelcompensatie</w:t>
      </w:r>
      <w:r w:rsidR="00066065">
        <w:t>regeling</w:t>
      </w:r>
      <w:r w:rsidR="00EC5C3D">
        <w:t>.</w:t>
      </w:r>
      <w:r w:rsidR="00066065">
        <w:t xml:space="preserve"> </w:t>
      </w:r>
      <w:r w:rsidR="000C7C9B">
        <w:t>E</w:t>
      </w:r>
      <w:r w:rsidR="00066065">
        <w:t xml:space="preserve">en te hoge </w:t>
      </w:r>
      <w:r w:rsidR="000F2D1C">
        <w:t>co</w:t>
      </w:r>
      <w:r w:rsidR="00066065">
        <w:t xml:space="preserve">mpensatie </w:t>
      </w:r>
      <w:r w:rsidR="000C7C9B">
        <w:t xml:space="preserve">zou kunnen </w:t>
      </w:r>
      <w:r w:rsidR="000F2D1C">
        <w:t xml:space="preserve">leiden </w:t>
      </w:r>
      <w:r w:rsidR="00066065">
        <w:t xml:space="preserve">tot terugvordering </w:t>
      </w:r>
      <w:r w:rsidR="000F2D1C">
        <w:t xml:space="preserve">vanwege het verstrekken van </w:t>
      </w:r>
      <w:r w:rsidR="00066065">
        <w:t xml:space="preserve">ongeoorloofde staatssteun. </w:t>
      </w:r>
    </w:p>
    <w:p w:rsidR="00CD2092" w:rsidP="009C3871" w:rsidRDefault="009C3871" w14:paraId="7361354C" w14:textId="02C7B73B">
      <w:pPr>
        <w:ind w:left="709"/>
      </w:pPr>
      <w:r w:rsidRPr="009C3871">
        <w:t xml:space="preserve">Het is aan beide Kamers om te bepalen of en wanneer aan de voorwaarden </w:t>
      </w:r>
      <w:r w:rsidR="00523BCD">
        <w:t xml:space="preserve">wordt </w:t>
      </w:r>
      <w:r w:rsidR="000921B2">
        <w:t xml:space="preserve">voldaan </w:t>
      </w:r>
      <w:r w:rsidRPr="009C3871">
        <w:t xml:space="preserve">die </w:t>
      </w:r>
      <w:r w:rsidR="00523BCD">
        <w:t xml:space="preserve">met </w:t>
      </w:r>
      <w:r w:rsidRPr="009C3871">
        <w:t>het amendement Michon-Derkzen</w:t>
      </w:r>
      <w:r w:rsidR="00AF1648">
        <w:rPr>
          <w:rStyle w:val="FootnoteReference"/>
        </w:rPr>
        <w:footnoteReference w:id="6"/>
      </w:r>
      <w:r w:rsidRPr="009C3871">
        <w:t xml:space="preserve"> aan de inwerkingtreding van de Wet veilige jaarwisseling worden gesteld.</w:t>
      </w:r>
    </w:p>
    <w:p w:rsidRPr="00CD2092" w:rsidR="009C3871" w:rsidP="009C3871" w:rsidRDefault="009C3871" w14:paraId="52416AB3" w14:textId="77777777">
      <w:pPr>
        <w:ind w:left="709"/>
        <w:rPr>
          <w:b/>
          <w:bCs/>
        </w:rPr>
      </w:pPr>
    </w:p>
    <w:p w:rsidR="00CD2092" w:rsidP="00CD2092" w:rsidRDefault="00CD2092" w14:paraId="734697D6" w14:textId="53C4F316">
      <w:pPr>
        <w:pStyle w:val="ListParagraph"/>
        <w:numPr>
          <w:ilvl w:val="0"/>
          <w:numId w:val="24"/>
        </w:numPr>
        <w:rPr>
          <w:b/>
          <w:bCs/>
        </w:rPr>
      </w:pPr>
      <w:r w:rsidRPr="00CD2092">
        <w:rPr>
          <w:b/>
          <w:bCs/>
        </w:rPr>
        <w:t>Erkent u dat het ontbreken van een volledige compensatieregeling betekent dat de wet, conform de voorwaarden van het amendement, niet in werking kan treden? Zo nee, waarom niet?</w:t>
      </w:r>
    </w:p>
    <w:p w:rsidRPr="009C3871" w:rsidR="009C3871" w:rsidP="009C3871" w:rsidRDefault="00C806EE" w14:paraId="6DBA86DE" w14:textId="40F29E15">
      <w:pPr>
        <w:pStyle w:val="ListParagraph"/>
      </w:pPr>
      <w:r>
        <w:t>Zoals al bij vraag 10 is weergegeven is h</w:t>
      </w:r>
      <w:r w:rsidRPr="00C806EE">
        <w:t xml:space="preserve">et </w:t>
      </w:r>
      <w:r>
        <w:t>a</w:t>
      </w:r>
      <w:r w:rsidRPr="00C806EE">
        <w:t xml:space="preserve">an beide Kamers om te bepalen of en wanneer aan de voorwaarden </w:t>
      </w:r>
      <w:r w:rsidR="00AF1648">
        <w:t xml:space="preserve">wordt voldaan </w:t>
      </w:r>
      <w:r w:rsidRPr="00C806EE">
        <w:t xml:space="preserve">die </w:t>
      </w:r>
      <w:r w:rsidR="00AF1648">
        <w:t xml:space="preserve">met het </w:t>
      </w:r>
      <w:r w:rsidRPr="00C806EE">
        <w:t>amendement Michon-Derkzen</w:t>
      </w:r>
      <w:r w:rsidR="00AF1648">
        <w:rPr>
          <w:rStyle w:val="FootnoteReference"/>
        </w:rPr>
        <w:footnoteReference w:id="7"/>
      </w:r>
      <w:r w:rsidRPr="00C806EE">
        <w:t xml:space="preserve"> aan de inwerkingtreding van de Wet veilige jaarwisseling worden gesteld.</w:t>
      </w:r>
    </w:p>
    <w:p w:rsidRPr="00CD2092" w:rsidR="00CD2092" w:rsidP="00CD2092" w:rsidRDefault="00CD2092" w14:paraId="763BEBBE" w14:textId="77777777">
      <w:pPr>
        <w:rPr>
          <w:b/>
          <w:bCs/>
        </w:rPr>
      </w:pPr>
    </w:p>
    <w:p w:rsidR="00CD2092" w:rsidP="00CD2092" w:rsidRDefault="00CD2092" w14:paraId="73CFD3BA" w14:textId="58018B8A">
      <w:pPr>
        <w:pStyle w:val="ListParagraph"/>
        <w:numPr>
          <w:ilvl w:val="0"/>
          <w:numId w:val="24"/>
        </w:numPr>
        <w:rPr>
          <w:b/>
          <w:bCs/>
        </w:rPr>
      </w:pPr>
      <w:r w:rsidRPr="00CD2092">
        <w:rPr>
          <w:b/>
          <w:bCs/>
        </w:rPr>
        <w:t>Wanneer kunnen de Kamer en de branche een volledig uitgewerkte compensatieregeling verwachten die voldoet aan de voorwaarden van het amendement, inclusief een sluitende financiële dekking?</w:t>
      </w:r>
    </w:p>
    <w:p w:rsidR="00C806EE" w:rsidP="00C806EE" w:rsidRDefault="00C806EE" w14:paraId="11207F96" w14:textId="2837638A">
      <w:pPr>
        <w:pStyle w:val="ListParagraph"/>
      </w:pPr>
      <w:r>
        <w:t xml:space="preserve">De Kamerbrief met de uitgangspunten van de nadeelcompensatieregeling voor de vuurwerkbedrijven is op </w:t>
      </w:r>
      <w:r w:rsidRPr="00BF53EF" w:rsidR="00592417">
        <w:t>8 mei 2026</w:t>
      </w:r>
      <w:r>
        <w:t xml:space="preserve"> naar beide Kamers gezonden.</w:t>
      </w:r>
      <w:r w:rsidR="00592417">
        <w:rPr>
          <w:rStyle w:val="FootnoteReference"/>
        </w:rPr>
        <w:footnoteReference w:id="8"/>
      </w:r>
      <w:r>
        <w:t xml:space="preserve"> </w:t>
      </w:r>
      <w:r w:rsidRPr="00BF53EF" w:rsidR="00BF53EF">
        <w:t xml:space="preserve">Met de vertegenwoordigers van de branchevereniging van de importeurs is afgesproken dat op basis van </w:t>
      </w:r>
      <w:r w:rsidR="00BF53EF">
        <w:t>de</w:t>
      </w:r>
      <w:r w:rsidRPr="00BF53EF" w:rsidR="00BF53EF">
        <w:t xml:space="preserve"> uitgangspunten het convenant op korte termijn wordt voorbereid.</w:t>
      </w:r>
      <w:r>
        <w:t xml:space="preserve"> </w:t>
      </w:r>
      <w:r w:rsidR="00A17887">
        <w:t>Z</w:t>
      </w:r>
      <w:r>
        <w:t xml:space="preserve">odra </w:t>
      </w:r>
      <w:r w:rsidR="00A17887">
        <w:t>he</w:t>
      </w:r>
      <w:r>
        <w:t xml:space="preserve">t </w:t>
      </w:r>
      <w:r w:rsidRPr="00BF53EF">
        <w:t>convenant</w:t>
      </w:r>
      <w:r>
        <w:t xml:space="preserve"> is afgerond wordt d</w:t>
      </w:r>
      <w:r w:rsidR="00A17887">
        <w:t>it</w:t>
      </w:r>
      <w:r>
        <w:t>, naar verwachting medio juni 2026, naar beide Kamers toegestuurd.</w:t>
      </w:r>
    </w:p>
    <w:p w:rsidRPr="00BF53EF" w:rsidR="00BF53EF" w:rsidP="00BF53EF" w:rsidRDefault="00C806EE" w14:paraId="4114103A" w14:textId="2880A7C5">
      <w:pPr>
        <w:pStyle w:val="ListParagraph"/>
      </w:pPr>
      <w:r>
        <w:t>De</w:t>
      </w:r>
      <w:r w:rsidRPr="00D11C87">
        <w:t xml:space="preserve"> uitgangspunten </w:t>
      </w:r>
      <w:r>
        <w:t xml:space="preserve">voor de detailhandelaren </w:t>
      </w:r>
      <w:r w:rsidRPr="00D11C87" w:rsidR="00B47DFA">
        <w:t xml:space="preserve">worden </w:t>
      </w:r>
      <w:r w:rsidRPr="00D11C87">
        <w:t xml:space="preserve">nader uitgewerkt in een beleidsregel </w:t>
      </w:r>
      <w:r>
        <w:t xml:space="preserve">met een rekenformule om de hoogte van de nadeelcompensatie per ondernemer te kunnen bepalen. </w:t>
      </w:r>
      <w:r w:rsidRPr="00BF53EF" w:rsidR="00BF53EF">
        <w:t>Met de detailhandel is afgesproken dat een concept van de beleidsregel zal worden voorgelegd aan de brancheverenigingen. Wanneer de beleidsregel is vastgesteld, naar verwachting in juni, zal ik deze ook aan u toesturen.</w:t>
      </w:r>
    </w:p>
    <w:p w:rsidRPr="00CD2092" w:rsidR="00CD2092" w:rsidP="00CD2092" w:rsidRDefault="00CD2092" w14:paraId="06FA8295" w14:textId="77777777">
      <w:pPr>
        <w:rPr>
          <w:b/>
          <w:bCs/>
        </w:rPr>
      </w:pPr>
    </w:p>
    <w:p w:rsidR="00CD2092" w:rsidP="00CD2092" w:rsidRDefault="00CD2092" w14:paraId="24939419" w14:textId="0FB61C22">
      <w:pPr>
        <w:pStyle w:val="ListParagraph"/>
        <w:numPr>
          <w:ilvl w:val="0"/>
          <w:numId w:val="24"/>
        </w:numPr>
        <w:rPr>
          <w:b/>
          <w:bCs/>
        </w:rPr>
      </w:pPr>
      <w:r w:rsidRPr="00CD2092">
        <w:rPr>
          <w:b/>
          <w:bCs/>
        </w:rPr>
        <w:t>Kunt u uiterlijk op 1 februari 2026 bevestigen dat er voldoende budget beschikbaar is voor de compensatieregeling? Zo nee, bent u dan bereid tot uitstel van de invoering van de wet, totdat er voldaan is aan een eerlijke en nette compensatieregeling?</w:t>
      </w:r>
    </w:p>
    <w:p w:rsidRPr="00C806EE" w:rsidR="00C806EE" w:rsidP="00A45F9B" w:rsidRDefault="00A45F9B" w14:paraId="0DC94F5E" w14:textId="76B95FD2">
      <w:pPr>
        <w:pStyle w:val="ListParagraph"/>
      </w:pPr>
      <w:r>
        <w:t xml:space="preserve">Om uitvoering te geven aan het breed aangenomen amendement en de nadrukkelijke wens daarin om de dekking te vinden binnen de IenW-begroting, wordt de dekking voor een belangrijk deel gevonden binnen het Mobiliteitsfonds (MF) en een beperkt deel uit resterende middelen van de Aanvullende Post van Klimaatakkoord Rutte III. </w:t>
      </w:r>
      <w:r w:rsidR="006E7822">
        <w:t xml:space="preserve">Deze resterende middelen zijn overgeboekt bij Voorjaarsnota 2026 naar de begroting van IenW. Specifiek zal de dekking nu binnen het Mobiliteitsfonds worden ingeboekt bij de KCI strategie van ProRail: Klimaatneutrale en Circulaire Infraprojecten (KCI). </w:t>
      </w:r>
      <w:r>
        <w:t>Er zal nog een brede afweging binnen het MF plaatsvinden zoals gemeld in de brief van 16 maart jl. over prioritering fondsen.</w:t>
      </w:r>
    </w:p>
    <w:sectPr w:rsidRPr="00C806EE" w:rsidR="00C806E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DB92D" w14:textId="77777777" w:rsidR="009872D2" w:rsidRDefault="009872D2">
      <w:pPr>
        <w:spacing w:line="240" w:lineRule="auto"/>
      </w:pPr>
      <w:r>
        <w:separator/>
      </w:r>
    </w:p>
  </w:endnote>
  <w:endnote w:type="continuationSeparator" w:id="0">
    <w:p w14:paraId="680E1371" w14:textId="77777777" w:rsidR="009872D2" w:rsidRDefault="009872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8DEAC" w14:textId="77777777" w:rsidR="001F17B7" w:rsidRDefault="001F1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A8589" w14:textId="77777777" w:rsidR="001F17B7" w:rsidRDefault="001F1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391AF" w14:textId="77777777" w:rsidR="001F17B7" w:rsidRDefault="001F1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D7C6E" w14:textId="77777777" w:rsidR="009872D2" w:rsidRDefault="009872D2">
      <w:pPr>
        <w:spacing w:line="240" w:lineRule="auto"/>
      </w:pPr>
      <w:r>
        <w:separator/>
      </w:r>
    </w:p>
  </w:footnote>
  <w:footnote w:type="continuationSeparator" w:id="0">
    <w:p w14:paraId="7B09A7FD" w14:textId="77777777" w:rsidR="009872D2" w:rsidRDefault="009872D2">
      <w:pPr>
        <w:spacing w:line="240" w:lineRule="auto"/>
      </w:pPr>
      <w:r>
        <w:continuationSeparator/>
      </w:r>
    </w:p>
  </w:footnote>
  <w:footnote w:id="1">
    <w:p w14:paraId="235E4374" w14:textId="07BC1345" w:rsidR="00EC79B9" w:rsidRPr="00EC79B9" w:rsidRDefault="00EC79B9">
      <w:pPr>
        <w:pStyle w:val="FootnoteText"/>
        <w:rPr>
          <w:sz w:val="16"/>
          <w:szCs w:val="16"/>
        </w:rPr>
      </w:pPr>
      <w:r>
        <w:rPr>
          <w:rStyle w:val="FootnoteReference"/>
        </w:rPr>
        <w:footnoteRef/>
      </w:r>
      <w:r>
        <w:t xml:space="preserve"> </w:t>
      </w:r>
      <w:bookmarkStart w:id="1" w:name="_Hlk229147829"/>
      <w:r w:rsidR="00BF53EF" w:rsidRPr="001F17B7">
        <w:rPr>
          <w:sz w:val="16"/>
          <w:szCs w:val="16"/>
        </w:rPr>
        <w:t>Kamerbrief (Eerste en Tweede Kamer) over Nadeelcompensatieregeling vuurwerkbedrijven van 8 mei 2026.</w:t>
      </w:r>
      <w:bookmarkEnd w:id="1"/>
    </w:p>
  </w:footnote>
  <w:footnote w:id="2">
    <w:p w14:paraId="697CFC7C" w14:textId="4A6FCC50" w:rsidR="00592417" w:rsidRDefault="00592417">
      <w:pPr>
        <w:pStyle w:val="FootnoteText"/>
      </w:pPr>
      <w:r>
        <w:rPr>
          <w:rStyle w:val="FootnoteReference"/>
        </w:rPr>
        <w:footnoteRef/>
      </w:r>
      <w:r>
        <w:t xml:space="preserve"> </w:t>
      </w:r>
      <w:r w:rsidR="00BF53EF" w:rsidRPr="001F17B7">
        <w:rPr>
          <w:sz w:val="16"/>
          <w:szCs w:val="16"/>
        </w:rPr>
        <w:t>Kamerbrief (Eerste en Tweede Kamer) over Nadeelcompensatieregeling vuurwerkbedrijven van 8 mei 2026.</w:t>
      </w:r>
    </w:p>
  </w:footnote>
  <w:footnote w:id="3">
    <w:p w14:paraId="0C08B300" w14:textId="77777777" w:rsidR="00C806EE" w:rsidRDefault="00C806EE" w:rsidP="00C806EE">
      <w:pPr>
        <w:pStyle w:val="FootnoteText"/>
      </w:pPr>
      <w:r w:rsidRPr="00F5003F">
        <w:rPr>
          <w:rStyle w:val="FootnoteReference"/>
          <w:sz w:val="16"/>
          <w:szCs w:val="16"/>
        </w:rPr>
        <w:footnoteRef/>
      </w:r>
      <w:r w:rsidRPr="00F5003F">
        <w:rPr>
          <w:rStyle w:val="FootnoteReference"/>
          <w:sz w:val="16"/>
          <w:szCs w:val="16"/>
        </w:rPr>
        <w:t xml:space="preserve"> </w:t>
      </w:r>
      <w:r w:rsidRPr="00555F41">
        <w:rPr>
          <w:sz w:val="16"/>
          <w:szCs w:val="16"/>
        </w:rPr>
        <w:t>Kamerstuk 35 386</w:t>
      </w:r>
      <w:r>
        <w:rPr>
          <w:sz w:val="16"/>
          <w:szCs w:val="16"/>
        </w:rPr>
        <w:t>,</w:t>
      </w:r>
      <w:r w:rsidRPr="00555F41">
        <w:rPr>
          <w:sz w:val="16"/>
          <w:szCs w:val="16"/>
        </w:rPr>
        <w:t xml:space="preserve"> nr. </w:t>
      </w:r>
      <w:r>
        <w:rPr>
          <w:sz w:val="16"/>
          <w:szCs w:val="16"/>
        </w:rPr>
        <w:t>32.</w:t>
      </w:r>
    </w:p>
  </w:footnote>
  <w:footnote w:id="4">
    <w:p w14:paraId="44C7C50A" w14:textId="77777777" w:rsidR="00C806EE" w:rsidRPr="00D17B72" w:rsidRDefault="00C806EE" w:rsidP="00C806EE">
      <w:pPr>
        <w:pStyle w:val="FootnoteText"/>
        <w:rPr>
          <w:sz w:val="16"/>
          <w:szCs w:val="16"/>
        </w:rPr>
      </w:pPr>
      <w:r w:rsidRPr="00D17B72">
        <w:rPr>
          <w:rStyle w:val="FootnoteReference"/>
          <w:sz w:val="16"/>
          <w:szCs w:val="16"/>
        </w:rPr>
        <w:footnoteRef/>
      </w:r>
      <w:r w:rsidRPr="00D17B72">
        <w:rPr>
          <w:sz w:val="16"/>
          <w:szCs w:val="16"/>
        </w:rPr>
        <w:t xml:space="preserve"> Analyse van financiële effecten van een landelijk vuurwerkverbod, Sman Business Value d.d. 20 oktober 2025</w:t>
      </w:r>
      <w:r>
        <w:rPr>
          <w:sz w:val="16"/>
          <w:szCs w:val="16"/>
        </w:rPr>
        <w:t>. Dit rapport is opgenomen als bijlage 2.</w:t>
      </w:r>
    </w:p>
  </w:footnote>
  <w:footnote w:id="5">
    <w:p w14:paraId="3EDEF9C2" w14:textId="77777777" w:rsidR="00C806EE" w:rsidRPr="00555F41" w:rsidRDefault="00C806EE" w:rsidP="00C806EE">
      <w:pPr>
        <w:pStyle w:val="FootnoteText"/>
        <w:rPr>
          <w:sz w:val="16"/>
          <w:szCs w:val="16"/>
        </w:rPr>
      </w:pPr>
      <w:r w:rsidRPr="00555F41">
        <w:rPr>
          <w:rStyle w:val="FootnoteReference"/>
          <w:sz w:val="16"/>
          <w:szCs w:val="16"/>
        </w:rPr>
        <w:footnoteRef/>
      </w:r>
      <w:bookmarkStart w:id="3" w:name="_Hlk199330919"/>
      <w:r>
        <w:rPr>
          <w:sz w:val="16"/>
          <w:szCs w:val="16"/>
        </w:rPr>
        <w:t xml:space="preserve"> </w:t>
      </w:r>
      <w:bookmarkEnd w:id="3"/>
      <w:r>
        <w:rPr>
          <w:sz w:val="16"/>
          <w:szCs w:val="16"/>
        </w:rPr>
        <w:t>Kamerstuk 35 386, nr. 19.</w:t>
      </w:r>
    </w:p>
  </w:footnote>
  <w:footnote w:id="6">
    <w:p w14:paraId="1CEFF0E3" w14:textId="203B3A17" w:rsidR="00AF1648" w:rsidRPr="00AF1648" w:rsidRDefault="00AF1648">
      <w:pPr>
        <w:pStyle w:val="FootnoteText"/>
        <w:rPr>
          <w:sz w:val="16"/>
          <w:szCs w:val="16"/>
        </w:rPr>
      </w:pPr>
      <w:r>
        <w:rPr>
          <w:rStyle w:val="FootnoteReference"/>
        </w:rPr>
        <w:footnoteRef/>
      </w:r>
      <w:r>
        <w:t xml:space="preserve"> </w:t>
      </w:r>
      <w:r w:rsidRPr="00AF1648">
        <w:rPr>
          <w:sz w:val="16"/>
          <w:szCs w:val="16"/>
        </w:rPr>
        <w:t>Kamerstuk 35 386, nr. 16.</w:t>
      </w:r>
    </w:p>
  </w:footnote>
  <w:footnote w:id="7">
    <w:p w14:paraId="36A76C36" w14:textId="07D03294" w:rsidR="00AF1648" w:rsidRPr="00AF1648" w:rsidRDefault="00AF1648">
      <w:pPr>
        <w:pStyle w:val="FootnoteText"/>
        <w:rPr>
          <w:sz w:val="16"/>
          <w:szCs w:val="16"/>
        </w:rPr>
      </w:pPr>
      <w:r>
        <w:rPr>
          <w:rStyle w:val="FootnoteReference"/>
        </w:rPr>
        <w:footnoteRef/>
      </w:r>
      <w:r>
        <w:t xml:space="preserve"> </w:t>
      </w:r>
      <w:r w:rsidRPr="00AF1648">
        <w:rPr>
          <w:sz w:val="16"/>
          <w:szCs w:val="16"/>
        </w:rPr>
        <w:t>Kamerstuk 35 386, nr. 16.</w:t>
      </w:r>
    </w:p>
  </w:footnote>
  <w:footnote w:id="8">
    <w:p w14:paraId="3036D56D" w14:textId="573195D3" w:rsidR="00592417" w:rsidRPr="007767BD" w:rsidRDefault="00592417">
      <w:pPr>
        <w:pStyle w:val="FootnoteText"/>
        <w:rPr>
          <w:sz w:val="16"/>
          <w:szCs w:val="16"/>
        </w:rPr>
      </w:pPr>
      <w:r>
        <w:rPr>
          <w:rStyle w:val="FootnoteReference"/>
        </w:rPr>
        <w:footnoteRef/>
      </w:r>
      <w:r>
        <w:t xml:space="preserve"> </w:t>
      </w:r>
      <w:r w:rsidR="007767BD" w:rsidRPr="007767BD">
        <w:rPr>
          <w:sz w:val="16"/>
          <w:szCs w:val="16"/>
        </w:rPr>
        <w:t>Kamerbrief (Eerste en Tweede Kamer) over Nadeelcompensatieregeling vuurwerkbedrijven van 8 mei 2026.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4E6A1" w14:textId="77777777" w:rsidR="001F17B7" w:rsidRDefault="001F1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E6661" w14:textId="77777777" w:rsidR="00613117" w:rsidRDefault="006668EF">
    <w:r>
      <w:rPr>
        <w:noProof/>
        <w:lang w:val="en-GB" w:eastAsia="en-GB"/>
      </w:rPr>
      <mc:AlternateContent>
        <mc:Choice Requires="wps">
          <w:drawing>
            <wp:anchor distT="0" distB="0" distL="0" distR="0" simplePos="0" relativeHeight="251651584" behindDoc="0" locked="1" layoutInCell="1" allowOverlap="1" wp14:anchorId="4076E136" wp14:editId="2BAAB19B">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04BBACE" w14:textId="77777777" w:rsidR="00613117" w:rsidRDefault="006668EF">
                          <w:pPr>
                            <w:pStyle w:val="AfzendgegevensKop0"/>
                          </w:pPr>
                          <w:r>
                            <w:t>Ministerie van Infrastructuur en Waterstaat</w:t>
                          </w:r>
                        </w:p>
                        <w:p w14:paraId="144A44FC" w14:textId="77777777" w:rsidR="00613117" w:rsidRDefault="00613117">
                          <w:pPr>
                            <w:pStyle w:val="WitregelW2"/>
                          </w:pPr>
                        </w:p>
                        <w:p w14:paraId="00452A5A" w14:textId="77777777" w:rsidR="00613117" w:rsidRDefault="006668EF">
                          <w:pPr>
                            <w:pStyle w:val="Referentiegegevenskop"/>
                          </w:pPr>
                          <w:r>
                            <w:t>Ons kenmerk</w:t>
                          </w:r>
                        </w:p>
                        <w:p w14:paraId="78767803" w14:textId="0BF15D66" w:rsidR="00613117" w:rsidRDefault="006668EF">
                          <w:pPr>
                            <w:pStyle w:val="Referentiegegevens"/>
                          </w:pPr>
                          <w:r>
                            <w:t>IENW/BSK-2026/</w:t>
                          </w:r>
                          <w:r w:rsidR="00F22D8D">
                            <w:t>71202</w:t>
                          </w:r>
                        </w:p>
                      </w:txbxContent>
                    </wps:txbx>
                    <wps:bodyPr vert="horz" wrap="square" lIns="0" tIns="0" rIns="0" bIns="0" anchor="t" anchorCtr="0"/>
                  </wps:wsp>
                </a:graphicData>
              </a:graphic>
            </wp:anchor>
          </w:drawing>
        </mc:Choice>
        <mc:Fallback>
          <w:pict>
            <v:shapetype w14:anchorId="4076E13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04BBACE" w14:textId="77777777" w:rsidR="00613117" w:rsidRDefault="006668EF">
                    <w:pPr>
                      <w:pStyle w:val="AfzendgegevensKop0"/>
                    </w:pPr>
                    <w:r>
                      <w:t>Ministerie van Infrastructuur en Waterstaat</w:t>
                    </w:r>
                  </w:p>
                  <w:p w14:paraId="144A44FC" w14:textId="77777777" w:rsidR="00613117" w:rsidRDefault="00613117">
                    <w:pPr>
                      <w:pStyle w:val="WitregelW2"/>
                    </w:pPr>
                  </w:p>
                  <w:p w14:paraId="00452A5A" w14:textId="77777777" w:rsidR="00613117" w:rsidRDefault="006668EF">
                    <w:pPr>
                      <w:pStyle w:val="Referentiegegevenskop"/>
                    </w:pPr>
                    <w:r>
                      <w:t>Ons kenmerk</w:t>
                    </w:r>
                  </w:p>
                  <w:p w14:paraId="78767803" w14:textId="0BF15D66" w:rsidR="00613117" w:rsidRDefault="006668EF">
                    <w:pPr>
                      <w:pStyle w:val="Referentiegegevens"/>
                    </w:pPr>
                    <w:r>
                      <w:t>IENW/BSK-2026/</w:t>
                    </w:r>
                    <w:r w:rsidR="00F22D8D">
                      <w:t>71202</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E6C4ABE" wp14:editId="2B7C4726">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166FF48" w14:textId="77777777" w:rsidR="00613117" w:rsidRDefault="006668EF">
                          <w:pPr>
                            <w:pStyle w:val="Referentiegegevens"/>
                          </w:pPr>
                          <w:r>
                            <w:t xml:space="preserve">Page </w:t>
                          </w:r>
                          <w:r>
                            <w:fldChar w:fldCharType="begin"/>
                          </w:r>
                          <w:r>
                            <w:instrText>PAGE</w:instrText>
                          </w:r>
                          <w:r>
                            <w:fldChar w:fldCharType="separate"/>
                          </w:r>
                          <w:r w:rsidR="00CD2092">
                            <w:rPr>
                              <w:noProof/>
                            </w:rPr>
                            <w:t>1</w:t>
                          </w:r>
                          <w:r>
                            <w:fldChar w:fldCharType="end"/>
                          </w:r>
                          <w:r>
                            <w:t xml:space="preserve"> of </w:t>
                          </w:r>
                          <w:r>
                            <w:fldChar w:fldCharType="begin"/>
                          </w:r>
                          <w:r>
                            <w:instrText>NUMPAGES</w:instrText>
                          </w:r>
                          <w:r>
                            <w:fldChar w:fldCharType="separate"/>
                          </w:r>
                          <w:r w:rsidR="00CD2092">
                            <w:rPr>
                              <w:noProof/>
                            </w:rPr>
                            <w:t>1</w:t>
                          </w:r>
                          <w:r>
                            <w:fldChar w:fldCharType="end"/>
                          </w:r>
                        </w:p>
                      </w:txbxContent>
                    </wps:txbx>
                    <wps:bodyPr vert="horz" wrap="square" lIns="0" tIns="0" rIns="0" bIns="0" anchor="t" anchorCtr="0"/>
                  </wps:wsp>
                </a:graphicData>
              </a:graphic>
            </wp:anchor>
          </w:drawing>
        </mc:Choice>
        <mc:Fallback>
          <w:pict>
            <v:shape w14:anchorId="4E6C4AB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166FF48" w14:textId="77777777" w:rsidR="00613117" w:rsidRDefault="006668EF">
                    <w:pPr>
                      <w:pStyle w:val="Referentiegegevens"/>
                    </w:pPr>
                    <w:r>
                      <w:t xml:space="preserve">Page </w:t>
                    </w:r>
                    <w:r>
                      <w:fldChar w:fldCharType="begin"/>
                    </w:r>
                    <w:r>
                      <w:instrText>PAGE</w:instrText>
                    </w:r>
                    <w:r>
                      <w:fldChar w:fldCharType="separate"/>
                    </w:r>
                    <w:r w:rsidR="00CD2092">
                      <w:rPr>
                        <w:noProof/>
                      </w:rPr>
                      <w:t>1</w:t>
                    </w:r>
                    <w:r>
                      <w:fldChar w:fldCharType="end"/>
                    </w:r>
                    <w:r>
                      <w:t xml:space="preserve"> of </w:t>
                    </w:r>
                    <w:r>
                      <w:fldChar w:fldCharType="begin"/>
                    </w:r>
                    <w:r>
                      <w:instrText>NUMPAGES</w:instrText>
                    </w:r>
                    <w:r>
                      <w:fldChar w:fldCharType="separate"/>
                    </w:r>
                    <w:r w:rsidR="00CD209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9C23466" wp14:editId="0A6124B8">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64B2248" w14:textId="77777777" w:rsidR="0060522A" w:rsidRDefault="0060522A"/>
                      </w:txbxContent>
                    </wps:txbx>
                    <wps:bodyPr vert="horz" wrap="square" lIns="0" tIns="0" rIns="0" bIns="0" anchor="t" anchorCtr="0"/>
                  </wps:wsp>
                </a:graphicData>
              </a:graphic>
            </wp:anchor>
          </w:drawing>
        </mc:Choice>
        <mc:Fallback>
          <w:pict>
            <v:shape w14:anchorId="59C2346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64B2248" w14:textId="77777777" w:rsidR="0060522A" w:rsidRDefault="0060522A"/>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BCA5D64" wp14:editId="2D6DA829">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AFC1DDB" w14:textId="77777777" w:rsidR="0060522A" w:rsidRDefault="0060522A"/>
                      </w:txbxContent>
                    </wps:txbx>
                    <wps:bodyPr vert="horz" wrap="square" lIns="0" tIns="0" rIns="0" bIns="0" anchor="t" anchorCtr="0"/>
                  </wps:wsp>
                </a:graphicData>
              </a:graphic>
            </wp:anchor>
          </w:drawing>
        </mc:Choice>
        <mc:Fallback>
          <w:pict>
            <v:shape w14:anchorId="4BCA5D6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AFC1DDB" w14:textId="77777777" w:rsidR="0060522A" w:rsidRDefault="0060522A"/>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1678D" w14:textId="77777777" w:rsidR="00613117" w:rsidRDefault="006668EF">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2D8F6C6" wp14:editId="387FE784">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30A05EA" w14:textId="77777777" w:rsidR="0060522A" w:rsidRDefault="0060522A"/>
                      </w:txbxContent>
                    </wps:txbx>
                    <wps:bodyPr vert="horz" wrap="square" lIns="0" tIns="0" rIns="0" bIns="0" anchor="t" anchorCtr="0"/>
                  </wps:wsp>
                </a:graphicData>
              </a:graphic>
            </wp:anchor>
          </w:drawing>
        </mc:Choice>
        <mc:Fallback>
          <w:pict>
            <v:shapetype w14:anchorId="62D8F6C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30A05EA" w14:textId="77777777" w:rsidR="0060522A" w:rsidRDefault="0060522A"/>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DE187C6" wp14:editId="70228215">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9370428" w14:textId="4631764E" w:rsidR="00613117" w:rsidRDefault="006668EF">
                          <w:pPr>
                            <w:pStyle w:val="Referentiegegevens"/>
                          </w:pPr>
                          <w:r>
                            <w:t xml:space="preserve">Page </w:t>
                          </w:r>
                          <w:r>
                            <w:fldChar w:fldCharType="begin"/>
                          </w:r>
                          <w:r>
                            <w:instrText>PAGE</w:instrText>
                          </w:r>
                          <w:r>
                            <w:fldChar w:fldCharType="separate"/>
                          </w:r>
                          <w:r w:rsidR="004815ED">
                            <w:rPr>
                              <w:noProof/>
                            </w:rPr>
                            <w:t>1</w:t>
                          </w:r>
                          <w:r>
                            <w:fldChar w:fldCharType="end"/>
                          </w:r>
                          <w:r>
                            <w:t xml:space="preserve"> of </w:t>
                          </w:r>
                          <w:r>
                            <w:fldChar w:fldCharType="begin"/>
                          </w:r>
                          <w:r>
                            <w:instrText>NUMPAGES</w:instrText>
                          </w:r>
                          <w:r>
                            <w:fldChar w:fldCharType="separate"/>
                          </w:r>
                          <w:r w:rsidR="004815ED">
                            <w:rPr>
                              <w:noProof/>
                            </w:rPr>
                            <w:t>1</w:t>
                          </w:r>
                          <w:r>
                            <w:fldChar w:fldCharType="end"/>
                          </w:r>
                        </w:p>
                      </w:txbxContent>
                    </wps:txbx>
                    <wps:bodyPr vert="horz" wrap="square" lIns="0" tIns="0" rIns="0" bIns="0" anchor="t" anchorCtr="0"/>
                  </wps:wsp>
                </a:graphicData>
              </a:graphic>
            </wp:anchor>
          </w:drawing>
        </mc:Choice>
        <mc:Fallback>
          <w:pict>
            <v:shape w14:anchorId="1DE187C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9370428" w14:textId="4631764E" w:rsidR="00613117" w:rsidRDefault="006668EF">
                    <w:pPr>
                      <w:pStyle w:val="Referentiegegevens"/>
                    </w:pPr>
                    <w:r>
                      <w:t xml:space="preserve">Page </w:t>
                    </w:r>
                    <w:r>
                      <w:fldChar w:fldCharType="begin"/>
                    </w:r>
                    <w:r>
                      <w:instrText>PAGE</w:instrText>
                    </w:r>
                    <w:r>
                      <w:fldChar w:fldCharType="separate"/>
                    </w:r>
                    <w:r w:rsidR="004815ED">
                      <w:rPr>
                        <w:noProof/>
                      </w:rPr>
                      <w:t>1</w:t>
                    </w:r>
                    <w:r>
                      <w:fldChar w:fldCharType="end"/>
                    </w:r>
                    <w:r>
                      <w:t xml:space="preserve"> of </w:t>
                    </w:r>
                    <w:r>
                      <w:fldChar w:fldCharType="begin"/>
                    </w:r>
                    <w:r>
                      <w:instrText>NUMPAGES</w:instrText>
                    </w:r>
                    <w:r>
                      <w:fldChar w:fldCharType="separate"/>
                    </w:r>
                    <w:r w:rsidR="004815E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6E54095" wp14:editId="53EB9621">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FFC2EC8" w14:textId="77777777" w:rsidR="00613117" w:rsidRDefault="006668EF">
                          <w:pPr>
                            <w:pStyle w:val="AfzendgegevensKop0"/>
                          </w:pPr>
                          <w:r>
                            <w:t>Ministerie van Infrastructuur en Waterstaat</w:t>
                          </w:r>
                        </w:p>
                        <w:p w14:paraId="489B9768" w14:textId="77777777" w:rsidR="00613117" w:rsidRDefault="00613117">
                          <w:pPr>
                            <w:pStyle w:val="WitregelW1"/>
                          </w:pPr>
                        </w:p>
                        <w:p w14:paraId="140C4813" w14:textId="77777777" w:rsidR="00613117" w:rsidRDefault="006668EF">
                          <w:pPr>
                            <w:pStyle w:val="Afzendgegevens"/>
                          </w:pPr>
                          <w:r>
                            <w:t>Rijnstraat 8</w:t>
                          </w:r>
                        </w:p>
                        <w:p w14:paraId="3635CBD5" w14:textId="502746AB" w:rsidR="00613117" w:rsidRPr="00940A07" w:rsidRDefault="006668EF">
                          <w:pPr>
                            <w:pStyle w:val="Afzendgegevens"/>
                            <w:rPr>
                              <w:lang w:val="de-DE"/>
                            </w:rPr>
                          </w:pPr>
                          <w:r w:rsidRPr="00940A07">
                            <w:rPr>
                              <w:lang w:val="de-DE"/>
                            </w:rPr>
                            <w:t xml:space="preserve">2515 </w:t>
                          </w:r>
                          <w:r w:rsidR="00DA0C7C" w:rsidRPr="00940A07">
                            <w:rPr>
                              <w:lang w:val="de-DE"/>
                            </w:rPr>
                            <w:t>XP Den</w:t>
                          </w:r>
                          <w:r w:rsidRPr="00940A07">
                            <w:rPr>
                              <w:lang w:val="de-DE"/>
                            </w:rPr>
                            <w:t xml:space="preserve"> Haag</w:t>
                          </w:r>
                        </w:p>
                        <w:p w14:paraId="48D9766E" w14:textId="77777777" w:rsidR="00613117" w:rsidRPr="00940A07" w:rsidRDefault="006668EF">
                          <w:pPr>
                            <w:pStyle w:val="Afzendgegevens"/>
                            <w:rPr>
                              <w:lang w:val="de-DE"/>
                            </w:rPr>
                          </w:pPr>
                          <w:r w:rsidRPr="00940A07">
                            <w:rPr>
                              <w:lang w:val="de-DE"/>
                            </w:rPr>
                            <w:t>Postbus 20901</w:t>
                          </w:r>
                        </w:p>
                        <w:p w14:paraId="59A141CF" w14:textId="77777777" w:rsidR="00613117" w:rsidRPr="00940A07" w:rsidRDefault="006668EF">
                          <w:pPr>
                            <w:pStyle w:val="Afzendgegevens"/>
                            <w:rPr>
                              <w:lang w:val="de-DE"/>
                            </w:rPr>
                          </w:pPr>
                          <w:r w:rsidRPr="00940A07">
                            <w:rPr>
                              <w:lang w:val="de-DE"/>
                            </w:rPr>
                            <w:t>2500 EX Den Haag</w:t>
                          </w:r>
                        </w:p>
                        <w:p w14:paraId="1A6698F7" w14:textId="77777777" w:rsidR="00613117" w:rsidRPr="00940A07" w:rsidRDefault="00613117">
                          <w:pPr>
                            <w:pStyle w:val="WitregelW1"/>
                            <w:rPr>
                              <w:lang w:val="de-DE"/>
                            </w:rPr>
                          </w:pPr>
                        </w:p>
                        <w:p w14:paraId="6D06EB62" w14:textId="77777777" w:rsidR="00613117" w:rsidRPr="00940A07" w:rsidRDefault="006668EF">
                          <w:pPr>
                            <w:pStyle w:val="Afzendgegevens"/>
                            <w:rPr>
                              <w:lang w:val="de-DE"/>
                            </w:rPr>
                          </w:pPr>
                          <w:r w:rsidRPr="00940A07">
                            <w:rPr>
                              <w:lang w:val="de-DE"/>
                            </w:rPr>
                            <w:t>T   070-456 0000</w:t>
                          </w:r>
                        </w:p>
                        <w:p w14:paraId="3D80FC86" w14:textId="77777777" w:rsidR="00613117" w:rsidRDefault="006668EF">
                          <w:pPr>
                            <w:pStyle w:val="Afzendgegevens"/>
                          </w:pPr>
                          <w:r>
                            <w:t>F   070-456 1111</w:t>
                          </w:r>
                        </w:p>
                        <w:p w14:paraId="18646624" w14:textId="77777777" w:rsidR="00613117" w:rsidRDefault="00613117">
                          <w:pPr>
                            <w:pStyle w:val="WitregelW2"/>
                          </w:pPr>
                        </w:p>
                        <w:p w14:paraId="5EAF352A" w14:textId="77777777" w:rsidR="00613117" w:rsidRDefault="006668EF">
                          <w:pPr>
                            <w:pStyle w:val="Referentiegegevenskop"/>
                          </w:pPr>
                          <w:r>
                            <w:t>Ons kenmerk</w:t>
                          </w:r>
                        </w:p>
                        <w:p w14:paraId="02976E0B" w14:textId="60890D70" w:rsidR="00613117" w:rsidRDefault="006668EF">
                          <w:pPr>
                            <w:pStyle w:val="Referentiegegevens"/>
                          </w:pPr>
                          <w:r>
                            <w:t>IENW/BSK-2026/</w:t>
                          </w:r>
                          <w:r w:rsidR="00F22D8D">
                            <w:t>71202</w:t>
                          </w:r>
                        </w:p>
                        <w:p w14:paraId="0665510D" w14:textId="77777777" w:rsidR="00613117" w:rsidRDefault="00613117">
                          <w:pPr>
                            <w:pStyle w:val="WitregelW1"/>
                          </w:pPr>
                        </w:p>
                        <w:p w14:paraId="77E303EA" w14:textId="77777777" w:rsidR="00613117" w:rsidRDefault="006668EF">
                          <w:pPr>
                            <w:pStyle w:val="Referentiegegevenskop"/>
                          </w:pPr>
                          <w:r>
                            <w:t>Uw kenmerk</w:t>
                          </w:r>
                        </w:p>
                        <w:p w14:paraId="5B1A0E93" w14:textId="77777777" w:rsidR="00613117" w:rsidRDefault="006668EF">
                          <w:pPr>
                            <w:pStyle w:val="Referentiegegevens"/>
                          </w:pPr>
                          <w:r>
                            <w:t>2025Z22168</w:t>
                          </w:r>
                        </w:p>
                        <w:p w14:paraId="11AE0196" w14:textId="77777777" w:rsidR="00613117" w:rsidRDefault="00613117">
                          <w:pPr>
                            <w:pStyle w:val="WitregelW1"/>
                          </w:pPr>
                        </w:p>
                        <w:p w14:paraId="5B7F8559" w14:textId="77777777" w:rsidR="00613117" w:rsidRDefault="006668EF">
                          <w:pPr>
                            <w:pStyle w:val="Referentiegegevenskop"/>
                          </w:pPr>
                          <w:r>
                            <w:t>Bijlage(n)</w:t>
                          </w:r>
                        </w:p>
                        <w:p w14:paraId="462B8777" w14:textId="56ECA311" w:rsidR="00613117" w:rsidRDefault="007354D6">
                          <w:pPr>
                            <w:pStyle w:val="Referentiegegevens"/>
                          </w:pPr>
                          <w:r>
                            <w:t>1</w:t>
                          </w:r>
                        </w:p>
                      </w:txbxContent>
                    </wps:txbx>
                    <wps:bodyPr vert="horz" wrap="square" lIns="0" tIns="0" rIns="0" bIns="0" anchor="t" anchorCtr="0"/>
                  </wps:wsp>
                </a:graphicData>
              </a:graphic>
            </wp:anchor>
          </w:drawing>
        </mc:Choice>
        <mc:Fallback>
          <w:pict>
            <v:shape w14:anchorId="76E5409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FFC2EC8" w14:textId="77777777" w:rsidR="00613117" w:rsidRDefault="006668EF">
                    <w:pPr>
                      <w:pStyle w:val="AfzendgegevensKop0"/>
                    </w:pPr>
                    <w:r>
                      <w:t>Ministerie van Infrastructuur en Waterstaat</w:t>
                    </w:r>
                  </w:p>
                  <w:p w14:paraId="489B9768" w14:textId="77777777" w:rsidR="00613117" w:rsidRDefault="00613117">
                    <w:pPr>
                      <w:pStyle w:val="WitregelW1"/>
                    </w:pPr>
                  </w:p>
                  <w:p w14:paraId="140C4813" w14:textId="77777777" w:rsidR="00613117" w:rsidRDefault="006668EF">
                    <w:pPr>
                      <w:pStyle w:val="Afzendgegevens"/>
                    </w:pPr>
                    <w:r>
                      <w:t>Rijnstraat 8</w:t>
                    </w:r>
                  </w:p>
                  <w:p w14:paraId="3635CBD5" w14:textId="502746AB" w:rsidR="00613117" w:rsidRPr="00940A07" w:rsidRDefault="006668EF">
                    <w:pPr>
                      <w:pStyle w:val="Afzendgegevens"/>
                      <w:rPr>
                        <w:lang w:val="de-DE"/>
                      </w:rPr>
                    </w:pPr>
                    <w:r w:rsidRPr="00940A07">
                      <w:rPr>
                        <w:lang w:val="de-DE"/>
                      </w:rPr>
                      <w:t xml:space="preserve">2515 </w:t>
                    </w:r>
                    <w:r w:rsidR="00DA0C7C" w:rsidRPr="00940A07">
                      <w:rPr>
                        <w:lang w:val="de-DE"/>
                      </w:rPr>
                      <w:t>XP Den</w:t>
                    </w:r>
                    <w:r w:rsidRPr="00940A07">
                      <w:rPr>
                        <w:lang w:val="de-DE"/>
                      </w:rPr>
                      <w:t xml:space="preserve"> Haag</w:t>
                    </w:r>
                  </w:p>
                  <w:p w14:paraId="48D9766E" w14:textId="77777777" w:rsidR="00613117" w:rsidRPr="00940A07" w:rsidRDefault="006668EF">
                    <w:pPr>
                      <w:pStyle w:val="Afzendgegevens"/>
                      <w:rPr>
                        <w:lang w:val="de-DE"/>
                      </w:rPr>
                    </w:pPr>
                    <w:r w:rsidRPr="00940A07">
                      <w:rPr>
                        <w:lang w:val="de-DE"/>
                      </w:rPr>
                      <w:t>Postbus 20901</w:t>
                    </w:r>
                  </w:p>
                  <w:p w14:paraId="59A141CF" w14:textId="77777777" w:rsidR="00613117" w:rsidRPr="00940A07" w:rsidRDefault="006668EF">
                    <w:pPr>
                      <w:pStyle w:val="Afzendgegevens"/>
                      <w:rPr>
                        <w:lang w:val="de-DE"/>
                      </w:rPr>
                    </w:pPr>
                    <w:r w:rsidRPr="00940A07">
                      <w:rPr>
                        <w:lang w:val="de-DE"/>
                      </w:rPr>
                      <w:t>2500 EX Den Haag</w:t>
                    </w:r>
                  </w:p>
                  <w:p w14:paraId="1A6698F7" w14:textId="77777777" w:rsidR="00613117" w:rsidRPr="00940A07" w:rsidRDefault="00613117">
                    <w:pPr>
                      <w:pStyle w:val="WitregelW1"/>
                      <w:rPr>
                        <w:lang w:val="de-DE"/>
                      </w:rPr>
                    </w:pPr>
                  </w:p>
                  <w:p w14:paraId="6D06EB62" w14:textId="77777777" w:rsidR="00613117" w:rsidRPr="00940A07" w:rsidRDefault="006668EF">
                    <w:pPr>
                      <w:pStyle w:val="Afzendgegevens"/>
                      <w:rPr>
                        <w:lang w:val="de-DE"/>
                      </w:rPr>
                    </w:pPr>
                    <w:r w:rsidRPr="00940A07">
                      <w:rPr>
                        <w:lang w:val="de-DE"/>
                      </w:rPr>
                      <w:t>T   070-456 0000</w:t>
                    </w:r>
                  </w:p>
                  <w:p w14:paraId="3D80FC86" w14:textId="77777777" w:rsidR="00613117" w:rsidRDefault="006668EF">
                    <w:pPr>
                      <w:pStyle w:val="Afzendgegevens"/>
                    </w:pPr>
                    <w:r>
                      <w:t>F   070-456 1111</w:t>
                    </w:r>
                  </w:p>
                  <w:p w14:paraId="18646624" w14:textId="77777777" w:rsidR="00613117" w:rsidRDefault="00613117">
                    <w:pPr>
                      <w:pStyle w:val="WitregelW2"/>
                    </w:pPr>
                  </w:p>
                  <w:p w14:paraId="5EAF352A" w14:textId="77777777" w:rsidR="00613117" w:rsidRDefault="006668EF">
                    <w:pPr>
                      <w:pStyle w:val="Referentiegegevenskop"/>
                    </w:pPr>
                    <w:r>
                      <w:t>Ons kenmerk</w:t>
                    </w:r>
                  </w:p>
                  <w:p w14:paraId="02976E0B" w14:textId="60890D70" w:rsidR="00613117" w:rsidRDefault="006668EF">
                    <w:pPr>
                      <w:pStyle w:val="Referentiegegevens"/>
                    </w:pPr>
                    <w:r>
                      <w:t>IENW/BSK-2026/</w:t>
                    </w:r>
                    <w:r w:rsidR="00F22D8D">
                      <w:t>71202</w:t>
                    </w:r>
                  </w:p>
                  <w:p w14:paraId="0665510D" w14:textId="77777777" w:rsidR="00613117" w:rsidRDefault="00613117">
                    <w:pPr>
                      <w:pStyle w:val="WitregelW1"/>
                    </w:pPr>
                  </w:p>
                  <w:p w14:paraId="77E303EA" w14:textId="77777777" w:rsidR="00613117" w:rsidRDefault="006668EF">
                    <w:pPr>
                      <w:pStyle w:val="Referentiegegevenskop"/>
                    </w:pPr>
                    <w:r>
                      <w:t>Uw kenmerk</w:t>
                    </w:r>
                  </w:p>
                  <w:p w14:paraId="5B1A0E93" w14:textId="77777777" w:rsidR="00613117" w:rsidRDefault="006668EF">
                    <w:pPr>
                      <w:pStyle w:val="Referentiegegevens"/>
                    </w:pPr>
                    <w:r>
                      <w:t>2025Z22168</w:t>
                    </w:r>
                  </w:p>
                  <w:p w14:paraId="11AE0196" w14:textId="77777777" w:rsidR="00613117" w:rsidRDefault="00613117">
                    <w:pPr>
                      <w:pStyle w:val="WitregelW1"/>
                    </w:pPr>
                  </w:p>
                  <w:p w14:paraId="5B7F8559" w14:textId="77777777" w:rsidR="00613117" w:rsidRDefault="006668EF">
                    <w:pPr>
                      <w:pStyle w:val="Referentiegegevenskop"/>
                    </w:pPr>
                    <w:r>
                      <w:t>Bijlage(n)</w:t>
                    </w:r>
                  </w:p>
                  <w:p w14:paraId="462B8777" w14:textId="56ECA311" w:rsidR="00613117" w:rsidRDefault="007354D6">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FEB4F86" wp14:editId="515691DC">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749333C" w14:textId="77777777" w:rsidR="00613117" w:rsidRDefault="006668EF">
                          <w:pPr>
                            <w:spacing w:line="240" w:lineRule="auto"/>
                          </w:pPr>
                          <w:r>
                            <w:rPr>
                              <w:noProof/>
                              <w:lang w:val="en-GB" w:eastAsia="en-GB"/>
                            </w:rPr>
                            <w:drawing>
                              <wp:inline distT="0" distB="0" distL="0" distR="0" wp14:anchorId="056E4311" wp14:editId="720FA8C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EB4F8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749333C" w14:textId="77777777" w:rsidR="00613117" w:rsidRDefault="006668EF">
                    <w:pPr>
                      <w:spacing w:line="240" w:lineRule="auto"/>
                    </w:pPr>
                    <w:r>
                      <w:rPr>
                        <w:noProof/>
                        <w:lang w:val="en-GB" w:eastAsia="en-GB"/>
                      </w:rPr>
                      <w:drawing>
                        <wp:inline distT="0" distB="0" distL="0" distR="0" wp14:anchorId="056E4311" wp14:editId="720FA8C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1267806" wp14:editId="3BD71C27">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18229D" w14:textId="77777777" w:rsidR="00613117" w:rsidRDefault="006668EF">
                          <w:pPr>
                            <w:spacing w:line="240" w:lineRule="auto"/>
                          </w:pPr>
                          <w:r>
                            <w:rPr>
                              <w:noProof/>
                              <w:lang w:val="en-GB" w:eastAsia="en-GB"/>
                            </w:rPr>
                            <w:drawing>
                              <wp:inline distT="0" distB="0" distL="0" distR="0" wp14:anchorId="5DCAF70B" wp14:editId="4E743A8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26780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318229D" w14:textId="77777777" w:rsidR="00613117" w:rsidRDefault="006668EF">
                    <w:pPr>
                      <w:spacing w:line="240" w:lineRule="auto"/>
                    </w:pPr>
                    <w:r>
                      <w:rPr>
                        <w:noProof/>
                        <w:lang w:val="en-GB" w:eastAsia="en-GB"/>
                      </w:rPr>
                      <w:drawing>
                        <wp:inline distT="0" distB="0" distL="0" distR="0" wp14:anchorId="5DCAF70B" wp14:editId="4E743A8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65FD0D2" wp14:editId="64DAE69F">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DB172AA" w14:textId="77777777" w:rsidR="00613117" w:rsidRDefault="006668E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65FD0D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DB172AA" w14:textId="77777777" w:rsidR="00613117" w:rsidRDefault="006668EF">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CCE55E7" wp14:editId="52C24739">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BBB3BD7" w14:textId="77777777" w:rsidR="00613117" w:rsidRDefault="006668EF">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CCE55E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BBB3BD7" w14:textId="77777777" w:rsidR="00613117" w:rsidRDefault="006668EF">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2333A6A" wp14:editId="0254ACC8">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13117" w14:paraId="3D3896D6" w14:textId="77777777">
                            <w:trPr>
                              <w:trHeight w:val="200"/>
                            </w:trPr>
                            <w:tc>
                              <w:tcPr>
                                <w:tcW w:w="1140" w:type="dxa"/>
                              </w:tcPr>
                              <w:p w14:paraId="71E5A73A" w14:textId="77777777" w:rsidR="00613117" w:rsidRDefault="00613117"/>
                            </w:tc>
                            <w:tc>
                              <w:tcPr>
                                <w:tcW w:w="5400" w:type="dxa"/>
                              </w:tcPr>
                              <w:p w14:paraId="124D5EC0" w14:textId="77777777" w:rsidR="00613117" w:rsidRDefault="00613117"/>
                            </w:tc>
                          </w:tr>
                          <w:tr w:rsidR="00613117" w14:paraId="48189106" w14:textId="77777777">
                            <w:trPr>
                              <w:trHeight w:val="240"/>
                            </w:trPr>
                            <w:tc>
                              <w:tcPr>
                                <w:tcW w:w="1140" w:type="dxa"/>
                              </w:tcPr>
                              <w:p w14:paraId="3EFF543A" w14:textId="77777777" w:rsidR="00613117" w:rsidRDefault="006668EF">
                                <w:r>
                                  <w:t>Datum</w:t>
                                </w:r>
                              </w:p>
                            </w:tc>
                            <w:tc>
                              <w:tcPr>
                                <w:tcW w:w="5400" w:type="dxa"/>
                              </w:tcPr>
                              <w:p w14:paraId="644F0FA8" w14:textId="18EE8AD3" w:rsidR="00613117" w:rsidRDefault="00C26CA7">
                                <w:r>
                                  <w:t>8 mei 2026</w:t>
                                </w:r>
                              </w:p>
                            </w:tc>
                          </w:tr>
                          <w:tr w:rsidR="00613117" w14:paraId="3FC7A3C3" w14:textId="77777777">
                            <w:trPr>
                              <w:trHeight w:val="240"/>
                            </w:trPr>
                            <w:tc>
                              <w:tcPr>
                                <w:tcW w:w="1140" w:type="dxa"/>
                              </w:tcPr>
                              <w:p w14:paraId="718069B8" w14:textId="77777777" w:rsidR="00613117" w:rsidRDefault="006668EF">
                                <w:r>
                                  <w:t>Betreft</w:t>
                                </w:r>
                              </w:p>
                            </w:tc>
                            <w:tc>
                              <w:tcPr>
                                <w:tcW w:w="5400" w:type="dxa"/>
                              </w:tcPr>
                              <w:p w14:paraId="6664B02D" w14:textId="4F67BDE9" w:rsidR="00613117" w:rsidRDefault="006668EF">
                                <w:r>
                                  <w:t>Vragen van het lid Van der Plas (BBB) over de compensatieregeling vuurwerkbranche</w:t>
                                </w:r>
                              </w:p>
                            </w:tc>
                          </w:tr>
                          <w:tr w:rsidR="00613117" w14:paraId="34BBAF28" w14:textId="77777777">
                            <w:trPr>
                              <w:trHeight w:val="200"/>
                            </w:trPr>
                            <w:tc>
                              <w:tcPr>
                                <w:tcW w:w="1140" w:type="dxa"/>
                              </w:tcPr>
                              <w:p w14:paraId="68E23B84" w14:textId="77777777" w:rsidR="00613117" w:rsidRDefault="00613117"/>
                            </w:tc>
                            <w:tc>
                              <w:tcPr>
                                <w:tcW w:w="5400" w:type="dxa"/>
                              </w:tcPr>
                              <w:p w14:paraId="4A122253" w14:textId="77777777" w:rsidR="00613117" w:rsidRDefault="00613117"/>
                            </w:tc>
                          </w:tr>
                        </w:tbl>
                        <w:p w14:paraId="1F3B65AE" w14:textId="77777777" w:rsidR="0060522A" w:rsidRDefault="0060522A"/>
                      </w:txbxContent>
                    </wps:txbx>
                    <wps:bodyPr vert="horz" wrap="square" lIns="0" tIns="0" rIns="0" bIns="0" anchor="t" anchorCtr="0"/>
                  </wps:wsp>
                </a:graphicData>
              </a:graphic>
            </wp:anchor>
          </w:drawing>
        </mc:Choice>
        <mc:Fallback>
          <w:pict>
            <v:shape w14:anchorId="02333A6A"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13117" w14:paraId="3D3896D6" w14:textId="77777777">
                      <w:trPr>
                        <w:trHeight w:val="200"/>
                      </w:trPr>
                      <w:tc>
                        <w:tcPr>
                          <w:tcW w:w="1140" w:type="dxa"/>
                        </w:tcPr>
                        <w:p w14:paraId="71E5A73A" w14:textId="77777777" w:rsidR="00613117" w:rsidRDefault="00613117"/>
                      </w:tc>
                      <w:tc>
                        <w:tcPr>
                          <w:tcW w:w="5400" w:type="dxa"/>
                        </w:tcPr>
                        <w:p w14:paraId="124D5EC0" w14:textId="77777777" w:rsidR="00613117" w:rsidRDefault="00613117"/>
                      </w:tc>
                    </w:tr>
                    <w:tr w:rsidR="00613117" w14:paraId="48189106" w14:textId="77777777">
                      <w:trPr>
                        <w:trHeight w:val="240"/>
                      </w:trPr>
                      <w:tc>
                        <w:tcPr>
                          <w:tcW w:w="1140" w:type="dxa"/>
                        </w:tcPr>
                        <w:p w14:paraId="3EFF543A" w14:textId="77777777" w:rsidR="00613117" w:rsidRDefault="006668EF">
                          <w:r>
                            <w:t>Datum</w:t>
                          </w:r>
                        </w:p>
                      </w:tc>
                      <w:tc>
                        <w:tcPr>
                          <w:tcW w:w="5400" w:type="dxa"/>
                        </w:tcPr>
                        <w:p w14:paraId="644F0FA8" w14:textId="18EE8AD3" w:rsidR="00613117" w:rsidRDefault="00C26CA7">
                          <w:r>
                            <w:t>8 mei 2026</w:t>
                          </w:r>
                        </w:p>
                      </w:tc>
                    </w:tr>
                    <w:tr w:rsidR="00613117" w14:paraId="3FC7A3C3" w14:textId="77777777">
                      <w:trPr>
                        <w:trHeight w:val="240"/>
                      </w:trPr>
                      <w:tc>
                        <w:tcPr>
                          <w:tcW w:w="1140" w:type="dxa"/>
                        </w:tcPr>
                        <w:p w14:paraId="718069B8" w14:textId="77777777" w:rsidR="00613117" w:rsidRDefault="006668EF">
                          <w:r>
                            <w:t>Betreft</w:t>
                          </w:r>
                        </w:p>
                      </w:tc>
                      <w:tc>
                        <w:tcPr>
                          <w:tcW w:w="5400" w:type="dxa"/>
                        </w:tcPr>
                        <w:p w14:paraId="6664B02D" w14:textId="4F67BDE9" w:rsidR="00613117" w:rsidRDefault="006668EF">
                          <w:r>
                            <w:t>Vragen van het lid Van der Plas (BBB) over de compensatieregeling vuurwerkbranche</w:t>
                          </w:r>
                        </w:p>
                      </w:tc>
                    </w:tr>
                    <w:tr w:rsidR="00613117" w14:paraId="34BBAF28" w14:textId="77777777">
                      <w:trPr>
                        <w:trHeight w:val="200"/>
                      </w:trPr>
                      <w:tc>
                        <w:tcPr>
                          <w:tcW w:w="1140" w:type="dxa"/>
                        </w:tcPr>
                        <w:p w14:paraId="68E23B84" w14:textId="77777777" w:rsidR="00613117" w:rsidRDefault="00613117"/>
                      </w:tc>
                      <w:tc>
                        <w:tcPr>
                          <w:tcW w:w="5400" w:type="dxa"/>
                        </w:tcPr>
                        <w:p w14:paraId="4A122253" w14:textId="77777777" w:rsidR="00613117" w:rsidRDefault="00613117"/>
                      </w:tc>
                    </w:tr>
                  </w:tbl>
                  <w:p w14:paraId="1F3B65AE" w14:textId="77777777" w:rsidR="0060522A" w:rsidRDefault="0060522A"/>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57537F3" wp14:editId="7CF00DBB">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3BA8DC5" w14:textId="77777777" w:rsidR="0060522A" w:rsidRDefault="0060522A"/>
                      </w:txbxContent>
                    </wps:txbx>
                    <wps:bodyPr vert="horz" wrap="square" lIns="0" tIns="0" rIns="0" bIns="0" anchor="t" anchorCtr="0"/>
                  </wps:wsp>
                </a:graphicData>
              </a:graphic>
            </wp:anchor>
          </w:drawing>
        </mc:Choice>
        <mc:Fallback>
          <w:pict>
            <v:shape w14:anchorId="057537F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3BA8DC5" w14:textId="77777777" w:rsidR="0060522A" w:rsidRDefault="0060522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B18CEB"/>
    <w:multiLevelType w:val="multilevel"/>
    <w:tmpl w:val="0A6F81D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457682"/>
    <w:multiLevelType w:val="multilevel"/>
    <w:tmpl w:val="CF61929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CDD0AD4"/>
    <w:multiLevelType w:val="multilevel"/>
    <w:tmpl w:val="E083ACF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3170E8E"/>
    <w:multiLevelType w:val="multilevel"/>
    <w:tmpl w:val="DAB4C4C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A256580"/>
    <w:multiLevelType w:val="multilevel"/>
    <w:tmpl w:val="37FA742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0995A87"/>
    <w:multiLevelType w:val="multilevel"/>
    <w:tmpl w:val="43F0D33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09C9EDB"/>
    <w:multiLevelType w:val="multilevel"/>
    <w:tmpl w:val="B1D302F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19F1E26"/>
    <w:multiLevelType w:val="multilevel"/>
    <w:tmpl w:val="8CBD298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62D5387"/>
    <w:multiLevelType w:val="multilevel"/>
    <w:tmpl w:val="BFA3D25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ABCDE75"/>
    <w:multiLevelType w:val="multilevel"/>
    <w:tmpl w:val="947AC54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72792C"/>
    <w:multiLevelType w:val="multilevel"/>
    <w:tmpl w:val="7F347D7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1F0CD053"/>
    <w:multiLevelType w:val="multilevel"/>
    <w:tmpl w:val="49FCC5F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5F6D9A"/>
    <w:multiLevelType w:val="hybridMultilevel"/>
    <w:tmpl w:val="3A901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753492"/>
    <w:multiLevelType w:val="multilevel"/>
    <w:tmpl w:val="84F6F8C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6EFA73"/>
    <w:multiLevelType w:val="multilevel"/>
    <w:tmpl w:val="7E8A7CE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869471"/>
    <w:multiLevelType w:val="multilevel"/>
    <w:tmpl w:val="A10BEE5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CB57FC"/>
    <w:multiLevelType w:val="multilevel"/>
    <w:tmpl w:val="BE2A10A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8A1747"/>
    <w:multiLevelType w:val="multilevel"/>
    <w:tmpl w:val="AACE133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1DC430"/>
    <w:multiLevelType w:val="multilevel"/>
    <w:tmpl w:val="BE9D07D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0AF9A0"/>
    <w:multiLevelType w:val="multilevel"/>
    <w:tmpl w:val="3B1FF91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121197"/>
    <w:multiLevelType w:val="multilevel"/>
    <w:tmpl w:val="5FB0FA5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A44F24"/>
    <w:multiLevelType w:val="multilevel"/>
    <w:tmpl w:val="7356607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77FC6EFF"/>
    <w:multiLevelType w:val="multilevel"/>
    <w:tmpl w:val="B1D0BB2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E7CAF4E"/>
    <w:multiLevelType w:val="multilevel"/>
    <w:tmpl w:val="F1C9330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2"/>
  </w:num>
  <w:num w:numId="4">
    <w:abstractNumId w:val="19"/>
  </w:num>
  <w:num w:numId="5">
    <w:abstractNumId w:val="21"/>
  </w:num>
  <w:num w:numId="6">
    <w:abstractNumId w:val="20"/>
  </w:num>
  <w:num w:numId="7">
    <w:abstractNumId w:val="0"/>
  </w:num>
  <w:num w:numId="8">
    <w:abstractNumId w:val="14"/>
  </w:num>
  <w:num w:numId="9">
    <w:abstractNumId w:val="4"/>
  </w:num>
  <w:num w:numId="10">
    <w:abstractNumId w:val="13"/>
  </w:num>
  <w:num w:numId="11">
    <w:abstractNumId w:val="3"/>
  </w:num>
  <w:num w:numId="12">
    <w:abstractNumId w:val="10"/>
  </w:num>
  <w:num w:numId="13">
    <w:abstractNumId w:val="8"/>
  </w:num>
  <w:num w:numId="14">
    <w:abstractNumId w:val="1"/>
  </w:num>
  <w:num w:numId="15">
    <w:abstractNumId w:val="15"/>
  </w:num>
  <w:num w:numId="16">
    <w:abstractNumId w:val="18"/>
  </w:num>
  <w:num w:numId="17">
    <w:abstractNumId w:val="16"/>
  </w:num>
  <w:num w:numId="18">
    <w:abstractNumId w:val="9"/>
  </w:num>
  <w:num w:numId="19">
    <w:abstractNumId w:val="23"/>
  </w:num>
  <w:num w:numId="20">
    <w:abstractNumId w:val="22"/>
  </w:num>
  <w:num w:numId="21">
    <w:abstractNumId w:val="6"/>
  </w:num>
  <w:num w:numId="22">
    <w:abstractNumId w:val="11"/>
  </w:num>
  <w:num w:numId="23">
    <w:abstractNumId w:val="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092"/>
    <w:rsid w:val="00016677"/>
    <w:rsid w:val="00030950"/>
    <w:rsid w:val="0004700B"/>
    <w:rsid w:val="0005270F"/>
    <w:rsid w:val="00066065"/>
    <w:rsid w:val="000661CA"/>
    <w:rsid w:val="00077F05"/>
    <w:rsid w:val="000920DF"/>
    <w:rsid w:val="000921B2"/>
    <w:rsid w:val="00097F1C"/>
    <w:rsid w:val="000A326D"/>
    <w:rsid w:val="000C4E48"/>
    <w:rsid w:val="000C7C9B"/>
    <w:rsid w:val="000E7627"/>
    <w:rsid w:val="000F1C7F"/>
    <w:rsid w:val="000F2D1C"/>
    <w:rsid w:val="00110944"/>
    <w:rsid w:val="00123149"/>
    <w:rsid w:val="0013650E"/>
    <w:rsid w:val="00162CC0"/>
    <w:rsid w:val="00177FDD"/>
    <w:rsid w:val="0019578F"/>
    <w:rsid w:val="001E1ABD"/>
    <w:rsid w:val="001E3E82"/>
    <w:rsid w:val="001E4703"/>
    <w:rsid w:val="001F17B7"/>
    <w:rsid w:val="00232DEE"/>
    <w:rsid w:val="00252B8C"/>
    <w:rsid w:val="0025735F"/>
    <w:rsid w:val="00262D18"/>
    <w:rsid w:val="00280741"/>
    <w:rsid w:val="00290FA9"/>
    <w:rsid w:val="00297C2B"/>
    <w:rsid w:val="002E2C47"/>
    <w:rsid w:val="00324D28"/>
    <w:rsid w:val="0034599B"/>
    <w:rsid w:val="003703E0"/>
    <w:rsid w:val="00386BEF"/>
    <w:rsid w:val="0039000A"/>
    <w:rsid w:val="00393B1C"/>
    <w:rsid w:val="003A5A79"/>
    <w:rsid w:val="003C708D"/>
    <w:rsid w:val="00401091"/>
    <w:rsid w:val="00424BCB"/>
    <w:rsid w:val="00435446"/>
    <w:rsid w:val="004815ED"/>
    <w:rsid w:val="004A63B1"/>
    <w:rsid w:val="004A6767"/>
    <w:rsid w:val="004B42D2"/>
    <w:rsid w:val="004C073B"/>
    <w:rsid w:val="004C77EB"/>
    <w:rsid w:val="004E4EF3"/>
    <w:rsid w:val="00510270"/>
    <w:rsid w:val="00511020"/>
    <w:rsid w:val="00523BCD"/>
    <w:rsid w:val="00552A2E"/>
    <w:rsid w:val="00592417"/>
    <w:rsid w:val="005969F8"/>
    <w:rsid w:val="005B5004"/>
    <w:rsid w:val="005D0774"/>
    <w:rsid w:val="005D1C67"/>
    <w:rsid w:val="005E17D0"/>
    <w:rsid w:val="00604874"/>
    <w:rsid w:val="0060522A"/>
    <w:rsid w:val="00613117"/>
    <w:rsid w:val="00624DDE"/>
    <w:rsid w:val="00630B89"/>
    <w:rsid w:val="006668EF"/>
    <w:rsid w:val="006767FA"/>
    <w:rsid w:val="006B3861"/>
    <w:rsid w:val="006E5687"/>
    <w:rsid w:val="006E7822"/>
    <w:rsid w:val="007039EB"/>
    <w:rsid w:val="00705B5C"/>
    <w:rsid w:val="00722FB1"/>
    <w:rsid w:val="00733637"/>
    <w:rsid w:val="007354D6"/>
    <w:rsid w:val="00756625"/>
    <w:rsid w:val="007619D9"/>
    <w:rsid w:val="00764465"/>
    <w:rsid w:val="00773336"/>
    <w:rsid w:val="007767BD"/>
    <w:rsid w:val="007A7D2E"/>
    <w:rsid w:val="007B61AD"/>
    <w:rsid w:val="007E7A4C"/>
    <w:rsid w:val="0080562B"/>
    <w:rsid w:val="00810DEB"/>
    <w:rsid w:val="008255D9"/>
    <w:rsid w:val="008265E8"/>
    <w:rsid w:val="008443C0"/>
    <w:rsid w:val="008550E7"/>
    <w:rsid w:val="008810C6"/>
    <w:rsid w:val="009016CC"/>
    <w:rsid w:val="009071AB"/>
    <w:rsid w:val="009306A9"/>
    <w:rsid w:val="00940A07"/>
    <w:rsid w:val="00947183"/>
    <w:rsid w:val="009872D2"/>
    <w:rsid w:val="009963FF"/>
    <w:rsid w:val="009A72ED"/>
    <w:rsid w:val="009B5348"/>
    <w:rsid w:val="009C3871"/>
    <w:rsid w:val="00A17887"/>
    <w:rsid w:val="00A45F9B"/>
    <w:rsid w:val="00A4687A"/>
    <w:rsid w:val="00A7163E"/>
    <w:rsid w:val="00AA5141"/>
    <w:rsid w:val="00AE6377"/>
    <w:rsid w:val="00AF1648"/>
    <w:rsid w:val="00AF6AF7"/>
    <w:rsid w:val="00B26DC0"/>
    <w:rsid w:val="00B47DFA"/>
    <w:rsid w:val="00B519FA"/>
    <w:rsid w:val="00B70EBC"/>
    <w:rsid w:val="00B77647"/>
    <w:rsid w:val="00B95DC1"/>
    <w:rsid w:val="00B9753F"/>
    <w:rsid w:val="00B97EFF"/>
    <w:rsid w:val="00BB0A17"/>
    <w:rsid w:val="00BB100F"/>
    <w:rsid w:val="00BD6F8D"/>
    <w:rsid w:val="00BF53EF"/>
    <w:rsid w:val="00C01095"/>
    <w:rsid w:val="00C0167E"/>
    <w:rsid w:val="00C1256C"/>
    <w:rsid w:val="00C26CA7"/>
    <w:rsid w:val="00C60CA6"/>
    <w:rsid w:val="00C73657"/>
    <w:rsid w:val="00C77BFF"/>
    <w:rsid w:val="00C806EE"/>
    <w:rsid w:val="00C86E6D"/>
    <w:rsid w:val="00CC71CD"/>
    <w:rsid w:val="00CD2092"/>
    <w:rsid w:val="00CD374F"/>
    <w:rsid w:val="00CE12D3"/>
    <w:rsid w:val="00CE28B8"/>
    <w:rsid w:val="00CE5012"/>
    <w:rsid w:val="00CF156D"/>
    <w:rsid w:val="00D0682A"/>
    <w:rsid w:val="00D10E2F"/>
    <w:rsid w:val="00D11C16"/>
    <w:rsid w:val="00D43166"/>
    <w:rsid w:val="00D53D93"/>
    <w:rsid w:val="00D73E48"/>
    <w:rsid w:val="00D80360"/>
    <w:rsid w:val="00D83B1D"/>
    <w:rsid w:val="00DA0C7C"/>
    <w:rsid w:val="00DC116A"/>
    <w:rsid w:val="00DC4EB4"/>
    <w:rsid w:val="00DD4405"/>
    <w:rsid w:val="00E02CC5"/>
    <w:rsid w:val="00E1175C"/>
    <w:rsid w:val="00E321D8"/>
    <w:rsid w:val="00E60FA8"/>
    <w:rsid w:val="00E667DE"/>
    <w:rsid w:val="00E71363"/>
    <w:rsid w:val="00E7733A"/>
    <w:rsid w:val="00E84D12"/>
    <w:rsid w:val="00EC352E"/>
    <w:rsid w:val="00EC5C3D"/>
    <w:rsid w:val="00EC79B9"/>
    <w:rsid w:val="00F034D0"/>
    <w:rsid w:val="00F13D01"/>
    <w:rsid w:val="00F22D8D"/>
    <w:rsid w:val="00F24D96"/>
    <w:rsid w:val="00F4717D"/>
    <w:rsid w:val="00F72880"/>
    <w:rsid w:val="00F878DC"/>
    <w:rsid w:val="00FB02A2"/>
    <w:rsid w:val="00FE77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A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D2092"/>
    <w:pPr>
      <w:tabs>
        <w:tab w:val="center" w:pos="4536"/>
        <w:tab w:val="right" w:pos="9072"/>
      </w:tabs>
      <w:spacing w:line="240" w:lineRule="auto"/>
    </w:pPr>
  </w:style>
  <w:style w:type="character" w:customStyle="1" w:styleId="HeaderChar">
    <w:name w:val="Header Char"/>
    <w:basedOn w:val="DefaultParagraphFont"/>
    <w:link w:val="Header"/>
    <w:uiPriority w:val="99"/>
    <w:rsid w:val="00CD2092"/>
    <w:rPr>
      <w:rFonts w:ascii="Verdana" w:hAnsi="Verdana"/>
      <w:color w:val="000000"/>
      <w:sz w:val="18"/>
      <w:szCs w:val="18"/>
    </w:rPr>
  </w:style>
  <w:style w:type="paragraph" w:styleId="Footer">
    <w:name w:val="footer"/>
    <w:basedOn w:val="Normal"/>
    <w:link w:val="FooterChar"/>
    <w:uiPriority w:val="99"/>
    <w:unhideWhenUsed/>
    <w:rsid w:val="00CD2092"/>
    <w:pPr>
      <w:tabs>
        <w:tab w:val="center" w:pos="4536"/>
        <w:tab w:val="right" w:pos="9072"/>
      </w:tabs>
      <w:spacing w:line="240" w:lineRule="auto"/>
    </w:pPr>
  </w:style>
  <w:style w:type="character" w:customStyle="1" w:styleId="FooterChar">
    <w:name w:val="Footer Char"/>
    <w:basedOn w:val="DefaultParagraphFont"/>
    <w:link w:val="Footer"/>
    <w:uiPriority w:val="99"/>
    <w:rsid w:val="00CD2092"/>
    <w:rPr>
      <w:rFonts w:ascii="Verdana" w:hAnsi="Verdana"/>
      <w:color w:val="000000"/>
      <w:sz w:val="18"/>
      <w:szCs w:val="18"/>
    </w:rPr>
  </w:style>
  <w:style w:type="character" w:styleId="CommentReference">
    <w:name w:val="annotation reference"/>
    <w:basedOn w:val="DefaultParagraphFont"/>
    <w:uiPriority w:val="99"/>
    <w:semiHidden/>
    <w:unhideWhenUsed/>
    <w:rsid w:val="00CD2092"/>
    <w:rPr>
      <w:sz w:val="16"/>
      <w:szCs w:val="16"/>
    </w:rPr>
  </w:style>
  <w:style w:type="paragraph" w:styleId="CommentText">
    <w:name w:val="annotation text"/>
    <w:basedOn w:val="Normal"/>
    <w:link w:val="CommentTextChar"/>
    <w:uiPriority w:val="99"/>
    <w:unhideWhenUsed/>
    <w:rsid w:val="00CD2092"/>
    <w:pPr>
      <w:spacing w:line="240" w:lineRule="auto"/>
    </w:pPr>
    <w:rPr>
      <w:sz w:val="20"/>
      <w:szCs w:val="20"/>
    </w:rPr>
  </w:style>
  <w:style w:type="character" w:customStyle="1" w:styleId="CommentTextChar">
    <w:name w:val="Comment Text Char"/>
    <w:basedOn w:val="DefaultParagraphFont"/>
    <w:link w:val="CommentText"/>
    <w:uiPriority w:val="99"/>
    <w:rsid w:val="00CD2092"/>
    <w:rPr>
      <w:rFonts w:ascii="Verdana" w:hAnsi="Verdana"/>
      <w:color w:val="000000"/>
    </w:rPr>
  </w:style>
  <w:style w:type="paragraph" w:styleId="ListParagraph">
    <w:name w:val="List Paragraph"/>
    <w:basedOn w:val="Normal"/>
    <w:uiPriority w:val="34"/>
    <w:semiHidden/>
    <w:rsid w:val="00CD2092"/>
    <w:pPr>
      <w:ind w:left="720"/>
      <w:contextualSpacing/>
    </w:pPr>
  </w:style>
  <w:style w:type="paragraph" w:styleId="CommentSubject">
    <w:name w:val="annotation subject"/>
    <w:basedOn w:val="CommentText"/>
    <w:next w:val="CommentText"/>
    <w:link w:val="CommentSubjectChar"/>
    <w:uiPriority w:val="99"/>
    <w:semiHidden/>
    <w:unhideWhenUsed/>
    <w:rsid w:val="009C3871"/>
    <w:rPr>
      <w:b/>
      <w:bCs/>
    </w:rPr>
  </w:style>
  <w:style w:type="character" w:customStyle="1" w:styleId="CommentSubjectChar">
    <w:name w:val="Comment Subject Char"/>
    <w:basedOn w:val="CommentTextChar"/>
    <w:link w:val="CommentSubject"/>
    <w:uiPriority w:val="99"/>
    <w:semiHidden/>
    <w:rsid w:val="009C3871"/>
    <w:rPr>
      <w:rFonts w:ascii="Verdana" w:hAnsi="Verdana"/>
      <w:b/>
      <w:bCs/>
      <w:color w:val="000000"/>
    </w:rPr>
  </w:style>
  <w:style w:type="paragraph" w:styleId="FootnoteText">
    <w:name w:val="footnote text"/>
    <w:basedOn w:val="Normal"/>
    <w:link w:val="FootnoteTextChar"/>
    <w:uiPriority w:val="99"/>
    <w:unhideWhenUsed/>
    <w:rsid w:val="00C806EE"/>
    <w:pPr>
      <w:spacing w:line="240" w:lineRule="auto"/>
    </w:pPr>
    <w:rPr>
      <w:sz w:val="20"/>
      <w:szCs w:val="20"/>
    </w:rPr>
  </w:style>
  <w:style w:type="character" w:customStyle="1" w:styleId="FootnoteTextChar">
    <w:name w:val="Footnote Text Char"/>
    <w:basedOn w:val="DefaultParagraphFont"/>
    <w:link w:val="FootnoteText"/>
    <w:uiPriority w:val="99"/>
    <w:rsid w:val="00C806EE"/>
    <w:rPr>
      <w:rFonts w:ascii="Verdana" w:hAnsi="Verdana"/>
      <w:color w:val="000000"/>
    </w:rPr>
  </w:style>
  <w:style w:type="character" w:styleId="FootnoteReference">
    <w:name w:val="footnote reference"/>
    <w:aliases w:val="Appel note de bas de p"/>
    <w:basedOn w:val="DefaultParagraphFont"/>
    <w:uiPriority w:val="99"/>
    <w:unhideWhenUsed/>
    <w:rsid w:val="00C806EE"/>
    <w:rPr>
      <w:vertAlign w:val="superscript"/>
    </w:rPr>
  </w:style>
  <w:style w:type="paragraph" w:styleId="Revision">
    <w:name w:val="Revision"/>
    <w:hidden/>
    <w:uiPriority w:val="99"/>
    <w:semiHidden/>
    <w:rsid w:val="008550E7"/>
    <w:pPr>
      <w:autoSpaceDN/>
      <w:textAlignment w:val="auto"/>
    </w:pPr>
    <w:rPr>
      <w:rFonts w:ascii="Verdana" w:hAnsi="Verdana"/>
      <w:color w:val="000000"/>
      <w:sz w:val="18"/>
      <w:szCs w:val="18"/>
    </w:rPr>
  </w:style>
  <w:style w:type="paragraph" w:customStyle="1" w:styleId="pf0">
    <w:name w:val="pf0"/>
    <w:basedOn w:val="Normal"/>
    <w:rsid w:val="006668E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6668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74868">
      <w:bodyDiv w:val="1"/>
      <w:marLeft w:val="0"/>
      <w:marRight w:val="0"/>
      <w:marTop w:val="0"/>
      <w:marBottom w:val="0"/>
      <w:divBdr>
        <w:top w:val="none" w:sz="0" w:space="0" w:color="auto"/>
        <w:left w:val="none" w:sz="0" w:space="0" w:color="auto"/>
        <w:bottom w:val="none" w:sz="0" w:space="0" w:color="auto"/>
        <w:right w:val="none" w:sz="0" w:space="0" w:color="auto"/>
      </w:divBdr>
    </w:div>
    <w:div w:id="1327517754">
      <w:bodyDiv w:val="1"/>
      <w:marLeft w:val="0"/>
      <w:marRight w:val="0"/>
      <w:marTop w:val="0"/>
      <w:marBottom w:val="0"/>
      <w:divBdr>
        <w:top w:val="none" w:sz="0" w:space="0" w:color="auto"/>
        <w:left w:val="none" w:sz="0" w:space="0" w:color="auto"/>
        <w:bottom w:val="none" w:sz="0" w:space="0" w:color="auto"/>
        <w:right w:val="none" w:sz="0" w:space="0" w:color="auto"/>
      </w:divBdr>
    </w:div>
    <w:div w:id="2094357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1676</ap:Words>
  <ap:Characters>9557</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Brief aan Parlement - Vragen van het lid Van der Plas (BBB) over de compensatieregeling vuurwerkbranche</vt:lpstr>
    </vt:vector>
  </ap:TitlesOfParts>
  <ap:LinksUpToDate>false</ap:LinksUpToDate>
  <ap:CharactersWithSpaces>11211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2026-05-08T15:04:00.0000000Z</dcterms:created>
  <dcterms:modified xsi:type="dcterms:W3CDTF">2026-05-08T15:04:00.0000000Z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Vragen van het lid Van der Plas (BBB) over de compensatieregeling vuurwerkbranche</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E.C.E. Spoelma</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