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7719" w:rsidRDefault="00B43B67" w14:paraId="628CDC5B" w14:textId="77777777">
      <w:r>
        <w:t>Geachte voorzitter,</w:t>
      </w:r>
    </w:p>
    <w:p w:rsidR="00B97719" w:rsidRDefault="00B97719" w14:paraId="628CDC5C" w14:textId="77777777"/>
    <w:p w:rsidR="00C237C8" w:rsidP="00B43B67" w:rsidRDefault="00B43B67" w14:paraId="3AE1A2A2" w14:textId="77777777">
      <w:r>
        <w:t>Op 3 april 2025 nam uw Kamer de motie van de leden Kamminga</w:t>
      </w:r>
      <w:r w:rsidR="00772954">
        <w:t xml:space="preserve"> (VVD)</w:t>
      </w:r>
      <w:r>
        <w:t xml:space="preserve"> en </w:t>
      </w:r>
      <w:proofErr w:type="spellStart"/>
      <w:r>
        <w:t>Boswijk</w:t>
      </w:r>
      <w:proofErr w:type="spellEnd"/>
      <w:r w:rsidR="00772954">
        <w:t xml:space="preserve"> (CDA)</w:t>
      </w:r>
      <w:r>
        <w:t xml:space="preserve"> aan</w:t>
      </w:r>
      <w:r w:rsidR="003D7965">
        <w:t>,</w:t>
      </w:r>
      <w:r>
        <w:t xml:space="preserve"> waarin het kabinet wordt verzocht om op Europees niveau te pleiten voor verdere liberalisatie en verdieping van de handelsrelaties met Canada en Mexico, en daarbij bijzondere aandacht te besteden aan het veiligstellen van toeleveringsketens voor kritieke grondstoffen.</w:t>
      </w:r>
      <w:r>
        <w:rPr>
          <w:rStyle w:val="FootnoteReference"/>
        </w:rPr>
        <w:footnoteReference w:id="2"/>
      </w:r>
      <w:r w:rsidR="00C237C8">
        <w:t xml:space="preserve"> </w:t>
      </w:r>
    </w:p>
    <w:p w:rsidR="00C237C8" w:rsidP="00B43B67" w:rsidRDefault="00C237C8" w14:paraId="45894A81" w14:textId="77777777"/>
    <w:p w:rsidR="00BC1818" w:rsidP="00BC1818" w:rsidRDefault="00BC1818" w14:paraId="7EFD3E4F" w14:textId="09D185F1">
      <w:r w:rsidRPr="004A1353">
        <w:t>Voor wat betreft de handelsrelatie met Mexico verwijs ik uw Kamer graag naar de kabinetsappreciatie van het gemoderniseerde EU-Mexico akkoord, die op 14 november 2025 met uw Kamer gedeeld is.</w:t>
      </w:r>
      <w:r w:rsidRPr="004A1353">
        <w:rPr>
          <w:rStyle w:val="FootnoteReference"/>
        </w:rPr>
        <w:footnoteReference w:id="3"/>
      </w:r>
      <w:r w:rsidRPr="004A1353">
        <w:t xml:space="preserve"> Deze appreciatie is door uw Kamer behandeld tijdens het Commissiedebat Raad Buitenlandse Zaken Handel</w:t>
      </w:r>
      <w:r w:rsidRPr="004A1353" w:rsidDel="002B28F0">
        <w:t xml:space="preserve"> </w:t>
      </w:r>
      <w:r w:rsidRPr="004A1353" w:rsidR="00DC6F43">
        <w:t xml:space="preserve">van </w:t>
      </w:r>
      <w:r w:rsidRPr="004A1353">
        <w:t>19 november 2025. Naar verwachting zullen de Europese Commissie namens de EU en Mexico dit verdrag op korte termijn ondertekenen waarmee de EU-Mexico handelsrelatie een belangrijke impuls zal krijgen.</w:t>
      </w:r>
      <w:r>
        <w:t xml:space="preserve"> </w:t>
      </w:r>
    </w:p>
    <w:p w:rsidR="00C237C8" w:rsidP="00B43B67" w:rsidRDefault="00C237C8" w14:paraId="36FDF39D" w14:textId="77777777"/>
    <w:p w:rsidR="00B43B67" w:rsidP="00B43B67" w:rsidRDefault="00C237C8" w14:paraId="6897D30A" w14:textId="2E9BA08B">
      <w:r>
        <w:t xml:space="preserve">In deze brief informeer ik uw Kamer </w:t>
      </w:r>
      <w:r w:rsidR="00B43B67">
        <w:t>over de stand van zaken in de handelsrelatie met Canada en de inzet van het kabinet om deze verder te versterken. Dat doet het kabinet in de context van de huidige internationale handels</w:t>
      </w:r>
      <w:r w:rsidR="009B1CAD">
        <w:t>spanningen</w:t>
      </w:r>
      <w:r w:rsidR="00B43B67">
        <w:t>, die</w:t>
      </w:r>
      <w:r w:rsidR="009B1CAD">
        <w:t xml:space="preserve"> het belang van</w:t>
      </w:r>
      <w:r w:rsidR="00F76777">
        <w:t xml:space="preserve"> </w:t>
      </w:r>
      <w:r w:rsidR="00B43B67">
        <w:t xml:space="preserve">goede </w:t>
      </w:r>
      <w:r w:rsidR="00F76777">
        <w:t>(handels)</w:t>
      </w:r>
      <w:r w:rsidR="00B43B67">
        <w:t>relaties met gelijkgestemde landen</w:t>
      </w:r>
      <w:r w:rsidR="009B1CAD">
        <w:t xml:space="preserve"> onderstrepen</w:t>
      </w:r>
      <w:r w:rsidR="00B43B67">
        <w:t xml:space="preserve">. Nederland maakt zich, samen met de EU, hard voor een open en op regels gebaseerd </w:t>
      </w:r>
      <w:r w:rsidR="00F76777">
        <w:t xml:space="preserve">mondiaal </w:t>
      </w:r>
      <w:r w:rsidR="00B43B67">
        <w:t xml:space="preserve">handelssysteem, waarin handelsakkoorden een belangrijke rol spelen. </w:t>
      </w:r>
      <w:r w:rsidR="009B1CAD">
        <w:t>In deze brief zal ik tevens ingaan op de uitvoering van een aantal andere moties ten aanzien van de EU-Canada handelsrelatie.</w:t>
      </w:r>
    </w:p>
    <w:p w:rsidR="00B43B67" w:rsidP="00B43B67" w:rsidRDefault="00B43B67" w14:paraId="5ED8AA16" w14:textId="77777777"/>
    <w:p w:rsidR="009B1CAD" w:rsidP="00B43B67" w:rsidRDefault="00772954" w14:paraId="794F268D" w14:textId="77777777">
      <w:r>
        <w:t>Sinds september 2017</w:t>
      </w:r>
      <w:r w:rsidR="00B43B67">
        <w:t xml:space="preserve"> wordt het handelsdeel van het Breed Economisch Handelsverdrag tussen de EU en Canada</w:t>
      </w:r>
      <w:r w:rsidR="00F76777">
        <w:t xml:space="preserve"> (</w:t>
      </w:r>
      <w:r w:rsidR="00517E2E">
        <w:t xml:space="preserve">verder: </w:t>
      </w:r>
      <w:r w:rsidR="00B43B67">
        <w:t>CETA</w:t>
      </w:r>
      <w:r w:rsidR="00F76777">
        <w:t xml:space="preserve">) </w:t>
      </w:r>
      <w:r w:rsidR="00FD42A5">
        <w:t>voorlopig</w:t>
      </w:r>
      <w:r w:rsidR="00F76777">
        <w:t xml:space="preserve"> toegepast</w:t>
      </w:r>
      <w:r w:rsidR="00B43B67">
        <w:t xml:space="preserve">. Dat betekent dat bedrijven </w:t>
      </w:r>
      <w:r>
        <w:t>al</w:t>
      </w:r>
      <w:r w:rsidR="009B1CAD">
        <w:t xml:space="preserve"> ruim</w:t>
      </w:r>
      <w:r>
        <w:t xml:space="preserve"> acht jaar </w:t>
      </w:r>
      <w:r w:rsidR="00B43B67">
        <w:t>gebruik kunnen maken van de preferenti</w:t>
      </w:r>
      <w:r w:rsidRPr="00AF1D79" w:rsidR="00B43B67">
        <w:t>ël</w:t>
      </w:r>
      <w:r w:rsidR="00B43B67">
        <w:t xml:space="preserve">e tarieven en de afspraken gemaakt over onder andere diensten en douaneprocedures. De volledige inwerkingtreding van CETA is mogelijk wanneer alle EU lidstaten en Canada </w:t>
      </w:r>
      <w:r>
        <w:t>het verdrag</w:t>
      </w:r>
      <w:r w:rsidR="00B43B67">
        <w:t xml:space="preserve"> geratificeerd hebben. Inmiddels zijn er 17 </w:t>
      </w:r>
      <w:r>
        <w:t xml:space="preserve">EU </w:t>
      </w:r>
      <w:r w:rsidR="00B43B67">
        <w:t xml:space="preserve">lidstaten die CETA geratificeerd hebben, waaronder Nederland in 2022. </w:t>
      </w:r>
    </w:p>
    <w:p w:rsidR="009B1CAD" w:rsidP="00B43B67" w:rsidRDefault="009B1CAD" w14:paraId="3A3271E0" w14:textId="77777777"/>
    <w:p w:rsidR="00B43B67" w:rsidP="00B43B67" w:rsidRDefault="00B43B67" w14:paraId="23880831" w14:textId="1AF45C50">
      <w:r>
        <w:t xml:space="preserve">Ondertussen werpt de voorlopige toepassing van het handelsdeel van CETA haar vruchten af voor </w:t>
      </w:r>
      <w:r w:rsidR="00A13B76">
        <w:t xml:space="preserve">de EU en </w:t>
      </w:r>
      <w:r>
        <w:t>Nederland.</w:t>
      </w:r>
      <w:r w:rsidR="00772954">
        <w:t xml:space="preserve"> In 202</w:t>
      </w:r>
      <w:r w:rsidR="00D6369E">
        <w:t>4</w:t>
      </w:r>
      <w:r w:rsidR="00772954">
        <w:t xml:space="preserve"> exporteerde Nederland goederen en diensten ter waarde van </w:t>
      </w:r>
      <w:r w:rsidR="00D6369E">
        <w:t xml:space="preserve">ruim </w:t>
      </w:r>
      <w:r w:rsidR="00772954">
        <w:t xml:space="preserve">EUR </w:t>
      </w:r>
      <w:r w:rsidR="00D6369E">
        <w:t>8 miljard</w:t>
      </w:r>
      <w:r w:rsidR="00772954">
        <w:t xml:space="preserve"> naar Canada. Nederland importeerde goederen en diensten ter waarde van EUR </w:t>
      </w:r>
      <w:r w:rsidR="00D6369E">
        <w:t>7 miljard</w:t>
      </w:r>
      <w:r w:rsidR="00772954">
        <w:t>.</w:t>
      </w:r>
      <w:r w:rsidR="00772954">
        <w:rPr>
          <w:rStyle w:val="FootnoteReference"/>
        </w:rPr>
        <w:footnoteReference w:id="4"/>
      </w:r>
      <w:r>
        <w:t xml:space="preserve"> Ten opzichte van 2016 </w:t>
      </w:r>
      <w:r w:rsidR="00803DAB">
        <w:t>kende</w:t>
      </w:r>
      <w:r>
        <w:t xml:space="preserve"> de totale handel in goederen en diensten tussen Nederland en Canada </w:t>
      </w:r>
      <w:r w:rsidR="00803DAB">
        <w:t>in 202</w:t>
      </w:r>
      <w:r w:rsidR="00D6369E">
        <w:t>4</w:t>
      </w:r>
      <w:r w:rsidR="00803DAB">
        <w:t xml:space="preserve"> </w:t>
      </w:r>
      <w:r>
        <w:t>een groei van 1</w:t>
      </w:r>
      <w:r w:rsidR="00D6369E">
        <w:t>05</w:t>
      </w:r>
      <w:r>
        <w:t xml:space="preserve"> procent.</w:t>
      </w:r>
      <w:r>
        <w:rPr>
          <w:rStyle w:val="FootnoteReference"/>
        </w:rPr>
        <w:footnoteReference w:id="5"/>
      </w:r>
      <w:r>
        <w:t xml:space="preserve"> Voor diensten betekent dat met name groei in zakelijke diensten, computerdiensten en telecommunicatie. Voor handel in goederen vond </w:t>
      </w:r>
      <w:r w:rsidR="00772954">
        <w:t>de</w:t>
      </w:r>
      <w:r>
        <w:t xml:space="preserve"> groei </w:t>
      </w:r>
      <w:r w:rsidR="00772954">
        <w:t xml:space="preserve">voornamelijk </w:t>
      </w:r>
      <w:r>
        <w:t xml:space="preserve">plaats in handel in grondstoffen, machines en chemische producten. Daarnaast biedt het akkoord de mogelijkheid om afspraken te maken over wederzijdse erkenning van </w:t>
      </w:r>
      <w:r w:rsidR="00517E2E">
        <w:t>beroeps</w:t>
      </w:r>
      <w:r>
        <w:t>kwalificaties, zoals voor architecten.</w:t>
      </w:r>
      <w:r>
        <w:rPr>
          <w:rStyle w:val="FootnoteReference"/>
        </w:rPr>
        <w:footnoteReference w:id="6"/>
      </w:r>
    </w:p>
    <w:p w:rsidR="00A20262" w:rsidP="00B43B67" w:rsidRDefault="00A20262" w14:paraId="2054F0EF" w14:textId="77777777"/>
    <w:p w:rsidR="00772954" w:rsidP="00772954" w:rsidRDefault="00772954" w14:paraId="7048989E" w14:textId="104F5C6C">
      <w:r>
        <w:t xml:space="preserve">Nederland zet onverminderd in op handelsbevordering met Canada. Sinds 2021 hebben vier werkbezoeken en economische missies plaatsgevonden, waarvan drie met </w:t>
      </w:r>
      <w:r w:rsidR="00517E2E">
        <w:t xml:space="preserve">een </w:t>
      </w:r>
      <w:r>
        <w:t xml:space="preserve">bewindspersoon. Zo </w:t>
      </w:r>
      <w:r w:rsidR="00E533B5">
        <w:t xml:space="preserve">bezocht </w:t>
      </w:r>
      <w:r w:rsidR="00E27518">
        <w:t>voormalig</w:t>
      </w:r>
      <w:r w:rsidR="00E533B5">
        <w:t xml:space="preserve"> minister Klever </w:t>
      </w:r>
      <w:r>
        <w:t>Toronto in maart</w:t>
      </w:r>
      <w:r w:rsidR="00515154">
        <w:t xml:space="preserve"> 2025 </w:t>
      </w:r>
      <w:r>
        <w:t xml:space="preserve">voor de </w:t>
      </w:r>
      <w:r w:rsidRPr="00D5183B" w:rsidR="00E04B1F">
        <w:rPr>
          <w:i/>
          <w:iCs/>
        </w:rPr>
        <w:t>Prospectors &amp; Developers Association of Canada</w:t>
      </w:r>
      <w:r w:rsidR="00E04B1F">
        <w:t xml:space="preserve"> (PDAC)</w:t>
      </w:r>
      <w:r w:rsidR="00BD5FF5">
        <w:t xml:space="preserve">, </w:t>
      </w:r>
      <w:r w:rsidR="00AC79F2">
        <w:t>de grootste mijnbouwconferentie ter wereld</w:t>
      </w:r>
      <w:r>
        <w:t xml:space="preserve">. In bijzijn van achttien meegereisde Nederlandse bedrijven en organisaties </w:t>
      </w:r>
      <w:r w:rsidR="00515154">
        <w:t>is toen</w:t>
      </w:r>
      <w:r>
        <w:t xml:space="preserve"> een samenwerkingsintentie ondertekend met de provincie Qu</w:t>
      </w:r>
      <w:r w:rsidRPr="001326C5">
        <w:t>éb</w:t>
      </w:r>
      <w:r>
        <w:t>ec.</w:t>
      </w:r>
      <w:r>
        <w:rPr>
          <w:rStyle w:val="FootnoteReference"/>
        </w:rPr>
        <w:footnoteReference w:id="7"/>
      </w:r>
      <w:r w:rsidR="00AC79F2">
        <w:t xml:space="preserve"> Hier wordt nu verder uitvoering aan gegeven</w:t>
      </w:r>
      <w:r w:rsidR="00A13B76">
        <w:t xml:space="preserve"> in samenwerking</w:t>
      </w:r>
      <w:r w:rsidR="00AC79F2">
        <w:t xml:space="preserve"> met collega’s van het Ministerie van Economische Zaken en het Ministerie van Infrastructuur en Waterstaat.</w:t>
      </w:r>
    </w:p>
    <w:p w:rsidR="00772954" w:rsidP="00772954" w:rsidRDefault="00772954" w14:paraId="19C15970" w14:textId="77777777"/>
    <w:p w:rsidR="00772954" w:rsidP="00772954" w:rsidRDefault="00772954" w14:paraId="0F5621EB" w14:textId="10B9C182">
      <w:r>
        <w:t>Het postennetwerk in Canada, bestaande uit de ambassade in Ottawa en de consulaten-generaal in Toronto en Vancouver, en de Rijksdienst voor Ondernemend Nederland (RVO) staan dagelijks klaar voor het bedrijfsleven. Zij ondersteunen Nederlandse bedrijven bijvoorbeeld met informatieverstrekking</w:t>
      </w:r>
      <w:r w:rsidR="00715C51">
        <w:t xml:space="preserve"> (ook over CETA)</w:t>
      </w:r>
      <w:r>
        <w:t>, fysieke matchmaking met potentiële zakenpartners, en begeleiding van inkomende en uitgaande bedrijfsdelegaties.</w:t>
      </w:r>
      <w:r w:rsidR="00E533B5">
        <w:t xml:space="preserve"> In 2025 zijn zestien handels- en innovatiemissies door Nederland naar Canada georganiseerd. Dit is een toename van bijna 50% ten opzichte van 2024.</w:t>
      </w:r>
      <w:r w:rsidRPr="00A23991" w:rsidR="00A23991">
        <w:rPr>
          <w:lang w:eastAsia="en-US"/>
        </w:rPr>
        <w:t xml:space="preserve"> </w:t>
      </w:r>
      <w:r w:rsidR="00517E2E">
        <w:rPr>
          <w:lang w:eastAsia="en-US"/>
        </w:rPr>
        <w:t xml:space="preserve">Daarnaast verzekerde </w:t>
      </w:r>
      <w:proofErr w:type="spellStart"/>
      <w:r w:rsidRPr="00A23991" w:rsidR="00A23991">
        <w:t>Atradius</w:t>
      </w:r>
      <w:proofErr w:type="spellEnd"/>
      <w:r w:rsidRPr="00A23991" w:rsidR="00A23991">
        <w:t xml:space="preserve"> DSB de afgelopen jaren voor tientallen </w:t>
      </w:r>
      <w:r w:rsidR="00496B02">
        <w:t>miljoenen</w:t>
      </w:r>
      <w:r w:rsidRPr="00A23991" w:rsidR="00496B02">
        <w:t xml:space="preserve"> </w:t>
      </w:r>
      <w:r w:rsidRPr="00A23991" w:rsidR="00A23991">
        <w:t xml:space="preserve">aan Nederlandse export naar zowel Canada als de Verenigde Staten. Het gaat hierbij om exportkredietverzekeringen voor o.a. de levering van schepen, achtbanen en </w:t>
      </w:r>
      <w:r w:rsidR="00497AED">
        <w:t>fossiele infrastructuur</w:t>
      </w:r>
      <w:r w:rsidRPr="00A23991" w:rsidR="00A23991">
        <w:t>.</w:t>
      </w:r>
    </w:p>
    <w:p w:rsidR="00B43B67" w:rsidP="00B43B67" w:rsidRDefault="00B43B67" w14:paraId="603DC27A" w14:textId="77777777">
      <w:pPr>
        <w:rPr>
          <w:b/>
          <w:bCs/>
        </w:rPr>
      </w:pPr>
    </w:p>
    <w:p w:rsidR="00AC79F2" w:rsidP="00B43B67" w:rsidRDefault="00AC79F2" w14:paraId="4439837C" w14:textId="343FCC17">
      <w:pPr>
        <w:rPr>
          <w:b/>
          <w:bCs/>
        </w:rPr>
      </w:pPr>
      <w:r>
        <w:t>Wat betreft grondstoffen wordt b</w:t>
      </w:r>
      <w:r w:rsidRPr="004E7973">
        <w:t>innen de Nationale Grondstoffenstrategie langs vijf pijlers gewerkt aan het ver</w:t>
      </w:r>
      <w:r>
        <w:t>groten</w:t>
      </w:r>
      <w:r w:rsidRPr="004E7973">
        <w:t xml:space="preserve"> van de leveringszekerheid van kritieke grondstoffen, waaronder diversificatie. Canada is </w:t>
      </w:r>
      <w:r>
        <w:t>daarbij</w:t>
      </w:r>
      <w:r w:rsidRPr="004E7973">
        <w:t xml:space="preserve"> een belangrijke gelijkgezinde partner</w:t>
      </w:r>
      <w:r>
        <w:t xml:space="preserve"> en beschikt over</w:t>
      </w:r>
      <w:r w:rsidRPr="004E7973">
        <w:t xml:space="preserve"> </w:t>
      </w:r>
      <w:r>
        <w:t xml:space="preserve">grote reserves </w:t>
      </w:r>
      <w:r w:rsidRPr="004E7973">
        <w:t xml:space="preserve">aan </w:t>
      </w:r>
      <w:r>
        <w:t>kritieke grondstoffen zoals</w:t>
      </w:r>
      <w:r w:rsidRPr="004E7973">
        <w:t xml:space="preserve"> lithium, koper en zeldzame aardmetalen. Samenwerking wordt verkend op het gebied van </w:t>
      </w:r>
      <w:r>
        <w:t xml:space="preserve">verticale </w:t>
      </w:r>
      <w:r w:rsidRPr="004E7973">
        <w:t>waardeketenintegratie, R&amp;D, investeringen en ESG-standaarden</w:t>
      </w:r>
      <w:r w:rsidR="00D5183B">
        <w:t>.</w:t>
      </w:r>
    </w:p>
    <w:p w:rsidRPr="00554AC8" w:rsidR="00AC79F2" w:rsidP="00B43B67" w:rsidRDefault="00AC79F2" w14:paraId="60E9E85F" w14:textId="77777777">
      <w:pPr>
        <w:rPr>
          <w:b/>
          <w:bCs/>
        </w:rPr>
      </w:pPr>
    </w:p>
    <w:p w:rsidR="00B43B67" w:rsidP="00B43B67" w:rsidRDefault="00B43B67" w14:paraId="3991DB9E" w14:textId="6722DD65">
      <w:r w:rsidRPr="00E172A6">
        <w:t xml:space="preserve">Graag </w:t>
      </w:r>
      <w:r>
        <w:t>maak ik ook van deze gelegenheid gebruik om u</w:t>
      </w:r>
      <w:r w:rsidR="00517E2E">
        <w:t>w Kamer</w:t>
      </w:r>
      <w:r>
        <w:t xml:space="preserve"> te informeren over de</w:t>
      </w:r>
      <w:r w:rsidRPr="00E172A6">
        <w:t xml:space="preserve"> wijze waarop uitvoering gegeven is en wordt aan een aantal moties dat </w:t>
      </w:r>
      <w:r w:rsidRPr="00E172A6">
        <w:lastRenderedPageBreak/>
        <w:t xml:space="preserve">aangenomen is in de context van </w:t>
      </w:r>
      <w:r>
        <w:t>de goedkeuring door de Staten-Generaal van de Nederlandse ratificatie</w:t>
      </w:r>
      <w:r w:rsidR="009F39EA">
        <w:t xml:space="preserve"> van het CETA verdrag</w:t>
      </w:r>
      <w:r>
        <w:t xml:space="preserve">. </w:t>
      </w:r>
    </w:p>
    <w:p w:rsidR="00B43B67" w:rsidP="00B43B67" w:rsidRDefault="00B43B67" w14:paraId="2BA30ADA" w14:textId="77777777">
      <w:pPr>
        <w:rPr>
          <w:i/>
          <w:iCs/>
        </w:rPr>
      </w:pPr>
    </w:p>
    <w:p w:rsidRPr="00AF1D79" w:rsidR="00B43B67" w:rsidP="00B43B67" w:rsidRDefault="00B43B67" w14:paraId="497608FF" w14:textId="5A15B617">
      <w:pPr>
        <w:rPr>
          <w:i/>
          <w:iCs/>
        </w:rPr>
      </w:pPr>
      <w:r>
        <w:rPr>
          <w:i/>
          <w:iCs/>
        </w:rPr>
        <w:t xml:space="preserve">Motie </w:t>
      </w:r>
      <w:proofErr w:type="spellStart"/>
      <w:r>
        <w:rPr>
          <w:i/>
          <w:iCs/>
        </w:rPr>
        <w:t>Alkaya</w:t>
      </w:r>
      <w:proofErr w:type="spellEnd"/>
      <w:r>
        <w:rPr>
          <w:i/>
          <w:iCs/>
        </w:rPr>
        <w:t xml:space="preserve"> over democratische controle en transparantie inzake verdragscomités (35 154, nr. 15)</w:t>
      </w:r>
    </w:p>
    <w:p w:rsidRPr="00FF13A9" w:rsidR="00B43B67" w:rsidP="00B43B67" w:rsidRDefault="00B43B67" w14:paraId="4F002C63" w14:textId="3669C7BC">
      <w:r w:rsidRPr="00E172A6">
        <w:t xml:space="preserve">Aan </w:t>
      </w:r>
      <w:r>
        <w:t xml:space="preserve">de </w:t>
      </w:r>
      <w:r w:rsidRPr="00E172A6">
        <w:t xml:space="preserve">motie </w:t>
      </w:r>
      <w:proofErr w:type="spellStart"/>
      <w:r w:rsidRPr="00E172A6">
        <w:t>Alkaya</w:t>
      </w:r>
      <w:proofErr w:type="spellEnd"/>
      <w:r>
        <w:t xml:space="preserve"> is uitvoering gegeven. Het kabinet verzoekt de </w:t>
      </w:r>
      <w:r w:rsidR="00C27727">
        <w:t xml:space="preserve">Europese </w:t>
      </w:r>
      <w:r>
        <w:t xml:space="preserve">Commissie </w:t>
      </w:r>
      <w:r w:rsidR="00772954">
        <w:t xml:space="preserve">doorlopend </w:t>
      </w:r>
      <w:r>
        <w:t>tot het betrachten van transparantie bij de uitvoering van de afspraken in CETA.</w:t>
      </w:r>
      <w:r>
        <w:rPr>
          <w:rStyle w:val="FootnoteReference"/>
        </w:rPr>
        <w:footnoteReference w:id="8"/>
      </w:r>
      <w:r>
        <w:t xml:space="preserve"> Afgelopen jaren heeft de Commissie</w:t>
      </w:r>
      <w:r w:rsidRPr="00E172A6">
        <w:t xml:space="preserve"> de agenda’s en verslagen van vergaderingen</w:t>
      </w:r>
      <w:r>
        <w:t xml:space="preserve"> – mede op Nederlands aandringen – </w:t>
      </w:r>
      <w:r w:rsidRPr="00E172A6">
        <w:t>openbaar gemaakt en eerder</w:t>
      </w:r>
      <w:r>
        <w:t xml:space="preserve"> dan voorheen</w:t>
      </w:r>
      <w:r w:rsidRPr="00E172A6">
        <w:t xml:space="preserve"> online gepubliceerd</w:t>
      </w:r>
      <w:r>
        <w:t>.</w:t>
      </w:r>
      <w:r w:rsidR="00D06E82">
        <w:rPr>
          <w:rStyle w:val="FootnoteReference"/>
        </w:rPr>
        <w:footnoteReference w:id="9"/>
      </w:r>
      <w:r>
        <w:t xml:space="preserve"> Nederland zal er op toezien dat deze praktijk </w:t>
      </w:r>
      <w:r w:rsidR="00C27727">
        <w:t xml:space="preserve">voortgezet </w:t>
      </w:r>
      <w:r>
        <w:t>word</w:t>
      </w:r>
      <w:r w:rsidR="00C27727">
        <w:t>t</w:t>
      </w:r>
      <w:r>
        <w:t xml:space="preserve">. </w:t>
      </w:r>
      <w:r w:rsidRPr="00E172A6">
        <w:t xml:space="preserve"> </w:t>
      </w:r>
    </w:p>
    <w:p w:rsidR="00B43B67" w:rsidP="00B43B67" w:rsidRDefault="00B43B67" w14:paraId="54B3B3F8" w14:textId="77777777">
      <w:pPr>
        <w:rPr>
          <w:i/>
          <w:iCs/>
        </w:rPr>
      </w:pPr>
    </w:p>
    <w:p w:rsidRPr="00AF1D79" w:rsidR="00B43B67" w:rsidP="00B43B67" w:rsidRDefault="00B43B67" w14:paraId="59C5BBD2" w14:textId="0DF76999">
      <w:pPr>
        <w:rPr>
          <w:i/>
          <w:iCs/>
        </w:rPr>
      </w:pPr>
      <w:r>
        <w:rPr>
          <w:i/>
          <w:iCs/>
        </w:rPr>
        <w:t>Motie Voordewind-</w:t>
      </w:r>
      <w:proofErr w:type="spellStart"/>
      <w:r>
        <w:rPr>
          <w:i/>
          <w:iCs/>
        </w:rPr>
        <w:t>Amhaouch</w:t>
      </w:r>
      <w:proofErr w:type="spellEnd"/>
      <w:r>
        <w:rPr>
          <w:i/>
          <w:iCs/>
        </w:rPr>
        <w:t xml:space="preserve"> over monitoring en flankerende maatregelen (35 154, nr. 18)</w:t>
      </w:r>
    </w:p>
    <w:p w:rsidR="00D06E82" w:rsidP="00B43B67" w:rsidRDefault="00B43B67" w14:paraId="6B57E7BE" w14:textId="58AACC5C">
      <w:r>
        <w:t>In motie Voordewind-</w:t>
      </w:r>
      <w:proofErr w:type="spellStart"/>
      <w:r>
        <w:t>Amhaouch</w:t>
      </w:r>
      <w:proofErr w:type="spellEnd"/>
      <w:r>
        <w:t xml:space="preserve"> is het kabinet verzocht om bij de Europese Commissie aan te dringen op monitoring van de gevolgen van CETA voor de landbouwsector en om flankerende maatregelen te nemen bij onevenredige effecten.</w:t>
      </w:r>
      <w:r>
        <w:rPr>
          <w:rStyle w:val="FootnoteReference"/>
        </w:rPr>
        <w:footnoteReference w:id="10"/>
      </w:r>
      <w:r>
        <w:t xml:space="preserve"> </w:t>
      </w:r>
      <w:r w:rsidRPr="00E172A6">
        <w:t xml:space="preserve">Voormalig Eurocommissaris </w:t>
      </w:r>
      <w:r w:rsidR="00F36C5F">
        <w:t xml:space="preserve">voor Handel </w:t>
      </w:r>
      <w:r w:rsidRPr="00E172A6">
        <w:t xml:space="preserve">Hogan heeft </w:t>
      </w:r>
      <w:r w:rsidR="00A13B76">
        <w:t xml:space="preserve">vervolgens </w:t>
      </w:r>
      <w:r>
        <w:t xml:space="preserve">aan Nederland </w:t>
      </w:r>
      <w:r w:rsidRPr="00E172A6">
        <w:t xml:space="preserve">toegezegd </w:t>
      </w:r>
      <w:r>
        <w:t xml:space="preserve">dat de Europese Commissie </w:t>
      </w:r>
      <w:r w:rsidRPr="00E172A6">
        <w:t>de effecten</w:t>
      </w:r>
      <w:r>
        <w:t xml:space="preserve"> van CETA</w:t>
      </w:r>
      <w:r w:rsidRPr="00E172A6">
        <w:t xml:space="preserve"> op de markten </w:t>
      </w:r>
      <w:r>
        <w:t>voor</w:t>
      </w:r>
      <w:r w:rsidRPr="00E172A6">
        <w:t xml:space="preserve"> gevoelige landbouwproducten </w:t>
      </w:r>
      <w:r>
        <w:t>zal</w:t>
      </w:r>
      <w:r w:rsidRPr="00E172A6">
        <w:t xml:space="preserve"> monitoren.</w:t>
      </w:r>
      <w:r w:rsidRPr="00E172A6">
        <w:rPr>
          <w:rStyle w:val="FootnoteReference"/>
        </w:rPr>
        <w:footnoteReference w:id="11"/>
      </w:r>
      <w:r w:rsidRPr="00E172A6">
        <w:t xml:space="preserve"> </w:t>
      </w:r>
      <w:r w:rsidR="00D06E82">
        <w:t>Dit is onder andere gedaan in de context van de cumulatieve effectstudies van handelsverdragen voor de landbouwsector uit 2016 en 2021.</w:t>
      </w:r>
      <w:r w:rsidR="00D06E82">
        <w:rPr>
          <w:rStyle w:val="FootnoteReference"/>
        </w:rPr>
        <w:footnoteReference w:id="12"/>
      </w:r>
      <w:r w:rsidR="00D06E82">
        <w:t xml:space="preserve"> In de meest recente actualisering van deze cumulatieve effect</w:t>
      </w:r>
      <w:r w:rsidR="00F36C5F">
        <w:t>en</w:t>
      </w:r>
      <w:r w:rsidR="00D06E82">
        <w:t>studie in 2024 is de voorlopige toepassing van het handelsdeel van CETA in het basisscenario opgenomen.</w:t>
      </w:r>
      <w:r w:rsidR="00D06E82">
        <w:rPr>
          <w:rStyle w:val="FootnoteReference"/>
        </w:rPr>
        <w:footnoteReference w:id="13"/>
      </w:r>
      <w:r w:rsidR="00D06E82">
        <w:t xml:space="preserve"> Daarnaast wordt voor verschillende landbouwsectoren regulier gemonitord op marktverstoringen door import uit derde landen, waaronder uit Canada.</w:t>
      </w:r>
      <w:r w:rsidR="00D06E82">
        <w:rPr>
          <w:rStyle w:val="FootnoteReference"/>
        </w:rPr>
        <w:footnoteReference w:id="14"/>
      </w:r>
      <w:r w:rsidR="00D06E82">
        <w:t xml:space="preserve"> </w:t>
      </w:r>
      <w:r>
        <w:t xml:space="preserve">Met betrekking tot rund- en varkensvlees kan gesteld worden dat de totale handel </w:t>
      </w:r>
      <w:r w:rsidR="00D06E82">
        <w:t xml:space="preserve">tussen Nederland en Canada </w:t>
      </w:r>
      <w:r>
        <w:t xml:space="preserve">beperkt gestegen is. </w:t>
      </w:r>
      <w:r w:rsidR="00F36C5F">
        <w:t xml:space="preserve">De </w:t>
      </w:r>
      <w:r w:rsidR="00D06E82">
        <w:t>Nederlandse i</w:t>
      </w:r>
      <w:r>
        <w:t xml:space="preserve">nvoer van rundvlees vanuit Canada is van EUR 2 miljoen in 2016 naar EUR 7 miljoen in 2024 gegaan en </w:t>
      </w:r>
      <w:r w:rsidR="00D06E82">
        <w:t xml:space="preserve">de </w:t>
      </w:r>
      <w:r>
        <w:t xml:space="preserve">invoerwaarde van varkensvlees is </w:t>
      </w:r>
      <w:r w:rsidR="00FD42A5">
        <w:t>nihil</w:t>
      </w:r>
      <w:r>
        <w:t xml:space="preserve"> gebleven.</w:t>
      </w:r>
      <w:r w:rsidR="00D06E82">
        <w:rPr>
          <w:rStyle w:val="FootnoteReference"/>
        </w:rPr>
        <w:footnoteReference w:id="15"/>
      </w:r>
      <w:r w:rsidR="00D06E82">
        <w:t xml:space="preserve"> </w:t>
      </w:r>
      <w:r w:rsidR="008369A8">
        <w:t xml:space="preserve">Deze beperkte stijging van de  invoer </w:t>
      </w:r>
      <w:r w:rsidR="00D06E82">
        <w:t xml:space="preserve">is </w:t>
      </w:r>
      <w:r w:rsidR="008369A8">
        <w:t xml:space="preserve">te verklaren door de </w:t>
      </w:r>
      <w:r w:rsidR="00D06E82">
        <w:t xml:space="preserve">strenge </w:t>
      </w:r>
      <w:r w:rsidR="00C75DD9">
        <w:t>EU-</w:t>
      </w:r>
      <w:r w:rsidR="00D06E82">
        <w:t xml:space="preserve">producteisen ten aanzien van voedselveiligheid, zoals hormoonvrij </w:t>
      </w:r>
      <w:r w:rsidR="00F12B71">
        <w:t>vlees</w:t>
      </w:r>
      <w:r w:rsidR="005C2DE9">
        <w:t xml:space="preserve">, die ook gelden voor invoer uit derde landen. </w:t>
      </w:r>
      <w:r w:rsidR="00753BE1">
        <w:t>S</w:t>
      </w:r>
      <w:r w:rsidR="00D06E82">
        <w:t>lechts een beperkt aantal Canadese rundvleesproducenten</w:t>
      </w:r>
      <w:r w:rsidR="00753BE1">
        <w:t xml:space="preserve"> is</w:t>
      </w:r>
      <w:r w:rsidR="00D06E82">
        <w:t xml:space="preserve"> gecertificeerd </w:t>
      </w:r>
      <w:r w:rsidR="00753BE1">
        <w:t xml:space="preserve">voor </w:t>
      </w:r>
      <w:r w:rsidR="00D06E82">
        <w:t>export naar de EU.</w:t>
      </w:r>
      <w:r>
        <w:t xml:space="preserve"> De </w:t>
      </w:r>
      <w:r w:rsidR="00D06E82">
        <w:t xml:space="preserve">Nederlandse </w:t>
      </w:r>
      <w:r>
        <w:t xml:space="preserve">uitvoer van rundvlees naar Canada is van </w:t>
      </w:r>
      <w:r w:rsidR="00581DF4">
        <w:t>nihil</w:t>
      </w:r>
      <w:r>
        <w:t xml:space="preserve"> in 2016 naar EUR 8 miljoen in 2024 gestegen en van varkensvlees van EUR 5 miljoen in 2016 naar EUR 9 miljoen in 2024.</w:t>
      </w:r>
      <w:r>
        <w:rPr>
          <w:rStyle w:val="FootnoteReference"/>
        </w:rPr>
        <w:footnoteReference w:id="16"/>
      </w:r>
      <w:r w:rsidR="00A13B76">
        <w:t xml:space="preserve"> De uitvoerwaarde van deze landbouwproducten is dus harder gestegen dan de invoerwaarde.</w:t>
      </w:r>
    </w:p>
    <w:p w:rsidR="00D06E82" w:rsidP="00B43B67" w:rsidRDefault="00D06E82" w14:paraId="238CE635" w14:textId="77777777"/>
    <w:p w:rsidR="00A131EA" w:rsidP="00B43B67" w:rsidRDefault="004A66AC" w14:paraId="3B8022DC" w14:textId="713DC8B3">
      <w:r>
        <w:lastRenderedPageBreak/>
        <w:t>In november 2025 werd de ex post evaluatie van CETA gepubliceerd</w:t>
      </w:r>
      <w:r w:rsidR="00B43B67">
        <w:t xml:space="preserve">, waarin ook aandacht </w:t>
      </w:r>
      <w:r w:rsidR="006677AE">
        <w:t>was</w:t>
      </w:r>
      <w:r w:rsidR="00B43B67">
        <w:t xml:space="preserve"> voor de impact </w:t>
      </w:r>
      <w:r w:rsidR="00953E08">
        <w:t xml:space="preserve">van het akkoord </w:t>
      </w:r>
      <w:r w:rsidR="00B43B67">
        <w:t>op de landbouwsector.</w:t>
      </w:r>
      <w:r w:rsidR="00B43B67">
        <w:rPr>
          <w:rStyle w:val="FootnoteReference"/>
        </w:rPr>
        <w:footnoteReference w:id="17"/>
      </w:r>
      <w:r w:rsidR="00B43B67">
        <w:t xml:space="preserve"> </w:t>
      </w:r>
      <w:r w:rsidR="006677AE">
        <w:t xml:space="preserve">De conclusie van deze evaluatie op gebied van landbouw is dat CETA een significant en positief effect heeft gehad op bilaterale handel in de </w:t>
      </w:r>
      <w:proofErr w:type="spellStart"/>
      <w:r w:rsidR="006677AE">
        <w:t>agri</w:t>
      </w:r>
      <w:proofErr w:type="spellEnd"/>
      <w:r w:rsidR="006677AE">
        <w:t>-food sector.</w:t>
      </w:r>
      <w:r w:rsidR="006677AE">
        <w:rPr>
          <w:rStyle w:val="FootnoteReference"/>
        </w:rPr>
        <w:footnoteReference w:id="18"/>
      </w:r>
      <w:r w:rsidR="006677AE">
        <w:t xml:space="preserve"> </w:t>
      </w:r>
      <w:r w:rsidR="00B43B67">
        <w:t>Daarnaast</w:t>
      </w:r>
      <w:r w:rsidRPr="00E172A6" w:rsidR="00B43B67">
        <w:t xml:space="preserve"> heeft voormalig Eurocommissaris Hogan bevestigd dat de Europese Commissie bereid is om noodzakelijke maatregelen te nemen</w:t>
      </w:r>
      <w:r w:rsidR="00D06E82">
        <w:t xml:space="preserve"> indien sprake zou zijn van ernstige marktverstoringen als gevolg van import uit Canada</w:t>
      </w:r>
      <w:r w:rsidRPr="00E172A6" w:rsidR="00B43B67">
        <w:t xml:space="preserve">. Het kabinet onderschrijft het belang van </w:t>
      </w:r>
      <w:r w:rsidR="00D06E82">
        <w:t>deze mogelijkheid tot ingrijpen</w:t>
      </w:r>
      <w:r w:rsidR="00B43B67">
        <w:rPr>
          <w:rStyle w:val="FootnoteReference"/>
        </w:rPr>
        <w:footnoteReference w:id="19"/>
      </w:r>
      <w:r w:rsidR="00A13B76">
        <w:t xml:space="preserve">, waarbij opgemerkt dat er tot </w:t>
      </w:r>
      <w:r w:rsidR="00DC6F43">
        <w:t xml:space="preserve">op </w:t>
      </w:r>
      <w:r w:rsidR="00A13B76">
        <w:t>heden geen sprake is van onevenredige effecten of ernstige marktverstoringen.</w:t>
      </w:r>
      <w:r w:rsidRPr="00E172A6" w:rsidR="00B43B67">
        <w:t xml:space="preserve"> Daarmee </w:t>
      </w:r>
      <w:r w:rsidR="00B43B67">
        <w:t>beschouw</w:t>
      </w:r>
      <w:r w:rsidRPr="00E172A6" w:rsidR="00B43B67">
        <w:t xml:space="preserve"> ik deze motie als uitgevoerd.   </w:t>
      </w:r>
    </w:p>
    <w:p w:rsidR="00A131EA" w:rsidP="00B43B67" w:rsidRDefault="00A131EA" w14:paraId="73BB20D8" w14:textId="77777777"/>
    <w:p w:rsidRPr="00A131EA" w:rsidR="00B43B67" w:rsidP="00B43B67" w:rsidRDefault="00B43B67" w14:paraId="0B869694" w14:textId="3DC61908">
      <w:r>
        <w:rPr>
          <w:i/>
          <w:iCs/>
        </w:rPr>
        <w:t>M</w:t>
      </w:r>
      <w:r w:rsidRPr="00AF1D79">
        <w:rPr>
          <w:i/>
          <w:iCs/>
        </w:rPr>
        <w:t>otie Voordewind</w:t>
      </w:r>
      <w:r>
        <w:rPr>
          <w:i/>
          <w:iCs/>
        </w:rPr>
        <w:t>-</w:t>
      </w:r>
      <w:proofErr w:type="spellStart"/>
      <w:r w:rsidRPr="00AF1D79">
        <w:rPr>
          <w:i/>
          <w:iCs/>
        </w:rPr>
        <w:t>Amhaouch</w:t>
      </w:r>
      <w:proofErr w:type="spellEnd"/>
      <w:r w:rsidRPr="00AF1D79">
        <w:rPr>
          <w:i/>
          <w:iCs/>
        </w:rPr>
        <w:t xml:space="preserve"> over afspraken met Canada over certificering van landbouwproducten</w:t>
      </w:r>
      <w:r>
        <w:t xml:space="preserve"> </w:t>
      </w:r>
      <w:r>
        <w:rPr>
          <w:i/>
          <w:iCs/>
        </w:rPr>
        <w:t>(35 154, nr. 20)</w:t>
      </w:r>
      <w:r w:rsidRPr="00144DFB">
        <w:rPr>
          <w:rStyle w:val="FootnoteReference"/>
          <w:i/>
          <w:iCs/>
        </w:rPr>
        <w:t xml:space="preserve"> </w:t>
      </w:r>
      <w:r>
        <w:rPr>
          <w:rStyle w:val="FootnoteReference"/>
          <w:i/>
          <w:iCs/>
        </w:rPr>
        <w:footnoteReference w:id="20"/>
      </w:r>
    </w:p>
    <w:p w:rsidR="00B43B67" w:rsidP="00B43B67" w:rsidRDefault="00B43B67" w14:paraId="216BC785" w14:textId="4F403E85">
      <w:pPr>
        <w:spacing w:line="240" w:lineRule="auto"/>
      </w:pPr>
      <w:r w:rsidRPr="00E16C25">
        <w:t>Het kabinet heeft uitvoering gegeven aan deze motie door in voorbereiding op verschillende overleggen</w:t>
      </w:r>
      <w:r w:rsidR="00A06F19">
        <w:t xml:space="preserve"> tussen Canada en de EU</w:t>
      </w:r>
      <w:r w:rsidRPr="00E16C25">
        <w:t xml:space="preserve"> onderwerpen uit de motie aan te kaarten. Dit waren met name overleggen in de context van het gezamenlijke </w:t>
      </w:r>
      <w:r>
        <w:t xml:space="preserve">sanitair en fytosanitair (SPS) </w:t>
      </w:r>
      <w:r w:rsidRPr="00E16C25">
        <w:t xml:space="preserve">comité. In de voorbereidingen hierop heeft Nederland de Commissie verschillende malen verzocht om met de Canadese autoriteiten te spreken over </w:t>
      </w:r>
      <w:r w:rsidR="00A06F19">
        <w:t xml:space="preserve">het Canadese systeem van </w:t>
      </w:r>
      <w:r w:rsidRPr="00E16C25">
        <w:t>certificering, het</w:t>
      </w:r>
      <w:r w:rsidR="00A06F19">
        <w:t xml:space="preserve"> Canadese</w:t>
      </w:r>
      <w:r w:rsidRPr="00E16C25">
        <w:t xml:space="preserve"> </w:t>
      </w:r>
      <w:r w:rsidRPr="00363247">
        <w:rPr>
          <w:i/>
          <w:iCs/>
        </w:rPr>
        <w:t>track-</w:t>
      </w:r>
      <w:proofErr w:type="spellStart"/>
      <w:r w:rsidRPr="00363247">
        <w:rPr>
          <w:i/>
          <w:iCs/>
        </w:rPr>
        <w:t>and</w:t>
      </w:r>
      <w:proofErr w:type="spellEnd"/>
      <w:r w:rsidRPr="00363247">
        <w:rPr>
          <w:i/>
          <w:iCs/>
        </w:rPr>
        <w:t>-</w:t>
      </w:r>
      <w:proofErr w:type="spellStart"/>
      <w:r w:rsidRPr="00363247">
        <w:rPr>
          <w:i/>
          <w:iCs/>
        </w:rPr>
        <w:t>trace</w:t>
      </w:r>
      <w:proofErr w:type="spellEnd"/>
      <w:r w:rsidRPr="00E16C25">
        <w:t xml:space="preserve"> systeem op </w:t>
      </w:r>
      <w:r>
        <w:t>rundvlees van hoge kwaliteit</w:t>
      </w:r>
      <w:r w:rsidRPr="00E16C25">
        <w:t xml:space="preserve"> en het Canadese verbod op gebruik van verwerkte dierlijke eiwitten in veevoer. Daarnaast heeft Nederland de Commissie in 2021 gevraagd om bij de voorgenomen audit van Canada in 2022 door DG Gezondheid en voedselveiligheid ook aandacht te schenken aan de certificering en traceerbaarheid van hormoonvrij</w:t>
      </w:r>
      <w:r w:rsidR="00953E08">
        <w:t xml:space="preserve"> </w:t>
      </w:r>
      <w:r w:rsidRPr="00E16C25">
        <w:t xml:space="preserve">vlees. </w:t>
      </w:r>
      <w:r w:rsidR="00A06F19">
        <w:t xml:space="preserve">De Commissie heeft dit punt meegenomen in </w:t>
      </w:r>
      <w:r w:rsidRPr="00E16C25">
        <w:t xml:space="preserve">de </w:t>
      </w:r>
      <w:r w:rsidRPr="00204D6B">
        <w:rPr>
          <w:i/>
          <w:iCs/>
        </w:rPr>
        <w:t>audit</w:t>
      </w:r>
      <w:r w:rsidRPr="00E16C25">
        <w:t xml:space="preserve"> van september 2022 </w:t>
      </w:r>
      <w:r w:rsidR="00953E08">
        <w:t xml:space="preserve">met betrekking tot </w:t>
      </w:r>
      <w:r w:rsidRPr="00E16C25">
        <w:t xml:space="preserve">de structuur en uitvoering van het </w:t>
      </w:r>
      <w:r w:rsidR="00953E08">
        <w:t xml:space="preserve">Canadese </w:t>
      </w:r>
      <w:r w:rsidRPr="00E16C25">
        <w:t>controlesysteem in de vleessectoren voor vers rund- en varkensvlees bestemd voor export naar de EU.</w:t>
      </w:r>
      <w:r w:rsidRPr="00E16C25" w:rsidR="002B7024">
        <w:t xml:space="preserve"> </w:t>
      </w:r>
      <w:r w:rsidR="002B7024">
        <w:t>I</w:t>
      </w:r>
      <w:r w:rsidRPr="00E16C25">
        <w:t xml:space="preserve">n het rapport zijn aanbevelingen gedaan aan de Canadese autoriteiten voor verbetering van de toezicht en handhaving. De Canadese autoriteiten hebben </w:t>
      </w:r>
      <w:r w:rsidR="00A13B76">
        <w:t>naar aanleiding hiervan</w:t>
      </w:r>
      <w:r w:rsidRPr="00E16C25">
        <w:t xml:space="preserve"> </w:t>
      </w:r>
      <w:r w:rsidR="00953E08">
        <w:t xml:space="preserve">maatregelen </w:t>
      </w:r>
      <w:r w:rsidRPr="00E16C25">
        <w:t>aange</w:t>
      </w:r>
      <w:r>
        <w:t>kondigd</w:t>
      </w:r>
      <w:r w:rsidRPr="00E16C25">
        <w:t xml:space="preserve"> in reactie op de aanbevelingen.</w:t>
      </w:r>
      <w:r w:rsidRPr="00E16C25">
        <w:rPr>
          <w:rStyle w:val="FootnoteReference"/>
        </w:rPr>
        <w:footnoteReference w:id="21"/>
      </w:r>
    </w:p>
    <w:p w:rsidRPr="00E16C25" w:rsidR="00B43B67" w:rsidP="00B43B67" w:rsidRDefault="00B43B67" w14:paraId="7552B90F" w14:textId="77777777">
      <w:pPr>
        <w:spacing w:line="240" w:lineRule="auto"/>
      </w:pPr>
    </w:p>
    <w:p w:rsidRPr="00E172A6" w:rsidR="00B43B67" w:rsidP="00B43B67" w:rsidRDefault="00B43B67" w14:paraId="3ED20033" w14:textId="1F87DAC9">
      <w:pPr>
        <w:spacing w:line="240" w:lineRule="auto"/>
      </w:pPr>
      <w:r w:rsidRPr="00E172A6">
        <w:t xml:space="preserve">Deze motie riep ook op tot het uitbreiden van de </w:t>
      </w:r>
      <w:r w:rsidR="00D96B9E">
        <w:t>Nederlandse d</w:t>
      </w:r>
      <w:r w:rsidRPr="00E172A6">
        <w:t xml:space="preserve">ouanecapaciteit, waar dat nodig was door hogere werkdruk ontstaan door CETA. Het </w:t>
      </w:r>
      <w:r w:rsidR="00D96B9E">
        <w:t>m</w:t>
      </w:r>
      <w:r w:rsidRPr="00E172A6">
        <w:t>inisterie van Buitenlandse Zaken is hierover in contact geweest met</w:t>
      </w:r>
      <w:r w:rsidR="00C963C9">
        <w:t xml:space="preserve"> de</w:t>
      </w:r>
      <w:r w:rsidRPr="00E172A6">
        <w:t xml:space="preserve"> Douane en </w:t>
      </w:r>
      <w:r w:rsidR="00C963C9">
        <w:t xml:space="preserve">met </w:t>
      </w:r>
      <w:r w:rsidRPr="00E172A6">
        <w:t xml:space="preserve">de </w:t>
      </w:r>
      <w:r>
        <w:t>Nederlandse Voedsel- en Warenautoriteit (NVWA)</w:t>
      </w:r>
      <w:r w:rsidRPr="00E172A6">
        <w:t xml:space="preserve">. Dit overleg leidde tot de conclusie dat er vooralsnog geen extra capaciteit nodig is voor het uitvoeren van de controles op het gebruik van diermeel en handhaving van wetgeving </w:t>
      </w:r>
      <w:r w:rsidR="008B47AE">
        <w:t xml:space="preserve">voor genetisch gemodificeerde organismen (GMO) </w:t>
      </w:r>
      <w:r w:rsidRPr="00E172A6">
        <w:t>als gevolg van de voorlopige toepassing van CETA.</w:t>
      </w:r>
    </w:p>
    <w:p w:rsidR="00B43B67" w:rsidP="00B43B67" w:rsidRDefault="00B43B67" w14:paraId="195E77ED" w14:textId="77777777">
      <w:pPr>
        <w:rPr>
          <w:i/>
          <w:iCs/>
        </w:rPr>
      </w:pPr>
    </w:p>
    <w:p w:rsidRPr="00AC79F2" w:rsidR="008B47AE" w:rsidP="00B43B67" w:rsidRDefault="008B47AE" w14:paraId="25910597" w14:textId="7210FC2C">
      <w:r>
        <w:t xml:space="preserve">Het is inmiddels staand beleid dat het kabinet aandacht houdt </w:t>
      </w:r>
      <w:r w:rsidR="00C963C9">
        <w:t xml:space="preserve">en blijft houden </w:t>
      </w:r>
      <w:r>
        <w:t xml:space="preserve">voor bovenstaande punten. Hiermee beschouwt het kabinet de motie als afgedaan.  </w:t>
      </w:r>
    </w:p>
    <w:p w:rsidR="008B47AE" w:rsidP="00B43B67" w:rsidRDefault="008B47AE" w14:paraId="146309FC" w14:textId="77777777">
      <w:pPr>
        <w:rPr>
          <w:i/>
          <w:iCs/>
        </w:rPr>
      </w:pPr>
    </w:p>
    <w:p w:rsidRPr="00AF1D79" w:rsidR="00B43B67" w:rsidP="00B43B67" w:rsidRDefault="00B43B67" w14:paraId="6789DF55" w14:textId="6CE7EF9C">
      <w:pPr>
        <w:rPr>
          <w:i/>
          <w:iCs/>
        </w:rPr>
      </w:pPr>
      <w:r w:rsidRPr="00AF1D79">
        <w:rPr>
          <w:i/>
          <w:iCs/>
        </w:rPr>
        <w:t>Motie Vos</w:t>
      </w:r>
      <w:r>
        <w:rPr>
          <w:i/>
          <w:iCs/>
        </w:rPr>
        <w:t>-</w:t>
      </w:r>
      <w:proofErr w:type="spellStart"/>
      <w:r>
        <w:rPr>
          <w:i/>
          <w:iCs/>
        </w:rPr>
        <w:t>Teeven</w:t>
      </w:r>
      <w:proofErr w:type="spellEnd"/>
      <w:r>
        <w:rPr>
          <w:i/>
          <w:iCs/>
        </w:rPr>
        <w:t xml:space="preserve"> over het geen aanpassingen die afdoen aan reeds gestelde eisen op het gebied van arbeid en milieu</w:t>
      </w:r>
      <w:r w:rsidRPr="00AF1D79">
        <w:rPr>
          <w:i/>
          <w:iCs/>
        </w:rPr>
        <w:t xml:space="preserve"> (31 985, </w:t>
      </w:r>
      <w:proofErr w:type="spellStart"/>
      <w:r w:rsidRPr="00AF1D79">
        <w:rPr>
          <w:i/>
          <w:iCs/>
        </w:rPr>
        <w:t>nr</w:t>
      </w:r>
      <w:proofErr w:type="spellEnd"/>
      <w:r w:rsidRPr="00AF1D79">
        <w:rPr>
          <w:i/>
          <w:iCs/>
        </w:rPr>
        <w:t xml:space="preserve"> 38)</w:t>
      </w:r>
    </w:p>
    <w:p w:rsidRPr="00E172A6" w:rsidR="00B43B67" w:rsidP="00B43B67" w:rsidRDefault="00BA74D4" w14:paraId="16CB9816" w14:textId="452E669A">
      <w:r>
        <w:lastRenderedPageBreak/>
        <w:t>Aan de m</w:t>
      </w:r>
      <w:r w:rsidRPr="00E172A6" w:rsidR="00B43B67">
        <w:t>otie Vos</w:t>
      </w:r>
      <w:r w:rsidR="00B43B67">
        <w:t>-</w:t>
      </w:r>
      <w:proofErr w:type="spellStart"/>
      <w:r w:rsidR="00B43B67">
        <w:t>Teeven</w:t>
      </w:r>
      <w:proofErr w:type="spellEnd"/>
      <w:r w:rsidR="00B43B67">
        <w:t xml:space="preserve"> zal gedurende de looptijd van het verdrag uitvoering gegeven worden. </w:t>
      </w:r>
      <w:r>
        <w:t>T</w:t>
      </w:r>
      <w:r w:rsidRPr="00E172A6" w:rsidR="00B43B67">
        <w:t xml:space="preserve">oenmalig </w:t>
      </w:r>
      <w:r w:rsidR="00B43B67">
        <w:t>m</w:t>
      </w:r>
      <w:r w:rsidRPr="00E172A6" w:rsidR="00B43B67">
        <w:t xml:space="preserve">inister </w:t>
      </w:r>
      <w:proofErr w:type="spellStart"/>
      <w:r w:rsidRPr="00E172A6" w:rsidR="00B43B67">
        <w:t>Ploumen</w:t>
      </w:r>
      <w:proofErr w:type="spellEnd"/>
      <w:r w:rsidRPr="00E172A6" w:rsidR="00B43B67">
        <w:t xml:space="preserve"> heeft toegezegd zich </w:t>
      </w:r>
      <w:r w:rsidR="00B43B67">
        <w:t>ervoor</w:t>
      </w:r>
      <w:r w:rsidRPr="00E172A6" w:rsidR="00B43B67">
        <w:t xml:space="preserve"> in te zetten</w:t>
      </w:r>
      <w:r w:rsidR="00B43B67">
        <w:t xml:space="preserve"> dat er geen aanpassingen aan het verdrag gedaan worden die afdoen aan reeds gestelde eisen op het gebied van arbeid en milieu</w:t>
      </w:r>
      <w:r w:rsidRPr="00E172A6" w:rsidR="00B43B67">
        <w:t>. In de verdragstekst is opgenomen dat de verdragspartijen de belangrijke rol van arbeidsstandaarden erkennen. Daarnaast is aangegeven dat de verdragspartijen niet zullen afwijken van de standaarden van het arbeidsrecht om investeringen of handel aan te trekken.</w:t>
      </w:r>
      <w:r w:rsidRPr="00E172A6" w:rsidR="00B43B67">
        <w:rPr>
          <w:rStyle w:val="FootnoteReference"/>
        </w:rPr>
        <w:footnoteReference w:id="22"/>
      </w:r>
      <w:r w:rsidRPr="00E172A6" w:rsidR="00B43B67">
        <w:t xml:space="preserve"> Met betrekking tot milieu zijn gelijksoortige afspraken gemaakt. </w:t>
      </w:r>
      <w:r w:rsidR="00B43B67">
        <w:t xml:space="preserve">Zo wordt afgesproken dat partijen hun verplichtingen van internationale klimaatakkoorden </w:t>
      </w:r>
      <w:r w:rsidR="00C963C9">
        <w:t>(her)</w:t>
      </w:r>
      <w:r w:rsidR="00B43B67">
        <w:t xml:space="preserve">bevestigen, het niveau van klimaatbescherming niet verlaagd wordt omwille van </w:t>
      </w:r>
      <w:r w:rsidR="00C963C9">
        <w:t xml:space="preserve">het bevorderen van </w:t>
      </w:r>
      <w:r w:rsidR="00B43B67">
        <w:t>handel</w:t>
      </w:r>
      <w:r>
        <w:t>,</w:t>
      </w:r>
      <w:r w:rsidR="00B43B67">
        <w:t xml:space="preserve"> en wordt afgesproken samen te werken op </w:t>
      </w:r>
      <w:proofErr w:type="spellStart"/>
      <w:r w:rsidR="00B43B67">
        <w:t>handel</w:t>
      </w:r>
      <w:r>
        <w:t>s</w:t>
      </w:r>
      <w:r w:rsidR="00B43B67">
        <w:t>gerelateerde</w:t>
      </w:r>
      <w:proofErr w:type="spellEnd"/>
      <w:r w:rsidR="00B43B67">
        <w:t xml:space="preserve"> klimaatonderwerpen.</w:t>
      </w:r>
      <w:r w:rsidRPr="00E172A6" w:rsidR="00B43B67">
        <w:rPr>
          <w:rStyle w:val="FootnoteReference"/>
        </w:rPr>
        <w:footnoteReference w:id="23"/>
      </w:r>
      <w:r w:rsidR="00B43B67">
        <w:t xml:space="preserve"> </w:t>
      </w:r>
      <w:r w:rsidRPr="00E172A6" w:rsidR="00B43B67">
        <w:t xml:space="preserve">Wanneer verdragspartijen zich niet aan deze afspraken houden, </w:t>
      </w:r>
      <w:r w:rsidR="00B43B67">
        <w:t>is</w:t>
      </w:r>
      <w:r w:rsidRPr="00E172A6" w:rsidR="00B43B67">
        <w:t xml:space="preserve"> het mogelijk over te gaan </w:t>
      </w:r>
      <w:r w:rsidR="00C963C9">
        <w:t>tot</w:t>
      </w:r>
      <w:r w:rsidRPr="00E172A6" w:rsidR="00B43B67">
        <w:t xml:space="preserve"> geschillenbeslechting. </w:t>
      </w:r>
    </w:p>
    <w:p w:rsidR="00B43B67" w:rsidP="00B43B67" w:rsidRDefault="00B43B67" w14:paraId="1B963200" w14:textId="77777777">
      <w:pPr>
        <w:rPr>
          <w:i/>
          <w:iCs/>
        </w:rPr>
      </w:pPr>
    </w:p>
    <w:p w:rsidR="00A131EA" w:rsidP="00B43B67" w:rsidRDefault="00B43B67" w14:paraId="6D485E3F" w14:textId="77777777">
      <w:pPr>
        <w:rPr>
          <w:i/>
          <w:iCs/>
        </w:rPr>
      </w:pPr>
      <w:r w:rsidRPr="00AF1D79">
        <w:rPr>
          <w:i/>
          <w:iCs/>
        </w:rPr>
        <w:t xml:space="preserve">Motie </w:t>
      </w:r>
      <w:proofErr w:type="spellStart"/>
      <w:r w:rsidRPr="00AF1D79">
        <w:rPr>
          <w:i/>
          <w:iCs/>
        </w:rPr>
        <w:t>Amhaouch</w:t>
      </w:r>
      <w:proofErr w:type="spellEnd"/>
      <w:r>
        <w:rPr>
          <w:i/>
          <w:iCs/>
        </w:rPr>
        <w:t xml:space="preserve">, Voordewind en </w:t>
      </w:r>
      <w:proofErr w:type="spellStart"/>
      <w:r>
        <w:rPr>
          <w:i/>
          <w:iCs/>
        </w:rPr>
        <w:t>Jetten</w:t>
      </w:r>
      <w:proofErr w:type="spellEnd"/>
      <w:r>
        <w:rPr>
          <w:i/>
          <w:iCs/>
        </w:rPr>
        <w:t xml:space="preserve"> over een evaluatie van het functioneren van het Investment Court System in CETA</w:t>
      </w:r>
      <w:r w:rsidRPr="00AF1D79">
        <w:rPr>
          <w:i/>
          <w:iCs/>
        </w:rPr>
        <w:t xml:space="preserve"> (35 154, </w:t>
      </w:r>
      <w:proofErr w:type="spellStart"/>
      <w:r w:rsidRPr="00AF1D79">
        <w:rPr>
          <w:i/>
          <w:iCs/>
        </w:rPr>
        <w:t>nr</w:t>
      </w:r>
      <w:proofErr w:type="spellEnd"/>
      <w:r w:rsidRPr="00AF1D79">
        <w:rPr>
          <w:i/>
          <w:iCs/>
        </w:rPr>
        <w:t xml:space="preserve"> 19)</w:t>
      </w:r>
    </w:p>
    <w:p w:rsidRPr="00A131EA" w:rsidR="00B43B67" w:rsidP="00B43B67" w:rsidRDefault="00B43B67" w14:paraId="2E2D8013" w14:textId="773975AC">
      <w:pPr>
        <w:rPr>
          <w:i/>
          <w:iCs/>
        </w:rPr>
      </w:pPr>
      <w:r>
        <w:t>Deze</w:t>
      </w:r>
      <w:r w:rsidRPr="00E172A6">
        <w:t xml:space="preserve"> </w:t>
      </w:r>
      <w:r>
        <w:t xml:space="preserve">motie kan voorlopig </w:t>
      </w:r>
      <w:r w:rsidRPr="00E172A6">
        <w:t xml:space="preserve">nog niet uitgevoerd worden. Het </w:t>
      </w:r>
      <w:r>
        <w:rPr>
          <w:i/>
          <w:iCs/>
        </w:rPr>
        <w:t>Investment Court System</w:t>
      </w:r>
      <w:r w:rsidRPr="00660680">
        <w:t xml:space="preserve"> (ICS)</w:t>
      </w:r>
      <w:r w:rsidRPr="00E172A6">
        <w:t xml:space="preserve"> zal pas in werking treden als alle verdragspartijen CETA geratificeerd</w:t>
      </w:r>
      <w:r>
        <w:t xml:space="preserve"> hebben</w:t>
      </w:r>
      <w:r w:rsidRPr="00E172A6">
        <w:t xml:space="preserve">. Het </w:t>
      </w:r>
      <w:r w:rsidR="00C963C9">
        <w:t xml:space="preserve">ICS </w:t>
      </w:r>
      <w:r w:rsidRPr="00E172A6">
        <w:t>valt niet onder het deel van CETA dat reeds voorlopig toegepast</w:t>
      </w:r>
      <w:r>
        <w:t xml:space="preserve"> wordt</w:t>
      </w:r>
      <w:r w:rsidRPr="00E172A6">
        <w:t>.</w:t>
      </w:r>
      <w:r>
        <w:t xml:space="preserve"> In</w:t>
      </w:r>
      <w:r w:rsidRPr="00E172A6">
        <w:t xml:space="preserve"> het Comité over Diensten en Investeringen onder CETA zullen de verdragspartijen </w:t>
      </w:r>
      <w:r w:rsidR="00BA74D4">
        <w:t xml:space="preserve">na inwerkingtreding van het ICS de </w:t>
      </w:r>
      <w:r w:rsidRPr="00E172A6">
        <w:t xml:space="preserve">mogelijkheid hebben om het functioneren </w:t>
      </w:r>
      <w:r w:rsidR="00BA74D4">
        <w:t>er</w:t>
      </w:r>
      <w:r w:rsidRPr="00E172A6">
        <w:t xml:space="preserve">van te bespreken en aanbevelingen te doen. </w:t>
      </w:r>
    </w:p>
    <w:p w:rsidR="00B43B67" w:rsidP="00B43B67" w:rsidRDefault="00B43B67" w14:paraId="22973225" w14:textId="77777777"/>
    <w:p w:rsidR="00B97719" w:rsidRDefault="00B97719" w14:paraId="628CDC5E" w14:textId="77777777"/>
    <w:tbl>
      <w:tblPr>
        <w:tblStyle w:val="Tabelondertekening"/>
        <w:tblW w:w="7541" w:type="dxa"/>
        <w:tblInd w:w="0" w:type="dxa"/>
        <w:tblLayout w:type="fixed"/>
        <w:tblLook w:val="07E0" w:firstRow="1" w:lastRow="1" w:firstColumn="1" w:lastColumn="1" w:noHBand="1" w:noVBand="1"/>
      </w:tblPr>
      <w:tblGrid>
        <w:gridCol w:w="3620"/>
        <w:gridCol w:w="3921"/>
      </w:tblGrid>
      <w:tr w:rsidR="00B97719" w14:paraId="628CDC61" w14:textId="77777777">
        <w:tc>
          <w:tcPr>
            <w:tcW w:w="3620" w:type="dxa"/>
          </w:tcPr>
          <w:p w:rsidR="00DC6F43" w:rsidRDefault="00B43B67" w14:paraId="0E13A84D" w14:textId="373A95D1">
            <w:r>
              <w:t xml:space="preserve">De </w:t>
            </w:r>
            <w:r w:rsidR="00D764D8">
              <w:t>m</w:t>
            </w:r>
            <w:r w:rsidR="00E51949">
              <w:t>inister</w:t>
            </w:r>
            <w:r>
              <w:t xml:space="preserve"> </w:t>
            </w:r>
            <w:r w:rsidR="00E51949">
              <w:t>van</w:t>
            </w:r>
            <w:r w:rsidR="00AC79F2">
              <w:t xml:space="preserve"> </w:t>
            </w:r>
            <w:r>
              <w:t>Buitenlandse Handel</w:t>
            </w:r>
            <w:r>
              <w:br/>
              <w:t>en Ontwikkelings</w:t>
            </w:r>
            <w:r w:rsidR="00E51949">
              <w:t>samenwerking</w:t>
            </w:r>
            <w:r w:rsidR="00D764D8">
              <w:t>,</w:t>
            </w:r>
            <w:r>
              <w:br/>
            </w:r>
          </w:p>
          <w:p w:rsidR="00DC6F43" w:rsidRDefault="00DC6F43" w14:paraId="36201353" w14:textId="77777777"/>
          <w:p w:rsidR="00DC6F43" w:rsidRDefault="00DC6F43" w14:paraId="45984B8B" w14:textId="77777777"/>
          <w:p w:rsidR="00B97719" w:rsidRDefault="00B43B67" w14:paraId="628CDC5F" w14:textId="7BC4BD1F">
            <w:r>
              <w:br/>
            </w:r>
            <w:r>
              <w:br/>
            </w:r>
            <w:r>
              <w:br/>
            </w:r>
            <w:r w:rsidR="00E51949">
              <w:t xml:space="preserve">S.W. </w:t>
            </w:r>
            <w:proofErr w:type="spellStart"/>
            <w:r w:rsidR="00E51949">
              <w:t>Sjoerdsma</w:t>
            </w:r>
            <w:proofErr w:type="spellEnd"/>
          </w:p>
        </w:tc>
        <w:tc>
          <w:tcPr>
            <w:tcW w:w="3921" w:type="dxa"/>
          </w:tcPr>
          <w:p w:rsidR="00B97719" w:rsidRDefault="00B97719" w14:paraId="628CDC60" w14:textId="77777777"/>
        </w:tc>
      </w:tr>
    </w:tbl>
    <w:p w:rsidR="00B97719" w:rsidRDefault="00B97719" w14:paraId="628CDC62" w14:textId="77777777"/>
    <w:sectPr w:rsidR="00B97719">
      <w:headerReference w:type="even" r:id="rId14"/>
      <w:headerReference w:type="default" r:id="rId15"/>
      <w:footerReference w:type="even" r:id="rId16"/>
      <w:footerReference w:type="default" r:id="rId17"/>
      <w:headerReference w:type="first" r:id="rId18"/>
      <w:footerReference w:type="first" r:id="rId19"/>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456CC" w14:textId="77777777" w:rsidR="00B43B67" w:rsidRDefault="00B43B67">
      <w:pPr>
        <w:spacing w:line="240" w:lineRule="auto"/>
      </w:pPr>
      <w:r>
        <w:separator/>
      </w:r>
    </w:p>
  </w:endnote>
  <w:endnote w:type="continuationSeparator" w:id="0">
    <w:p w14:paraId="16D4E77A" w14:textId="77777777" w:rsidR="00B43B67" w:rsidRDefault="00B43B67">
      <w:pPr>
        <w:spacing w:line="240" w:lineRule="auto"/>
      </w:pPr>
      <w:r>
        <w:continuationSeparator/>
      </w:r>
    </w:p>
  </w:endnote>
  <w:endnote w:type="continuationNotice" w:id="1">
    <w:p w14:paraId="0265FD2A" w14:textId="77777777" w:rsidR="00A46643" w:rsidRDefault="00A4664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84566" w14:textId="77777777" w:rsidR="00E058A8" w:rsidRDefault="00E058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EC6D4" w14:textId="77777777" w:rsidR="00E058A8" w:rsidRDefault="00E058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EB977" w14:textId="77777777" w:rsidR="00E058A8" w:rsidRDefault="00E058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D51F3" w14:textId="77777777" w:rsidR="00B43B67" w:rsidRDefault="00B43B67">
      <w:pPr>
        <w:spacing w:line="240" w:lineRule="auto"/>
      </w:pPr>
      <w:r>
        <w:separator/>
      </w:r>
    </w:p>
  </w:footnote>
  <w:footnote w:type="continuationSeparator" w:id="0">
    <w:p w14:paraId="1F2DEF5D" w14:textId="77777777" w:rsidR="00B43B67" w:rsidRDefault="00B43B67">
      <w:pPr>
        <w:spacing w:line="240" w:lineRule="auto"/>
      </w:pPr>
      <w:r>
        <w:continuationSeparator/>
      </w:r>
    </w:p>
  </w:footnote>
  <w:footnote w:type="continuationNotice" w:id="1">
    <w:p w14:paraId="1F768320" w14:textId="77777777" w:rsidR="00A46643" w:rsidRDefault="00A46643">
      <w:pPr>
        <w:spacing w:line="240" w:lineRule="auto"/>
      </w:pPr>
    </w:p>
  </w:footnote>
  <w:footnote w:id="2">
    <w:p w14:paraId="2518CF89" w14:textId="1FE76FDA" w:rsidR="00B43B67" w:rsidRPr="004A1353" w:rsidRDefault="00B43B67" w:rsidP="00B43B67">
      <w:pPr>
        <w:pStyle w:val="FootnoteText"/>
        <w:rPr>
          <w:rFonts w:ascii="Verdana" w:hAnsi="Verdana"/>
          <w:sz w:val="16"/>
          <w:szCs w:val="16"/>
        </w:rPr>
      </w:pPr>
      <w:r w:rsidRPr="003878FD">
        <w:rPr>
          <w:rStyle w:val="FootnoteReference"/>
          <w:rFonts w:ascii="Verdana" w:hAnsi="Verdana"/>
          <w:sz w:val="16"/>
          <w:szCs w:val="16"/>
        </w:rPr>
        <w:footnoteRef/>
      </w:r>
      <w:r w:rsidRPr="003878FD">
        <w:rPr>
          <w:rFonts w:ascii="Verdana" w:hAnsi="Verdana"/>
          <w:sz w:val="16"/>
          <w:szCs w:val="16"/>
        </w:rPr>
        <w:t xml:space="preserve"> Motie van de leden Kamminga en </w:t>
      </w:r>
      <w:proofErr w:type="spellStart"/>
      <w:r w:rsidRPr="003878FD">
        <w:rPr>
          <w:rFonts w:ascii="Verdana" w:hAnsi="Verdana"/>
          <w:sz w:val="16"/>
          <w:szCs w:val="16"/>
        </w:rPr>
        <w:t>Boswijk</w:t>
      </w:r>
      <w:proofErr w:type="spellEnd"/>
      <w:r w:rsidRPr="003878FD">
        <w:rPr>
          <w:rFonts w:ascii="Verdana" w:hAnsi="Verdana"/>
          <w:sz w:val="16"/>
          <w:szCs w:val="16"/>
        </w:rPr>
        <w:t xml:space="preserve"> (21 501-02, </w:t>
      </w:r>
      <w:r w:rsidR="002B7024" w:rsidRPr="003878FD">
        <w:rPr>
          <w:rFonts w:ascii="Verdana" w:hAnsi="Verdana"/>
          <w:sz w:val="16"/>
          <w:szCs w:val="16"/>
        </w:rPr>
        <w:t>n</w:t>
      </w:r>
      <w:r w:rsidRPr="003878FD">
        <w:rPr>
          <w:rFonts w:ascii="Verdana" w:hAnsi="Verdana"/>
          <w:sz w:val="16"/>
          <w:szCs w:val="16"/>
        </w:rPr>
        <w:t>r. 3092)</w:t>
      </w:r>
    </w:p>
  </w:footnote>
  <w:footnote w:id="3">
    <w:p w14:paraId="544C4945" w14:textId="07E4E103" w:rsidR="00BC1818" w:rsidRDefault="00BC1818" w:rsidP="00BC1818">
      <w:pPr>
        <w:pStyle w:val="FootnoteText"/>
      </w:pPr>
      <w:r w:rsidRPr="004A1353">
        <w:rPr>
          <w:rStyle w:val="FootnoteReference"/>
          <w:rFonts w:ascii="Verdana" w:hAnsi="Verdana"/>
          <w:sz w:val="16"/>
          <w:szCs w:val="16"/>
        </w:rPr>
        <w:footnoteRef/>
      </w:r>
      <w:r w:rsidRPr="004A1353">
        <w:rPr>
          <w:rFonts w:ascii="Verdana" w:hAnsi="Verdana"/>
          <w:sz w:val="16"/>
          <w:szCs w:val="16"/>
        </w:rPr>
        <w:t xml:space="preserve"> Kabinetsappreciatie modernisering EU-Mexico Global Agreement (</w:t>
      </w:r>
      <w:r w:rsidR="00D764D8">
        <w:rPr>
          <w:rFonts w:ascii="Verdana" w:hAnsi="Verdana"/>
          <w:sz w:val="16"/>
          <w:szCs w:val="16"/>
        </w:rPr>
        <w:t xml:space="preserve">Kamerstuk </w:t>
      </w:r>
      <w:r w:rsidRPr="004A1353">
        <w:rPr>
          <w:rFonts w:ascii="Verdana" w:hAnsi="Verdana"/>
          <w:sz w:val="16"/>
          <w:szCs w:val="16"/>
        </w:rPr>
        <w:t>21</w:t>
      </w:r>
      <w:r w:rsidR="00D764D8">
        <w:rPr>
          <w:rFonts w:ascii="Verdana" w:hAnsi="Verdana"/>
          <w:sz w:val="16"/>
          <w:szCs w:val="16"/>
        </w:rPr>
        <w:t xml:space="preserve"> </w:t>
      </w:r>
      <w:r w:rsidRPr="004A1353">
        <w:rPr>
          <w:rFonts w:ascii="Verdana" w:hAnsi="Verdana"/>
          <w:sz w:val="16"/>
          <w:szCs w:val="16"/>
        </w:rPr>
        <w:t>501-02, nr. 3271)</w:t>
      </w:r>
      <w:r w:rsidR="00D764D8">
        <w:t xml:space="preserve"> </w:t>
      </w:r>
    </w:p>
  </w:footnote>
  <w:footnote w:id="4">
    <w:p w14:paraId="2EA8960D" w14:textId="7B584163" w:rsidR="00772954" w:rsidRPr="00AC79F2" w:rsidRDefault="00772954">
      <w:pPr>
        <w:pStyle w:val="FootnoteText"/>
        <w:rPr>
          <w:rFonts w:ascii="Verdana" w:hAnsi="Verdana"/>
          <w:sz w:val="16"/>
          <w:szCs w:val="16"/>
        </w:rPr>
      </w:pPr>
      <w:r w:rsidRPr="00204D6B">
        <w:rPr>
          <w:rStyle w:val="FootnoteReference"/>
          <w:rFonts w:ascii="Verdana" w:hAnsi="Verdana"/>
          <w:sz w:val="16"/>
          <w:szCs w:val="16"/>
        </w:rPr>
        <w:footnoteRef/>
      </w:r>
      <w:r w:rsidRPr="00AC79F2">
        <w:rPr>
          <w:rFonts w:ascii="Verdana" w:hAnsi="Verdana"/>
          <w:sz w:val="16"/>
          <w:szCs w:val="16"/>
        </w:rPr>
        <w:t xml:space="preserve"> </w:t>
      </w:r>
      <w:r w:rsidRPr="003878FD">
        <w:rPr>
          <w:rFonts w:ascii="Verdana" w:hAnsi="Verdana"/>
          <w:sz w:val="16"/>
          <w:szCs w:val="16"/>
        </w:rPr>
        <w:t xml:space="preserve">Op basis van cijfers onder Statline van het CBS, via </w:t>
      </w:r>
      <w:hyperlink r:id="rId1" w:anchor="/CBS/nl/navigatieScherm/thema?themaNr=84658" w:history="1">
        <w:proofErr w:type="spellStart"/>
        <w:r w:rsidRPr="003878FD">
          <w:rPr>
            <w:rStyle w:val="Hyperlink"/>
            <w:rFonts w:ascii="Verdana" w:hAnsi="Verdana"/>
            <w:sz w:val="16"/>
            <w:szCs w:val="16"/>
          </w:rPr>
          <w:t>StatLine</w:t>
        </w:r>
        <w:proofErr w:type="spellEnd"/>
        <w:r w:rsidRPr="003878FD">
          <w:rPr>
            <w:rStyle w:val="Hyperlink"/>
            <w:rFonts w:ascii="Verdana" w:hAnsi="Verdana"/>
            <w:sz w:val="16"/>
            <w:szCs w:val="16"/>
          </w:rPr>
          <w:t xml:space="preserve"> - Datasets via thema</w:t>
        </w:r>
      </w:hyperlink>
    </w:p>
  </w:footnote>
  <w:footnote w:id="5">
    <w:p w14:paraId="43DE87A5" w14:textId="77777777" w:rsidR="00B43B67" w:rsidRPr="00664E98" w:rsidRDefault="00B43B67" w:rsidP="00B43B67">
      <w:pPr>
        <w:pStyle w:val="FootnoteText"/>
        <w:rPr>
          <w:rFonts w:ascii="Verdana" w:hAnsi="Verdana"/>
          <w:sz w:val="16"/>
          <w:szCs w:val="16"/>
        </w:rPr>
      </w:pPr>
      <w:r w:rsidRPr="003878FD">
        <w:rPr>
          <w:rStyle w:val="FootnoteReference"/>
          <w:rFonts w:ascii="Verdana" w:hAnsi="Verdana"/>
          <w:sz w:val="16"/>
          <w:szCs w:val="16"/>
        </w:rPr>
        <w:footnoteRef/>
      </w:r>
      <w:r w:rsidRPr="003878FD">
        <w:rPr>
          <w:rFonts w:ascii="Verdana" w:hAnsi="Verdana"/>
          <w:sz w:val="16"/>
          <w:szCs w:val="16"/>
        </w:rPr>
        <w:t xml:space="preserve"> Op basis van cijfers onder Statline van het CBS, via </w:t>
      </w:r>
      <w:hyperlink r:id="rId2" w:anchor="/CBS/nl/navigatieScherm/thema?themaNr=84658" w:history="1">
        <w:proofErr w:type="spellStart"/>
        <w:r w:rsidRPr="003878FD">
          <w:rPr>
            <w:rStyle w:val="Hyperlink"/>
            <w:rFonts w:ascii="Verdana" w:hAnsi="Verdana"/>
            <w:sz w:val="16"/>
            <w:szCs w:val="16"/>
          </w:rPr>
          <w:t>StatLine</w:t>
        </w:r>
        <w:proofErr w:type="spellEnd"/>
        <w:r w:rsidRPr="003878FD">
          <w:rPr>
            <w:rStyle w:val="Hyperlink"/>
            <w:rFonts w:ascii="Verdana" w:hAnsi="Verdana"/>
            <w:sz w:val="16"/>
            <w:szCs w:val="16"/>
          </w:rPr>
          <w:t xml:space="preserve"> - Datasets via thema</w:t>
        </w:r>
      </w:hyperlink>
    </w:p>
  </w:footnote>
  <w:footnote w:id="6">
    <w:p w14:paraId="4B06ACB7" w14:textId="77777777" w:rsidR="00B43B67" w:rsidRPr="00204D6B" w:rsidRDefault="00B43B67" w:rsidP="00B43B67">
      <w:pPr>
        <w:pStyle w:val="FootnoteText"/>
        <w:rPr>
          <w:rFonts w:ascii="Verdana" w:hAnsi="Verdana"/>
          <w:sz w:val="16"/>
          <w:szCs w:val="16"/>
        </w:rPr>
      </w:pPr>
      <w:r w:rsidRPr="003878FD">
        <w:rPr>
          <w:rStyle w:val="FootnoteReference"/>
          <w:rFonts w:ascii="Verdana" w:hAnsi="Verdana"/>
          <w:sz w:val="16"/>
          <w:szCs w:val="16"/>
        </w:rPr>
        <w:footnoteRef/>
      </w:r>
      <w:r w:rsidRPr="00204D6B">
        <w:rPr>
          <w:rFonts w:ascii="Verdana" w:hAnsi="Verdana"/>
          <w:sz w:val="16"/>
          <w:szCs w:val="16"/>
        </w:rPr>
        <w:t xml:space="preserve"> </w:t>
      </w:r>
      <w:hyperlink r:id="rId3" w:history="1">
        <w:r w:rsidRPr="00204D6B">
          <w:rPr>
            <w:rStyle w:val="Hyperlink"/>
            <w:rFonts w:ascii="Verdana" w:hAnsi="Verdana"/>
            <w:sz w:val="16"/>
            <w:szCs w:val="16"/>
          </w:rPr>
          <w:t xml:space="preserve">EU </w:t>
        </w:r>
        <w:proofErr w:type="spellStart"/>
        <w:r w:rsidRPr="00204D6B">
          <w:rPr>
            <w:rStyle w:val="Hyperlink"/>
            <w:rFonts w:ascii="Verdana" w:hAnsi="Verdana"/>
            <w:sz w:val="16"/>
            <w:szCs w:val="16"/>
          </w:rPr>
          <w:t>adopts</w:t>
        </w:r>
        <w:proofErr w:type="spellEnd"/>
        <w:r w:rsidRPr="00204D6B">
          <w:rPr>
            <w:rStyle w:val="Hyperlink"/>
            <w:rFonts w:ascii="Verdana" w:hAnsi="Verdana"/>
            <w:sz w:val="16"/>
            <w:szCs w:val="16"/>
          </w:rPr>
          <w:t xml:space="preserve"> first ever Mutual </w:t>
        </w:r>
        <w:proofErr w:type="spellStart"/>
        <w:r w:rsidRPr="00204D6B">
          <w:rPr>
            <w:rStyle w:val="Hyperlink"/>
            <w:rFonts w:ascii="Verdana" w:hAnsi="Verdana"/>
            <w:sz w:val="16"/>
            <w:szCs w:val="16"/>
          </w:rPr>
          <w:t>Recognition</w:t>
        </w:r>
        <w:proofErr w:type="spellEnd"/>
        <w:r w:rsidRPr="00204D6B">
          <w:rPr>
            <w:rStyle w:val="Hyperlink"/>
            <w:rFonts w:ascii="Verdana" w:hAnsi="Verdana"/>
            <w:sz w:val="16"/>
            <w:szCs w:val="16"/>
          </w:rPr>
          <w:t xml:space="preserve"> Agreement </w:t>
        </w:r>
        <w:proofErr w:type="spellStart"/>
        <w:r w:rsidRPr="00204D6B">
          <w:rPr>
            <w:rStyle w:val="Hyperlink"/>
            <w:rFonts w:ascii="Verdana" w:hAnsi="Verdana"/>
            <w:sz w:val="16"/>
            <w:szCs w:val="16"/>
          </w:rPr>
          <w:t>for</w:t>
        </w:r>
        <w:proofErr w:type="spellEnd"/>
        <w:r w:rsidRPr="00204D6B">
          <w:rPr>
            <w:rStyle w:val="Hyperlink"/>
            <w:rFonts w:ascii="Verdana" w:hAnsi="Verdana"/>
            <w:sz w:val="16"/>
            <w:szCs w:val="16"/>
          </w:rPr>
          <w:t xml:space="preserve"> professional </w:t>
        </w:r>
        <w:proofErr w:type="spellStart"/>
        <w:r w:rsidRPr="00204D6B">
          <w:rPr>
            <w:rStyle w:val="Hyperlink"/>
            <w:rFonts w:ascii="Verdana" w:hAnsi="Verdana"/>
            <w:sz w:val="16"/>
            <w:szCs w:val="16"/>
          </w:rPr>
          <w:t>qualifications</w:t>
        </w:r>
        <w:proofErr w:type="spellEnd"/>
        <w:r w:rsidRPr="00204D6B">
          <w:rPr>
            <w:rStyle w:val="Hyperlink"/>
            <w:rFonts w:ascii="Verdana" w:hAnsi="Verdana"/>
            <w:sz w:val="16"/>
            <w:szCs w:val="16"/>
          </w:rPr>
          <w:t xml:space="preserve"> - European </w:t>
        </w:r>
        <w:proofErr w:type="spellStart"/>
        <w:r w:rsidRPr="00204D6B">
          <w:rPr>
            <w:rStyle w:val="Hyperlink"/>
            <w:rFonts w:ascii="Verdana" w:hAnsi="Verdana"/>
            <w:sz w:val="16"/>
            <w:szCs w:val="16"/>
          </w:rPr>
          <w:t>Commission</w:t>
        </w:r>
        <w:proofErr w:type="spellEnd"/>
      </w:hyperlink>
    </w:p>
  </w:footnote>
  <w:footnote w:id="7">
    <w:p w14:paraId="0EC56581" w14:textId="60521369" w:rsidR="00772954" w:rsidRPr="00AC79F2" w:rsidRDefault="00772954">
      <w:pPr>
        <w:pStyle w:val="FootnoteText"/>
        <w:rPr>
          <w:rFonts w:ascii="Verdana" w:hAnsi="Verdana"/>
          <w:sz w:val="16"/>
          <w:szCs w:val="16"/>
        </w:rPr>
      </w:pPr>
      <w:r w:rsidRPr="00AC79F2">
        <w:rPr>
          <w:rStyle w:val="FootnoteReference"/>
          <w:rFonts w:ascii="Verdana" w:hAnsi="Verdana"/>
          <w:sz w:val="16"/>
          <w:szCs w:val="16"/>
        </w:rPr>
        <w:footnoteRef/>
      </w:r>
      <w:r w:rsidRPr="00AC79F2">
        <w:rPr>
          <w:rFonts w:ascii="Verdana" w:hAnsi="Verdana"/>
          <w:sz w:val="16"/>
          <w:szCs w:val="16"/>
        </w:rPr>
        <w:t xml:space="preserve"> </w:t>
      </w:r>
      <w:hyperlink r:id="rId4" w:history="1">
        <w:r w:rsidRPr="00AC79F2">
          <w:rPr>
            <w:rStyle w:val="Hyperlink"/>
            <w:rFonts w:ascii="Verdana" w:hAnsi="Verdana"/>
            <w:sz w:val="16"/>
            <w:szCs w:val="16"/>
          </w:rPr>
          <w:t>Nederland en Québec slaan handen ineen op kritieke grondstoffen | Nieuwsbericht | Rijksoverheid.nl</w:t>
        </w:r>
      </w:hyperlink>
    </w:p>
  </w:footnote>
  <w:footnote w:id="8">
    <w:p w14:paraId="5A1CD846" w14:textId="55A8EA06" w:rsidR="00B43B67" w:rsidRPr="003878FD" w:rsidRDefault="00B43B67" w:rsidP="00B43B67">
      <w:pPr>
        <w:pStyle w:val="FootnoteText"/>
        <w:rPr>
          <w:rFonts w:ascii="Verdana" w:hAnsi="Verdana"/>
          <w:sz w:val="16"/>
          <w:szCs w:val="16"/>
        </w:rPr>
      </w:pPr>
      <w:r w:rsidRPr="003878FD">
        <w:rPr>
          <w:rStyle w:val="FootnoteReference"/>
          <w:rFonts w:ascii="Verdana" w:hAnsi="Verdana"/>
          <w:sz w:val="16"/>
          <w:szCs w:val="16"/>
        </w:rPr>
        <w:footnoteRef/>
      </w:r>
      <w:r w:rsidRPr="003878FD">
        <w:rPr>
          <w:rFonts w:ascii="Verdana" w:hAnsi="Verdana"/>
          <w:sz w:val="16"/>
          <w:szCs w:val="16"/>
        </w:rPr>
        <w:t xml:space="preserve"> Motie </w:t>
      </w:r>
      <w:proofErr w:type="spellStart"/>
      <w:r w:rsidRPr="003878FD">
        <w:rPr>
          <w:rFonts w:ascii="Verdana" w:hAnsi="Verdana"/>
          <w:sz w:val="16"/>
          <w:szCs w:val="16"/>
        </w:rPr>
        <w:t>Alkaya</w:t>
      </w:r>
      <w:proofErr w:type="spellEnd"/>
      <w:r w:rsidR="00D764D8">
        <w:rPr>
          <w:rFonts w:ascii="Verdana" w:hAnsi="Verdana"/>
          <w:sz w:val="16"/>
          <w:szCs w:val="16"/>
        </w:rPr>
        <w:t xml:space="preserve"> </w:t>
      </w:r>
      <w:r w:rsidRPr="003878FD">
        <w:rPr>
          <w:rFonts w:ascii="Verdana" w:hAnsi="Verdana"/>
          <w:sz w:val="16"/>
          <w:szCs w:val="16"/>
        </w:rPr>
        <w:t xml:space="preserve">35 154, </w:t>
      </w:r>
      <w:r w:rsidR="002B7024" w:rsidRPr="003878FD">
        <w:rPr>
          <w:rFonts w:ascii="Verdana" w:hAnsi="Verdana"/>
          <w:sz w:val="16"/>
          <w:szCs w:val="16"/>
        </w:rPr>
        <w:t>n</w:t>
      </w:r>
      <w:r w:rsidRPr="003878FD">
        <w:rPr>
          <w:rFonts w:ascii="Verdana" w:hAnsi="Verdana"/>
          <w:sz w:val="16"/>
          <w:szCs w:val="16"/>
        </w:rPr>
        <w:t>r. 15</w:t>
      </w:r>
      <w:r w:rsidR="00D764D8" w:rsidRPr="003878FD">
        <w:rPr>
          <w:rFonts w:ascii="Verdana" w:hAnsi="Verdana"/>
          <w:sz w:val="16"/>
          <w:szCs w:val="16"/>
        </w:rPr>
        <w:t xml:space="preserve"> </w:t>
      </w:r>
    </w:p>
  </w:footnote>
  <w:footnote w:id="9">
    <w:p w14:paraId="29A099A6" w14:textId="1D98D4E2" w:rsidR="00D06E82" w:rsidRPr="00D06E82" w:rsidRDefault="00D06E82">
      <w:pPr>
        <w:pStyle w:val="FootnoteText"/>
      </w:pPr>
      <w:r w:rsidRPr="00AC79F2">
        <w:rPr>
          <w:rStyle w:val="FootnoteReference"/>
          <w:rFonts w:ascii="Verdana" w:hAnsi="Verdana"/>
          <w:sz w:val="16"/>
          <w:szCs w:val="16"/>
        </w:rPr>
        <w:footnoteRef/>
      </w:r>
      <w:r w:rsidRPr="00AC79F2">
        <w:rPr>
          <w:rFonts w:ascii="Verdana" w:hAnsi="Verdana"/>
          <w:sz w:val="16"/>
          <w:szCs w:val="16"/>
        </w:rPr>
        <w:t xml:space="preserve"> </w:t>
      </w:r>
      <w:hyperlink r:id="rId5" w:history="1">
        <w:proofErr w:type="spellStart"/>
        <w:r w:rsidRPr="00AC79F2">
          <w:rPr>
            <w:rStyle w:val="Hyperlink"/>
            <w:rFonts w:ascii="Verdana" w:hAnsi="Verdana"/>
            <w:sz w:val="16"/>
            <w:szCs w:val="16"/>
          </w:rPr>
          <w:t>Transparancy</w:t>
        </w:r>
        <w:proofErr w:type="spellEnd"/>
        <w:r w:rsidRPr="00AC79F2">
          <w:rPr>
            <w:rStyle w:val="Hyperlink"/>
            <w:rFonts w:ascii="Verdana" w:hAnsi="Verdana"/>
            <w:sz w:val="16"/>
            <w:szCs w:val="16"/>
          </w:rPr>
          <w:t xml:space="preserve"> in policy DG Trade</w:t>
        </w:r>
      </w:hyperlink>
      <w:r w:rsidRPr="00AC79F2">
        <w:rPr>
          <w:rFonts w:ascii="Verdana" w:hAnsi="Verdana"/>
          <w:sz w:val="16"/>
          <w:szCs w:val="16"/>
        </w:rPr>
        <w:t xml:space="preserve">, </w:t>
      </w:r>
      <w:hyperlink r:id="rId6" w:history="1">
        <w:r w:rsidRPr="00AC79F2">
          <w:rPr>
            <w:rStyle w:val="Hyperlink"/>
            <w:rFonts w:ascii="Verdana" w:hAnsi="Verdana"/>
            <w:sz w:val="16"/>
            <w:szCs w:val="16"/>
          </w:rPr>
          <w:t>CETA-comités verslagen</w:t>
        </w:r>
      </w:hyperlink>
    </w:p>
  </w:footnote>
  <w:footnote w:id="10">
    <w:p w14:paraId="1FA1CF92" w14:textId="04251E7E" w:rsidR="00B43B67" w:rsidRPr="003878FD" w:rsidRDefault="00B43B67" w:rsidP="00B43B67">
      <w:pPr>
        <w:spacing w:line="240" w:lineRule="auto"/>
        <w:rPr>
          <w:rFonts w:eastAsia="Times New Roman" w:cs="Times New Roman"/>
          <w:sz w:val="16"/>
          <w:szCs w:val="16"/>
        </w:rPr>
      </w:pPr>
      <w:r w:rsidRPr="003878FD">
        <w:rPr>
          <w:rStyle w:val="FootnoteReference"/>
          <w:sz w:val="16"/>
          <w:szCs w:val="16"/>
        </w:rPr>
        <w:footnoteRef/>
      </w:r>
      <w:r w:rsidRPr="003878FD">
        <w:rPr>
          <w:sz w:val="16"/>
          <w:szCs w:val="16"/>
        </w:rPr>
        <w:t xml:space="preserve"> Motie Voordewind en </w:t>
      </w:r>
      <w:proofErr w:type="spellStart"/>
      <w:r w:rsidRPr="003878FD">
        <w:rPr>
          <w:sz w:val="16"/>
          <w:szCs w:val="16"/>
        </w:rPr>
        <w:t>Amhaouch</w:t>
      </w:r>
      <w:proofErr w:type="spellEnd"/>
      <w:r w:rsidR="00D764D8">
        <w:rPr>
          <w:sz w:val="16"/>
          <w:szCs w:val="16"/>
        </w:rPr>
        <w:t xml:space="preserve">, </w:t>
      </w:r>
      <w:r w:rsidRPr="003878FD">
        <w:rPr>
          <w:sz w:val="16"/>
          <w:szCs w:val="16"/>
        </w:rPr>
        <w:t xml:space="preserve">35 154, </w:t>
      </w:r>
      <w:r w:rsidR="002B7024" w:rsidRPr="003878FD">
        <w:rPr>
          <w:sz w:val="16"/>
          <w:szCs w:val="16"/>
        </w:rPr>
        <w:t>n</w:t>
      </w:r>
      <w:r w:rsidRPr="003878FD">
        <w:rPr>
          <w:sz w:val="16"/>
          <w:szCs w:val="16"/>
        </w:rPr>
        <w:t>r. 18</w:t>
      </w:r>
    </w:p>
  </w:footnote>
  <w:footnote w:id="11">
    <w:p w14:paraId="1DA4DB39" w14:textId="512A83ED" w:rsidR="00B43B67" w:rsidRPr="003878FD" w:rsidRDefault="00B43B67" w:rsidP="00B43B67">
      <w:pPr>
        <w:pStyle w:val="FootnoteText"/>
        <w:rPr>
          <w:rFonts w:ascii="Verdana" w:hAnsi="Verdana"/>
          <w:sz w:val="16"/>
          <w:szCs w:val="16"/>
        </w:rPr>
      </w:pPr>
      <w:r w:rsidRPr="003878FD">
        <w:rPr>
          <w:rStyle w:val="FootnoteReference"/>
          <w:rFonts w:ascii="Verdana" w:hAnsi="Verdana"/>
          <w:sz w:val="16"/>
          <w:szCs w:val="16"/>
        </w:rPr>
        <w:footnoteRef/>
      </w:r>
      <w:r w:rsidRPr="003878FD">
        <w:rPr>
          <w:rFonts w:ascii="Verdana" w:hAnsi="Verdana"/>
          <w:sz w:val="16"/>
          <w:szCs w:val="16"/>
        </w:rPr>
        <w:t xml:space="preserve"> Zie</w:t>
      </w:r>
      <w:r w:rsidR="00D764D8">
        <w:rPr>
          <w:rFonts w:ascii="Verdana" w:hAnsi="Verdana"/>
          <w:sz w:val="16"/>
          <w:szCs w:val="16"/>
        </w:rPr>
        <w:t xml:space="preserve"> </w:t>
      </w:r>
      <w:r w:rsidR="00D764D8" w:rsidRPr="00D764D8">
        <w:rPr>
          <w:rFonts w:ascii="Verdana" w:hAnsi="Verdana"/>
          <w:sz w:val="16"/>
          <w:szCs w:val="16"/>
        </w:rPr>
        <w:t>Brief van Commissaris Hogan over de zorgen die zijn geuit in uw Kamer en in de samenleving</w:t>
      </w:r>
      <w:r w:rsidR="00D764D8">
        <w:rPr>
          <w:rFonts w:ascii="Verdana" w:hAnsi="Verdana"/>
          <w:sz w:val="16"/>
          <w:szCs w:val="16"/>
        </w:rPr>
        <w:t xml:space="preserve">, bijlage bij Kamerstuk </w:t>
      </w:r>
      <w:r w:rsidR="00BA3F6E" w:rsidRPr="00BA3F6E">
        <w:rPr>
          <w:rFonts w:ascii="Verdana" w:hAnsi="Verdana"/>
          <w:sz w:val="16"/>
          <w:szCs w:val="16"/>
        </w:rPr>
        <w:t>35</w:t>
      </w:r>
      <w:r w:rsidR="00BA3F6E">
        <w:rPr>
          <w:rFonts w:ascii="Verdana" w:hAnsi="Verdana"/>
          <w:sz w:val="16"/>
          <w:szCs w:val="16"/>
        </w:rPr>
        <w:t xml:space="preserve"> </w:t>
      </w:r>
      <w:r w:rsidR="00BA3F6E" w:rsidRPr="00BA3F6E">
        <w:rPr>
          <w:rFonts w:ascii="Verdana" w:hAnsi="Verdana"/>
          <w:sz w:val="16"/>
          <w:szCs w:val="16"/>
        </w:rPr>
        <w:t>154</w:t>
      </w:r>
      <w:r w:rsidR="00BA3F6E">
        <w:rPr>
          <w:rFonts w:ascii="Verdana" w:hAnsi="Verdana"/>
          <w:sz w:val="16"/>
          <w:szCs w:val="16"/>
        </w:rPr>
        <w:t xml:space="preserve"> -</w:t>
      </w:r>
      <w:r w:rsidR="00BA3F6E" w:rsidRPr="00BA3F6E">
        <w:rPr>
          <w:rFonts w:ascii="Verdana" w:hAnsi="Verdana"/>
          <w:sz w:val="16"/>
          <w:szCs w:val="16"/>
        </w:rPr>
        <w:t>26</w:t>
      </w:r>
    </w:p>
  </w:footnote>
  <w:footnote w:id="12">
    <w:p w14:paraId="652BA122" w14:textId="26F3F79C" w:rsidR="00D06E82" w:rsidRPr="00AC79F2" w:rsidRDefault="00D06E82">
      <w:pPr>
        <w:pStyle w:val="FootnoteText"/>
        <w:rPr>
          <w:rFonts w:ascii="Verdana" w:hAnsi="Verdana"/>
          <w:sz w:val="16"/>
          <w:szCs w:val="16"/>
          <w:lang w:val="en-US"/>
        </w:rPr>
      </w:pPr>
      <w:r w:rsidRPr="00AC79F2">
        <w:rPr>
          <w:rStyle w:val="FootnoteReference"/>
          <w:rFonts w:ascii="Verdana" w:hAnsi="Verdana"/>
          <w:sz w:val="16"/>
          <w:szCs w:val="16"/>
        </w:rPr>
        <w:footnoteRef/>
      </w:r>
      <w:r w:rsidRPr="00AC79F2">
        <w:rPr>
          <w:rFonts w:ascii="Verdana" w:hAnsi="Verdana"/>
          <w:sz w:val="16"/>
          <w:szCs w:val="16"/>
          <w:lang w:val="en-US"/>
        </w:rPr>
        <w:t xml:space="preserve"> 2016 </w:t>
      </w:r>
      <w:hyperlink r:id="rId7" w:history="1">
        <w:r w:rsidRPr="00AC79F2">
          <w:rPr>
            <w:rStyle w:val="Hyperlink"/>
            <w:rFonts w:ascii="Verdana" w:hAnsi="Verdana"/>
            <w:sz w:val="16"/>
            <w:szCs w:val="16"/>
            <w:lang w:val="en-US"/>
          </w:rPr>
          <w:t>JRC Publications Repository - Cumulative economic impact of future trade agreements on EU agriculture</w:t>
        </w:r>
      </w:hyperlink>
      <w:r w:rsidRPr="00AC79F2">
        <w:rPr>
          <w:rFonts w:ascii="Verdana" w:hAnsi="Verdana"/>
          <w:sz w:val="16"/>
          <w:szCs w:val="16"/>
          <w:lang w:val="en-US"/>
        </w:rPr>
        <w:t xml:space="preserve">; 2021 </w:t>
      </w:r>
      <w:hyperlink r:id="rId8" w:history="1">
        <w:r w:rsidRPr="00AC79F2">
          <w:rPr>
            <w:rStyle w:val="Hyperlink"/>
            <w:rFonts w:ascii="Verdana" w:hAnsi="Verdana"/>
            <w:sz w:val="16"/>
            <w:szCs w:val="16"/>
            <w:lang w:val="en-US"/>
          </w:rPr>
          <w:t>https://publications.jrc.ec.europa.eu/repository/handle/JRC123037</w:t>
        </w:r>
      </w:hyperlink>
    </w:p>
  </w:footnote>
  <w:footnote w:id="13">
    <w:p w14:paraId="6A269B16" w14:textId="0B78AC95" w:rsidR="00D06E82" w:rsidRPr="00AC79F2" w:rsidRDefault="00D06E82">
      <w:pPr>
        <w:pStyle w:val="FootnoteText"/>
        <w:rPr>
          <w:rFonts w:ascii="Verdana" w:hAnsi="Verdana"/>
          <w:sz w:val="16"/>
          <w:szCs w:val="16"/>
          <w:lang w:val="en-US"/>
        </w:rPr>
      </w:pPr>
      <w:r w:rsidRPr="00AC79F2">
        <w:rPr>
          <w:rStyle w:val="FootnoteReference"/>
          <w:rFonts w:ascii="Verdana" w:hAnsi="Verdana"/>
          <w:sz w:val="16"/>
          <w:szCs w:val="16"/>
        </w:rPr>
        <w:footnoteRef/>
      </w:r>
      <w:r w:rsidRPr="00AC79F2">
        <w:rPr>
          <w:rFonts w:ascii="Verdana" w:hAnsi="Verdana"/>
          <w:sz w:val="16"/>
          <w:szCs w:val="16"/>
          <w:lang w:val="en-US"/>
        </w:rPr>
        <w:t xml:space="preserve"> </w:t>
      </w:r>
      <w:hyperlink r:id="rId9" w:history="1">
        <w:r w:rsidRPr="00AC79F2">
          <w:rPr>
            <w:rStyle w:val="Hyperlink"/>
            <w:rFonts w:ascii="Verdana" w:hAnsi="Verdana"/>
            <w:sz w:val="16"/>
            <w:szCs w:val="16"/>
            <w:lang w:val="en-US"/>
          </w:rPr>
          <w:t>JRC Publications Repository - Cumulative economic impact of upcoming trade agreements on EU agriculture</w:t>
        </w:r>
      </w:hyperlink>
    </w:p>
  </w:footnote>
  <w:footnote w:id="14">
    <w:p w14:paraId="22305FDA" w14:textId="2B323522" w:rsidR="00D06E82" w:rsidRPr="00AC79F2" w:rsidRDefault="00D06E82">
      <w:pPr>
        <w:pStyle w:val="FootnoteText"/>
        <w:rPr>
          <w:rFonts w:ascii="Verdana" w:hAnsi="Verdana"/>
          <w:sz w:val="16"/>
          <w:szCs w:val="16"/>
          <w:lang w:val="en-US"/>
        </w:rPr>
      </w:pPr>
      <w:r w:rsidRPr="00AC79F2">
        <w:rPr>
          <w:rStyle w:val="FootnoteReference"/>
          <w:rFonts w:ascii="Verdana" w:hAnsi="Verdana"/>
          <w:sz w:val="16"/>
          <w:szCs w:val="16"/>
        </w:rPr>
        <w:footnoteRef/>
      </w:r>
      <w:r w:rsidRPr="00AC79F2">
        <w:rPr>
          <w:rFonts w:ascii="Verdana" w:hAnsi="Verdana"/>
          <w:sz w:val="16"/>
          <w:szCs w:val="16"/>
          <w:lang w:val="en-US"/>
        </w:rPr>
        <w:t xml:space="preserve"> </w:t>
      </w:r>
      <w:hyperlink r:id="rId10" w:history="1">
        <w:r w:rsidR="002B7024" w:rsidRPr="00AC79F2">
          <w:rPr>
            <w:rStyle w:val="Hyperlink"/>
            <w:rFonts w:ascii="Verdana" w:hAnsi="Verdana"/>
            <w:sz w:val="16"/>
            <w:szCs w:val="16"/>
            <w:lang w:val="en-US"/>
          </w:rPr>
          <w:t>Medium-term - European Commission</w:t>
        </w:r>
      </w:hyperlink>
      <w:r w:rsidR="002B7024" w:rsidRPr="00AC79F2">
        <w:rPr>
          <w:rFonts w:ascii="Verdana" w:hAnsi="Verdana"/>
          <w:sz w:val="16"/>
          <w:szCs w:val="16"/>
          <w:lang w:val="en-US"/>
        </w:rPr>
        <w:t xml:space="preserve">, </w:t>
      </w:r>
      <w:hyperlink r:id="rId11" w:history="1">
        <w:r w:rsidR="002B7024" w:rsidRPr="00AC79F2">
          <w:rPr>
            <w:rStyle w:val="Hyperlink"/>
            <w:rFonts w:ascii="Verdana" w:hAnsi="Verdana"/>
            <w:sz w:val="16"/>
            <w:szCs w:val="16"/>
            <w:lang w:val="en-US"/>
          </w:rPr>
          <w:t>Agri-food data portal | Agricultural markets</w:t>
        </w:r>
      </w:hyperlink>
    </w:p>
  </w:footnote>
  <w:footnote w:id="15">
    <w:p w14:paraId="6C910791" w14:textId="77777777" w:rsidR="00D06E82" w:rsidRPr="00AC79F2" w:rsidRDefault="00D06E82" w:rsidP="00D06E82">
      <w:pPr>
        <w:pStyle w:val="FootnoteText"/>
        <w:rPr>
          <w:rFonts w:ascii="Verdana" w:hAnsi="Verdana"/>
          <w:sz w:val="16"/>
          <w:szCs w:val="16"/>
        </w:rPr>
      </w:pPr>
      <w:r w:rsidRPr="00AC79F2">
        <w:rPr>
          <w:rStyle w:val="FootnoteReference"/>
          <w:rFonts w:ascii="Verdana" w:hAnsi="Verdana"/>
          <w:sz w:val="16"/>
          <w:szCs w:val="16"/>
        </w:rPr>
        <w:footnoteRef/>
      </w:r>
      <w:r w:rsidRPr="00AC79F2">
        <w:rPr>
          <w:rFonts w:ascii="Verdana" w:hAnsi="Verdana"/>
          <w:sz w:val="16"/>
          <w:szCs w:val="16"/>
        </w:rPr>
        <w:t xml:space="preserve"> </w:t>
      </w:r>
      <w:r w:rsidRPr="003878FD">
        <w:rPr>
          <w:rFonts w:ascii="Verdana" w:hAnsi="Verdana"/>
          <w:sz w:val="16"/>
          <w:szCs w:val="16"/>
        </w:rPr>
        <w:t xml:space="preserve">Op basis van cijfers onder Statline, CBS: </w:t>
      </w:r>
      <w:hyperlink r:id="rId12" w:anchor="/CBS/nl/dataset/85680NED/table?ts=1746520636345" w:history="1">
        <w:proofErr w:type="spellStart"/>
        <w:r w:rsidRPr="003878FD">
          <w:rPr>
            <w:rStyle w:val="Hyperlink"/>
            <w:rFonts w:ascii="Verdana" w:hAnsi="Verdana"/>
            <w:sz w:val="16"/>
            <w:szCs w:val="16"/>
          </w:rPr>
          <w:t>StatLine</w:t>
        </w:r>
        <w:proofErr w:type="spellEnd"/>
        <w:r w:rsidRPr="003878FD">
          <w:rPr>
            <w:rStyle w:val="Hyperlink"/>
            <w:rFonts w:ascii="Verdana" w:hAnsi="Verdana"/>
            <w:sz w:val="16"/>
            <w:szCs w:val="16"/>
          </w:rPr>
          <w:t xml:space="preserve"> - Goederenhandel; grensoverschrijding, SITC (5 </w:t>
        </w:r>
        <w:proofErr w:type="spellStart"/>
        <w:r w:rsidRPr="003878FD">
          <w:rPr>
            <w:rStyle w:val="Hyperlink"/>
            <w:rFonts w:ascii="Verdana" w:hAnsi="Verdana"/>
            <w:sz w:val="16"/>
            <w:szCs w:val="16"/>
          </w:rPr>
          <w:t>digits</w:t>
        </w:r>
        <w:proofErr w:type="spellEnd"/>
        <w:r w:rsidRPr="003878FD">
          <w:rPr>
            <w:rStyle w:val="Hyperlink"/>
            <w:rFonts w:ascii="Verdana" w:hAnsi="Verdana"/>
            <w:sz w:val="16"/>
            <w:szCs w:val="16"/>
          </w:rPr>
          <w:t>, divisie 00-43)</w:t>
        </w:r>
      </w:hyperlink>
      <w:r w:rsidRPr="003878FD">
        <w:rPr>
          <w:rFonts w:ascii="Verdana" w:hAnsi="Verdana"/>
          <w:sz w:val="16"/>
          <w:szCs w:val="16"/>
        </w:rPr>
        <w:t xml:space="preserve">. </w:t>
      </w:r>
    </w:p>
  </w:footnote>
  <w:footnote w:id="16">
    <w:p w14:paraId="587AE29C" w14:textId="77777777" w:rsidR="00B43B67" w:rsidRPr="00AC79F2" w:rsidRDefault="00B43B67" w:rsidP="00B43B67">
      <w:pPr>
        <w:pStyle w:val="FootnoteText"/>
        <w:rPr>
          <w:rFonts w:ascii="Verdana" w:hAnsi="Verdana"/>
          <w:sz w:val="16"/>
          <w:szCs w:val="16"/>
        </w:rPr>
      </w:pPr>
      <w:r w:rsidRPr="00AC79F2">
        <w:rPr>
          <w:rStyle w:val="FootnoteReference"/>
          <w:rFonts w:ascii="Verdana" w:hAnsi="Verdana"/>
          <w:sz w:val="16"/>
          <w:szCs w:val="16"/>
        </w:rPr>
        <w:footnoteRef/>
      </w:r>
      <w:r w:rsidRPr="00AC79F2">
        <w:rPr>
          <w:rFonts w:ascii="Verdana" w:hAnsi="Verdana"/>
          <w:sz w:val="16"/>
          <w:szCs w:val="16"/>
        </w:rPr>
        <w:t xml:space="preserve"> </w:t>
      </w:r>
      <w:r w:rsidRPr="003878FD">
        <w:rPr>
          <w:rFonts w:ascii="Verdana" w:hAnsi="Verdana"/>
          <w:sz w:val="16"/>
          <w:szCs w:val="16"/>
        </w:rPr>
        <w:t xml:space="preserve">Op basis van cijfers onder Statline, CBS: </w:t>
      </w:r>
      <w:hyperlink r:id="rId13" w:anchor="/CBS/nl/dataset/85680NED/table?ts=1746520636345" w:history="1">
        <w:proofErr w:type="spellStart"/>
        <w:r w:rsidRPr="003878FD">
          <w:rPr>
            <w:rStyle w:val="Hyperlink"/>
            <w:rFonts w:ascii="Verdana" w:hAnsi="Verdana"/>
            <w:sz w:val="16"/>
            <w:szCs w:val="16"/>
          </w:rPr>
          <w:t>StatLine</w:t>
        </w:r>
        <w:proofErr w:type="spellEnd"/>
        <w:r w:rsidRPr="003878FD">
          <w:rPr>
            <w:rStyle w:val="Hyperlink"/>
            <w:rFonts w:ascii="Verdana" w:hAnsi="Verdana"/>
            <w:sz w:val="16"/>
            <w:szCs w:val="16"/>
          </w:rPr>
          <w:t xml:space="preserve"> - Goederenhandel; grensoverschrijding, SITC (5 </w:t>
        </w:r>
        <w:proofErr w:type="spellStart"/>
        <w:r w:rsidRPr="003878FD">
          <w:rPr>
            <w:rStyle w:val="Hyperlink"/>
            <w:rFonts w:ascii="Verdana" w:hAnsi="Verdana"/>
            <w:sz w:val="16"/>
            <w:szCs w:val="16"/>
          </w:rPr>
          <w:t>digits</w:t>
        </w:r>
        <w:proofErr w:type="spellEnd"/>
        <w:r w:rsidRPr="003878FD">
          <w:rPr>
            <w:rStyle w:val="Hyperlink"/>
            <w:rFonts w:ascii="Verdana" w:hAnsi="Verdana"/>
            <w:sz w:val="16"/>
            <w:szCs w:val="16"/>
          </w:rPr>
          <w:t>, divisie 00-43)</w:t>
        </w:r>
      </w:hyperlink>
      <w:r w:rsidRPr="003878FD">
        <w:rPr>
          <w:rFonts w:ascii="Verdana" w:hAnsi="Verdana"/>
          <w:sz w:val="16"/>
          <w:szCs w:val="16"/>
        </w:rPr>
        <w:t xml:space="preserve">. </w:t>
      </w:r>
    </w:p>
  </w:footnote>
  <w:footnote w:id="17">
    <w:p w14:paraId="7D5470C1" w14:textId="77777777" w:rsidR="00B43B67" w:rsidRPr="00AC79F2" w:rsidRDefault="00B43B67" w:rsidP="00B43B67">
      <w:pPr>
        <w:pStyle w:val="FootnoteText"/>
        <w:rPr>
          <w:rFonts w:ascii="Verdana" w:hAnsi="Verdana"/>
          <w:sz w:val="16"/>
          <w:szCs w:val="16"/>
          <w:lang w:val="en-US"/>
        </w:rPr>
      </w:pPr>
      <w:r w:rsidRPr="003878FD">
        <w:rPr>
          <w:rStyle w:val="FootnoteReference"/>
          <w:rFonts w:ascii="Verdana" w:hAnsi="Verdana"/>
          <w:sz w:val="16"/>
          <w:szCs w:val="16"/>
        </w:rPr>
        <w:footnoteRef/>
      </w:r>
      <w:r w:rsidRPr="00AC79F2">
        <w:rPr>
          <w:rFonts w:ascii="Verdana" w:hAnsi="Verdana"/>
          <w:sz w:val="16"/>
          <w:szCs w:val="16"/>
          <w:lang w:val="en-US"/>
        </w:rPr>
        <w:t xml:space="preserve"> Ex-post evaluations, via </w:t>
      </w:r>
      <w:hyperlink r:id="rId14" w:history="1">
        <w:r w:rsidRPr="00AC79F2">
          <w:rPr>
            <w:rStyle w:val="Hyperlink"/>
            <w:rFonts w:ascii="Verdana" w:hAnsi="Verdana"/>
            <w:sz w:val="16"/>
            <w:szCs w:val="16"/>
            <w:lang w:val="en-US"/>
          </w:rPr>
          <w:t>https://policy.trade.ec.europa.eu/analysis-and-assessment/ex-post-evaluations_en</w:t>
        </w:r>
      </w:hyperlink>
    </w:p>
  </w:footnote>
  <w:footnote w:id="18">
    <w:p w14:paraId="52509463" w14:textId="4B23FFC1" w:rsidR="006677AE" w:rsidRPr="00AC79F2" w:rsidRDefault="006677AE">
      <w:pPr>
        <w:pStyle w:val="FootnoteText"/>
        <w:rPr>
          <w:rFonts w:ascii="Verdana" w:hAnsi="Verdana"/>
          <w:sz w:val="16"/>
          <w:szCs w:val="16"/>
          <w:lang w:val="en-US"/>
        </w:rPr>
      </w:pPr>
      <w:r w:rsidRPr="00AC79F2">
        <w:rPr>
          <w:rStyle w:val="FootnoteReference"/>
          <w:rFonts w:ascii="Verdana" w:hAnsi="Verdana"/>
          <w:sz w:val="16"/>
          <w:szCs w:val="16"/>
        </w:rPr>
        <w:footnoteRef/>
      </w:r>
      <w:r w:rsidRPr="00AC79F2">
        <w:rPr>
          <w:rFonts w:ascii="Verdana" w:hAnsi="Verdana"/>
          <w:sz w:val="16"/>
          <w:szCs w:val="16"/>
          <w:lang w:val="en-US"/>
        </w:rPr>
        <w:t xml:space="preserve"> Commission staff working document evaluation of the impact of the Comprehensive Economic and Trade Agreement between the EU and its Member States and Canada, SWD(2025) 363 final, via </w:t>
      </w:r>
      <w:hyperlink r:id="rId15" w:history="1">
        <w:proofErr w:type="spellStart"/>
        <w:r w:rsidRPr="00AC79F2">
          <w:rPr>
            <w:rStyle w:val="Hyperlink"/>
            <w:rFonts w:ascii="Verdana" w:hAnsi="Verdana"/>
            <w:sz w:val="16"/>
            <w:szCs w:val="16"/>
            <w:lang w:val="en-US"/>
          </w:rPr>
          <w:t>Circabc</w:t>
        </w:r>
        <w:proofErr w:type="spellEnd"/>
      </w:hyperlink>
    </w:p>
  </w:footnote>
  <w:footnote w:id="19">
    <w:p w14:paraId="2B76A682" w14:textId="0351A1FD" w:rsidR="00B43B67" w:rsidRPr="003219A5" w:rsidRDefault="00B43B67" w:rsidP="00B43B67">
      <w:pPr>
        <w:pStyle w:val="FootnoteText"/>
        <w:rPr>
          <w:rFonts w:ascii="Verdana" w:hAnsi="Verdana"/>
          <w:sz w:val="16"/>
          <w:szCs w:val="16"/>
        </w:rPr>
      </w:pPr>
      <w:r w:rsidRPr="00AC79F2">
        <w:rPr>
          <w:rStyle w:val="FootnoteReference"/>
          <w:rFonts w:ascii="Verdana" w:hAnsi="Verdana"/>
          <w:sz w:val="16"/>
          <w:szCs w:val="16"/>
        </w:rPr>
        <w:footnoteRef/>
      </w:r>
      <w:r w:rsidRPr="00AC79F2">
        <w:rPr>
          <w:rFonts w:ascii="Verdana" w:hAnsi="Verdana"/>
          <w:sz w:val="16"/>
          <w:szCs w:val="16"/>
        </w:rPr>
        <w:t xml:space="preserve"> </w:t>
      </w:r>
      <w:r w:rsidRPr="003878FD">
        <w:rPr>
          <w:rFonts w:ascii="Verdana" w:hAnsi="Verdana"/>
          <w:sz w:val="16"/>
          <w:szCs w:val="16"/>
        </w:rPr>
        <w:t xml:space="preserve">Zie </w:t>
      </w:r>
      <w:r w:rsidR="00BA3F6E" w:rsidRPr="00D764D8">
        <w:rPr>
          <w:rFonts w:ascii="Verdana" w:hAnsi="Verdana"/>
          <w:sz w:val="16"/>
          <w:szCs w:val="16"/>
        </w:rPr>
        <w:t>Brief van Commissaris Hogan over de zorgen die zijn geuit in uw Kamer en in de samenleving</w:t>
      </w:r>
      <w:r w:rsidR="00BA3F6E">
        <w:rPr>
          <w:rFonts w:ascii="Verdana" w:hAnsi="Verdana"/>
          <w:sz w:val="16"/>
          <w:szCs w:val="16"/>
        </w:rPr>
        <w:t xml:space="preserve">, bijlage bij Kamerstuk </w:t>
      </w:r>
      <w:r w:rsidR="00BA3F6E" w:rsidRPr="00BA3F6E">
        <w:rPr>
          <w:rFonts w:ascii="Verdana" w:hAnsi="Verdana"/>
          <w:sz w:val="16"/>
          <w:szCs w:val="16"/>
        </w:rPr>
        <w:t>35</w:t>
      </w:r>
      <w:r w:rsidR="00BA3F6E">
        <w:rPr>
          <w:rFonts w:ascii="Verdana" w:hAnsi="Verdana"/>
          <w:sz w:val="16"/>
          <w:szCs w:val="16"/>
        </w:rPr>
        <w:t xml:space="preserve"> </w:t>
      </w:r>
      <w:r w:rsidR="00BA3F6E" w:rsidRPr="00BA3F6E">
        <w:rPr>
          <w:rFonts w:ascii="Verdana" w:hAnsi="Verdana"/>
          <w:sz w:val="16"/>
          <w:szCs w:val="16"/>
        </w:rPr>
        <w:t>154</w:t>
      </w:r>
      <w:r w:rsidR="00BA3F6E">
        <w:rPr>
          <w:rFonts w:ascii="Verdana" w:hAnsi="Verdana"/>
          <w:sz w:val="16"/>
          <w:szCs w:val="16"/>
        </w:rPr>
        <w:t xml:space="preserve"> -</w:t>
      </w:r>
      <w:r w:rsidR="00BA3F6E" w:rsidRPr="00BA3F6E">
        <w:rPr>
          <w:rFonts w:ascii="Verdana" w:hAnsi="Verdana"/>
          <w:sz w:val="16"/>
          <w:szCs w:val="16"/>
        </w:rPr>
        <w:t>26</w:t>
      </w:r>
    </w:p>
  </w:footnote>
  <w:footnote w:id="20">
    <w:p w14:paraId="01DE8F97" w14:textId="110540CD" w:rsidR="00B43B67" w:rsidRPr="00664E98" w:rsidRDefault="00B43B67" w:rsidP="00B43B67">
      <w:pPr>
        <w:rPr>
          <w:rFonts w:eastAsia="Times New Roman" w:cs="Times New Roman"/>
        </w:rPr>
      </w:pPr>
      <w:r w:rsidRPr="00664E98">
        <w:rPr>
          <w:rStyle w:val="FootnoteReference"/>
          <w:sz w:val="16"/>
          <w:szCs w:val="16"/>
        </w:rPr>
        <w:footnoteRef/>
      </w:r>
      <w:r w:rsidRPr="00664E98">
        <w:rPr>
          <w:sz w:val="16"/>
          <w:szCs w:val="16"/>
        </w:rPr>
        <w:t xml:space="preserve"> Motie van de leden Voordewind en </w:t>
      </w:r>
      <w:proofErr w:type="spellStart"/>
      <w:r w:rsidRPr="00664E98">
        <w:rPr>
          <w:sz w:val="16"/>
          <w:szCs w:val="16"/>
        </w:rPr>
        <w:t>Amhaouch</w:t>
      </w:r>
      <w:proofErr w:type="spellEnd"/>
      <w:r w:rsidR="00BA3F6E">
        <w:rPr>
          <w:sz w:val="16"/>
          <w:szCs w:val="16"/>
        </w:rPr>
        <w:t xml:space="preserve">, </w:t>
      </w:r>
      <w:r w:rsidRPr="00664E98">
        <w:rPr>
          <w:sz w:val="16"/>
          <w:szCs w:val="16"/>
        </w:rPr>
        <w:t xml:space="preserve">35 154, </w:t>
      </w:r>
      <w:r w:rsidR="002B7024">
        <w:rPr>
          <w:sz w:val="16"/>
          <w:szCs w:val="16"/>
        </w:rPr>
        <w:t>n</w:t>
      </w:r>
      <w:r w:rsidRPr="00664E98">
        <w:rPr>
          <w:sz w:val="16"/>
          <w:szCs w:val="16"/>
        </w:rPr>
        <w:t>r. 20</w:t>
      </w:r>
    </w:p>
  </w:footnote>
  <w:footnote w:id="21">
    <w:p w14:paraId="2B3196A7" w14:textId="77777777" w:rsidR="00B43B67" w:rsidRPr="003878FD" w:rsidRDefault="00B43B67" w:rsidP="00B43B67">
      <w:pPr>
        <w:pStyle w:val="FootnoteText"/>
        <w:rPr>
          <w:rFonts w:ascii="Verdana" w:hAnsi="Verdana"/>
          <w:sz w:val="16"/>
          <w:szCs w:val="16"/>
          <w:lang w:val="en-US"/>
        </w:rPr>
      </w:pPr>
      <w:r w:rsidRPr="003878FD">
        <w:rPr>
          <w:rStyle w:val="FootnoteReference"/>
          <w:rFonts w:ascii="Verdana" w:hAnsi="Verdana"/>
          <w:sz w:val="16"/>
          <w:szCs w:val="16"/>
        </w:rPr>
        <w:footnoteRef/>
      </w:r>
      <w:r w:rsidRPr="003878FD">
        <w:rPr>
          <w:rFonts w:ascii="Verdana" w:hAnsi="Verdana"/>
          <w:sz w:val="16"/>
          <w:szCs w:val="16"/>
          <w:lang w:val="en-US"/>
        </w:rPr>
        <w:t xml:space="preserve"> </w:t>
      </w:r>
      <w:hyperlink r:id="rId16" w:history="1">
        <w:r w:rsidRPr="003878FD">
          <w:rPr>
            <w:rStyle w:val="Hyperlink"/>
            <w:rFonts w:ascii="Verdana" w:hAnsi="Verdana"/>
            <w:sz w:val="16"/>
            <w:szCs w:val="16"/>
            <w:lang w:val="en-US"/>
          </w:rPr>
          <w:t>Food Audits and Analysis | Food Safety (europa.eu)</w:t>
        </w:r>
      </w:hyperlink>
    </w:p>
  </w:footnote>
  <w:footnote w:id="22">
    <w:p w14:paraId="286D5538" w14:textId="77777777" w:rsidR="00B43B67" w:rsidRPr="003878FD" w:rsidRDefault="00B43B67" w:rsidP="00B43B67">
      <w:pPr>
        <w:pStyle w:val="FootnoteText"/>
        <w:rPr>
          <w:rFonts w:ascii="Verdana" w:hAnsi="Verdana"/>
          <w:sz w:val="16"/>
          <w:szCs w:val="16"/>
        </w:rPr>
      </w:pPr>
      <w:r w:rsidRPr="003878FD">
        <w:rPr>
          <w:rStyle w:val="FootnoteReference"/>
          <w:rFonts w:ascii="Verdana" w:hAnsi="Verdana"/>
          <w:sz w:val="16"/>
          <w:szCs w:val="16"/>
        </w:rPr>
        <w:footnoteRef/>
      </w:r>
      <w:r w:rsidRPr="003878FD">
        <w:rPr>
          <w:rFonts w:ascii="Verdana" w:hAnsi="Verdana"/>
          <w:sz w:val="16"/>
          <w:szCs w:val="16"/>
        </w:rPr>
        <w:t xml:space="preserve"> Artikel 23.2 en artikel 23.4 van CETA, zie: </w:t>
      </w:r>
      <w:hyperlink r:id="rId17" w:anchor="d1e14356-23-1" w:history="1">
        <w:r w:rsidRPr="003878FD">
          <w:rPr>
            <w:rStyle w:val="Hyperlink"/>
            <w:rFonts w:ascii="Verdana" w:hAnsi="Verdana"/>
            <w:sz w:val="16"/>
            <w:szCs w:val="16"/>
          </w:rPr>
          <w:t>EUR-Lex - 22017A0114(01) - EN - EUR-Lex (europa.eu)</w:t>
        </w:r>
      </w:hyperlink>
    </w:p>
  </w:footnote>
  <w:footnote w:id="23">
    <w:p w14:paraId="056B02F0" w14:textId="77777777" w:rsidR="00B43B67" w:rsidRPr="00697EBE" w:rsidRDefault="00B43B67" w:rsidP="00B43B67">
      <w:pPr>
        <w:pStyle w:val="FootnoteText"/>
        <w:rPr>
          <w:rFonts w:ascii="Verdana" w:hAnsi="Verdana"/>
          <w:sz w:val="16"/>
          <w:szCs w:val="16"/>
        </w:rPr>
      </w:pPr>
      <w:r w:rsidRPr="003878FD">
        <w:rPr>
          <w:rStyle w:val="FootnoteReference"/>
          <w:rFonts w:ascii="Verdana" w:hAnsi="Verdana"/>
          <w:sz w:val="16"/>
          <w:szCs w:val="16"/>
        </w:rPr>
        <w:footnoteRef/>
      </w:r>
      <w:r w:rsidRPr="003878FD">
        <w:rPr>
          <w:rFonts w:ascii="Verdana" w:hAnsi="Verdana"/>
          <w:sz w:val="16"/>
          <w:szCs w:val="16"/>
        </w:rPr>
        <w:t xml:space="preserve"> Hoofdstuk 24 van CETA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D838B" w14:textId="77777777" w:rsidR="00E058A8" w:rsidRDefault="00E058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CDC63" w14:textId="03684F87" w:rsidR="00B97719" w:rsidRDefault="00B43B67">
    <w:r>
      <w:rPr>
        <w:noProof/>
      </w:rPr>
      <mc:AlternateContent>
        <mc:Choice Requires="wps">
          <w:drawing>
            <wp:anchor distT="0" distB="0" distL="0" distR="0" simplePos="0" relativeHeight="251658240" behindDoc="0" locked="1" layoutInCell="1" allowOverlap="1" wp14:anchorId="628CDC67" wp14:editId="628CDC68">
              <wp:simplePos x="0" y="0"/>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28CDC9A" w14:textId="77777777" w:rsidR="00B97719" w:rsidRDefault="00B43B67">
                          <w:pPr>
                            <w:pStyle w:val="Referentiegegevensbold"/>
                          </w:pPr>
                          <w:r>
                            <w:t>Ministerie van Buitenlandse Zaken</w:t>
                          </w:r>
                        </w:p>
                        <w:p w14:paraId="628CDC9B" w14:textId="77777777" w:rsidR="00B97719" w:rsidRDefault="00B97719">
                          <w:pPr>
                            <w:pStyle w:val="WitregelW2"/>
                          </w:pPr>
                        </w:p>
                        <w:p w14:paraId="628CDC9C" w14:textId="77777777" w:rsidR="00B97719" w:rsidRDefault="00B43B67">
                          <w:pPr>
                            <w:pStyle w:val="Referentiegegevensbold"/>
                          </w:pPr>
                          <w:r>
                            <w:t>Onze referentie</w:t>
                          </w:r>
                        </w:p>
                        <w:p w14:paraId="628CDC9D" w14:textId="77777777" w:rsidR="00B97719" w:rsidRDefault="00B43B67">
                          <w:pPr>
                            <w:pStyle w:val="Referentiegegevens"/>
                          </w:pPr>
                          <w:r>
                            <w:t>BZ2515924</w:t>
                          </w:r>
                        </w:p>
                      </w:txbxContent>
                    </wps:txbx>
                    <wps:bodyPr vert="horz" wrap="square" lIns="0" tIns="0" rIns="0" bIns="0" anchor="t" anchorCtr="0"/>
                  </wps:wsp>
                </a:graphicData>
              </a:graphic>
            </wp:anchor>
          </w:drawing>
        </mc:Choice>
        <mc:Fallback>
          <w:pict>
            <v:shapetype w14:anchorId="628CDC67"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628CDC9A" w14:textId="77777777" w:rsidR="00B97719" w:rsidRDefault="00B43B67">
                    <w:pPr>
                      <w:pStyle w:val="Referentiegegevensbold"/>
                    </w:pPr>
                    <w:r>
                      <w:t>Ministerie van Buitenlandse Zaken</w:t>
                    </w:r>
                  </w:p>
                  <w:p w14:paraId="628CDC9B" w14:textId="77777777" w:rsidR="00B97719" w:rsidRDefault="00B97719">
                    <w:pPr>
                      <w:pStyle w:val="WitregelW2"/>
                    </w:pPr>
                  </w:p>
                  <w:p w14:paraId="628CDC9C" w14:textId="77777777" w:rsidR="00B97719" w:rsidRDefault="00B43B67">
                    <w:pPr>
                      <w:pStyle w:val="Referentiegegevensbold"/>
                    </w:pPr>
                    <w:r>
                      <w:t>Onze referentie</w:t>
                    </w:r>
                  </w:p>
                  <w:p w14:paraId="628CDC9D" w14:textId="77777777" w:rsidR="00B97719" w:rsidRDefault="00B43B67">
                    <w:pPr>
                      <w:pStyle w:val="Referentiegegevens"/>
                    </w:pPr>
                    <w:r>
                      <w:t>BZ2515924</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628CDC6B" wp14:editId="53BFA56A">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28CDCAB" w14:textId="77777777" w:rsidR="00B43B67" w:rsidRDefault="00B43B67"/>
                      </w:txbxContent>
                    </wps:txbx>
                    <wps:bodyPr vert="horz" wrap="square" lIns="0" tIns="0" rIns="0" bIns="0" anchor="t" anchorCtr="0"/>
                  </wps:wsp>
                </a:graphicData>
              </a:graphic>
            </wp:anchor>
          </w:drawing>
        </mc:Choice>
        <mc:Fallback>
          <w:pict>
            <v:shape w14:anchorId="628CDC6B"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628CDCAB" w14:textId="77777777" w:rsidR="00B43B67" w:rsidRDefault="00B43B67"/>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CDC65" w14:textId="270772D0" w:rsidR="00B97719" w:rsidRDefault="00B43B67">
    <w:pPr>
      <w:spacing w:after="7131" w:line="14" w:lineRule="exact"/>
    </w:pPr>
    <w:r>
      <w:rPr>
        <w:noProof/>
      </w:rPr>
      <mc:AlternateContent>
        <mc:Choice Requires="wps">
          <w:drawing>
            <wp:anchor distT="0" distB="0" distL="0" distR="0" simplePos="0" relativeHeight="251658243" behindDoc="0" locked="1" layoutInCell="1" allowOverlap="1" wp14:anchorId="628CDC6D" wp14:editId="628CDC6E">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628CDC9F" w14:textId="77777777" w:rsidR="00B43B67" w:rsidRDefault="00B43B67"/>
                      </w:txbxContent>
                    </wps:txbx>
                    <wps:bodyPr vert="horz" wrap="square" lIns="0" tIns="0" rIns="0" bIns="0" anchor="t" anchorCtr="0"/>
                  </wps:wsp>
                </a:graphicData>
              </a:graphic>
            </wp:anchor>
          </w:drawing>
        </mc:Choice>
        <mc:Fallback>
          <w:pict>
            <v:shapetype w14:anchorId="628CDC6D"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628CDC9F" w14:textId="77777777" w:rsidR="00B43B67" w:rsidRDefault="00B43B67"/>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628CDC6F" wp14:editId="628CDC70">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28CDC7E" w14:textId="77777777" w:rsidR="00B97719" w:rsidRDefault="00B43B67">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628CDC6F"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628CDC7E" w14:textId="77777777" w:rsidR="00B97719" w:rsidRDefault="00B43B67">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628CDC71" wp14:editId="628CDC72">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B97719" w14:paraId="628CDC81" w14:textId="77777777">
                            <w:tc>
                              <w:tcPr>
                                <w:tcW w:w="678" w:type="dxa"/>
                              </w:tcPr>
                              <w:p w14:paraId="628CDC7F" w14:textId="77777777" w:rsidR="00B97719" w:rsidRDefault="00B43B67">
                                <w:r>
                                  <w:t>Datum</w:t>
                                </w:r>
                              </w:p>
                            </w:tc>
                            <w:tc>
                              <w:tcPr>
                                <w:tcW w:w="6851" w:type="dxa"/>
                              </w:tcPr>
                              <w:p w14:paraId="628CDC80" w14:textId="68EDDA96" w:rsidR="00B97719" w:rsidRDefault="00C237C8">
                                <w:r>
                                  <w:t xml:space="preserve"> </w:t>
                                </w:r>
                                <w:r w:rsidR="00E058A8">
                                  <w:t>7</w:t>
                                </w:r>
                                <w:r w:rsidR="00D764D8">
                                  <w:t xml:space="preserve"> </w:t>
                                </w:r>
                                <w:r>
                                  <w:t>mei</w:t>
                                </w:r>
                                <w:r w:rsidR="00515154">
                                  <w:t xml:space="preserve"> 2026</w:t>
                                </w:r>
                              </w:p>
                            </w:tc>
                          </w:tr>
                          <w:tr w:rsidR="00B97719" w14:paraId="628CDC86" w14:textId="77777777">
                            <w:tc>
                              <w:tcPr>
                                <w:tcW w:w="678" w:type="dxa"/>
                              </w:tcPr>
                              <w:p w14:paraId="628CDC82" w14:textId="77777777" w:rsidR="00B97719" w:rsidRDefault="00B43B67">
                                <w:r>
                                  <w:t>Betreft</w:t>
                                </w:r>
                              </w:p>
                              <w:p w14:paraId="628CDC83" w14:textId="77777777" w:rsidR="00B97719" w:rsidRDefault="00B97719"/>
                            </w:tc>
                            <w:tc>
                              <w:tcPr>
                                <w:tcW w:w="6851" w:type="dxa"/>
                              </w:tcPr>
                              <w:p w14:paraId="628CDC84" w14:textId="6495EDAE" w:rsidR="00B97719" w:rsidRDefault="00C237C8">
                                <w:r>
                                  <w:t>EU-Canada handelsrelatie</w:t>
                                </w:r>
                              </w:p>
                              <w:p w14:paraId="628CDC85" w14:textId="77777777" w:rsidR="00B97719" w:rsidRDefault="00B97719"/>
                            </w:tc>
                          </w:tr>
                        </w:tbl>
                        <w:p w14:paraId="628CDC87" w14:textId="77777777" w:rsidR="00B97719" w:rsidRDefault="00B97719"/>
                        <w:p w14:paraId="628CDC88" w14:textId="77777777" w:rsidR="00B97719" w:rsidRDefault="00B97719"/>
                      </w:txbxContent>
                    </wps:txbx>
                    <wps:bodyPr vert="horz" wrap="square" lIns="0" tIns="0" rIns="0" bIns="0" anchor="t" anchorCtr="0"/>
                  </wps:wsp>
                </a:graphicData>
              </a:graphic>
            </wp:anchor>
          </w:drawing>
        </mc:Choice>
        <mc:Fallback>
          <w:pict>
            <v:shape w14:anchorId="628CDC71"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B97719" w14:paraId="628CDC81" w14:textId="77777777">
                      <w:tc>
                        <w:tcPr>
                          <w:tcW w:w="678" w:type="dxa"/>
                        </w:tcPr>
                        <w:p w14:paraId="628CDC7F" w14:textId="77777777" w:rsidR="00B97719" w:rsidRDefault="00B43B67">
                          <w:r>
                            <w:t>Datum</w:t>
                          </w:r>
                        </w:p>
                      </w:tc>
                      <w:tc>
                        <w:tcPr>
                          <w:tcW w:w="6851" w:type="dxa"/>
                        </w:tcPr>
                        <w:p w14:paraId="628CDC80" w14:textId="68EDDA96" w:rsidR="00B97719" w:rsidRDefault="00C237C8">
                          <w:r>
                            <w:t xml:space="preserve"> </w:t>
                          </w:r>
                          <w:r w:rsidR="00E058A8">
                            <w:t>7</w:t>
                          </w:r>
                          <w:r w:rsidR="00D764D8">
                            <w:t xml:space="preserve"> </w:t>
                          </w:r>
                          <w:r>
                            <w:t>mei</w:t>
                          </w:r>
                          <w:r w:rsidR="00515154">
                            <w:t xml:space="preserve"> 2026</w:t>
                          </w:r>
                        </w:p>
                      </w:tc>
                    </w:tr>
                    <w:tr w:rsidR="00B97719" w14:paraId="628CDC86" w14:textId="77777777">
                      <w:tc>
                        <w:tcPr>
                          <w:tcW w:w="678" w:type="dxa"/>
                        </w:tcPr>
                        <w:p w14:paraId="628CDC82" w14:textId="77777777" w:rsidR="00B97719" w:rsidRDefault="00B43B67">
                          <w:r>
                            <w:t>Betreft</w:t>
                          </w:r>
                        </w:p>
                        <w:p w14:paraId="628CDC83" w14:textId="77777777" w:rsidR="00B97719" w:rsidRDefault="00B97719"/>
                      </w:tc>
                      <w:tc>
                        <w:tcPr>
                          <w:tcW w:w="6851" w:type="dxa"/>
                        </w:tcPr>
                        <w:p w14:paraId="628CDC84" w14:textId="6495EDAE" w:rsidR="00B97719" w:rsidRDefault="00C237C8">
                          <w:r>
                            <w:t>EU-Canada handelsrelatie</w:t>
                          </w:r>
                        </w:p>
                        <w:p w14:paraId="628CDC85" w14:textId="77777777" w:rsidR="00B97719" w:rsidRDefault="00B97719"/>
                      </w:tc>
                    </w:tr>
                  </w:tbl>
                  <w:p w14:paraId="628CDC87" w14:textId="77777777" w:rsidR="00B97719" w:rsidRDefault="00B97719"/>
                  <w:p w14:paraId="628CDC88" w14:textId="77777777" w:rsidR="00B97719" w:rsidRDefault="00B97719"/>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628CDC73" wp14:editId="628CDC74">
              <wp:simplePos x="0" y="0"/>
              <wp:positionH relativeFrom="page">
                <wp:posOffset>5921375</wp:posOffset>
              </wp:positionH>
              <wp:positionV relativeFrom="page">
                <wp:posOffset>1965325</wp:posOffset>
              </wp:positionV>
              <wp:extent cx="12776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28CDC89" w14:textId="77777777" w:rsidR="00B97719" w:rsidRDefault="00B43B67">
                          <w:pPr>
                            <w:pStyle w:val="Referentiegegevensbold"/>
                          </w:pPr>
                          <w:r>
                            <w:t>Ministerie van Buitenlandse Zaken</w:t>
                          </w:r>
                        </w:p>
                        <w:p w14:paraId="628CDC8A" w14:textId="77777777" w:rsidR="00B97719" w:rsidRDefault="00B97719">
                          <w:pPr>
                            <w:pStyle w:val="WitregelW1"/>
                          </w:pPr>
                        </w:p>
                        <w:p w14:paraId="628CDC8B" w14:textId="77777777" w:rsidR="00B97719" w:rsidRPr="00D764D8" w:rsidRDefault="00B43B67" w:rsidP="00D764D8">
                          <w:pPr>
                            <w:pStyle w:val="Referentiegegevens"/>
                            <w:spacing w:line="360" w:lineRule="auto"/>
                          </w:pPr>
                          <w:r w:rsidRPr="00D764D8">
                            <w:t>Rijnstraat 8</w:t>
                          </w:r>
                        </w:p>
                        <w:p w14:paraId="628CDC8C" w14:textId="77777777" w:rsidR="00B97719" w:rsidRPr="00D764D8" w:rsidRDefault="00B43B67" w:rsidP="00D764D8">
                          <w:pPr>
                            <w:pStyle w:val="Referentiegegevens"/>
                            <w:spacing w:line="360" w:lineRule="auto"/>
                            <w:rPr>
                              <w:lang w:val="da-DK"/>
                            </w:rPr>
                          </w:pPr>
                          <w:r w:rsidRPr="00D764D8">
                            <w:rPr>
                              <w:lang w:val="da-DK"/>
                            </w:rPr>
                            <w:t>2515 XP  Den Haag</w:t>
                          </w:r>
                        </w:p>
                        <w:p w14:paraId="7BA263AA" w14:textId="76AF772D" w:rsidR="00D764D8" w:rsidRPr="00D764D8" w:rsidRDefault="00D764D8" w:rsidP="00D764D8">
                          <w:pPr>
                            <w:spacing w:line="360" w:lineRule="auto"/>
                            <w:rPr>
                              <w:sz w:val="13"/>
                              <w:szCs w:val="13"/>
                              <w:lang w:val="da-DK"/>
                            </w:rPr>
                          </w:pPr>
                          <w:r w:rsidRPr="00D764D8">
                            <w:rPr>
                              <w:sz w:val="13"/>
                              <w:szCs w:val="13"/>
                              <w:lang w:val="da-DK"/>
                            </w:rPr>
                            <w:t>Postbus 20061</w:t>
                          </w:r>
                        </w:p>
                        <w:p w14:paraId="630D48CC" w14:textId="0C4EE500" w:rsidR="00D764D8" w:rsidRPr="00D764D8" w:rsidRDefault="00D764D8" w:rsidP="00D764D8">
                          <w:pPr>
                            <w:spacing w:line="360" w:lineRule="auto"/>
                            <w:rPr>
                              <w:sz w:val="13"/>
                              <w:szCs w:val="13"/>
                              <w:lang w:val="da-DK"/>
                            </w:rPr>
                          </w:pPr>
                          <w:r w:rsidRPr="00D764D8">
                            <w:rPr>
                              <w:sz w:val="13"/>
                              <w:szCs w:val="13"/>
                              <w:lang w:val="da-DK"/>
                            </w:rPr>
                            <w:t>Nederland</w:t>
                          </w:r>
                        </w:p>
                        <w:p w14:paraId="628CDC90" w14:textId="5C2E198E" w:rsidR="00B97719" w:rsidRPr="00D764D8" w:rsidRDefault="00D764D8" w:rsidP="00D764D8">
                          <w:pPr>
                            <w:pStyle w:val="Referentiegegevens"/>
                            <w:spacing w:line="360" w:lineRule="auto"/>
                            <w:rPr>
                              <w:lang w:val="da-DK"/>
                            </w:rPr>
                          </w:pPr>
                          <w:r w:rsidRPr="00D764D8">
                            <w:rPr>
                              <w:lang w:val="da-DK"/>
                            </w:rPr>
                            <w:t>www.minbuza.nl</w:t>
                          </w:r>
                        </w:p>
                        <w:p w14:paraId="628CDC91" w14:textId="77777777" w:rsidR="00B97719" w:rsidRPr="00D764D8" w:rsidRDefault="00B97719">
                          <w:pPr>
                            <w:pStyle w:val="WitregelW2"/>
                            <w:rPr>
                              <w:lang w:val="da-DK"/>
                            </w:rPr>
                          </w:pPr>
                        </w:p>
                        <w:p w14:paraId="628CDC92" w14:textId="77777777" w:rsidR="00B97719" w:rsidRDefault="00B43B67">
                          <w:pPr>
                            <w:pStyle w:val="Referentiegegevensbold"/>
                          </w:pPr>
                          <w:r>
                            <w:t>Onze referentie</w:t>
                          </w:r>
                        </w:p>
                        <w:p w14:paraId="628CDC93" w14:textId="77777777" w:rsidR="00B97719" w:rsidRDefault="00B43B67">
                          <w:pPr>
                            <w:pStyle w:val="Referentiegegevens"/>
                          </w:pPr>
                          <w:r>
                            <w:t>BZ2515924</w:t>
                          </w:r>
                        </w:p>
                        <w:p w14:paraId="628CDC94" w14:textId="77777777" w:rsidR="00B97719" w:rsidRDefault="00B97719">
                          <w:pPr>
                            <w:pStyle w:val="WitregelW1"/>
                          </w:pPr>
                        </w:p>
                        <w:p w14:paraId="628CDC95" w14:textId="77777777" w:rsidR="00B97719" w:rsidRDefault="00B43B67">
                          <w:pPr>
                            <w:pStyle w:val="Referentiegegevensbold"/>
                          </w:pPr>
                          <w:r>
                            <w:t>Bijlage(n)</w:t>
                          </w:r>
                        </w:p>
                        <w:p w14:paraId="628CDC96" w14:textId="77777777" w:rsidR="00B97719" w:rsidRDefault="00B43B67">
                          <w:pPr>
                            <w:pStyle w:val="Referentiegegevens"/>
                          </w:pPr>
                          <w:r>
                            <w:t>-</w:t>
                          </w:r>
                        </w:p>
                      </w:txbxContent>
                    </wps:txbx>
                    <wps:bodyPr vert="horz" wrap="square" lIns="0" tIns="0" rIns="0" bIns="0" anchor="t" anchorCtr="0"/>
                  </wps:wsp>
                </a:graphicData>
              </a:graphic>
            </wp:anchor>
          </w:drawing>
        </mc:Choice>
        <mc:Fallback>
          <w:pict>
            <v:shape w14:anchorId="628CDC73" id="41b10cd4-80a4-11ea-b356-6230a4311406" o:spid="_x0000_s1031" type="#_x0000_t202" style="position:absolute;margin-left:466.25pt;margin-top:154.75pt;width:100.6pt;height:630.7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628CDC89" w14:textId="77777777" w:rsidR="00B97719" w:rsidRDefault="00B43B67">
                    <w:pPr>
                      <w:pStyle w:val="Referentiegegevensbold"/>
                    </w:pPr>
                    <w:r>
                      <w:t>Ministerie van Buitenlandse Zaken</w:t>
                    </w:r>
                  </w:p>
                  <w:p w14:paraId="628CDC8A" w14:textId="77777777" w:rsidR="00B97719" w:rsidRDefault="00B97719">
                    <w:pPr>
                      <w:pStyle w:val="WitregelW1"/>
                    </w:pPr>
                  </w:p>
                  <w:p w14:paraId="628CDC8B" w14:textId="77777777" w:rsidR="00B97719" w:rsidRPr="00D764D8" w:rsidRDefault="00B43B67" w:rsidP="00D764D8">
                    <w:pPr>
                      <w:pStyle w:val="Referentiegegevens"/>
                      <w:spacing w:line="360" w:lineRule="auto"/>
                    </w:pPr>
                    <w:r w:rsidRPr="00D764D8">
                      <w:t>Rijnstraat 8</w:t>
                    </w:r>
                  </w:p>
                  <w:p w14:paraId="628CDC8C" w14:textId="77777777" w:rsidR="00B97719" w:rsidRPr="00D764D8" w:rsidRDefault="00B43B67" w:rsidP="00D764D8">
                    <w:pPr>
                      <w:pStyle w:val="Referentiegegevens"/>
                      <w:spacing w:line="360" w:lineRule="auto"/>
                      <w:rPr>
                        <w:lang w:val="da-DK"/>
                      </w:rPr>
                    </w:pPr>
                    <w:r w:rsidRPr="00D764D8">
                      <w:rPr>
                        <w:lang w:val="da-DK"/>
                      </w:rPr>
                      <w:t>2515 XP  Den Haag</w:t>
                    </w:r>
                  </w:p>
                  <w:p w14:paraId="7BA263AA" w14:textId="76AF772D" w:rsidR="00D764D8" w:rsidRPr="00D764D8" w:rsidRDefault="00D764D8" w:rsidP="00D764D8">
                    <w:pPr>
                      <w:spacing w:line="360" w:lineRule="auto"/>
                      <w:rPr>
                        <w:sz w:val="13"/>
                        <w:szCs w:val="13"/>
                        <w:lang w:val="da-DK"/>
                      </w:rPr>
                    </w:pPr>
                    <w:r w:rsidRPr="00D764D8">
                      <w:rPr>
                        <w:sz w:val="13"/>
                        <w:szCs w:val="13"/>
                        <w:lang w:val="da-DK"/>
                      </w:rPr>
                      <w:t>Postbus 20061</w:t>
                    </w:r>
                  </w:p>
                  <w:p w14:paraId="630D48CC" w14:textId="0C4EE500" w:rsidR="00D764D8" w:rsidRPr="00D764D8" w:rsidRDefault="00D764D8" w:rsidP="00D764D8">
                    <w:pPr>
                      <w:spacing w:line="360" w:lineRule="auto"/>
                      <w:rPr>
                        <w:sz w:val="13"/>
                        <w:szCs w:val="13"/>
                        <w:lang w:val="da-DK"/>
                      </w:rPr>
                    </w:pPr>
                    <w:r w:rsidRPr="00D764D8">
                      <w:rPr>
                        <w:sz w:val="13"/>
                        <w:szCs w:val="13"/>
                        <w:lang w:val="da-DK"/>
                      </w:rPr>
                      <w:t>Nederland</w:t>
                    </w:r>
                  </w:p>
                  <w:p w14:paraId="628CDC90" w14:textId="5C2E198E" w:rsidR="00B97719" w:rsidRPr="00D764D8" w:rsidRDefault="00D764D8" w:rsidP="00D764D8">
                    <w:pPr>
                      <w:pStyle w:val="Referentiegegevens"/>
                      <w:spacing w:line="360" w:lineRule="auto"/>
                      <w:rPr>
                        <w:lang w:val="da-DK"/>
                      </w:rPr>
                    </w:pPr>
                    <w:r w:rsidRPr="00D764D8">
                      <w:rPr>
                        <w:lang w:val="da-DK"/>
                      </w:rPr>
                      <w:t>www.minbuza.nl</w:t>
                    </w:r>
                  </w:p>
                  <w:p w14:paraId="628CDC91" w14:textId="77777777" w:rsidR="00B97719" w:rsidRPr="00D764D8" w:rsidRDefault="00B97719">
                    <w:pPr>
                      <w:pStyle w:val="WitregelW2"/>
                      <w:rPr>
                        <w:lang w:val="da-DK"/>
                      </w:rPr>
                    </w:pPr>
                  </w:p>
                  <w:p w14:paraId="628CDC92" w14:textId="77777777" w:rsidR="00B97719" w:rsidRDefault="00B43B67">
                    <w:pPr>
                      <w:pStyle w:val="Referentiegegevensbold"/>
                    </w:pPr>
                    <w:r>
                      <w:t>Onze referentie</w:t>
                    </w:r>
                  </w:p>
                  <w:p w14:paraId="628CDC93" w14:textId="77777777" w:rsidR="00B97719" w:rsidRDefault="00B43B67">
                    <w:pPr>
                      <w:pStyle w:val="Referentiegegevens"/>
                    </w:pPr>
                    <w:r>
                      <w:t>BZ2515924</w:t>
                    </w:r>
                  </w:p>
                  <w:p w14:paraId="628CDC94" w14:textId="77777777" w:rsidR="00B97719" w:rsidRDefault="00B97719">
                    <w:pPr>
                      <w:pStyle w:val="WitregelW1"/>
                    </w:pPr>
                  </w:p>
                  <w:p w14:paraId="628CDC95" w14:textId="77777777" w:rsidR="00B97719" w:rsidRDefault="00B43B67">
                    <w:pPr>
                      <w:pStyle w:val="Referentiegegevensbold"/>
                    </w:pPr>
                    <w:r>
                      <w:t>Bijlage(n)</w:t>
                    </w:r>
                  </w:p>
                  <w:p w14:paraId="628CDC96" w14:textId="77777777" w:rsidR="00B97719" w:rsidRDefault="00B43B67">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628CDC77" wp14:editId="63CC5759">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28CDCA5" w14:textId="77777777" w:rsidR="00B43B67" w:rsidRDefault="00B43B67"/>
                      </w:txbxContent>
                    </wps:txbx>
                    <wps:bodyPr vert="horz" wrap="square" lIns="0" tIns="0" rIns="0" bIns="0" anchor="t" anchorCtr="0"/>
                  </wps:wsp>
                </a:graphicData>
              </a:graphic>
            </wp:anchor>
          </w:drawing>
        </mc:Choice>
        <mc:Fallback>
          <w:pict>
            <v:shape w14:anchorId="628CDC77"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628CDCA5" w14:textId="77777777" w:rsidR="00B43B67" w:rsidRDefault="00B43B67"/>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628CDC79" wp14:editId="628CDC7A">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28CDC98" w14:textId="77777777" w:rsidR="00B97719" w:rsidRDefault="00B43B67">
                          <w:pPr>
                            <w:spacing w:line="240" w:lineRule="auto"/>
                          </w:pPr>
                          <w:r>
                            <w:rPr>
                              <w:noProof/>
                            </w:rPr>
                            <w:drawing>
                              <wp:inline distT="0" distB="0" distL="0" distR="0" wp14:anchorId="628CDC9F" wp14:editId="628CDCA0">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28CDC79"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628CDC98" w14:textId="77777777" w:rsidR="00B97719" w:rsidRDefault="00B43B67">
                    <w:pPr>
                      <w:spacing w:line="240" w:lineRule="auto"/>
                    </w:pPr>
                    <w:r>
                      <w:rPr>
                        <w:noProof/>
                      </w:rPr>
                      <w:drawing>
                        <wp:inline distT="0" distB="0" distL="0" distR="0" wp14:anchorId="628CDC9F" wp14:editId="628CDCA0">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628CDC7B" wp14:editId="628CDC7C">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28CDC99" w14:textId="77777777" w:rsidR="00B97719" w:rsidRDefault="00B43B67">
                          <w:pPr>
                            <w:spacing w:line="240" w:lineRule="auto"/>
                          </w:pPr>
                          <w:r>
                            <w:rPr>
                              <w:noProof/>
                            </w:rPr>
                            <w:drawing>
                              <wp:inline distT="0" distB="0" distL="0" distR="0" wp14:anchorId="628CDCA1" wp14:editId="628CDCA2">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28CDC7B"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628CDC99" w14:textId="77777777" w:rsidR="00B97719" w:rsidRDefault="00B43B67">
                    <w:pPr>
                      <w:spacing w:line="240" w:lineRule="auto"/>
                    </w:pPr>
                    <w:r>
                      <w:rPr>
                        <w:noProof/>
                      </w:rPr>
                      <w:drawing>
                        <wp:inline distT="0" distB="0" distL="0" distR="0" wp14:anchorId="628CDCA1" wp14:editId="628CDCA2">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54CDABD"/>
    <w:multiLevelType w:val="multilevel"/>
    <w:tmpl w:val="768A31EE"/>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B5C9B7C3"/>
    <w:multiLevelType w:val="multilevel"/>
    <w:tmpl w:val="ECCD96DF"/>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0A20CE2"/>
    <w:multiLevelType w:val="multilevel"/>
    <w:tmpl w:val="B2B6275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2915C9B2"/>
    <w:multiLevelType w:val="multilevel"/>
    <w:tmpl w:val="2E950E84"/>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44A4CA59"/>
    <w:multiLevelType w:val="multilevel"/>
    <w:tmpl w:val="E3525BA2"/>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num w:numId="1" w16cid:durableId="1345210188">
    <w:abstractNumId w:val="4"/>
  </w:num>
  <w:num w:numId="2" w16cid:durableId="376784487">
    <w:abstractNumId w:val="3"/>
  </w:num>
  <w:num w:numId="3" w16cid:durableId="403375011">
    <w:abstractNumId w:val="2"/>
  </w:num>
  <w:num w:numId="4" w16cid:durableId="1388604662">
    <w:abstractNumId w:val="0"/>
  </w:num>
  <w:num w:numId="5" w16cid:durableId="16614186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460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719"/>
    <w:rsid w:val="00013114"/>
    <w:rsid w:val="00014F77"/>
    <w:rsid w:val="000467F6"/>
    <w:rsid w:val="000F44A3"/>
    <w:rsid w:val="001140D2"/>
    <w:rsid w:val="001326C5"/>
    <w:rsid w:val="0017604E"/>
    <w:rsid w:val="001A3DCE"/>
    <w:rsid w:val="001D5F17"/>
    <w:rsid w:val="001D6DDF"/>
    <w:rsid w:val="001F02D8"/>
    <w:rsid w:val="00201207"/>
    <w:rsid w:val="00204D6B"/>
    <w:rsid w:val="002300A0"/>
    <w:rsid w:val="0029422A"/>
    <w:rsid w:val="002A1A22"/>
    <w:rsid w:val="002B1ECF"/>
    <w:rsid w:val="002B7024"/>
    <w:rsid w:val="002C63FA"/>
    <w:rsid w:val="002E5D3B"/>
    <w:rsid w:val="00334307"/>
    <w:rsid w:val="00354B29"/>
    <w:rsid w:val="003810F6"/>
    <w:rsid w:val="00384252"/>
    <w:rsid w:val="0038753E"/>
    <w:rsid w:val="003878FD"/>
    <w:rsid w:val="00387ACC"/>
    <w:rsid w:val="003D7965"/>
    <w:rsid w:val="00405DF1"/>
    <w:rsid w:val="00416A07"/>
    <w:rsid w:val="00437E09"/>
    <w:rsid w:val="00496B02"/>
    <w:rsid w:val="00497AED"/>
    <w:rsid w:val="004A1353"/>
    <w:rsid w:val="004A37A6"/>
    <w:rsid w:val="004A66AC"/>
    <w:rsid w:val="004D07EB"/>
    <w:rsid w:val="004E3B58"/>
    <w:rsid w:val="00506CE8"/>
    <w:rsid w:val="00515154"/>
    <w:rsid w:val="00517E2E"/>
    <w:rsid w:val="00534769"/>
    <w:rsid w:val="00581DF4"/>
    <w:rsid w:val="005B0BFA"/>
    <w:rsid w:val="005C2DE9"/>
    <w:rsid w:val="005C5A87"/>
    <w:rsid w:val="005F5AB5"/>
    <w:rsid w:val="006677AE"/>
    <w:rsid w:val="006B2F0D"/>
    <w:rsid w:val="006C2E80"/>
    <w:rsid w:val="006E381F"/>
    <w:rsid w:val="00702C43"/>
    <w:rsid w:val="00706E15"/>
    <w:rsid w:val="00712EBE"/>
    <w:rsid w:val="00714068"/>
    <w:rsid w:val="00715370"/>
    <w:rsid w:val="00715C51"/>
    <w:rsid w:val="0072134C"/>
    <w:rsid w:val="007218C8"/>
    <w:rsid w:val="00751C08"/>
    <w:rsid w:val="00753BE1"/>
    <w:rsid w:val="007602D5"/>
    <w:rsid w:val="00772954"/>
    <w:rsid w:val="007800C9"/>
    <w:rsid w:val="00797D24"/>
    <w:rsid w:val="007B3BCE"/>
    <w:rsid w:val="007B6FEA"/>
    <w:rsid w:val="007B7440"/>
    <w:rsid w:val="007C53AC"/>
    <w:rsid w:val="007D3511"/>
    <w:rsid w:val="007E3064"/>
    <w:rsid w:val="00803DAB"/>
    <w:rsid w:val="008369A8"/>
    <w:rsid w:val="00853C57"/>
    <w:rsid w:val="008768FD"/>
    <w:rsid w:val="008B47AE"/>
    <w:rsid w:val="00937AAE"/>
    <w:rsid w:val="009416EB"/>
    <w:rsid w:val="00945C2F"/>
    <w:rsid w:val="00946F8C"/>
    <w:rsid w:val="00953E08"/>
    <w:rsid w:val="00974D07"/>
    <w:rsid w:val="0098173F"/>
    <w:rsid w:val="009B1CAD"/>
    <w:rsid w:val="009B7C56"/>
    <w:rsid w:val="009F39EA"/>
    <w:rsid w:val="00A06384"/>
    <w:rsid w:val="00A06F19"/>
    <w:rsid w:val="00A131EA"/>
    <w:rsid w:val="00A13B76"/>
    <w:rsid w:val="00A17D7F"/>
    <w:rsid w:val="00A20262"/>
    <w:rsid w:val="00A23991"/>
    <w:rsid w:val="00A406E9"/>
    <w:rsid w:val="00A46643"/>
    <w:rsid w:val="00AC6F6E"/>
    <w:rsid w:val="00AC79F2"/>
    <w:rsid w:val="00AE5A84"/>
    <w:rsid w:val="00B14F74"/>
    <w:rsid w:val="00B23098"/>
    <w:rsid w:val="00B43B67"/>
    <w:rsid w:val="00B61708"/>
    <w:rsid w:val="00B75FBF"/>
    <w:rsid w:val="00B767F3"/>
    <w:rsid w:val="00B90CE9"/>
    <w:rsid w:val="00B92756"/>
    <w:rsid w:val="00B97719"/>
    <w:rsid w:val="00BA3F6E"/>
    <w:rsid w:val="00BA74D4"/>
    <w:rsid w:val="00BB4F2A"/>
    <w:rsid w:val="00BC1818"/>
    <w:rsid w:val="00BD5FF5"/>
    <w:rsid w:val="00BE7A9E"/>
    <w:rsid w:val="00C237C8"/>
    <w:rsid w:val="00C2614A"/>
    <w:rsid w:val="00C27727"/>
    <w:rsid w:val="00C4330F"/>
    <w:rsid w:val="00C642E5"/>
    <w:rsid w:val="00C75DD9"/>
    <w:rsid w:val="00C844AC"/>
    <w:rsid w:val="00C847B9"/>
    <w:rsid w:val="00C9050D"/>
    <w:rsid w:val="00C963C9"/>
    <w:rsid w:val="00D06E82"/>
    <w:rsid w:val="00D2692D"/>
    <w:rsid w:val="00D50F72"/>
    <w:rsid w:val="00D5183B"/>
    <w:rsid w:val="00D54AC1"/>
    <w:rsid w:val="00D6369E"/>
    <w:rsid w:val="00D764D8"/>
    <w:rsid w:val="00D8081F"/>
    <w:rsid w:val="00D86872"/>
    <w:rsid w:val="00D96B9E"/>
    <w:rsid w:val="00DC6F43"/>
    <w:rsid w:val="00DD0AC1"/>
    <w:rsid w:val="00DE3322"/>
    <w:rsid w:val="00DF27B1"/>
    <w:rsid w:val="00E02F45"/>
    <w:rsid w:val="00E033DA"/>
    <w:rsid w:val="00E04B1F"/>
    <w:rsid w:val="00E058A8"/>
    <w:rsid w:val="00E27518"/>
    <w:rsid w:val="00E334E4"/>
    <w:rsid w:val="00E447CE"/>
    <w:rsid w:val="00E51949"/>
    <w:rsid w:val="00E533B5"/>
    <w:rsid w:val="00ED304D"/>
    <w:rsid w:val="00EE6C87"/>
    <w:rsid w:val="00F12B71"/>
    <w:rsid w:val="00F13E90"/>
    <w:rsid w:val="00F36C5F"/>
    <w:rsid w:val="00F71AD8"/>
    <w:rsid w:val="00F76777"/>
    <w:rsid w:val="00FA5538"/>
    <w:rsid w:val="00FA56EB"/>
    <w:rsid w:val="00FB39CA"/>
    <w:rsid w:val="00FC3091"/>
    <w:rsid w:val="00FD42A5"/>
    <w:rsid w:val="00FD71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6081"/>
    <o:shapelayout v:ext="edit">
      <o:idmap v:ext="edit" data="1"/>
    </o:shapelayout>
  </w:shapeDefaults>
  <w:decimalSymbol w:val=","/>
  <w:listSeparator w:val=";"/>
  <w14:docId w14:val="628CDC5B"/>
  <w15:docId w15:val="{8DE2BF9D-4F2A-43CF-B8DD-7094CFACD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B43B67"/>
    <w:pPr>
      <w:tabs>
        <w:tab w:val="center" w:pos="4513"/>
        <w:tab w:val="right" w:pos="9026"/>
      </w:tabs>
      <w:spacing w:line="240" w:lineRule="auto"/>
    </w:pPr>
  </w:style>
  <w:style w:type="character" w:customStyle="1" w:styleId="HeaderChar">
    <w:name w:val="Header Char"/>
    <w:basedOn w:val="DefaultParagraphFont"/>
    <w:link w:val="Header"/>
    <w:uiPriority w:val="99"/>
    <w:rsid w:val="00B43B67"/>
    <w:rPr>
      <w:rFonts w:ascii="Verdana" w:hAnsi="Verdana"/>
      <w:color w:val="000000"/>
      <w:sz w:val="18"/>
      <w:szCs w:val="18"/>
    </w:rPr>
  </w:style>
  <w:style w:type="paragraph" w:styleId="Footer">
    <w:name w:val="footer"/>
    <w:basedOn w:val="Normal"/>
    <w:link w:val="FooterChar"/>
    <w:uiPriority w:val="99"/>
    <w:unhideWhenUsed/>
    <w:rsid w:val="00B43B67"/>
    <w:pPr>
      <w:tabs>
        <w:tab w:val="center" w:pos="4513"/>
        <w:tab w:val="right" w:pos="9026"/>
      </w:tabs>
      <w:spacing w:line="240" w:lineRule="auto"/>
    </w:pPr>
  </w:style>
  <w:style w:type="character" w:customStyle="1" w:styleId="FooterChar">
    <w:name w:val="Footer Char"/>
    <w:basedOn w:val="DefaultParagraphFont"/>
    <w:link w:val="Footer"/>
    <w:uiPriority w:val="99"/>
    <w:rsid w:val="00B43B67"/>
    <w:rPr>
      <w:rFonts w:ascii="Verdana" w:hAnsi="Verdana"/>
      <w:color w:val="000000"/>
      <w:sz w:val="18"/>
      <w:szCs w:val="18"/>
    </w:rPr>
  </w:style>
  <w:style w:type="paragraph" w:styleId="FootnoteText">
    <w:name w:val="footnote text"/>
    <w:basedOn w:val="Normal"/>
    <w:link w:val="FootnoteTextChar"/>
    <w:uiPriority w:val="99"/>
    <w:semiHidden/>
    <w:unhideWhenUsed/>
    <w:rsid w:val="00B43B67"/>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FootnoteTextChar">
    <w:name w:val="Footnote Text Char"/>
    <w:basedOn w:val="DefaultParagraphFont"/>
    <w:link w:val="FootnoteText"/>
    <w:uiPriority w:val="99"/>
    <w:semiHidden/>
    <w:rsid w:val="00B43B67"/>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B43B67"/>
    <w:rPr>
      <w:vertAlign w:val="superscript"/>
    </w:rPr>
  </w:style>
  <w:style w:type="character" w:styleId="CommentReference">
    <w:name w:val="annotation reference"/>
    <w:basedOn w:val="DefaultParagraphFont"/>
    <w:uiPriority w:val="99"/>
    <w:semiHidden/>
    <w:unhideWhenUsed/>
    <w:rsid w:val="00B43B67"/>
    <w:rPr>
      <w:sz w:val="16"/>
      <w:szCs w:val="16"/>
    </w:rPr>
  </w:style>
  <w:style w:type="paragraph" w:styleId="CommentText">
    <w:name w:val="annotation text"/>
    <w:basedOn w:val="Normal"/>
    <w:link w:val="CommentTextChar"/>
    <w:uiPriority w:val="99"/>
    <w:unhideWhenUsed/>
    <w:rsid w:val="00B43B67"/>
    <w:pPr>
      <w:autoSpaceDN/>
      <w:spacing w:after="160" w:line="240" w:lineRule="auto"/>
      <w:textAlignment w:val="auto"/>
    </w:pPr>
    <w:rPr>
      <w:rFonts w:asciiTheme="minorHAnsi" w:eastAsiaTheme="minorHAnsi" w:hAnsiTheme="minorHAnsi" w:cstheme="minorBidi"/>
      <w:color w:val="auto"/>
      <w:sz w:val="20"/>
      <w:szCs w:val="20"/>
      <w:lang w:eastAsia="en-US"/>
    </w:rPr>
  </w:style>
  <w:style w:type="character" w:customStyle="1" w:styleId="CommentTextChar">
    <w:name w:val="Comment Text Char"/>
    <w:basedOn w:val="DefaultParagraphFont"/>
    <w:link w:val="CommentText"/>
    <w:uiPriority w:val="99"/>
    <w:rsid w:val="00B43B67"/>
    <w:rPr>
      <w:rFonts w:asciiTheme="minorHAnsi" w:eastAsiaTheme="minorHAnsi" w:hAnsiTheme="minorHAnsi" w:cstheme="minorBidi"/>
      <w:lang w:eastAsia="en-US"/>
    </w:rPr>
  </w:style>
  <w:style w:type="character" w:styleId="FollowedHyperlink">
    <w:name w:val="FollowedHyperlink"/>
    <w:basedOn w:val="DefaultParagraphFont"/>
    <w:uiPriority w:val="99"/>
    <w:semiHidden/>
    <w:unhideWhenUsed/>
    <w:rsid w:val="00B43B67"/>
    <w:rPr>
      <w:color w:val="96607D" w:themeColor="followedHyperlink"/>
      <w:u w:val="single"/>
    </w:rPr>
  </w:style>
  <w:style w:type="paragraph" w:styleId="CommentSubject">
    <w:name w:val="annotation subject"/>
    <w:basedOn w:val="CommentText"/>
    <w:next w:val="CommentText"/>
    <w:link w:val="CommentSubjectChar"/>
    <w:uiPriority w:val="99"/>
    <w:semiHidden/>
    <w:unhideWhenUsed/>
    <w:rsid w:val="00772954"/>
    <w:pPr>
      <w:autoSpaceDN w:val="0"/>
      <w:spacing w:after="0"/>
      <w:textAlignment w:val="baseline"/>
    </w:pPr>
    <w:rPr>
      <w:rFonts w:ascii="Verdana" w:eastAsia="DejaVu Sans" w:hAnsi="Verdana" w:cs="Lohit Hindi"/>
      <w:b/>
      <w:bCs/>
      <w:color w:val="000000"/>
      <w:lang w:eastAsia="nl-NL"/>
    </w:rPr>
  </w:style>
  <w:style w:type="character" w:customStyle="1" w:styleId="CommentSubjectChar">
    <w:name w:val="Comment Subject Char"/>
    <w:basedOn w:val="CommentTextChar"/>
    <w:link w:val="CommentSubject"/>
    <w:uiPriority w:val="99"/>
    <w:semiHidden/>
    <w:rsid w:val="00772954"/>
    <w:rPr>
      <w:rFonts w:ascii="Verdana" w:eastAsiaTheme="minorHAnsi" w:hAnsi="Verdana" w:cstheme="minorBidi"/>
      <w:b/>
      <w:bCs/>
      <w:color w:val="000000"/>
      <w:lang w:eastAsia="en-US"/>
    </w:rPr>
  </w:style>
  <w:style w:type="character" w:styleId="UnresolvedMention">
    <w:name w:val="Unresolved Mention"/>
    <w:basedOn w:val="DefaultParagraphFont"/>
    <w:uiPriority w:val="99"/>
    <w:semiHidden/>
    <w:unhideWhenUsed/>
    <w:rsid w:val="00772954"/>
    <w:rPr>
      <w:color w:val="605E5C"/>
      <w:shd w:val="clear" w:color="auto" w:fill="E1DFDD"/>
    </w:rPr>
  </w:style>
  <w:style w:type="paragraph" w:styleId="Revision">
    <w:name w:val="Revision"/>
    <w:hidden/>
    <w:uiPriority w:val="99"/>
    <w:semiHidden/>
    <w:rsid w:val="00A46643"/>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84168">
      <w:bodyDiv w:val="1"/>
      <w:marLeft w:val="0"/>
      <w:marRight w:val="0"/>
      <w:marTop w:val="0"/>
      <w:marBottom w:val="0"/>
      <w:divBdr>
        <w:top w:val="none" w:sz="0" w:space="0" w:color="auto"/>
        <w:left w:val="none" w:sz="0" w:space="0" w:color="auto"/>
        <w:bottom w:val="none" w:sz="0" w:space="0" w:color="auto"/>
        <w:right w:val="none" w:sz="0" w:space="0" w:color="auto"/>
      </w:divBdr>
    </w:div>
    <w:div w:id="861086450">
      <w:bodyDiv w:val="1"/>
      <w:marLeft w:val="0"/>
      <w:marRight w:val="0"/>
      <w:marTop w:val="0"/>
      <w:marBottom w:val="0"/>
      <w:divBdr>
        <w:top w:val="none" w:sz="0" w:space="0" w:color="auto"/>
        <w:left w:val="none" w:sz="0" w:space="0" w:color="auto"/>
        <w:bottom w:val="none" w:sz="0" w:space="0" w:color="auto"/>
        <w:right w:val="none" w:sz="0" w:space="0" w:color="auto"/>
      </w:divBdr>
    </w:div>
    <w:div w:id="1575240253">
      <w:bodyDiv w:val="1"/>
      <w:marLeft w:val="0"/>
      <w:marRight w:val="0"/>
      <w:marTop w:val="0"/>
      <w:marBottom w:val="0"/>
      <w:divBdr>
        <w:top w:val="none" w:sz="0" w:space="0" w:color="auto"/>
        <w:left w:val="none" w:sz="0" w:space="0" w:color="auto"/>
        <w:bottom w:val="none" w:sz="0" w:space="0" w:color="auto"/>
        <w:right w:val="none" w:sz="0" w:space="0" w:color="auto"/>
      </w:divBdr>
    </w:div>
    <w:div w:id="1648128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webSetting" Target="webSettings0.xml" Id="rId23"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publications.jrc.ec.europa.eu/repository/handle/JRC123037" TargetMode="External"/><Relationship Id="rId13" Type="http://schemas.openxmlformats.org/officeDocument/2006/relationships/hyperlink" Target="https://opendata.cbs.nl/statline/" TargetMode="External"/><Relationship Id="rId3" Type="http://schemas.openxmlformats.org/officeDocument/2006/relationships/hyperlink" Target="https://policy.trade.ec.europa.eu/news/eu-adopts-first-ever-mutual-recognition-agreement-professional-qualifications-2024-10-10_en" TargetMode="External"/><Relationship Id="rId7" Type="http://schemas.openxmlformats.org/officeDocument/2006/relationships/hyperlink" Target="https://publications.jrc.ec.europa.eu/repository/handle/JRC103602" TargetMode="External"/><Relationship Id="rId12" Type="http://schemas.openxmlformats.org/officeDocument/2006/relationships/hyperlink" Target="https://opendata.cbs.nl/statline/" TargetMode="External"/><Relationship Id="rId17" Type="http://schemas.openxmlformats.org/officeDocument/2006/relationships/hyperlink" Target="https://eur-lex.europa.eu/legal-content/EN/TXT/?uri=CELEX:22017A0114(01)" TargetMode="External"/><Relationship Id="rId2" Type="http://schemas.openxmlformats.org/officeDocument/2006/relationships/hyperlink" Target="https://opendata.cbs.nl/statline/" TargetMode="External"/><Relationship Id="rId16" Type="http://schemas.openxmlformats.org/officeDocument/2006/relationships/hyperlink" Target="https://ec.europa.eu/food/audits-analysis/rep_details_en.cfm?rep_inspection_ref=2022-7444" TargetMode="External"/><Relationship Id="rId1" Type="http://schemas.openxmlformats.org/officeDocument/2006/relationships/hyperlink" Target="https://opendata.cbs.nl/statline/" TargetMode="External"/><Relationship Id="rId6" Type="http://schemas.openxmlformats.org/officeDocument/2006/relationships/hyperlink" Target="https://circabc.europa.eu/ui/group/09242a36-a438-40fd-a7af-fe32e36cbd0e/library/205dba99-7521-44fc-82bb-789155c58138" TargetMode="External"/><Relationship Id="rId11" Type="http://schemas.openxmlformats.org/officeDocument/2006/relationships/hyperlink" Target="https://agridata.ec.europa.eu/extensions/DataPortal/agricultural_markets.html" TargetMode="External"/><Relationship Id="rId5" Type="http://schemas.openxmlformats.org/officeDocument/2006/relationships/hyperlink" Target="https://policy.trade.ec.europa.eu/eu-trade-relationships-country-and-region/transparency-eu-trade-negotiations_en" TargetMode="External"/><Relationship Id="rId15" Type="http://schemas.openxmlformats.org/officeDocument/2006/relationships/hyperlink" Target="https://circabc.europa.eu/ui/group/09242a36-a438-40fd-a7af-fe32e36cbd0e/library/a02360b6-adc3-4662-a4f5-ca69aa354753/details?download=true" TargetMode="External"/><Relationship Id="rId10" Type="http://schemas.openxmlformats.org/officeDocument/2006/relationships/hyperlink" Target="https://agriculture.ec.europa.eu/data-and-analysis/markets/outlook/medium-term_en" TargetMode="External"/><Relationship Id="rId4" Type="http://schemas.openxmlformats.org/officeDocument/2006/relationships/hyperlink" Target="https://www.rijksoverheid.nl/actueel/nieuws/2025/03/04/nederland-en-quebec-slaan-handen-ineen-op-kritieke-grondstoffen" TargetMode="External"/><Relationship Id="rId9" Type="http://schemas.openxmlformats.org/officeDocument/2006/relationships/hyperlink" Target="https://publications.jrc.ec.europa.eu/repository/handle/JRC135540" TargetMode="External"/><Relationship Id="rId14" Type="http://schemas.openxmlformats.org/officeDocument/2006/relationships/hyperlink" Target="https://policy.trade.ec.europa.eu/analysis-and-assessment/ex-post-evaluations_en"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1857</ap:Words>
  <ap:Characters>10215</ap:Characters>
  <ap:DocSecurity>0</ap:DocSecurity>
  <ap:Lines>85</ap:Lines>
  <ap:Paragraphs>24</ap:Paragraphs>
  <ap:ScaleCrop>false</ap:ScaleCrop>
  <ap:HeadingPairs>
    <vt:vector baseType="variant" size="2">
      <vt:variant>
        <vt:lpstr>Title</vt:lpstr>
      </vt:variant>
      <vt:variant>
        <vt:i4>1</vt:i4>
      </vt:variant>
    </vt:vector>
  </ap:HeadingPairs>
  <ap:TitlesOfParts>
    <vt:vector baseType="lpstr" size="1">
      <vt:lpstr>CETA Motiebrief</vt:lpstr>
    </vt:vector>
  </ap:TitlesOfParts>
  <ap:LinksUpToDate>false</ap:LinksUpToDate>
  <ap:CharactersWithSpaces>12048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dcterms:created xsi:type="dcterms:W3CDTF">2026-05-07T11:37:00.0000000Z</dcterms:created>
  <dcterms:modified xsi:type="dcterms:W3CDTF">2026-05-07T11:37:00.0000000Z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_dlc_DocIdItemGuid">
    <vt:lpwstr>1eb68e90-f9cf-4d6e-8bd2-448df446977f</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44;#Trade|a8e5dcc2-fc52-401f-8928-fa3c5f958c6f</vt:lpwstr>
  </property>
  <property fmtid="{D5CDD505-2E9C-101B-9397-08002B2CF9AE}" pid="7" name="BZDossierResponsibleDepartment">
    <vt:lpwstr/>
  </property>
  <property fmtid="{D5CDD505-2E9C-101B-9397-08002B2CF9AE}" pid="8" name="BZCountryState">
    <vt:lpwstr>164;#Canada|41b132be-1d7b-4137-8ed1-dfa13faa1afd</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