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69F" w:rsidP="00E2269F" w:rsidRDefault="00E2269F" w14:paraId="14968F80" w14:textId="103AD5E5">
      <w:pPr>
        <w:pStyle w:val="Geenafstand"/>
      </w:pPr>
      <w:r>
        <w:t xml:space="preserve">AH </w:t>
      </w:r>
      <w:r>
        <w:t>1814</w:t>
      </w:r>
    </w:p>
    <w:p w:rsidR="00E2269F" w:rsidP="00E2269F" w:rsidRDefault="00E2269F" w14:paraId="6F0BE71B" w14:textId="77777777">
      <w:pPr>
        <w:pStyle w:val="Geenafstand"/>
      </w:pPr>
      <w:r>
        <w:t>2026Z07508</w:t>
      </w:r>
    </w:p>
    <w:p w:rsidR="00E2269F" w:rsidP="00E2269F" w:rsidRDefault="00E2269F" w14:paraId="36ADED32" w14:textId="77777777">
      <w:pPr>
        <w:pStyle w:val="Geenafstand"/>
      </w:pPr>
    </w:p>
    <w:p w:rsidR="00E2269F" w:rsidP="00E2269F" w:rsidRDefault="00E2269F" w14:paraId="497170B4" w14:textId="77777777">
      <w:pPr>
        <w:pStyle w:val="Geenafstand"/>
      </w:pPr>
      <w:r w:rsidRPr="00D25B3E">
        <w:t>Antwoord van staatssecretaris Van Bruggen (Justitie en Veiligheid) (ontvangen</w:t>
      </w:r>
      <w:r>
        <w:t xml:space="preserve">  4 mei 2026)</w:t>
      </w:r>
    </w:p>
    <w:p w:rsidR="00E2269F" w:rsidP="00E2269F" w:rsidRDefault="00E2269F" w14:paraId="1FFD858E" w14:textId="77777777">
      <w:pPr>
        <w:pStyle w:val="Geenafstand"/>
      </w:pPr>
    </w:p>
    <w:p w:rsidR="00E2269F" w:rsidP="00E2269F" w:rsidRDefault="00E2269F" w14:paraId="5BF95C18" w14:textId="4118BD14">
      <w:pPr>
        <w:pStyle w:val="Geenafstand"/>
      </w:pPr>
      <w:r w:rsidRPr="00D73ED1">
        <w:rPr>
          <w:color w:val="000000"/>
          <w:sz w:val="24"/>
          <w:szCs w:val="24"/>
        </w:rPr>
        <w:t>Zie ook Aanhangsel Handelingen, vergaderjaar 2025-2026, nr.</w:t>
      </w:r>
      <w:r>
        <w:rPr>
          <w:color w:val="000000"/>
          <w:sz w:val="24"/>
          <w:szCs w:val="24"/>
        </w:rPr>
        <w:t xml:space="preserve"> </w:t>
      </w:r>
      <w:r>
        <w:t>1807</w:t>
      </w:r>
    </w:p>
    <w:p w:rsidR="00E2269F" w:rsidP="00E2269F" w:rsidRDefault="00E2269F" w14:paraId="2F2BBE64" w14:textId="77777777">
      <w:pPr>
        <w:pStyle w:val="Geenafstand"/>
      </w:pPr>
    </w:p>
    <w:p w:rsidR="00E2269F" w:rsidP="00E2269F" w:rsidRDefault="00E2269F" w14:paraId="2D6CA577" w14:textId="77777777">
      <w:pPr>
        <w:pStyle w:val="Geenafstand"/>
      </w:pPr>
    </w:p>
    <w:p w:rsidRPr="00A95907" w:rsidR="00E2269F" w:rsidP="00E2269F" w:rsidRDefault="00E2269F" w14:paraId="084EF7D0" w14:textId="77777777">
      <w:pPr>
        <w:spacing w:line="240" w:lineRule="auto"/>
        <w:rPr>
          <w:b/>
          <w:bCs/>
        </w:rPr>
      </w:pPr>
      <w:r w:rsidRPr="00A95907">
        <w:rPr>
          <w:b/>
          <w:bCs/>
        </w:rPr>
        <w:t>Vraag 1</w:t>
      </w:r>
    </w:p>
    <w:p w:rsidR="00E2269F" w:rsidP="00E2269F" w:rsidRDefault="00E2269F" w14:paraId="58859A09" w14:textId="77777777">
      <w:pPr>
        <w:autoSpaceDE w:val="0"/>
        <w:adjustRightInd w:val="0"/>
        <w:spacing w:line="240" w:lineRule="auto"/>
        <w:rPr>
          <w:rFonts w:eastAsia="DejaVuSerifCondensed" w:cs="DejaVuSerifCondensed"/>
        </w:rPr>
      </w:pPr>
      <w:r w:rsidRPr="00A7025A">
        <w:rPr>
          <w:rFonts w:eastAsia="DejaVuSerifCondensed" w:cs="DejaVuSerifCondensed"/>
        </w:rPr>
        <w:t>Bent u het ermee eens dat het onacceptabel is als een gokbedrijf dat in het verleden zonder vergunning</w:t>
      </w:r>
      <w:r>
        <w:rPr>
          <w:rFonts w:eastAsia="DejaVuSerifCondensed" w:cs="DejaVuSerifCondensed"/>
        </w:rPr>
        <w:t xml:space="preserve"> </w:t>
      </w:r>
      <w:r w:rsidRPr="00A7025A">
        <w:rPr>
          <w:rFonts w:eastAsia="DejaVuSerifCondensed" w:cs="DejaVuSerifCondensed"/>
        </w:rPr>
        <w:t>actief was op de Nederlandse markt, via de vergunning van een ander gokbedrijf of andere listige</w:t>
      </w:r>
      <w:r>
        <w:rPr>
          <w:rFonts w:eastAsia="DejaVuSerifCondensed" w:cs="DejaVuSerifCondensed"/>
        </w:rPr>
        <w:t xml:space="preserve"> </w:t>
      </w:r>
      <w:r w:rsidRPr="00A7025A">
        <w:rPr>
          <w:rFonts w:eastAsia="DejaVuSerifCondensed" w:cs="DejaVuSerifCondensed"/>
        </w:rPr>
        <w:t>constructies, opnieuw toegang krijgt tot de Nederlandse markt?</w:t>
      </w:r>
    </w:p>
    <w:p w:rsidR="00E2269F" w:rsidP="00E2269F" w:rsidRDefault="00E2269F" w14:paraId="1873434F" w14:textId="77777777">
      <w:pPr>
        <w:autoSpaceDE w:val="0"/>
        <w:adjustRightInd w:val="0"/>
        <w:spacing w:line="240" w:lineRule="auto"/>
        <w:rPr>
          <w:rFonts w:eastAsia="DejaVuSerifCondensed" w:cs="DejaVuSerifCondensed"/>
        </w:rPr>
      </w:pPr>
    </w:p>
    <w:p w:rsidRPr="00CD55B1" w:rsidR="00E2269F" w:rsidP="00E2269F" w:rsidRDefault="00E2269F" w14:paraId="18E9E0BA" w14:textId="77777777">
      <w:pPr>
        <w:autoSpaceDE w:val="0"/>
        <w:adjustRightInd w:val="0"/>
        <w:spacing w:line="240" w:lineRule="auto"/>
      </w:pPr>
      <w:r>
        <w:rPr>
          <w:b/>
          <w:bCs/>
        </w:rPr>
        <w:t>Antwoord op vraag 1</w:t>
      </w:r>
      <w:r>
        <w:rPr>
          <w:b/>
          <w:bCs/>
        </w:rPr>
        <w:br/>
      </w:r>
      <w:r w:rsidRPr="00CD55B1">
        <w:rPr>
          <w:rFonts w:eastAsia="DejaVuSerifCondensed" w:cs="DejaVuSerifCondensed"/>
        </w:rPr>
        <w:t>Ja. Ik vind het onacceptabel als via constructies wordt beoogd de wettelijke eisen voor toegang tot de Nederlandse kansspelmarkt te omzeilen. Dit klemt temeer nu bij de totstandkoming van de Wet kansspelen op afstand ruimte is gelaten voor aanbieders die v</w:t>
      </w:r>
      <w:r>
        <w:rPr>
          <w:rFonts w:eastAsia="DejaVuSerifCondensed" w:cs="DejaVuSerifCondensed"/>
        </w:rPr>
        <w:t>óó</w:t>
      </w:r>
      <w:r w:rsidRPr="00CD55B1">
        <w:rPr>
          <w:rFonts w:eastAsia="DejaVuSerifCondensed" w:cs="DejaVuSerifCondensed"/>
        </w:rPr>
        <w:t xml:space="preserve">r de regulering zonder vergunning kansspelen op afstand hebben aangeboden om alsnog een vergunning te verkrijgen. Mede naar aanleiding van de motie-Postema is daarbij als uitgangspunt gehanteerd dat een aanvrager en andere relevante (rechts)personen zich gedurende twee jaar en negen maanden voorafgaand aan de aanvraag en tijdens de behandeling daarvan moesten hebben onthouden van </w:t>
      </w:r>
      <w:proofErr w:type="spellStart"/>
      <w:r w:rsidRPr="00CD55B1">
        <w:rPr>
          <w:rFonts w:eastAsia="DejaVuSerifCondensed" w:cs="DejaVuSerifCondensed"/>
        </w:rPr>
        <w:t>onvergund</w:t>
      </w:r>
      <w:proofErr w:type="spellEnd"/>
      <w:r w:rsidRPr="00CD55B1">
        <w:rPr>
          <w:rFonts w:eastAsia="DejaVuSerifCondensed" w:cs="DejaVuSerifCondensed"/>
        </w:rPr>
        <w:t xml:space="preserve"> online kansspelaanbod dat actief op Nederland was gericht</w:t>
      </w:r>
      <w:r>
        <w:rPr>
          <w:rFonts w:eastAsia="DejaVuSerifCondensed" w:cs="DejaVuSerifCondensed"/>
        </w:rPr>
        <w:t>.</w:t>
      </w:r>
      <w:r>
        <w:rPr>
          <w:rStyle w:val="Voetnootmarkering"/>
        </w:rPr>
        <w:footnoteReference w:id="1"/>
      </w:r>
    </w:p>
    <w:p w:rsidR="00E2269F" w:rsidP="00E2269F" w:rsidRDefault="00E2269F" w14:paraId="5F5F0DCB" w14:textId="77777777">
      <w:pPr>
        <w:autoSpaceDE w:val="0"/>
        <w:adjustRightInd w:val="0"/>
        <w:spacing w:line="240" w:lineRule="auto"/>
        <w:rPr>
          <w:rFonts w:eastAsia="DejaVuSerifCondensed" w:cs="DejaVuSerifCondensed"/>
        </w:rPr>
      </w:pPr>
    </w:p>
    <w:p w:rsidR="00E2269F" w:rsidP="00E2269F" w:rsidRDefault="00E2269F" w14:paraId="5CA116DC" w14:textId="77777777">
      <w:pPr>
        <w:autoSpaceDE w:val="0"/>
        <w:adjustRightInd w:val="0"/>
        <w:spacing w:line="240" w:lineRule="auto"/>
        <w:rPr>
          <w:rFonts w:eastAsia="DejaVuSerifCondensed" w:cs="DejaVuSerifCondensed"/>
        </w:rPr>
      </w:pPr>
      <w:bookmarkStart w:name="_Hlk227835510" w:id="0"/>
      <w:r>
        <w:rPr>
          <w:b/>
          <w:bCs/>
        </w:rPr>
        <w:t>Vraag 2</w:t>
      </w:r>
      <w:r>
        <w:rPr>
          <w:b/>
          <w:bCs/>
        </w:rPr>
        <w:br/>
      </w:r>
      <w:r w:rsidRPr="00A7025A">
        <w:rPr>
          <w:rFonts w:eastAsia="DejaVuSerifCondensed" w:cs="DejaVuSerifCondensed"/>
        </w:rPr>
        <w:t>Klopt het dat deze praktijken voorkomen in Nederland, bijvoorbeeld in het geval van 888 dat sinds juli</w:t>
      </w:r>
      <w:r>
        <w:rPr>
          <w:rFonts w:eastAsia="DejaVuSerifCondensed" w:cs="DejaVuSerifCondensed"/>
        </w:rPr>
        <w:t xml:space="preserve"> </w:t>
      </w:r>
      <w:r w:rsidRPr="00A7025A">
        <w:rPr>
          <w:rFonts w:eastAsia="DejaVuSerifCondensed" w:cs="DejaVuSerifCondensed"/>
        </w:rPr>
        <w:t xml:space="preserve">2025 actief is onder een vergunning van </w:t>
      </w:r>
      <w:proofErr w:type="spellStart"/>
      <w:r w:rsidRPr="00A7025A">
        <w:rPr>
          <w:rFonts w:eastAsia="DejaVuSerifCondensed" w:cs="DejaVuSerifCondensed"/>
        </w:rPr>
        <w:t>Godwits</w:t>
      </w:r>
      <w:proofErr w:type="spellEnd"/>
      <w:r w:rsidRPr="00A7025A">
        <w:rPr>
          <w:rFonts w:eastAsia="DejaVuSerifCondensed" w:cs="DejaVuSerifCondensed"/>
        </w:rPr>
        <w:t xml:space="preserve"> LTD?</w:t>
      </w:r>
    </w:p>
    <w:p w:rsidR="00E2269F" w:rsidP="00E2269F" w:rsidRDefault="00E2269F" w14:paraId="2AF6E844" w14:textId="77777777">
      <w:pPr>
        <w:autoSpaceDE w:val="0"/>
        <w:adjustRightInd w:val="0"/>
        <w:spacing w:line="240" w:lineRule="auto"/>
        <w:rPr>
          <w:rFonts w:eastAsia="DejaVuSerifCondensed" w:cs="DejaVuSerifCondensed"/>
        </w:rPr>
      </w:pPr>
    </w:p>
    <w:p w:rsidR="00E2269F" w:rsidP="00E2269F" w:rsidRDefault="00E2269F" w14:paraId="5D393338" w14:textId="77777777">
      <w:pPr>
        <w:autoSpaceDE w:val="0"/>
        <w:adjustRightInd w:val="0"/>
        <w:spacing w:line="240" w:lineRule="auto"/>
        <w:rPr>
          <w:rFonts w:eastAsia="DejaVuSerifCondensed" w:cs="DejaVuSerifCondensed"/>
        </w:rPr>
      </w:pPr>
      <w:r>
        <w:rPr>
          <w:b/>
          <w:bCs/>
        </w:rPr>
        <w:t>Antwoord op vraag 2</w:t>
      </w:r>
    </w:p>
    <w:p w:rsidR="00E2269F" w:rsidP="00E2269F" w:rsidRDefault="00E2269F" w14:paraId="766EE639" w14:textId="77777777">
      <w:pPr>
        <w:autoSpaceDE w:val="0"/>
        <w:adjustRightInd w:val="0"/>
        <w:spacing w:line="240" w:lineRule="auto"/>
        <w:rPr>
          <w:rFonts w:eastAsia="DejaVuSerifCondensed" w:cs="DejaVuSerifCondensed"/>
        </w:rPr>
      </w:pPr>
      <w:r w:rsidRPr="006F04B8">
        <w:rPr>
          <w:rFonts w:eastAsia="DejaVuSerifCondensed" w:cs="DejaVuSerifCondensed"/>
        </w:rPr>
        <w:t xml:space="preserve">Het is aan de Kansspelautoriteit </w:t>
      </w:r>
      <w:r>
        <w:rPr>
          <w:rFonts w:eastAsia="DejaVuSerifCondensed" w:cs="DejaVuSerifCondensed"/>
        </w:rPr>
        <w:t>(</w:t>
      </w:r>
      <w:proofErr w:type="spellStart"/>
      <w:r>
        <w:rPr>
          <w:rFonts w:eastAsia="DejaVuSerifCondensed" w:cs="DejaVuSerifCondensed"/>
        </w:rPr>
        <w:t>Ksa</w:t>
      </w:r>
      <w:proofErr w:type="spellEnd"/>
      <w:r>
        <w:rPr>
          <w:rFonts w:eastAsia="DejaVuSerifCondensed" w:cs="DejaVuSerifCondensed"/>
        </w:rPr>
        <w:t xml:space="preserve">) </w:t>
      </w:r>
      <w:r w:rsidRPr="006F04B8">
        <w:rPr>
          <w:rFonts w:eastAsia="DejaVuSerifCondensed" w:cs="DejaVuSerifCondensed"/>
        </w:rPr>
        <w:t xml:space="preserve">als onafhankelijk toezichthouder en zelfstandig bestuursorgaan om </w:t>
      </w:r>
      <w:r>
        <w:rPr>
          <w:rFonts w:eastAsia="DejaVuSerifCondensed" w:cs="DejaVuSerifCondensed"/>
        </w:rPr>
        <w:t xml:space="preserve">vergunningsaanvragen te beoordelen, </w:t>
      </w:r>
      <w:r w:rsidRPr="006F04B8">
        <w:rPr>
          <w:rFonts w:eastAsia="DejaVuSerifCondensed" w:cs="DejaVuSerifCondensed"/>
        </w:rPr>
        <w:t>vergunningen te verlenen, toezicht te houden op de naleving en zo nodig handhavend op te treden.</w:t>
      </w:r>
      <w:r>
        <w:rPr>
          <w:rFonts w:eastAsia="DejaVuSerifCondensed" w:cs="DejaVuSerifCondensed"/>
        </w:rPr>
        <w:t xml:space="preserve"> De </w:t>
      </w:r>
      <w:proofErr w:type="spellStart"/>
      <w:r>
        <w:rPr>
          <w:rFonts w:eastAsia="DejaVuSerifCondensed" w:cs="DejaVuSerifCondensed"/>
        </w:rPr>
        <w:t>Ksa</w:t>
      </w:r>
      <w:proofErr w:type="spellEnd"/>
      <w:r>
        <w:rPr>
          <w:rFonts w:eastAsia="DejaVuSerifCondensed" w:cs="DejaVuSerifCondensed"/>
        </w:rPr>
        <w:t xml:space="preserve"> heeft aangegeven over voldoende instrumentarium te beschikken om op te kunnen treden. In dat kader is het ook aan de </w:t>
      </w:r>
      <w:proofErr w:type="spellStart"/>
      <w:r>
        <w:rPr>
          <w:rFonts w:eastAsia="DejaVuSerifCondensed" w:cs="DejaVuSerifCondensed"/>
        </w:rPr>
        <w:t>Ksa</w:t>
      </w:r>
      <w:proofErr w:type="spellEnd"/>
      <w:r>
        <w:rPr>
          <w:rFonts w:eastAsia="DejaVuSerifCondensed" w:cs="DejaVuSerifCondensed"/>
        </w:rPr>
        <w:t xml:space="preserve"> om na te gaan en te beoordelen of een vergunninghouder als </w:t>
      </w:r>
      <w:r>
        <w:rPr>
          <w:rFonts w:eastAsia="DejaVuSerifCondensed" w:cs="DejaVuSerifCondensed"/>
        </w:rPr>
        <w:lastRenderedPageBreak/>
        <w:t>betrouwbaar kan worden aangemerkt.</w:t>
      </w:r>
      <w:r w:rsidRPr="006F04B8">
        <w:rPr>
          <w:rFonts w:eastAsia="DejaVuSerifCondensed" w:cs="DejaVuSerifCondensed"/>
        </w:rPr>
        <w:t xml:space="preserve"> Ik doe daarom geen uitspraken over individuele </w:t>
      </w:r>
      <w:r>
        <w:rPr>
          <w:rFonts w:eastAsia="DejaVuSerifCondensed" w:cs="DejaVuSerifCondensed"/>
        </w:rPr>
        <w:t>gevallen</w:t>
      </w:r>
      <w:r w:rsidRPr="006F04B8">
        <w:rPr>
          <w:rFonts w:eastAsia="DejaVuSerifCondensed" w:cs="DejaVuSerifCondensed"/>
        </w:rPr>
        <w:t xml:space="preserve">. </w:t>
      </w:r>
    </w:p>
    <w:bookmarkEnd w:id="0"/>
    <w:p w:rsidR="00E2269F" w:rsidP="00E2269F" w:rsidRDefault="00E2269F" w14:paraId="178314B7" w14:textId="77777777">
      <w:pPr>
        <w:autoSpaceDE w:val="0"/>
        <w:adjustRightInd w:val="0"/>
        <w:spacing w:line="240" w:lineRule="auto"/>
        <w:rPr>
          <w:rFonts w:eastAsia="DejaVuSerifCondensed" w:cs="DejaVuSerifCondensed"/>
        </w:rPr>
      </w:pPr>
    </w:p>
    <w:p w:rsidR="00E2269F" w:rsidP="00E2269F" w:rsidRDefault="00E2269F" w14:paraId="1ABE7BA3" w14:textId="77777777">
      <w:pPr>
        <w:autoSpaceDE w:val="0"/>
        <w:adjustRightInd w:val="0"/>
        <w:spacing w:line="240" w:lineRule="auto"/>
        <w:rPr>
          <w:rFonts w:eastAsia="DejaVuSerifCondensed" w:cs="DejaVuSerifCondensed"/>
        </w:rPr>
      </w:pPr>
      <w:r>
        <w:rPr>
          <w:b/>
          <w:bCs/>
        </w:rPr>
        <w:t>Vraag 3</w:t>
      </w:r>
      <w:r>
        <w:rPr>
          <w:b/>
          <w:bCs/>
        </w:rPr>
        <w:br/>
      </w:r>
      <w:r w:rsidRPr="00A7025A">
        <w:rPr>
          <w:rFonts w:eastAsia="DejaVuSerifCondensed" w:cs="DejaVuSerifCondensed"/>
        </w:rPr>
        <w:t>In hoeverre wegen overtredingen van de relevante wet- en regelgeving, zoals het aanbieden van</w:t>
      </w:r>
      <w:r>
        <w:rPr>
          <w:rFonts w:eastAsia="DejaVuSerifCondensed" w:cs="DejaVuSerifCondensed"/>
        </w:rPr>
        <w:t xml:space="preserve"> </w:t>
      </w:r>
      <w:r w:rsidRPr="00A7025A">
        <w:rPr>
          <w:rFonts w:eastAsia="DejaVuSerifCondensed" w:cs="DejaVuSerifCondensed"/>
        </w:rPr>
        <w:t>gokproducten zonder vergunning (voorafgaand aan de legalisatie) mee bij de beoordeling van een</w:t>
      </w:r>
      <w:r>
        <w:rPr>
          <w:rFonts w:eastAsia="DejaVuSerifCondensed" w:cs="DejaVuSerifCondensed"/>
        </w:rPr>
        <w:t xml:space="preserve"> </w:t>
      </w:r>
      <w:r w:rsidRPr="00A7025A">
        <w:rPr>
          <w:rFonts w:eastAsia="DejaVuSerifCondensed" w:cs="DejaVuSerifCondensed"/>
        </w:rPr>
        <w:t>vergunningsaanvraag van een gokbedrijf? Kunt u hierbij ook ingaan op de betrouwbaarheidstoets zoals die</w:t>
      </w:r>
      <w:r>
        <w:rPr>
          <w:rFonts w:eastAsia="DejaVuSerifCondensed" w:cs="DejaVuSerifCondensed"/>
        </w:rPr>
        <w:t xml:space="preserve"> </w:t>
      </w:r>
      <w:r w:rsidRPr="00A7025A">
        <w:rPr>
          <w:rFonts w:eastAsia="DejaVuSerifCondensed" w:cs="DejaVuSerifCondensed"/>
        </w:rPr>
        <w:t>wordt toegepast bij vergunningverlening onder de Wet kansspelen op afstand?</w:t>
      </w:r>
    </w:p>
    <w:p w:rsidR="00E2269F" w:rsidP="00E2269F" w:rsidRDefault="00E2269F" w14:paraId="1899D6D0" w14:textId="77777777">
      <w:pPr>
        <w:autoSpaceDE w:val="0"/>
        <w:adjustRightInd w:val="0"/>
        <w:spacing w:line="240" w:lineRule="auto"/>
        <w:rPr>
          <w:rFonts w:eastAsia="DejaVuSerifCondensed" w:cs="DejaVuSerifCondensed"/>
        </w:rPr>
      </w:pPr>
    </w:p>
    <w:p w:rsidR="00E2269F" w:rsidP="00E2269F" w:rsidRDefault="00E2269F" w14:paraId="60D29EAF" w14:textId="77777777">
      <w:pPr>
        <w:autoSpaceDE w:val="0"/>
        <w:adjustRightInd w:val="0"/>
        <w:spacing w:line="240" w:lineRule="auto"/>
      </w:pPr>
      <w:r>
        <w:rPr>
          <w:b/>
          <w:bCs/>
        </w:rPr>
        <w:t>Antwoord op vraag 3</w:t>
      </w:r>
      <w:r>
        <w:rPr>
          <w:b/>
          <w:bCs/>
        </w:rPr>
        <w:br/>
      </w:r>
      <w:r w:rsidRPr="006F04B8">
        <w:t xml:space="preserve">Overtredingen van relevante wet- en regelgeving wegen zwaar mee bij de beoordeling van een vergunningsaanvraag. Op grond van artikel 31i van de Wet op de kansspelen moet de betrouwbaarheid van de aanvrager, de betrokken beleidsbepalers en de uiteindelijk belanghebbenden buiten twijfel staan. Daarbij betrekt de </w:t>
      </w:r>
      <w:proofErr w:type="spellStart"/>
      <w:r>
        <w:t>Ksa</w:t>
      </w:r>
      <w:proofErr w:type="spellEnd"/>
      <w:r w:rsidRPr="006F04B8">
        <w:t xml:space="preserve"> antecedenten, waaronder overtredingen van Nederlandse en buitenlandse kansspelregelgeving. Betrokkenheid bij illegaal online kansspelaanbod weegt daarbij zwaar. </w:t>
      </w:r>
      <w:r>
        <w:t>Zoals ik heb aangegeven in mijn antwoord op vraag 1 heeft mede</w:t>
      </w:r>
      <w:r w:rsidRPr="006F04B8">
        <w:t xml:space="preserve"> naar aanleiding van de motie-Postema de </w:t>
      </w:r>
      <w:proofErr w:type="spellStart"/>
      <w:r>
        <w:t>Ksa</w:t>
      </w:r>
      <w:proofErr w:type="spellEnd"/>
      <w:r w:rsidRPr="006F04B8">
        <w:t xml:space="preserve"> beleidsregels vastgesteld op grond waarvan een aanvrager en andere relevante (rechts)personen zich gedurende twee jaar en negen maanden voorafgaand aan de aanvraag en tijdens de behandeling daarvan moesten hebben onthouden van op Nederland gericht </w:t>
      </w:r>
      <w:proofErr w:type="spellStart"/>
      <w:r w:rsidRPr="006F04B8">
        <w:t>onvergund</w:t>
      </w:r>
      <w:proofErr w:type="spellEnd"/>
      <w:r w:rsidRPr="006F04B8">
        <w:t xml:space="preserve"> aanbod.</w:t>
      </w:r>
      <w:r>
        <w:rPr>
          <w:rStyle w:val="Voetnootmarkering"/>
        </w:rPr>
        <w:footnoteReference w:id="2"/>
      </w:r>
      <w:r w:rsidRPr="006F04B8">
        <w:t xml:space="preserve"> Het niet voldoen aan die criteria heeft er meerdere keren toe geleid dat een vergunning </w:t>
      </w:r>
      <w:r>
        <w:t xml:space="preserve">niet </w:t>
      </w:r>
      <w:r w:rsidRPr="006F04B8">
        <w:t xml:space="preserve">werd verleend. </w:t>
      </w:r>
    </w:p>
    <w:p w:rsidR="00E2269F" w:rsidP="00E2269F" w:rsidRDefault="00E2269F" w14:paraId="0B1E9777" w14:textId="77777777">
      <w:pPr>
        <w:autoSpaceDE w:val="0"/>
        <w:adjustRightInd w:val="0"/>
        <w:spacing w:line="240" w:lineRule="auto"/>
      </w:pPr>
    </w:p>
    <w:p w:rsidR="00E2269F" w:rsidP="00E2269F" w:rsidRDefault="00E2269F" w14:paraId="2FA55552" w14:textId="77777777">
      <w:pPr>
        <w:autoSpaceDE w:val="0"/>
        <w:adjustRightInd w:val="0"/>
        <w:spacing w:line="240" w:lineRule="auto"/>
      </w:pPr>
      <w:r>
        <w:rPr>
          <w:b/>
          <w:bCs/>
        </w:rPr>
        <w:t>Vraag 4</w:t>
      </w:r>
      <w:r>
        <w:rPr>
          <w:b/>
          <w:bCs/>
        </w:rPr>
        <w:br/>
      </w:r>
      <w:r w:rsidRPr="00A7025A">
        <w:rPr>
          <w:rFonts w:eastAsia="DejaVuSerifCondensed" w:cs="DejaVuSerifCondensed"/>
        </w:rPr>
        <w:t>Welke maatregelen bent u bereid te treffen om ervoor te zorgen dat dergelijke bedrijven, al dan niet via</w:t>
      </w:r>
      <w:r>
        <w:rPr>
          <w:rFonts w:eastAsia="DejaVuSerifCondensed" w:cs="DejaVuSerifCondensed"/>
        </w:rPr>
        <w:t xml:space="preserve"> </w:t>
      </w:r>
      <w:r w:rsidRPr="00A7025A">
        <w:rPr>
          <w:rFonts w:eastAsia="DejaVuSerifCondensed" w:cs="DejaVuSerifCondensed"/>
        </w:rPr>
        <w:t>listige constructies, niet langer toegang hebben tot de Nederlandse gokmarkt?</w:t>
      </w:r>
    </w:p>
    <w:p w:rsidR="00E2269F" w:rsidP="00E2269F" w:rsidRDefault="00E2269F" w14:paraId="74C70141" w14:textId="77777777">
      <w:pPr>
        <w:autoSpaceDE w:val="0"/>
        <w:adjustRightInd w:val="0"/>
        <w:spacing w:line="240" w:lineRule="auto"/>
      </w:pPr>
    </w:p>
    <w:p w:rsidR="00E2269F" w:rsidP="00E2269F" w:rsidRDefault="00E2269F" w14:paraId="11880BFC" w14:textId="77777777">
      <w:r>
        <w:rPr>
          <w:b/>
          <w:bCs/>
        </w:rPr>
        <w:t>Vraag 5</w:t>
      </w:r>
      <w:r>
        <w:rPr>
          <w:b/>
          <w:bCs/>
        </w:rPr>
        <w:br/>
      </w:r>
      <w:r w:rsidRPr="00A7025A">
        <w:rPr>
          <w:rFonts w:eastAsia="DejaVuSerifCondensed" w:cs="DejaVuSerifCondensed"/>
        </w:rPr>
        <w:t>Kunt u hierbij ook ingaan op de rol van de Kansspelautoriteit</w:t>
      </w:r>
      <w:r>
        <w:rPr>
          <w:rFonts w:ascii="DejaVuSerifCondensed" w:eastAsia="DejaVuSerifCondensed" w:cs="DejaVuSerifCondensed"/>
        </w:rPr>
        <w:t>?</w:t>
      </w:r>
    </w:p>
    <w:p w:rsidRPr="006F04B8" w:rsidR="00E2269F" w:rsidP="00E2269F" w:rsidRDefault="00E2269F" w14:paraId="2B406F48" w14:textId="77777777">
      <w:pPr>
        <w:autoSpaceDE w:val="0"/>
        <w:adjustRightInd w:val="0"/>
        <w:spacing w:line="240" w:lineRule="auto"/>
      </w:pPr>
      <w:r>
        <w:rPr>
          <w:b/>
          <w:bCs/>
        </w:rPr>
        <w:t>Antwoord op vragen 4 en 5</w:t>
      </w:r>
    </w:p>
    <w:p w:rsidRPr="00EC1F4F" w:rsidR="00E2269F" w:rsidP="00E2269F" w:rsidRDefault="00E2269F" w14:paraId="61F9E17D" w14:textId="77777777">
      <w:r w:rsidRPr="00EC1F4F">
        <w:t xml:space="preserve">Op dit moment zie ik geen aanleiding voor specifieke aanvullende maatregelen op het gebied van de toetsing van de betrouwbaarheid van bedrijven die een </w:t>
      </w:r>
      <w:r w:rsidRPr="00EC1F4F">
        <w:lastRenderedPageBreak/>
        <w:t xml:space="preserve">vergunning hebben aangevraagd. Voor het aanbieden van kansspelen op afstand geldt al een streng stelsel van integriteits- en betrouwbaarheidseisen. De </w:t>
      </w:r>
      <w:proofErr w:type="spellStart"/>
      <w:r>
        <w:t>Ksa</w:t>
      </w:r>
      <w:proofErr w:type="spellEnd"/>
      <w:r w:rsidRPr="00EC1F4F">
        <w:t xml:space="preserve"> beoordeelt vergunningaanvragen, relevante wijzigingen en signalen die aanleiding geven tot nader onderzoek. Bij twijfel kan zij binnen het bestaande instrumentarium optreden en een vergunninghouder nadere verplichtingen opleggen, boetes opleggen of zelfs overgaan tot het intrekken van een vergunning. Het is aan de </w:t>
      </w:r>
      <w:proofErr w:type="spellStart"/>
      <w:r>
        <w:t>Ksa</w:t>
      </w:r>
      <w:proofErr w:type="spellEnd"/>
      <w:r w:rsidRPr="00EC1F4F">
        <w:t xml:space="preserve"> om die instrumenten in concrete gevallen toe te passen.</w:t>
      </w:r>
    </w:p>
    <w:p w:rsidR="00E2269F" w:rsidP="00E2269F" w:rsidRDefault="00E2269F" w14:paraId="4A4C6B6D" w14:textId="77777777"/>
    <w:p w:rsidR="002C3023" w:rsidRDefault="002C3023" w14:paraId="70C20777" w14:textId="77777777"/>
    <w:sectPr w:rsidR="002C3023" w:rsidSect="00E2269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DAC1" w14:textId="77777777" w:rsidR="00E2269F" w:rsidRDefault="00E2269F" w:rsidP="00E2269F">
      <w:pPr>
        <w:spacing w:after="0" w:line="240" w:lineRule="auto"/>
      </w:pPr>
      <w:r>
        <w:separator/>
      </w:r>
    </w:p>
  </w:endnote>
  <w:endnote w:type="continuationSeparator" w:id="0">
    <w:p w14:paraId="4E78FA23" w14:textId="77777777" w:rsidR="00E2269F" w:rsidRDefault="00E2269F" w:rsidP="00E2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8B81" w14:textId="77777777" w:rsidR="00E2269F" w:rsidRPr="00E2269F" w:rsidRDefault="00E2269F" w:rsidP="00E22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8833" w14:textId="77777777" w:rsidR="00E2269F" w:rsidRPr="00E2269F" w:rsidRDefault="00E2269F" w:rsidP="00E226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F9E6" w14:textId="77777777" w:rsidR="00E2269F" w:rsidRPr="00E2269F" w:rsidRDefault="00E2269F" w:rsidP="00E22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B2A7" w14:textId="77777777" w:rsidR="00E2269F" w:rsidRDefault="00E2269F" w:rsidP="00E2269F">
      <w:pPr>
        <w:spacing w:after="0" w:line="240" w:lineRule="auto"/>
      </w:pPr>
      <w:r>
        <w:separator/>
      </w:r>
    </w:p>
  </w:footnote>
  <w:footnote w:type="continuationSeparator" w:id="0">
    <w:p w14:paraId="47352F90" w14:textId="77777777" w:rsidR="00E2269F" w:rsidRDefault="00E2269F" w:rsidP="00E2269F">
      <w:pPr>
        <w:spacing w:after="0" w:line="240" w:lineRule="auto"/>
      </w:pPr>
      <w:r>
        <w:continuationSeparator/>
      </w:r>
    </w:p>
  </w:footnote>
  <w:footnote w:id="1">
    <w:p w14:paraId="589A76F1" w14:textId="77777777" w:rsidR="00E2269F" w:rsidRDefault="00E2269F" w:rsidP="00E2269F">
      <w:pPr>
        <w:pStyle w:val="Voetnoottekst"/>
      </w:pPr>
      <w:r>
        <w:rPr>
          <w:rStyle w:val="Voetnootmarkering"/>
        </w:rPr>
        <w:footnoteRef/>
      </w:r>
      <w:r>
        <w:t xml:space="preserve"> </w:t>
      </w:r>
      <w:r w:rsidRPr="00BC11E8">
        <w:rPr>
          <w:i/>
          <w:iCs/>
          <w:sz w:val="16"/>
          <w:szCs w:val="16"/>
        </w:rPr>
        <w:t>Kamerstukken I</w:t>
      </w:r>
      <w:r w:rsidRPr="00BC11E8">
        <w:rPr>
          <w:sz w:val="16"/>
          <w:szCs w:val="16"/>
        </w:rPr>
        <w:t xml:space="preserve"> 2018/19, 33 996, nr. L en Artikel 3.8 in beleidsregels vergunningverlening kansspelen op afstand van Kansspelautoriteit, zie Staatscourant 2021, nr. 13407.</w:t>
      </w:r>
    </w:p>
  </w:footnote>
  <w:footnote w:id="2">
    <w:p w14:paraId="38D1DF48" w14:textId="77777777" w:rsidR="00E2269F" w:rsidRDefault="00E2269F" w:rsidP="00E2269F">
      <w:pPr>
        <w:pStyle w:val="Voetnoottekst"/>
      </w:pPr>
      <w:r>
        <w:rPr>
          <w:rStyle w:val="Voetnootmarkering"/>
        </w:rPr>
        <w:footnoteRef/>
      </w:r>
      <w:r>
        <w:t xml:space="preserve"> </w:t>
      </w:r>
      <w:r w:rsidRPr="00BC11E8">
        <w:rPr>
          <w:sz w:val="16"/>
          <w:szCs w:val="16"/>
        </w:rPr>
        <w:t xml:space="preserve">Daarnaast mocht </w:t>
      </w:r>
      <w:r w:rsidRPr="00BC11E8">
        <w:rPr>
          <w:rFonts w:eastAsia="DejaVuSerifCondensed" w:cs="DejaVuSerifCondensed"/>
          <w:sz w:val="16"/>
          <w:szCs w:val="16"/>
        </w:rPr>
        <w:t>de aanvrager mocht in die strikt omlijnde afkoelingsperiode geen webpagina met Nederlandse extensie (.nl) hebben gehad, geen reclame hebben gemaakt gericht op Nederland, geen webpagina’s in het Nederlands hebben gehad of webpagina’s zich op Nederland richten en geen betaalmiddelen gebruiken die uitsluitend of grotendeels door Nederlanders worden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EA85" w14:textId="77777777" w:rsidR="00E2269F" w:rsidRPr="00E2269F" w:rsidRDefault="00E2269F" w:rsidP="00E22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C872" w14:textId="77777777" w:rsidR="00E2269F" w:rsidRPr="00E2269F" w:rsidRDefault="00E2269F" w:rsidP="00E226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35C1" w14:textId="77777777" w:rsidR="00E2269F" w:rsidRPr="00E2269F" w:rsidRDefault="00E2269F" w:rsidP="00E226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9F"/>
    <w:rsid w:val="002C3023"/>
    <w:rsid w:val="009023B4"/>
    <w:rsid w:val="00DF7A30"/>
    <w:rsid w:val="00E22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1A41"/>
  <w15:chartTrackingRefBased/>
  <w15:docId w15:val="{6E8D5F9B-0DBF-4A26-9643-DD014530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6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6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6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6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6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6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6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6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6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6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6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6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6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6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6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69F"/>
    <w:rPr>
      <w:rFonts w:eastAsiaTheme="majorEastAsia" w:cstheme="majorBidi"/>
      <w:color w:val="272727" w:themeColor="text1" w:themeTint="D8"/>
    </w:rPr>
  </w:style>
  <w:style w:type="paragraph" w:styleId="Titel">
    <w:name w:val="Title"/>
    <w:basedOn w:val="Standaard"/>
    <w:next w:val="Standaard"/>
    <w:link w:val="TitelChar"/>
    <w:uiPriority w:val="10"/>
    <w:qFormat/>
    <w:rsid w:val="00E22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6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6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6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6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69F"/>
    <w:rPr>
      <w:i/>
      <w:iCs/>
      <w:color w:val="404040" w:themeColor="text1" w:themeTint="BF"/>
    </w:rPr>
  </w:style>
  <w:style w:type="paragraph" w:styleId="Lijstalinea">
    <w:name w:val="List Paragraph"/>
    <w:basedOn w:val="Standaard"/>
    <w:uiPriority w:val="34"/>
    <w:qFormat/>
    <w:rsid w:val="00E2269F"/>
    <w:pPr>
      <w:ind w:left="720"/>
      <w:contextualSpacing/>
    </w:pPr>
  </w:style>
  <w:style w:type="character" w:styleId="Intensievebenadrukking">
    <w:name w:val="Intense Emphasis"/>
    <w:basedOn w:val="Standaardalinea-lettertype"/>
    <w:uiPriority w:val="21"/>
    <w:qFormat/>
    <w:rsid w:val="00E2269F"/>
    <w:rPr>
      <w:i/>
      <w:iCs/>
      <w:color w:val="0F4761" w:themeColor="accent1" w:themeShade="BF"/>
    </w:rPr>
  </w:style>
  <w:style w:type="paragraph" w:styleId="Duidelijkcitaat">
    <w:name w:val="Intense Quote"/>
    <w:basedOn w:val="Standaard"/>
    <w:next w:val="Standaard"/>
    <w:link w:val="DuidelijkcitaatChar"/>
    <w:uiPriority w:val="30"/>
    <w:qFormat/>
    <w:rsid w:val="00E22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69F"/>
    <w:rPr>
      <w:i/>
      <w:iCs/>
      <w:color w:val="0F4761" w:themeColor="accent1" w:themeShade="BF"/>
    </w:rPr>
  </w:style>
  <w:style w:type="character" w:styleId="Intensieveverwijzing">
    <w:name w:val="Intense Reference"/>
    <w:basedOn w:val="Standaardalinea-lettertype"/>
    <w:uiPriority w:val="32"/>
    <w:qFormat/>
    <w:rsid w:val="00E2269F"/>
    <w:rPr>
      <w:b/>
      <w:bCs/>
      <w:smallCaps/>
      <w:color w:val="0F4761" w:themeColor="accent1" w:themeShade="BF"/>
      <w:spacing w:val="5"/>
    </w:rPr>
  </w:style>
  <w:style w:type="paragraph" w:customStyle="1" w:styleId="Referentiegegevens">
    <w:name w:val="Referentiegegevens"/>
    <w:basedOn w:val="Standaard"/>
    <w:next w:val="Standaard"/>
    <w:rsid w:val="00E2269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2269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2269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2269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226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26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269F"/>
    <w:rPr>
      <w:vertAlign w:val="superscript"/>
    </w:rPr>
  </w:style>
  <w:style w:type="paragraph" w:styleId="Koptekst">
    <w:name w:val="header"/>
    <w:basedOn w:val="Standaard"/>
    <w:link w:val="KoptekstChar"/>
    <w:uiPriority w:val="99"/>
    <w:unhideWhenUsed/>
    <w:rsid w:val="00E226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269F"/>
  </w:style>
  <w:style w:type="paragraph" w:styleId="Voettekst">
    <w:name w:val="footer"/>
    <w:basedOn w:val="Standaard"/>
    <w:link w:val="VoettekstChar"/>
    <w:uiPriority w:val="99"/>
    <w:unhideWhenUsed/>
    <w:rsid w:val="00E226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269F"/>
  </w:style>
  <w:style w:type="paragraph" w:styleId="Geenafstand">
    <w:name w:val="No Spacing"/>
    <w:uiPriority w:val="1"/>
    <w:qFormat/>
    <w:rsid w:val="00E22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649</ap:Words>
  <ap:Characters>3571</ap:Characters>
  <ap:DocSecurity>0</ap:DocSecurity>
  <ap:Lines>29</ap:Lines>
  <ap:Paragraphs>8</ap:Paragraphs>
  <ap:ScaleCrop>false</ap:ScaleCrop>
  <ap:LinksUpToDate>false</ap:LinksUpToDate>
  <ap:CharactersWithSpaces>4212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2026-05-04T09:24:00.0000000Z</dcterms:created>
  <dcterms:modified xsi:type="dcterms:W3CDTF">2026-05-04T09:25:00.0000000Z</dcterms:modified>
  <version/>
  <category/>
</coreProperties>
</file>