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0703" w:rsidR="00B84CF3" w:rsidP="00B84CF3" w:rsidRDefault="00B84CF3" w14:paraId="55FA9E0C" w14:textId="1563AE72">
      <w:pPr>
        <w:pStyle w:val="Geenafstand"/>
      </w:pPr>
      <w:r w:rsidRPr="00EB0703">
        <w:t>AH</w:t>
      </w:r>
      <w:r>
        <w:t xml:space="preserve"> 1813</w:t>
      </w:r>
    </w:p>
    <w:p w:rsidRPr="00EB0703" w:rsidR="00B84CF3" w:rsidP="00B84CF3" w:rsidRDefault="00B84CF3" w14:paraId="0A8E1C9C" w14:textId="77777777">
      <w:pPr>
        <w:pStyle w:val="Geenafstand"/>
      </w:pPr>
      <w:r w:rsidRPr="00EB0703">
        <w:t>2026Z06938</w:t>
      </w:r>
    </w:p>
    <w:p w:rsidRPr="00EB0703" w:rsidR="00B84CF3" w:rsidP="00B84CF3" w:rsidRDefault="00B84CF3" w14:paraId="08EC55E1" w14:textId="77777777">
      <w:pPr>
        <w:pStyle w:val="Geenafstand"/>
      </w:pPr>
    </w:p>
    <w:p w:rsidRPr="00EB0703" w:rsidR="00B84CF3" w:rsidP="00B84CF3" w:rsidRDefault="00B84CF3" w14:paraId="6DA75DF8" w14:textId="77777777">
      <w:pPr>
        <w:pStyle w:val="Geenafstand"/>
        <w:rPr>
          <w:bCs/>
        </w:rPr>
      </w:pPr>
      <w:r w:rsidRPr="00EB0703">
        <w:rPr>
          <w:bCs/>
        </w:rPr>
        <w:t>Antwoord van staatssecretaris V</w:t>
      </w:r>
      <w:r w:rsidRPr="00EB0703">
        <w:t>an Bruggen</w:t>
      </w:r>
      <w:r w:rsidRPr="00EB0703">
        <w:rPr>
          <w:bCs/>
        </w:rPr>
        <w:t xml:space="preserve"> (Justitie en Veiligheid), mede namens de </w:t>
      </w:r>
      <w:r w:rsidRPr="00EB0703">
        <w:t>staatssecretaris van Financiën</w:t>
      </w:r>
      <w:r w:rsidRPr="00EB0703">
        <w:rPr>
          <w:bCs/>
        </w:rPr>
        <w:t xml:space="preserve"> (ontvangen 4 mei 2026)</w:t>
      </w:r>
    </w:p>
    <w:p w:rsidRPr="00EB0703" w:rsidR="00B84CF3" w:rsidP="00B84CF3" w:rsidRDefault="00B84CF3" w14:paraId="48CCED00" w14:textId="77777777">
      <w:pPr>
        <w:pStyle w:val="Geenafstand"/>
      </w:pPr>
    </w:p>
    <w:p w:rsidRPr="00EB0703" w:rsidR="00B84CF3" w:rsidP="00B84CF3" w:rsidRDefault="00B84CF3" w14:paraId="20FAD09A" w14:textId="214B9F2C">
      <w:r w:rsidRPr="00D73ED1">
        <w:rPr>
          <w:color w:val="000000"/>
          <w:sz w:val="24"/>
          <w:szCs w:val="24"/>
        </w:rPr>
        <w:t>Zie ook Aanhangsel Handelingen, vergaderjaar 2025-2026, nr.</w:t>
      </w:r>
      <w:r>
        <w:rPr>
          <w:color w:val="000000"/>
          <w:sz w:val="24"/>
          <w:szCs w:val="24"/>
        </w:rPr>
        <w:t xml:space="preserve"> </w:t>
      </w:r>
      <w:r>
        <w:t xml:space="preserve"> 1742</w:t>
      </w:r>
    </w:p>
    <w:p w:rsidRPr="00E97BDE" w:rsidR="00B84CF3" w:rsidP="00B84CF3" w:rsidRDefault="00B84CF3" w14:paraId="51217518" w14:textId="77777777">
      <w:pPr>
        <w:spacing w:line="240" w:lineRule="auto"/>
        <w:rPr>
          <w:b/>
          <w:bCs/>
        </w:rPr>
      </w:pPr>
      <w:r w:rsidRPr="00E97BDE">
        <w:rPr>
          <w:b/>
          <w:bCs/>
        </w:rPr>
        <w:t>Vraag 1</w:t>
      </w:r>
    </w:p>
    <w:p w:rsidRPr="00E97BDE" w:rsidR="00B84CF3" w:rsidP="00B84CF3" w:rsidRDefault="00B84CF3" w14:paraId="0B95E8B2" w14:textId="77777777">
      <w:r w:rsidRPr="00E97BDE">
        <w:t>Deelt u de opvatting dat het actief benaderen van personen met een Cruks</w:t>
      </w:r>
      <w:r w:rsidRPr="00E97BDE">
        <w:noBreakHyphen/>
        <w:t>registratie door kansspelaanbieders onverenigbaar is met het doel en de strekking van de Wet op de kansspelen, namelijk het beschermen van kwetsbare spelers tegen (verdere) gokschade?</w:t>
      </w:r>
    </w:p>
    <w:p w:rsidRPr="00E97BDE" w:rsidR="00B84CF3" w:rsidP="00B84CF3" w:rsidRDefault="00B84CF3" w14:paraId="110CB960" w14:textId="77777777">
      <w:r w:rsidRPr="00E97BDE">
        <w:rPr>
          <w:b/>
          <w:bCs/>
        </w:rPr>
        <w:t>Antwoord op vraag 1</w:t>
      </w:r>
      <w:r w:rsidRPr="00E97BDE">
        <w:rPr>
          <w:b/>
          <w:bCs/>
        </w:rPr>
        <w:br/>
      </w:r>
      <w:r w:rsidRPr="00E97BDE">
        <w:t xml:space="preserve">Ja, ik deel deze opvatting. Op grond van artikel 2, vierde lid van het Besluit werving, reclame en verslavingspreventie kansspelen mogen vergunninghouders hun wervings- en reclameactiviteiten niet richten op kwetsbare personen, waaronder personen die zich hebben uitgesloten van deelname. Dit geldt ook voor uitsluiting via het Centraal Register Uitsluiting Kansspelen (Cruks). In praktijk is dit voor vergunninghouders echter lastig te bewerkstelligen. Op grond van artikel 33h van de Wet op de kansspelen is de raadpleegbasis van Cruks voor vergunninghouders namelijk beperkt tot het verlenen van toegang van spelers tot de speelhal, het casino of de spelinterface. Dit betekent dat het voor vergunninghouders niet is toegestaan om bij het versturen van reclame te controleren of iemand in Cruks staat ingeschreven. </w:t>
      </w:r>
    </w:p>
    <w:p w:rsidRPr="00E97BDE" w:rsidR="00B84CF3" w:rsidP="00B84CF3" w:rsidRDefault="00B84CF3" w14:paraId="30306102" w14:textId="77777777">
      <w:r w:rsidRPr="00E97BDE">
        <w:t xml:space="preserve">Dit signaal is mij bekend en ik vind het problematisch dat kwetsbare personen hierdoor reclame kunnen ontvangen. Ik werk op dit moment aan een wetswijziging voor online gokken. Onderdeel hiervan is een reclameverbod voor online gokken, in lijn met het coalitieakkoord. Een ander onderdeel hiervan betreft verbeteringen van de werking van Cruks, zodat tevens voorkomen wordt dat mensen die in Cruks staan ingeschreven geconfronteerd worden met werving- of reclameactiviteiten vanuit Holland Casino of de speelautomatenhallen. </w:t>
      </w:r>
    </w:p>
    <w:p w:rsidRPr="00E97BDE" w:rsidR="00B84CF3" w:rsidP="00B84CF3" w:rsidRDefault="00B84CF3" w14:paraId="4B0647FE" w14:textId="77777777">
      <w:r w:rsidRPr="00E97BDE">
        <w:rPr>
          <w:b/>
          <w:bCs/>
        </w:rPr>
        <w:t>Vraag 2</w:t>
      </w:r>
      <w:r w:rsidRPr="00E97BDE">
        <w:rPr>
          <w:b/>
          <w:bCs/>
        </w:rPr>
        <w:br/>
      </w:r>
      <w:r w:rsidRPr="00E97BDE">
        <w:t>Hoe beoordeelt u het feit dat Holland Casino, een staatsdeelneming, personen met een actieve Cruks</w:t>
      </w:r>
      <w:r w:rsidRPr="00E97BDE">
        <w:noBreakHyphen/>
        <w:t>registratie benadert met marketingmails en persoonlijke aanbiedingen, terwijl dit wettelijk verboden is?</w:t>
      </w:r>
    </w:p>
    <w:p w:rsidRPr="00E97BDE" w:rsidR="00B84CF3" w:rsidP="00B84CF3" w:rsidRDefault="00B84CF3" w14:paraId="4B04B2F0" w14:textId="77777777">
      <w:r w:rsidRPr="00E97BDE">
        <w:rPr>
          <w:b/>
          <w:bCs/>
        </w:rPr>
        <w:t>Vraag 3</w:t>
      </w:r>
      <w:r w:rsidRPr="00E97BDE">
        <w:rPr>
          <w:b/>
          <w:bCs/>
        </w:rPr>
        <w:br/>
      </w:r>
      <w:r w:rsidRPr="00E97BDE">
        <w:t>Deelt u de opvatting dat juist van een staatsbedrijf verwacht mag worden dat het de wet niet alleen formeel naleeft, maar ook in geest en uitvoering het goede voorbeeld geeft?</w:t>
      </w:r>
    </w:p>
    <w:p w:rsidRPr="00E97BDE" w:rsidR="00B84CF3" w:rsidP="00B84CF3" w:rsidRDefault="00B84CF3" w14:paraId="0E518EF6" w14:textId="77777777">
      <w:r w:rsidRPr="00E97BDE">
        <w:rPr>
          <w:b/>
          <w:bCs/>
        </w:rPr>
        <w:lastRenderedPageBreak/>
        <w:t>Antwoord op vragen 2 en 3</w:t>
      </w:r>
      <w:r w:rsidRPr="00E97BDE">
        <w:rPr>
          <w:b/>
          <w:bCs/>
        </w:rPr>
        <w:br/>
      </w:r>
      <w:r w:rsidRPr="00E97BDE">
        <w:t xml:space="preserve">De Staatssecretaris van Financiën geeft voor de beantwoording van deze vraag aan dat het publieke belang centraal staat, in dit geval het beschermen van burgers tegen kansspelgerelateerde schade. Het naleven van wet- en regelgeving door Holland Casino is daarbij een randvoorwaarde. Daarnaast verwacht de Staatssecretaris van Financiën van Holland Casino dat zij niet alleen naar de letter, maar ook naar de geest van de wet handelt en zo het goede voorbeeld geeft binnen de kansspelsector. </w:t>
      </w:r>
    </w:p>
    <w:p w:rsidRPr="00E97BDE" w:rsidR="00B84CF3" w:rsidP="00B84CF3" w:rsidRDefault="00B84CF3" w14:paraId="69E62AD0" w14:textId="77777777">
      <w:r w:rsidRPr="00E97BDE">
        <w:t xml:space="preserve">Na het binnenkomen van uw vragen, heeft het Ministerie van Financiën zich direct door Holland Casino op de hoogte laten stellen over de situatie. Het is gebleken dat het Holland Casino in dit geval niet is toegestaan om bij het versturen van reclame te controleren of iemand in Cruks staat ingeschreven, zoals toegelicht in het antwoord op vraag 1. </w:t>
      </w:r>
    </w:p>
    <w:p w:rsidRPr="00E97BDE" w:rsidR="00B84CF3" w:rsidP="00B84CF3" w:rsidRDefault="00B84CF3" w14:paraId="3E055749" w14:textId="77777777">
      <w:r w:rsidRPr="00E97BDE">
        <w:rPr>
          <w:b/>
          <w:bCs/>
        </w:rPr>
        <w:t>Vraag 4</w:t>
      </w:r>
      <w:r w:rsidRPr="00E97BDE">
        <w:rPr>
          <w:b/>
          <w:bCs/>
        </w:rPr>
        <w:br/>
      </w:r>
      <w:r w:rsidRPr="00E97BDE">
        <w:t>Bent u het ermee eens dat dergelijke marketing richting Cruks</w:t>
      </w:r>
      <w:r w:rsidRPr="00E97BDE">
        <w:noBreakHyphen/>
        <w:t>ingeschrevenen het risico op terugval in gokverslaving vergroot (bijvoorbeeld via illegale aanbieders) en daarmee haaks staat op het verslavingspreventiebeleid van de overheid?</w:t>
      </w:r>
    </w:p>
    <w:p w:rsidRPr="00E97BDE" w:rsidR="00B84CF3" w:rsidP="00B84CF3" w:rsidRDefault="00B84CF3" w14:paraId="6DF270AC" w14:textId="77777777">
      <w:r w:rsidRPr="00E97BDE">
        <w:rPr>
          <w:b/>
          <w:bCs/>
        </w:rPr>
        <w:t>Antwoord op vraag 4</w:t>
      </w:r>
      <w:r w:rsidRPr="00E97BDE">
        <w:rPr>
          <w:b/>
          <w:bCs/>
        </w:rPr>
        <w:br/>
      </w:r>
      <w:r w:rsidRPr="00E97BDE">
        <w:t>Ja. Daarom wil de wet- en regelgeving aanpassen, zoals beschreven in mijn antwoord op vraag 1.</w:t>
      </w:r>
    </w:p>
    <w:p w:rsidRPr="00E97BDE" w:rsidR="00B84CF3" w:rsidP="00B84CF3" w:rsidRDefault="00B84CF3" w14:paraId="08D95892" w14:textId="77777777">
      <w:r w:rsidRPr="00E97BDE">
        <w:rPr>
          <w:b/>
          <w:bCs/>
        </w:rPr>
        <w:t>Vraag 5</w:t>
      </w:r>
      <w:r w:rsidRPr="00E97BDE">
        <w:rPr>
          <w:b/>
          <w:bCs/>
        </w:rPr>
        <w:br/>
      </w:r>
      <w:r w:rsidRPr="00E97BDE">
        <w:t>Bent u van mening dat slachtoffers die door dit soort illegale marketinguitingen terugval in hun verslaving ondervinden recht hebben op compensatie door het desbetreffende gokbedrijf (en in het geval van een staatsgokbedrijf ook door de overheid)?</w:t>
      </w:r>
    </w:p>
    <w:p w:rsidRPr="00E97BDE" w:rsidR="00B84CF3" w:rsidP="00B84CF3" w:rsidRDefault="00B84CF3" w14:paraId="152783AD" w14:textId="77777777">
      <w:r w:rsidRPr="00E97BDE">
        <w:rPr>
          <w:b/>
          <w:bCs/>
        </w:rPr>
        <w:t>Antwoord op vraag 5</w:t>
      </w:r>
      <w:r w:rsidRPr="00E97BDE">
        <w:rPr>
          <w:b/>
          <w:bCs/>
        </w:rPr>
        <w:br/>
      </w:r>
      <w:r w:rsidRPr="00E97BDE">
        <w:t xml:space="preserve">Gezien het geschetste antwoord op vraag 1, zie ik geen aanleiding voor een compensatie. Het oordeel hierover is echter voorbehouden aan de rechter. </w:t>
      </w:r>
    </w:p>
    <w:p w:rsidRPr="00E97BDE" w:rsidR="00B84CF3" w:rsidP="00B84CF3" w:rsidRDefault="00B84CF3" w14:paraId="27F344E3" w14:textId="77777777">
      <w:r w:rsidRPr="00E97BDE">
        <w:rPr>
          <w:b/>
          <w:bCs/>
        </w:rPr>
        <w:t>Vraag 6</w:t>
      </w:r>
      <w:r w:rsidRPr="00E97BDE">
        <w:rPr>
          <w:b/>
          <w:bCs/>
        </w:rPr>
        <w:br/>
      </w:r>
      <w:r w:rsidRPr="00E97BDE">
        <w:t>Welke concrete stappen gaat u zetten om te waarborgen dat overtredingen van het marketingverbod richting Cruks</w:t>
      </w:r>
      <w:r w:rsidRPr="00E97BDE">
        <w:noBreakHyphen/>
        <w:t>ingeschrevenen daadwerkelijk worden opgespoord en bestraft, in het bijzonder wanneer het een staatsdeelneming betreft?</w:t>
      </w:r>
    </w:p>
    <w:p w:rsidRPr="00E97BDE" w:rsidR="00B84CF3" w:rsidP="00B84CF3" w:rsidRDefault="00B84CF3" w14:paraId="3AA6856B" w14:textId="77777777">
      <w:r w:rsidRPr="00E97BDE">
        <w:rPr>
          <w:b/>
          <w:bCs/>
        </w:rPr>
        <w:t>Antwoord op vraag 6</w:t>
      </w:r>
      <w:r w:rsidRPr="00E97BDE">
        <w:rPr>
          <w:b/>
          <w:bCs/>
        </w:rPr>
        <w:br/>
      </w:r>
      <w:r w:rsidRPr="00E97BDE">
        <w:t xml:space="preserve">Aanpassing van wet- en regelgeving is nodig om goede naleving mogelijk te maken van het verbod op het richten van werving- en reclameactiviteiten op personen die zich hebben uitgesloten van deelname aan kansspelen. Hier werk ik aan, zoals toegelicht in het antwoord op vraag 1. Het is aan de </w:t>
      </w:r>
      <w:r w:rsidRPr="00E97BDE">
        <w:lastRenderedPageBreak/>
        <w:t xml:space="preserve">Kansspelautoriteit om toe te zien op de naleving van de wet- en regelgeving en in voorkomend geval te handhaven. </w:t>
      </w:r>
    </w:p>
    <w:p w:rsidRPr="00E97BDE" w:rsidR="00B84CF3" w:rsidP="00B84CF3" w:rsidRDefault="00B84CF3" w14:paraId="21592241" w14:textId="77777777">
      <w:r w:rsidRPr="00E97BDE">
        <w:rPr>
          <w:b/>
          <w:bCs/>
        </w:rPr>
        <w:t>Vraag 7</w:t>
      </w:r>
      <w:r w:rsidRPr="00E97BDE">
        <w:rPr>
          <w:b/>
          <w:bCs/>
        </w:rPr>
        <w:br/>
      </w:r>
      <w:r w:rsidRPr="00E97BDE">
        <w:t>Bent u bereid om als aandeelhouder van Holland Casino in te grijpen indien blijkt dat Cruks</w:t>
      </w:r>
      <w:r w:rsidRPr="00E97BDE">
        <w:noBreakHyphen/>
        <w:t>registraties structureel niet correct worden verwerkt in marketing</w:t>
      </w:r>
      <w:r w:rsidRPr="00E97BDE">
        <w:noBreakHyphen/>
        <w:t xml:space="preserve"> en klantensystemen?</w:t>
      </w:r>
    </w:p>
    <w:p w:rsidRPr="00E97BDE" w:rsidR="00B84CF3" w:rsidP="00B84CF3" w:rsidRDefault="00B84CF3" w14:paraId="7383DCEB" w14:textId="77777777">
      <w:r w:rsidRPr="00E97BDE">
        <w:rPr>
          <w:b/>
          <w:bCs/>
        </w:rPr>
        <w:t>Antwoord op vraag 7</w:t>
      </w:r>
      <w:r w:rsidRPr="00E97BDE">
        <w:rPr>
          <w:b/>
          <w:bCs/>
        </w:rPr>
        <w:br/>
      </w:r>
      <w:r w:rsidRPr="00E97BDE">
        <w:t xml:space="preserve">De Staatssecretaris van Financiën geeft voor de beantwoording van deze vraag aan dat hij het van groot belang acht dat Holland Casino haar zorgplicht richting de burger serieus neemt en dat zij handelt in het publieke belang. Zoals genoemd in het antwoord op vraag 2 en 3 heeft het ministerie van Financiën zich direct op de hoogte laten stellen door Holland Casino. Gelet op het antwoord op vraag 1 bestaat er momenteel geen aanleiding tot ingrijpen. Wel zie ik aanleiding voor het aanpassen van de wet- en regelgeving, zoals tevens toegelicht in het antwoord op vraag 1. In andere gevallen ziet de Kansspelautoriteit toe op de naleving van wet- en regelgeving. </w:t>
      </w:r>
    </w:p>
    <w:p w:rsidRPr="00E97BDE" w:rsidR="00B84CF3" w:rsidP="00B84CF3" w:rsidRDefault="00B84CF3" w14:paraId="24BF2440" w14:textId="77777777">
      <w:r w:rsidRPr="00E97BDE">
        <w:rPr>
          <w:b/>
          <w:bCs/>
        </w:rPr>
        <w:t>Vraag 8</w:t>
      </w:r>
      <w:r w:rsidRPr="00E97BDE">
        <w:rPr>
          <w:b/>
          <w:bCs/>
        </w:rPr>
        <w:br/>
      </w:r>
      <w:r w:rsidRPr="00E97BDE">
        <w:t>Kunt u deze vragen afzonderlijk en het liefst binnen de gebruikelijke termijn, maar in elk geval ruim voorafgaand aan het commissiedebat over Staatsdeelnemingen (op 17 juni 2026) beantwoorden?</w:t>
      </w:r>
    </w:p>
    <w:p w:rsidR="00B84CF3" w:rsidP="00B84CF3" w:rsidRDefault="00B84CF3" w14:paraId="53DE6EE9" w14:textId="77777777">
      <w:r w:rsidRPr="00E97BDE">
        <w:rPr>
          <w:b/>
          <w:bCs/>
        </w:rPr>
        <w:t>Antwoord op vraag 8</w:t>
      </w:r>
      <w:r w:rsidRPr="00E97BDE">
        <w:rPr>
          <w:b/>
          <w:bCs/>
        </w:rPr>
        <w:br/>
      </w:r>
      <w:r w:rsidRPr="00E97BDE">
        <w:t>Voor de samenhang van de beantwoording heb ik ervoor gekozen om vragen 2 en 3 gezamenlijk te beantwoorden.</w:t>
      </w:r>
      <w:r>
        <w:t xml:space="preserve">   </w:t>
      </w:r>
    </w:p>
    <w:p w:rsidR="002C3023" w:rsidRDefault="002C3023" w14:paraId="1751BB50" w14:textId="77777777"/>
    <w:sectPr w:rsidR="002C3023" w:rsidSect="00B84CF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5AA3" w14:textId="77777777" w:rsidR="00B84CF3" w:rsidRDefault="00B84CF3" w:rsidP="00B84CF3">
      <w:pPr>
        <w:spacing w:after="0" w:line="240" w:lineRule="auto"/>
      </w:pPr>
      <w:r>
        <w:separator/>
      </w:r>
    </w:p>
  </w:endnote>
  <w:endnote w:type="continuationSeparator" w:id="0">
    <w:p w14:paraId="5D84FC35" w14:textId="77777777" w:rsidR="00B84CF3" w:rsidRDefault="00B84CF3" w:rsidP="00B8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5278" w14:textId="77777777" w:rsidR="00B84CF3" w:rsidRPr="00B84CF3" w:rsidRDefault="00B84CF3" w:rsidP="00B84C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7EC" w14:textId="77777777" w:rsidR="00B84CF3" w:rsidRPr="00B84CF3" w:rsidRDefault="00B84CF3" w:rsidP="00B84C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D51E" w14:textId="77777777" w:rsidR="00B84CF3" w:rsidRPr="00B84CF3" w:rsidRDefault="00B84CF3" w:rsidP="00B84C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BB76" w14:textId="77777777" w:rsidR="00B84CF3" w:rsidRDefault="00B84CF3" w:rsidP="00B84CF3">
      <w:pPr>
        <w:spacing w:after="0" w:line="240" w:lineRule="auto"/>
      </w:pPr>
      <w:r>
        <w:separator/>
      </w:r>
    </w:p>
  </w:footnote>
  <w:footnote w:type="continuationSeparator" w:id="0">
    <w:p w14:paraId="7984AAD0" w14:textId="77777777" w:rsidR="00B84CF3" w:rsidRDefault="00B84CF3" w:rsidP="00B8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C44" w14:textId="77777777" w:rsidR="00B84CF3" w:rsidRPr="00B84CF3" w:rsidRDefault="00B84CF3" w:rsidP="00B84C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4F8D" w14:textId="77777777" w:rsidR="00B84CF3" w:rsidRPr="00B84CF3" w:rsidRDefault="00B84CF3" w:rsidP="00B84C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DA51" w14:textId="77777777" w:rsidR="00B84CF3" w:rsidRPr="00B84CF3" w:rsidRDefault="00B84CF3" w:rsidP="00B84C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3"/>
    <w:rsid w:val="002C3023"/>
    <w:rsid w:val="009023B4"/>
    <w:rsid w:val="00B84CF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317D"/>
  <w15:chartTrackingRefBased/>
  <w15:docId w15:val="{68ECBC09-F852-4116-8688-617BA4B8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C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C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C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C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C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C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C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C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C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C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C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C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C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C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C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CF3"/>
    <w:rPr>
      <w:rFonts w:eastAsiaTheme="majorEastAsia" w:cstheme="majorBidi"/>
      <w:color w:val="272727" w:themeColor="text1" w:themeTint="D8"/>
    </w:rPr>
  </w:style>
  <w:style w:type="paragraph" w:styleId="Titel">
    <w:name w:val="Title"/>
    <w:basedOn w:val="Standaard"/>
    <w:next w:val="Standaard"/>
    <w:link w:val="TitelChar"/>
    <w:uiPriority w:val="10"/>
    <w:qFormat/>
    <w:rsid w:val="00B8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C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C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C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C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CF3"/>
    <w:rPr>
      <w:i/>
      <w:iCs/>
      <w:color w:val="404040" w:themeColor="text1" w:themeTint="BF"/>
    </w:rPr>
  </w:style>
  <w:style w:type="paragraph" w:styleId="Lijstalinea">
    <w:name w:val="List Paragraph"/>
    <w:basedOn w:val="Standaard"/>
    <w:uiPriority w:val="34"/>
    <w:qFormat/>
    <w:rsid w:val="00B84CF3"/>
    <w:pPr>
      <w:ind w:left="720"/>
      <w:contextualSpacing/>
    </w:pPr>
  </w:style>
  <w:style w:type="character" w:styleId="Intensievebenadrukking">
    <w:name w:val="Intense Emphasis"/>
    <w:basedOn w:val="Standaardalinea-lettertype"/>
    <w:uiPriority w:val="21"/>
    <w:qFormat/>
    <w:rsid w:val="00B84CF3"/>
    <w:rPr>
      <w:i/>
      <w:iCs/>
      <w:color w:val="0F4761" w:themeColor="accent1" w:themeShade="BF"/>
    </w:rPr>
  </w:style>
  <w:style w:type="paragraph" w:styleId="Duidelijkcitaat">
    <w:name w:val="Intense Quote"/>
    <w:basedOn w:val="Standaard"/>
    <w:next w:val="Standaard"/>
    <w:link w:val="DuidelijkcitaatChar"/>
    <w:uiPriority w:val="30"/>
    <w:qFormat/>
    <w:rsid w:val="00B8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CF3"/>
    <w:rPr>
      <w:i/>
      <w:iCs/>
      <w:color w:val="0F4761" w:themeColor="accent1" w:themeShade="BF"/>
    </w:rPr>
  </w:style>
  <w:style w:type="character" w:styleId="Intensieveverwijzing">
    <w:name w:val="Intense Reference"/>
    <w:basedOn w:val="Standaardalinea-lettertype"/>
    <w:uiPriority w:val="32"/>
    <w:qFormat/>
    <w:rsid w:val="00B84CF3"/>
    <w:rPr>
      <w:b/>
      <w:bCs/>
      <w:smallCaps/>
      <w:color w:val="0F4761" w:themeColor="accent1" w:themeShade="BF"/>
      <w:spacing w:val="5"/>
    </w:rPr>
  </w:style>
  <w:style w:type="paragraph" w:customStyle="1" w:styleId="Referentiegegevens">
    <w:name w:val="Referentiegegevens"/>
    <w:basedOn w:val="Standaard"/>
    <w:next w:val="Standaard"/>
    <w:rsid w:val="00B84C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84C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B84CF3"/>
    <w:pPr>
      <w:spacing w:line="140" w:lineRule="exact"/>
    </w:pPr>
  </w:style>
  <w:style w:type="character" w:customStyle="1" w:styleId="VoettekstChar">
    <w:name w:val="Voettekst Char"/>
    <w:basedOn w:val="Standaardalinea-lettertype"/>
    <w:link w:val="Voettekst"/>
    <w:rsid w:val="00B84CF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84C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84C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84C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84CF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84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888</ap:Words>
  <ap:Characters>4885</ap:Characters>
  <ap:DocSecurity>0</ap:DocSecurity>
  <ap:Lines>40</ap:Lines>
  <ap:Paragraphs>11</ap:Paragraphs>
  <ap:ScaleCrop>false</ap:ScaleCrop>
  <ap:LinksUpToDate>false</ap:LinksUpToDate>
  <ap:CharactersWithSpaces>5762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2026-05-04T09:22:00.0000000Z</dcterms:created>
  <dcterms:modified xsi:type="dcterms:W3CDTF">2026-05-04T09:23:00.0000000Z</dcterms:modified>
  <version/>
  <category/>
</coreProperties>
</file>