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DB6" w:rsidP="002822CA" w:rsidRDefault="00465DB6" w14:paraId="5E2A34D8" w14:textId="6D0E40D2">
      <w:pPr>
        <w:rPr>
          <w:szCs w:val="18"/>
        </w:rPr>
      </w:pPr>
      <w:r w:rsidRPr="005F0BC4">
        <w:rPr>
          <w:szCs w:val="18"/>
        </w:rPr>
        <w:t>Geachte Voorzitter,</w:t>
      </w:r>
    </w:p>
    <w:p w:rsidR="00465DB6" w:rsidP="002822CA" w:rsidRDefault="00465DB6" w14:paraId="7BE0B53D" w14:textId="77777777">
      <w:pPr>
        <w:rPr>
          <w:szCs w:val="18"/>
        </w:rPr>
      </w:pPr>
    </w:p>
    <w:p w:rsidR="00465DB6" w:rsidP="00465DB6" w:rsidRDefault="00465DB6" w14:paraId="289830C3" w14:textId="77777777">
      <w:pPr>
        <w:rPr>
          <w:szCs w:val="18"/>
        </w:rPr>
      </w:pPr>
      <w:r w:rsidRPr="2047BD19">
        <w:rPr>
          <w:szCs w:val="18"/>
        </w:rPr>
        <w:t>Hierbij bied ik u de ontwerpregeling aan, houdende wijziging van de Regeling nationale EZ-, LVVN- en KGG-subsidies in verband met de verlenging van de subsidiemodules Garantie Ondernemingsfinanciering en Garantstelling gericht op bankgaranties (hierna samen aangeduid als de subsidiemodules GO) die opgenomen zijn in titels 3.13 en 3.14 van de Regeling nationale EZ-, LVVN- en KGG-subsidies. Met deze brief ga ik ook in op de opvolging en effectuering van de aanbevelingen uit de GO beleidsevaluatie.</w:t>
      </w:r>
      <w:r w:rsidRPr="2047BD19">
        <w:rPr>
          <w:rStyle w:val="Voetnootmarkering"/>
          <w:szCs w:val="18"/>
        </w:rPr>
        <w:footnoteReference w:id="1"/>
      </w:r>
      <w:r w:rsidRPr="2047BD19">
        <w:rPr>
          <w:szCs w:val="18"/>
        </w:rPr>
        <w:t xml:space="preserve"> </w:t>
      </w:r>
      <w:r>
        <w:rPr>
          <w:rStyle w:val="Voetnootmarkering"/>
          <w:szCs w:val="18"/>
        </w:rPr>
        <w:footnoteReference w:id="2"/>
      </w:r>
    </w:p>
    <w:p w:rsidR="00465DB6" w:rsidP="00465DB6" w:rsidRDefault="00465DB6" w14:paraId="67794674" w14:textId="77777777">
      <w:pPr>
        <w:rPr>
          <w:szCs w:val="18"/>
        </w:rPr>
      </w:pPr>
    </w:p>
    <w:p w:rsidR="00465DB6" w:rsidP="00465DB6" w:rsidRDefault="00465DB6" w14:paraId="71936FF2" w14:textId="3672A6E4">
      <w:pPr>
        <w:rPr>
          <w:szCs w:val="18"/>
        </w:rPr>
      </w:pPr>
      <w:r w:rsidRPr="2047BD19">
        <w:rPr>
          <w:szCs w:val="18"/>
        </w:rPr>
        <w:t>In artikel 4.10, tweede lid, van de Comptabiliteitswet 2016 is bepaald dat subsidieregelingen een vervaltermijn van maximaal vijf jaren bevatten. 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 De subsidiemodules GO vervallen op 1 juli 2026. Met deze ontwerpregeling wordt de vervaldatum van de subsidiemodules GO verlengd met vijf jaar tot 1 juli 2031.</w:t>
      </w:r>
    </w:p>
    <w:p w:rsidRPr="005F0BC4" w:rsidR="006678C4" w:rsidP="00465DB6" w:rsidRDefault="006678C4" w14:paraId="43113319" w14:textId="77777777">
      <w:pPr>
        <w:rPr>
          <w:szCs w:val="18"/>
        </w:rPr>
      </w:pPr>
    </w:p>
    <w:p w:rsidR="006678C4" w:rsidP="00465DB6" w:rsidRDefault="00465DB6" w14:paraId="5BCA28B1" w14:textId="77777777">
      <w:pPr>
        <w:rPr>
          <w:szCs w:val="18"/>
        </w:rPr>
      </w:pPr>
      <w:r w:rsidRPr="05EFDD77">
        <w:rPr>
          <w:szCs w:val="18"/>
        </w:rPr>
        <w:t xml:space="preserve">De subsidiemodules GO beogen de toegang tot bankkrediet voor het Nederlandse bedrijfsleven te verbeteren. Op grond van de subsidiemodules GO kunnen banken een garantstelling van de Nederlandse Staat verkrijgen voor kredieten die zij verstrekken aan ondernemingen. De subsidiemodules GO gelden zowel voor mkb-ondernemingen als grote ondernemingen. Ook bevatten de subsidiemodules GO een faciliteit ter zake van bankgaranties die ervoor zorgt dat de Nederlandse Staat garant kan staan voor door banken af te geven garanties voor de nakoming van contractuele verplichtingen van de desbetreffende onderneming. Voor de garantstelling wordt een kostendekkende premie aan de financier geheven. </w:t>
      </w:r>
    </w:p>
    <w:p w:rsidR="006678C4" w:rsidP="00465DB6" w:rsidRDefault="006678C4" w14:paraId="00CF4062" w14:textId="77777777">
      <w:pPr>
        <w:rPr>
          <w:szCs w:val="18"/>
        </w:rPr>
      </w:pPr>
    </w:p>
    <w:p w:rsidRPr="005F0BC4" w:rsidR="00465DB6" w:rsidP="00465DB6" w:rsidRDefault="00465DB6" w14:paraId="403A7F37" w14:textId="7C1305B7">
      <w:pPr>
        <w:rPr>
          <w:szCs w:val="18"/>
        </w:rPr>
      </w:pPr>
      <w:r w:rsidRPr="05EFDD77">
        <w:rPr>
          <w:szCs w:val="18"/>
        </w:rPr>
        <w:t>In 2025 zijn de subsidiemodules GO geëvalueerd. Vooruitlopend op de afronding en de uitkomsten van het evaluatieonderzoek zijn de subsidiemodules GO verlengd van 1 juli 2025 tot 1 juli 2026</w:t>
      </w:r>
      <w:r>
        <w:rPr>
          <w:szCs w:val="18"/>
        </w:rPr>
        <w:t>. Dit om de uitkomsten van de ‘GO 2019-</w:t>
      </w:r>
      <w:r>
        <w:rPr>
          <w:szCs w:val="18"/>
        </w:rPr>
        <w:lastRenderedPageBreak/>
        <w:t>2023 beleidsevaluatie’</w:t>
      </w:r>
      <w:r>
        <w:rPr>
          <w:rStyle w:val="Voetnootmarkering"/>
          <w:szCs w:val="18"/>
        </w:rPr>
        <w:footnoteReference w:id="3"/>
      </w:r>
      <w:r>
        <w:rPr>
          <w:szCs w:val="18"/>
        </w:rPr>
        <w:t xml:space="preserve"> zorgvuldig te </w:t>
      </w:r>
      <w:r w:rsidRPr="00EF6B5F">
        <w:rPr>
          <w:szCs w:val="18"/>
        </w:rPr>
        <w:t>bezien</w:t>
      </w:r>
      <w:r>
        <w:rPr>
          <w:szCs w:val="18"/>
        </w:rPr>
        <w:t xml:space="preserve">, </w:t>
      </w:r>
      <w:r w:rsidRPr="00EF6B5F">
        <w:rPr>
          <w:szCs w:val="18"/>
        </w:rPr>
        <w:t>in samenhang met de</w:t>
      </w:r>
      <w:r>
        <w:rPr>
          <w:szCs w:val="18"/>
        </w:rPr>
        <w:t xml:space="preserve"> </w:t>
      </w:r>
      <w:r w:rsidRPr="00EF6B5F">
        <w:rPr>
          <w:szCs w:val="18"/>
        </w:rPr>
        <w:t>verkregen Interdepartementale Beleidsonderzoek Bedrijfsfinanciering (IBO;</w:t>
      </w:r>
      <w:r>
        <w:rPr>
          <w:szCs w:val="18"/>
        </w:rPr>
        <w:t xml:space="preserve"> </w:t>
      </w:r>
      <w:r w:rsidRPr="00EF6B5F">
        <w:rPr>
          <w:szCs w:val="18"/>
        </w:rPr>
        <w:t>jun</w:t>
      </w:r>
      <w:r>
        <w:rPr>
          <w:szCs w:val="18"/>
        </w:rPr>
        <w:t>i</w:t>
      </w:r>
      <w:r w:rsidRPr="00EF6B5F">
        <w:rPr>
          <w:szCs w:val="18"/>
        </w:rPr>
        <w:t xml:space="preserve"> 2024)</w:t>
      </w:r>
      <w:r>
        <w:rPr>
          <w:rStyle w:val="Voetnootmarkering"/>
          <w:szCs w:val="18"/>
        </w:rPr>
        <w:footnoteReference w:id="4"/>
      </w:r>
      <w:r w:rsidRPr="00EF6B5F">
        <w:rPr>
          <w:szCs w:val="18"/>
        </w:rPr>
        <w:t>.</w:t>
      </w:r>
      <w:r>
        <w:rPr>
          <w:szCs w:val="18"/>
        </w:rPr>
        <w:t xml:space="preserve"> </w:t>
      </w:r>
    </w:p>
    <w:p w:rsidR="00465DB6" w:rsidP="00465DB6" w:rsidRDefault="00465DB6" w14:paraId="5505904A" w14:textId="77777777">
      <w:pPr>
        <w:rPr>
          <w:szCs w:val="18"/>
        </w:rPr>
      </w:pPr>
    </w:p>
    <w:p w:rsidRPr="005F0BC4" w:rsidR="00465DB6" w:rsidP="00465DB6" w:rsidRDefault="00465DB6" w14:paraId="1F2F34D4" w14:textId="3837F02C">
      <w:pPr>
        <w:rPr>
          <w:szCs w:val="18"/>
        </w:rPr>
      </w:pPr>
      <w:r w:rsidRPr="000D60A6">
        <w:rPr>
          <w:szCs w:val="18"/>
        </w:rPr>
        <w:t xml:space="preserve">De </w:t>
      </w:r>
      <w:r>
        <w:rPr>
          <w:szCs w:val="18"/>
        </w:rPr>
        <w:t>bijgevoegde ontwerp</w:t>
      </w:r>
      <w:r w:rsidRPr="000D60A6">
        <w:rPr>
          <w:szCs w:val="18"/>
        </w:rPr>
        <w:t xml:space="preserve">regeling voorziet in de </w:t>
      </w:r>
      <w:r>
        <w:rPr>
          <w:szCs w:val="18"/>
        </w:rPr>
        <w:t xml:space="preserve">beoogde </w:t>
      </w:r>
      <w:r w:rsidRPr="000D60A6">
        <w:rPr>
          <w:szCs w:val="18"/>
        </w:rPr>
        <w:t>verlenging van de subsidiemodules GO tot 1 juli 2031</w:t>
      </w:r>
      <w:r>
        <w:rPr>
          <w:szCs w:val="18"/>
        </w:rPr>
        <w:t xml:space="preserve">. De verlenging </w:t>
      </w:r>
      <w:r w:rsidRPr="005F0BC4">
        <w:rPr>
          <w:szCs w:val="18"/>
        </w:rPr>
        <w:t xml:space="preserve">is gewenst omdat uit de </w:t>
      </w:r>
      <w:r>
        <w:rPr>
          <w:szCs w:val="18"/>
        </w:rPr>
        <w:t>‘</w:t>
      </w:r>
      <w:r w:rsidRPr="05EFDD77">
        <w:rPr>
          <w:szCs w:val="18"/>
        </w:rPr>
        <w:t>GO 2019-2023 beleidsevaluatie’</w:t>
      </w:r>
      <w:r>
        <w:rPr>
          <w:rStyle w:val="Voetnootmarkering"/>
          <w:szCs w:val="18"/>
        </w:rPr>
        <w:t>1</w:t>
      </w:r>
      <w:r w:rsidRPr="05EFDD77">
        <w:rPr>
          <w:szCs w:val="18"/>
        </w:rPr>
        <w:t xml:space="preserve"> </w:t>
      </w:r>
      <w:r w:rsidRPr="005F0BC4">
        <w:rPr>
          <w:szCs w:val="18"/>
        </w:rPr>
        <w:t xml:space="preserve">volgt dat de </w:t>
      </w:r>
      <w:r>
        <w:rPr>
          <w:szCs w:val="18"/>
        </w:rPr>
        <w:t xml:space="preserve">subsidiemodules </w:t>
      </w:r>
      <w:r w:rsidRPr="005F0BC4">
        <w:rPr>
          <w:szCs w:val="18"/>
        </w:rPr>
        <w:t xml:space="preserve">GO doelmatig </w:t>
      </w:r>
      <w:r>
        <w:rPr>
          <w:szCs w:val="18"/>
        </w:rPr>
        <w:t xml:space="preserve">zijn. Ook blijven met deze beoogde verlenging de subsidiemodules GO behouden om deze in tijden van crisis (zoals in de Coronacrisis en nu ook in de Energiecrisis) in te kunnen zetten. Op doeltreffendheid </w:t>
      </w:r>
      <w:r w:rsidRPr="00C46867">
        <w:rPr>
          <w:szCs w:val="18"/>
        </w:rPr>
        <w:t>scor</w:t>
      </w:r>
      <w:r>
        <w:rPr>
          <w:szCs w:val="18"/>
        </w:rPr>
        <w:t>en</w:t>
      </w:r>
      <w:r w:rsidRPr="00C46867">
        <w:rPr>
          <w:szCs w:val="18"/>
        </w:rPr>
        <w:t xml:space="preserve"> de </w:t>
      </w:r>
      <w:r>
        <w:rPr>
          <w:szCs w:val="18"/>
        </w:rPr>
        <w:t>subsidiemodules GO</w:t>
      </w:r>
      <w:r w:rsidRPr="00C46867">
        <w:rPr>
          <w:szCs w:val="18"/>
        </w:rPr>
        <w:t xml:space="preserve"> </w:t>
      </w:r>
      <w:r>
        <w:rPr>
          <w:szCs w:val="18"/>
        </w:rPr>
        <w:t xml:space="preserve">weliswaar </w:t>
      </w:r>
      <w:r w:rsidRPr="00C46867">
        <w:rPr>
          <w:szCs w:val="18"/>
        </w:rPr>
        <w:t>lag</w:t>
      </w:r>
      <w:r>
        <w:rPr>
          <w:szCs w:val="18"/>
        </w:rPr>
        <w:t xml:space="preserve">er omdat de frequentie van het gebruik omhoog zou mogen, maar er zijn mogelijkheden om deze </w:t>
      </w:r>
      <w:r w:rsidRPr="00C46867">
        <w:rPr>
          <w:szCs w:val="18"/>
        </w:rPr>
        <w:t>doeltreffendheid</w:t>
      </w:r>
      <w:r>
        <w:rPr>
          <w:szCs w:val="18"/>
        </w:rPr>
        <w:t xml:space="preserve"> te verbeteren. In</w:t>
      </w:r>
      <w:r w:rsidRPr="002E7A9C">
        <w:rPr>
          <w:szCs w:val="18"/>
        </w:rPr>
        <w:t xml:space="preserve"> </w:t>
      </w:r>
      <w:r>
        <w:rPr>
          <w:szCs w:val="18"/>
        </w:rPr>
        <w:t>de</w:t>
      </w:r>
      <w:r w:rsidRPr="002E7A9C">
        <w:rPr>
          <w:szCs w:val="18"/>
        </w:rPr>
        <w:t xml:space="preserve"> </w:t>
      </w:r>
      <w:r>
        <w:rPr>
          <w:szCs w:val="18"/>
        </w:rPr>
        <w:t xml:space="preserve">voormelde </w:t>
      </w:r>
      <w:r w:rsidRPr="002E7A9C">
        <w:rPr>
          <w:szCs w:val="18"/>
        </w:rPr>
        <w:t xml:space="preserve">evaluatie </w:t>
      </w:r>
      <w:r>
        <w:rPr>
          <w:szCs w:val="18"/>
        </w:rPr>
        <w:t xml:space="preserve">zijn </w:t>
      </w:r>
      <w:r w:rsidRPr="002E7A9C">
        <w:rPr>
          <w:szCs w:val="18"/>
        </w:rPr>
        <w:t>een aantal opties geschetst</w:t>
      </w:r>
      <w:r>
        <w:rPr>
          <w:szCs w:val="18"/>
        </w:rPr>
        <w:t xml:space="preserve">, die </w:t>
      </w:r>
      <w:r w:rsidRPr="002E7A9C">
        <w:rPr>
          <w:szCs w:val="18"/>
        </w:rPr>
        <w:t>zijn verkend en gewogen</w:t>
      </w:r>
      <w:r>
        <w:rPr>
          <w:szCs w:val="18"/>
        </w:rPr>
        <w:t xml:space="preserve"> op haalbaarheid hiervan en waarvan beoogd wordt een aantal in te vullen nadat de subsidiemodules GO verlengd zijn. </w:t>
      </w:r>
    </w:p>
    <w:p w:rsidR="00465DB6" w:rsidP="00465DB6" w:rsidRDefault="00465DB6" w14:paraId="5E5A526C" w14:textId="77777777">
      <w:pPr>
        <w:rPr>
          <w:szCs w:val="18"/>
        </w:rPr>
      </w:pPr>
    </w:p>
    <w:p w:rsidRPr="005F0BC4" w:rsidR="00465DB6" w:rsidP="00465DB6" w:rsidRDefault="00465DB6" w14:paraId="710A664E" w14:textId="43BA9A78">
      <w:pPr>
        <w:rPr>
          <w:szCs w:val="18"/>
        </w:rPr>
      </w:pPr>
      <w:r w:rsidRPr="2047BD19">
        <w:rPr>
          <w:szCs w:val="18"/>
        </w:rPr>
        <w:t>Alleree</w:t>
      </w:r>
      <w:r w:rsidR="00FA26C1">
        <w:rPr>
          <w:szCs w:val="18"/>
        </w:rPr>
        <w:t>r</w:t>
      </w:r>
      <w:r w:rsidRPr="2047BD19">
        <w:rPr>
          <w:szCs w:val="18"/>
        </w:rPr>
        <w:t>st bestaat het voornemen om de toegang tot de subsidiemodules GO te verruimen voor geaccrediteerde non-bancaire financiers. Hiermee wordt beoogd de toegang tot bedrijfsfinanciering voor het midden- en grootbedrijf te verbeteren. Non-bancaire financiers spelen namelijk in toenemende mate een belangrijkere rol in de markt voor kredietverlening. De beoogde toegangsverruiming zal op een later moment via een aanvullende wijzigingsregeling geschieden. Ten tweede zal (naar verwachting) ten behoeve van het jaarlijkse garantieplafond in het vervolg ten hoogste € 300.000.000, in plaats van € 400.000.000, budget beschikbaar worden gesteld, om zo te voldoen aan de aanbeveling uit het IBO om te extensiveren op de subsidiemodules GO. Met dit maximumbudget zal rekening worden gehouden bij de vaststelling van de hoogte van het garantieplafond ten behoeve van toekomstige openstellingen van de subsidiemodules GO in het desbetreffende kalenderjaar.</w:t>
      </w:r>
    </w:p>
    <w:p w:rsidR="00465DB6" w:rsidP="00465DB6" w:rsidRDefault="00465DB6" w14:paraId="54D2292A" w14:textId="77777777">
      <w:pPr>
        <w:rPr>
          <w:szCs w:val="18"/>
        </w:rPr>
      </w:pPr>
    </w:p>
    <w:p w:rsidR="00465DB6" w:rsidP="00465DB6" w:rsidRDefault="00465DB6" w14:paraId="501FA041" w14:textId="7CF731DC">
      <w:pPr>
        <w:rPr>
          <w:szCs w:val="18"/>
        </w:rPr>
      </w:pPr>
      <w:r w:rsidRPr="05EFDD77">
        <w:rPr>
          <w:szCs w:val="18"/>
        </w:rPr>
        <w:t xml:space="preserve">Het voornemen tot de voorgaande verlenging en aanpassingen van de subsidiemodules GO </w:t>
      </w:r>
      <w:r>
        <w:rPr>
          <w:szCs w:val="18"/>
        </w:rPr>
        <w:t xml:space="preserve">is tevens </w:t>
      </w:r>
      <w:r w:rsidRPr="05EFDD77">
        <w:rPr>
          <w:szCs w:val="18"/>
        </w:rPr>
        <w:t>in het toetsingskader risicoregelingen Rijksoverheid opgenomen. Dit toetsingskader is conform het beleidskader risicoregelingen ter goedkeuring voorgelegd aan de Ministerraad, die</w:t>
      </w:r>
      <w:r>
        <w:rPr>
          <w:szCs w:val="18"/>
        </w:rPr>
        <w:t xml:space="preserve"> hiermee</w:t>
      </w:r>
      <w:r w:rsidRPr="05EFDD77">
        <w:rPr>
          <w:szCs w:val="18"/>
        </w:rPr>
        <w:t xml:space="preserve"> op 17 april</w:t>
      </w:r>
      <w:r>
        <w:rPr>
          <w:szCs w:val="18"/>
        </w:rPr>
        <w:t xml:space="preserve"> </w:t>
      </w:r>
      <w:r w:rsidRPr="05EFDD77">
        <w:rPr>
          <w:szCs w:val="18"/>
        </w:rPr>
        <w:t>2026 heeft ingestemd</w:t>
      </w:r>
      <w:r>
        <w:rPr>
          <w:szCs w:val="18"/>
        </w:rPr>
        <w:t>. Op 20 april 2026 is h</w:t>
      </w:r>
      <w:r w:rsidRPr="05EFDD77">
        <w:rPr>
          <w:szCs w:val="18"/>
        </w:rPr>
        <w:t xml:space="preserve">et bijhorende toetsingskader </w:t>
      </w:r>
      <w:r>
        <w:rPr>
          <w:szCs w:val="18"/>
        </w:rPr>
        <w:t>r</w:t>
      </w:r>
      <w:r w:rsidRPr="05EFDD77">
        <w:rPr>
          <w:szCs w:val="18"/>
        </w:rPr>
        <w:t>isicoregelingen Rijksoverheid</w:t>
      </w:r>
      <w:r>
        <w:rPr>
          <w:rStyle w:val="Voetnootmarkering"/>
          <w:szCs w:val="18"/>
        </w:rPr>
        <w:footnoteReference w:id="5"/>
      </w:r>
      <w:r>
        <w:rPr>
          <w:szCs w:val="18"/>
        </w:rPr>
        <w:t xml:space="preserve"> als onderdeel van de Kamerbrief Acties Weerbaarheid Energieschok</w:t>
      </w:r>
      <w:r>
        <w:rPr>
          <w:rStyle w:val="Voetnootmarkering"/>
          <w:szCs w:val="18"/>
        </w:rPr>
        <w:footnoteReference w:id="6"/>
      </w:r>
      <w:r w:rsidR="00F67E6A">
        <w:rPr>
          <w:szCs w:val="18"/>
        </w:rPr>
        <w:t xml:space="preserve"> </w:t>
      </w:r>
      <w:r>
        <w:rPr>
          <w:szCs w:val="18"/>
        </w:rPr>
        <w:t>meegezonden aan de Kamer</w:t>
      </w:r>
      <w:r w:rsidRPr="05EFDD77">
        <w:rPr>
          <w:szCs w:val="18"/>
        </w:rPr>
        <w:t>.</w:t>
      </w:r>
    </w:p>
    <w:p w:rsidR="00241D72" w:rsidP="00810C93" w:rsidRDefault="00241D72" w14:paraId="61F770C3" w14:textId="77777777"/>
    <w:p w:rsidR="00465DB6" w:rsidP="00810C93" w:rsidRDefault="00465DB6" w14:paraId="4D392A66" w14:textId="77777777"/>
    <w:p w:rsidRPr="005C65B5" w:rsidR="00C90702" w:rsidP="007F510A" w:rsidRDefault="00C90702" w14:paraId="630689C7" w14:textId="77777777"/>
    <w:p w:rsidRPr="005C65B5" w:rsidR="00C90702" w:rsidP="007F510A" w:rsidRDefault="00C90702" w14:paraId="0CE07B40" w14:textId="77777777"/>
    <w:p w:rsidRPr="00591E4A" w:rsidR="00C90702" w:rsidP="007F510A" w:rsidRDefault="00002ED4" w14:paraId="1AE50591" w14:textId="77777777">
      <w:pPr>
        <w:rPr>
          <w:szCs w:val="18"/>
        </w:rPr>
      </w:pPr>
      <w:r>
        <w:rPr>
          <w:szCs w:val="18"/>
        </w:rPr>
        <w:t>Heleen Herbert</w:t>
      </w:r>
    </w:p>
    <w:p w:rsidR="00BD2D73" w:rsidP="00810C93" w:rsidRDefault="00002ED4" w14:paraId="46F99C1C" w14:textId="4FE520B9">
      <w:r w:rsidRPr="005C65B5">
        <w:t>Minister van Economische Zaken</w:t>
      </w:r>
      <w:r w:rsidR="00F12C95">
        <w:t xml:space="preserve"> en Klimaat</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8D88" w14:textId="77777777" w:rsidR="004A66BB" w:rsidRDefault="004A66BB">
      <w:r>
        <w:separator/>
      </w:r>
    </w:p>
    <w:p w14:paraId="236C8508" w14:textId="77777777" w:rsidR="004A66BB" w:rsidRDefault="004A66BB"/>
  </w:endnote>
  <w:endnote w:type="continuationSeparator" w:id="0">
    <w:p w14:paraId="2B6EDCB8" w14:textId="77777777" w:rsidR="004A66BB" w:rsidRDefault="004A66BB">
      <w:r>
        <w:continuationSeparator/>
      </w:r>
    </w:p>
    <w:p w14:paraId="57165024" w14:textId="77777777" w:rsidR="004A66BB" w:rsidRDefault="004A6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B72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04C91" w14:paraId="49465247" w14:textId="77777777" w:rsidTr="00CA6A25">
      <w:trPr>
        <w:trHeight w:hRule="exact" w:val="240"/>
      </w:trPr>
      <w:tc>
        <w:tcPr>
          <w:tcW w:w="7601" w:type="dxa"/>
        </w:tcPr>
        <w:p w14:paraId="056F9DE6" w14:textId="77777777" w:rsidR="00527BD4" w:rsidRDefault="00527BD4" w:rsidP="003F1F6B">
          <w:pPr>
            <w:pStyle w:val="Huisstijl-Rubricering"/>
          </w:pPr>
        </w:p>
      </w:tc>
      <w:tc>
        <w:tcPr>
          <w:tcW w:w="2156" w:type="dxa"/>
        </w:tcPr>
        <w:p w14:paraId="26092E6A" w14:textId="7168EB6C" w:rsidR="00527BD4" w:rsidRPr="00645414" w:rsidRDefault="00002ED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97345">
            <w:t>2</w:t>
          </w:r>
          <w:r w:rsidR="004425CC">
            <w:fldChar w:fldCharType="end"/>
          </w:r>
        </w:p>
      </w:tc>
    </w:tr>
  </w:tbl>
  <w:p w14:paraId="29CF495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04C91" w14:paraId="503AB15F" w14:textId="77777777" w:rsidTr="00CA6A25">
      <w:trPr>
        <w:trHeight w:hRule="exact" w:val="240"/>
      </w:trPr>
      <w:tc>
        <w:tcPr>
          <w:tcW w:w="7601" w:type="dxa"/>
        </w:tcPr>
        <w:p w14:paraId="2642BA55" w14:textId="77777777" w:rsidR="00527BD4" w:rsidRDefault="00527BD4" w:rsidP="008C356D">
          <w:pPr>
            <w:pStyle w:val="Huisstijl-Rubricering"/>
          </w:pPr>
        </w:p>
      </w:tc>
      <w:tc>
        <w:tcPr>
          <w:tcW w:w="2170" w:type="dxa"/>
        </w:tcPr>
        <w:p w14:paraId="68F3135C" w14:textId="6008139A" w:rsidR="00527BD4" w:rsidRPr="00ED539E" w:rsidRDefault="00002ED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797345">
            <w:t>2</w:t>
          </w:r>
          <w:r w:rsidR="00A13FBD">
            <w:fldChar w:fldCharType="end"/>
          </w:r>
        </w:p>
      </w:tc>
    </w:tr>
  </w:tbl>
  <w:p w14:paraId="76B37A80" w14:textId="77777777" w:rsidR="00527BD4" w:rsidRPr="00BC3B53" w:rsidRDefault="00527BD4" w:rsidP="008C356D">
    <w:pPr>
      <w:pStyle w:val="Voettekst"/>
      <w:spacing w:line="240" w:lineRule="auto"/>
      <w:rPr>
        <w:sz w:val="2"/>
        <w:szCs w:val="2"/>
      </w:rPr>
    </w:pPr>
  </w:p>
  <w:p w14:paraId="5E6F7D6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25FC" w14:textId="77777777" w:rsidR="004A66BB" w:rsidRDefault="004A66BB">
      <w:r>
        <w:separator/>
      </w:r>
    </w:p>
    <w:p w14:paraId="6AC9150D" w14:textId="77777777" w:rsidR="004A66BB" w:rsidRDefault="004A66BB"/>
  </w:footnote>
  <w:footnote w:type="continuationSeparator" w:id="0">
    <w:p w14:paraId="1EA7BFF3" w14:textId="77777777" w:rsidR="004A66BB" w:rsidRDefault="004A66BB">
      <w:r>
        <w:continuationSeparator/>
      </w:r>
    </w:p>
    <w:p w14:paraId="247B9D74" w14:textId="77777777" w:rsidR="004A66BB" w:rsidRDefault="004A66BB"/>
  </w:footnote>
  <w:footnote w:id="1">
    <w:p w14:paraId="234A618F" w14:textId="77777777" w:rsidR="00465DB6" w:rsidRDefault="00465DB6" w:rsidP="00465DB6">
      <w:pPr>
        <w:pStyle w:val="Voetnoottekst"/>
      </w:pPr>
      <w:r w:rsidRPr="2047BD19">
        <w:rPr>
          <w:rStyle w:val="Voetnootmarkering"/>
        </w:rPr>
        <w:footnoteRef/>
      </w:r>
      <w:r>
        <w:t xml:space="preserve"> </w:t>
      </w:r>
      <w:hyperlink r:id="rId1">
        <w:r w:rsidRPr="2047BD19">
          <w:rPr>
            <w:rStyle w:val="Hyperlink"/>
          </w:rPr>
          <w:t>Bedrijfslevenbeleid | Tweede Kamer der Staten-Generaal</w:t>
        </w:r>
      </w:hyperlink>
    </w:p>
  </w:footnote>
  <w:footnote w:id="2">
    <w:p w14:paraId="778D647E" w14:textId="77777777" w:rsidR="00465DB6" w:rsidRDefault="00465DB6" w:rsidP="00465DB6">
      <w:pPr>
        <w:pStyle w:val="Voetnoottekst"/>
      </w:pPr>
      <w:r>
        <w:rPr>
          <w:rStyle w:val="Voetnootmarkering"/>
        </w:rPr>
        <w:footnoteRef/>
      </w:r>
      <w:r>
        <w:t xml:space="preserve"> </w:t>
      </w:r>
      <w:hyperlink r:id="rId2" w:history="1">
        <w:r w:rsidRPr="0080412D">
          <w:rPr>
            <w:rStyle w:val="Hyperlink"/>
          </w:rPr>
          <w:t>Kamerbrief moties en toezeggingen mkb-financiering | Kamerstuk | Rijksoverheid.nl</w:t>
        </w:r>
      </w:hyperlink>
    </w:p>
  </w:footnote>
  <w:footnote w:id="3">
    <w:p w14:paraId="065522CC" w14:textId="77777777" w:rsidR="00465DB6" w:rsidRDefault="00465DB6" w:rsidP="00465DB6">
      <w:pPr>
        <w:pStyle w:val="Voetnoottekst"/>
      </w:pPr>
      <w:r>
        <w:rPr>
          <w:rStyle w:val="Voetnootmarkering"/>
        </w:rPr>
        <w:footnoteRef/>
      </w:r>
      <w:r>
        <w:t xml:space="preserve"> </w:t>
      </w:r>
      <w:hyperlink r:id="rId3" w:history="1">
        <w:r w:rsidRPr="00C93A95">
          <w:rPr>
            <w:rStyle w:val="Hyperlink"/>
            <w:szCs w:val="13"/>
          </w:rPr>
          <w:t>Evaluatie GO, GO-C en GO ETFF | Rapport | Rijksoverheid.nl</w:t>
        </w:r>
      </w:hyperlink>
    </w:p>
  </w:footnote>
  <w:footnote w:id="4">
    <w:p w14:paraId="0B24AAAE" w14:textId="77777777" w:rsidR="00465DB6" w:rsidRDefault="00465DB6" w:rsidP="00465DB6">
      <w:pPr>
        <w:pStyle w:val="Voetnoottekst"/>
      </w:pPr>
      <w:r>
        <w:rPr>
          <w:rStyle w:val="Voetnootmarkering"/>
        </w:rPr>
        <w:footnoteRef/>
      </w:r>
      <w:r>
        <w:t xml:space="preserve"> </w:t>
      </w:r>
      <w:hyperlink r:id="rId4" w:history="1">
        <w:r w:rsidRPr="00C80BB6">
          <w:rPr>
            <w:rStyle w:val="Hyperlink"/>
          </w:rPr>
          <w:t>Kies voor baten - IBO Bedrijfsfinanciering | Rapport | Rijksoverheid.nl</w:t>
        </w:r>
      </w:hyperlink>
    </w:p>
  </w:footnote>
  <w:footnote w:id="5">
    <w:p w14:paraId="18B47C07" w14:textId="77777777" w:rsidR="00465DB6" w:rsidRDefault="00465DB6" w:rsidP="00465DB6">
      <w:pPr>
        <w:pStyle w:val="Voetnoottekst"/>
      </w:pPr>
      <w:r>
        <w:rPr>
          <w:rStyle w:val="Voetnootmarkering"/>
        </w:rPr>
        <w:footnoteRef/>
      </w:r>
      <w:r>
        <w:t xml:space="preserve"> </w:t>
      </w:r>
      <w:hyperlink r:id="rId5" w:history="1">
        <w:r w:rsidRPr="008460D3">
          <w:rPr>
            <w:rStyle w:val="Hyperlink"/>
          </w:rPr>
          <w:t>Bijlage 8 Toetsingskader Verlenging Garantie Ondernemingsfinanciering (GO) regeling | Publicatie | Rijksoverheid.nl</w:t>
        </w:r>
      </w:hyperlink>
    </w:p>
  </w:footnote>
  <w:footnote w:id="6">
    <w:p w14:paraId="5F06CF77" w14:textId="77777777" w:rsidR="00465DB6" w:rsidRDefault="00465DB6" w:rsidP="00465DB6">
      <w:pPr>
        <w:pStyle w:val="Voetnoottekst"/>
      </w:pPr>
      <w:r>
        <w:rPr>
          <w:rStyle w:val="Voetnootmarkering"/>
        </w:rPr>
        <w:footnoteRef/>
      </w:r>
      <w:r>
        <w:t xml:space="preserve"> </w:t>
      </w:r>
      <w:hyperlink r:id="rId6" w:history="1">
        <w:r w:rsidRPr="006A3C7D">
          <w:rPr>
            <w:rStyle w:val="Hyperlink"/>
          </w:rPr>
          <w:t>Kamerbrief Acties Weerbaarheid Energieschok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04C91" w14:paraId="46156431" w14:textId="77777777" w:rsidTr="00A50CF6">
      <w:tc>
        <w:tcPr>
          <w:tcW w:w="2156" w:type="dxa"/>
        </w:tcPr>
        <w:p w14:paraId="5147AF1A" w14:textId="77777777" w:rsidR="00527BD4" w:rsidRPr="005819CE" w:rsidRDefault="00002ED4" w:rsidP="00A50CF6">
          <w:pPr>
            <w:pStyle w:val="Huisstijl-Adres"/>
            <w:rPr>
              <w:b/>
            </w:rPr>
          </w:pPr>
          <w:r>
            <w:rPr>
              <w:b/>
            </w:rPr>
            <w:t>Directoraat-generaal Bedrijfsleven &amp; Innovatie</w:t>
          </w:r>
          <w:r w:rsidRPr="005819CE">
            <w:rPr>
              <w:b/>
            </w:rPr>
            <w:br/>
          </w:r>
        </w:p>
      </w:tc>
    </w:tr>
    <w:tr w:rsidR="00A04C91" w14:paraId="5F85E90F" w14:textId="77777777" w:rsidTr="00A50CF6">
      <w:trPr>
        <w:trHeight w:hRule="exact" w:val="200"/>
      </w:trPr>
      <w:tc>
        <w:tcPr>
          <w:tcW w:w="2156" w:type="dxa"/>
        </w:tcPr>
        <w:p w14:paraId="3DB18D48" w14:textId="77777777" w:rsidR="00527BD4" w:rsidRPr="005819CE" w:rsidRDefault="00527BD4" w:rsidP="00A50CF6"/>
      </w:tc>
    </w:tr>
    <w:tr w:rsidR="00A04C91" w14:paraId="759D3539" w14:textId="77777777" w:rsidTr="00502512">
      <w:trPr>
        <w:trHeight w:hRule="exact" w:val="774"/>
      </w:trPr>
      <w:tc>
        <w:tcPr>
          <w:tcW w:w="2156" w:type="dxa"/>
        </w:tcPr>
        <w:p w14:paraId="2F4ABF7D" w14:textId="77777777" w:rsidR="00527BD4" w:rsidRDefault="00002ED4" w:rsidP="003A5290">
          <w:pPr>
            <w:pStyle w:val="Huisstijl-Kopje"/>
          </w:pPr>
          <w:r>
            <w:t>Ons kenmerk</w:t>
          </w:r>
        </w:p>
        <w:p w14:paraId="61A0EC7C" w14:textId="77777777" w:rsidR="00527BD4" w:rsidRPr="005819CE" w:rsidRDefault="00002ED4" w:rsidP="004425CC">
          <w:pPr>
            <w:pStyle w:val="Huisstijl-Kopje"/>
          </w:pPr>
          <w:r>
            <w:rPr>
              <w:b w:val="0"/>
            </w:rPr>
            <w:t>DGBI</w:t>
          </w:r>
          <w:r w:rsidRPr="00502512">
            <w:rPr>
              <w:b w:val="0"/>
            </w:rPr>
            <w:t xml:space="preserve"> / </w:t>
          </w:r>
          <w:r>
            <w:rPr>
              <w:b w:val="0"/>
            </w:rPr>
            <w:t>105958971</w:t>
          </w:r>
        </w:p>
      </w:tc>
    </w:tr>
  </w:tbl>
  <w:p w14:paraId="2B0FC64B" w14:textId="77777777" w:rsidR="00527BD4" w:rsidRDefault="00527BD4" w:rsidP="008C356D">
    <w:pPr>
      <w:pStyle w:val="Koptekst"/>
      <w:rPr>
        <w:rFonts w:cs="Verdana-Bold"/>
        <w:b/>
        <w:bCs/>
        <w:smallCaps/>
        <w:szCs w:val="18"/>
      </w:rPr>
    </w:pPr>
  </w:p>
  <w:p w14:paraId="1736E505" w14:textId="77777777" w:rsidR="00527BD4" w:rsidRDefault="00527BD4" w:rsidP="008C356D"/>
  <w:p w14:paraId="2FFCA604" w14:textId="77777777" w:rsidR="00527BD4" w:rsidRPr="00740712" w:rsidRDefault="00527BD4" w:rsidP="008C356D"/>
  <w:p w14:paraId="0A79BFF2" w14:textId="77777777" w:rsidR="00527BD4" w:rsidRPr="00217880" w:rsidRDefault="00527BD4" w:rsidP="008C356D">
    <w:pPr>
      <w:spacing w:line="0" w:lineRule="atLeast"/>
      <w:rPr>
        <w:sz w:val="2"/>
        <w:szCs w:val="2"/>
      </w:rPr>
    </w:pPr>
  </w:p>
  <w:p w14:paraId="7BC56E3E" w14:textId="77777777" w:rsidR="00527BD4" w:rsidRDefault="00527BD4" w:rsidP="004F44C2">
    <w:pPr>
      <w:pStyle w:val="Koptekst"/>
      <w:rPr>
        <w:rFonts w:cs="Verdana-Bold"/>
        <w:b/>
        <w:bCs/>
        <w:smallCaps/>
        <w:szCs w:val="18"/>
      </w:rPr>
    </w:pPr>
  </w:p>
  <w:p w14:paraId="60233DBA" w14:textId="77777777" w:rsidR="00527BD4" w:rsidRDefault="00527BD4" w:rsidP="004F44C2"/>
  <w:p w14:paraId="4303F67E" w14:textId="77777777" w:rsidR="00527BD4" w:rsidRPr="00740712" w:rsidRDefault="00527BD4" w:rsidP="004F44C2"/>
  <w:p w14:paraId="0A1405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4C91" w14:paraId="1E2840D5" w14:textId="77777777" w:rsidTr="00751A6A">
      <w:trPr>
        <w:trHeight w:val="2636"/>
      </w:trPr>
      <w:tc>
        <w:tcPr>
          <w:tcW w:w="737" w:type="dxa"/>
        </w:tcPr>
        <w:p w14:paraId="35A7E88E" w14:textId="430A2A14" w:rsidR="00527BD4" w:rsidRDefault="00527BD4" w:rsidP="00D0609E">
          <w:pPr>
            <w:framePr w:w="6340" w:h="2750" w:hRule="exact" w:hSpace="180" w:wrap="around" w:vAnchor="page" w:hAnchor="text" w:x="3873" w:y="-140"/>
            <w:spacing w:line="240" w:lineRule="auto"/>
          </w:pPr>
        </w:p>
      </w:tc>
      <w:tc>
        <w:tcPr>
          <w:tcW w:w="5156" w:type="dxa"/>
        </w:tcPr>
        <w:p w14:paraId="0591666F" w14:textId="77777777" w:rsidR="00527BD4" w:rsidRDefault="00002ED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C6C003C" wp14:editId="4651D95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6135172" w14:textId="77777777" w:rsidR="007269E3" w:rsidRDefault="007269E3" w:rsidP="00651CEE">
          <w:pPr>
            <w:framePr w:w="6340" w:h="2750" w:hRule="exact" w:hSpace="180" w:wrap="around" w:vAnchor="page" w:hAnchor="text" w:x="3873" w:y="-140"/>
            <w:spacing w:line="240" w:lineRule="auto"/>
          </w:pPr>
        </w:p>
      </w:tc>
    </w:tr>
  </w:tbl>
  <w:p w14:paraId="094BEA9F" w14:textId="77777777" w:rsidR="00527BD4" w:rsidRDefault="00527BD4" w:rsidP="00D0609E">
    <w:pPr>
      <w:framePr w:w="6340" w:h="2750" w:hRule="exact" w:hSpace="180" w:wrap="around" w:vAnchor="page" w:hAnchor="text" w:x="3873" w:y="-140"/>
    </w:pPr>
  </w:p>
  <w:p w14:paraId="407494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04C91" w14:paraId="3CF19FC0" w14:textId="77777777" w:rsidTr="00A50CF6">
      <w:tc>
        <w:tcPr>
          <w:tcW w:w="2160" w:type="dxa"/>
        </w:tcPr>
        <w:p w14:paraId="538226A8" w14:textId="77777777" w:rsidR="00527BD4" w:rsidRPr="005819CE" w:rsidRDefault="00002ED4" w:rsidP="00A50CF6">
          <w:pPr>
            <w:pStyle w:val="Huisstijl-Adres"/>
            <w:rPr>
              <w:b/>
            </w:rPr>
          </w:pPr>
          <w:r>
            <w:rPr>
              <w:b/>
            </w:rPr>
            <w:t>Directoraat-generaal Bedrijfsleven &amp; Innovatie</w:t>
          </w:r>
          <w:r w:rsidRPr="005819CE">
            <w:rPr>
              <w:b/>
            </w:rPr>
            <w:br/>
          </w:r>
        </w:p>
        <w:p w14:paraId="4311DDB6" w14:textId="77777777" w:rsidR="00527BD4" w:rsidRPr="00BE5ED9" w:rsidRDefault="00002ED4" w:rsidP="00A50CF6">
          <w:pPr>
            <w:pStyle w:val="Huisstijl-Adres"/>
          </w:pPr>
          <w:r>
            <w:rPr>
              <w:b/>
            </w:rPr>
            <w:t>Bezoekadres</w:t>
          </w:r>
          <w:r>
            <w:rPr>
              <w:b/>
            </w:rPr>
            <w:br/>
          </w:r>
          <w:r>
            <w:t>Bezuidenhoutseweg 73</w:t>
          </w:r>
          <w:r w:rsidRPr="005819CE">
            <w:br/>
          </w:r>
          <w:r>
            <w:t>2594 AC Den Haag</w:t>
          </w:r>
        </w:p>
        <w:p w14:paraId="1F73716D" w14:textId="77777777" w:rsidR="00EF495B" w:rsidRDefault="00002ED4" w:rsidP="0098788A">
          <w:pPr>
            <w:pStyle w:val="Huisstijl-Adres"/>
          </w:pPr>
          <w:r>
            <w:rPr>
              <w:b/>
            </w:rPr>
            <w:t>Postadres</w:t>
          </w:r>
          <w:r>
            <w:rPr>
              <w:b/>
            </w:rPr>
            <w:br/>
          </w:r>
          <w:r>
            <w:t>Postbus 20401</w:t>
          </w:r>
          <w:r w:rsidRPr="005819CE">
            <w:br/>
            <w:t>2500 E</w:t>
          </w:r>
          <w:r>
            <w:t>K</w:t>
          </w:r>
          <w:r w:rsidRPr="005819CE">
            <w:t xml:space="preserve"> Den Haag</w:t>
          </w:r>
        </w:p>
        <w:p w14:paraId="2AD32210" w14:textId="77777777" w:rsidR="00EF495B" w:rsidRPr="005B3814" w:rsidRDefault="00002ED4" w:rsidP="0098788A">
          <w:pPr>
            <w:pStyle w:val="Huisstijl-Adres"/>
          </w:pPr>
          <w:r>
            <w:rPr>
              <w:b/>
            </w:rPr>
            <w:t>Overheidsidentificatienr</w:t>
          </w:r>
          <w:r>
            <w:rPr>
              <w:b/>
            </w:rPr>
            <w:br/>
          </w:r>
          <w:r w:rsidRPr="005B3814">
            <w:t>00000001003214369000</w:t>
          </w:r>
        </w:p>
        <w:p w14:paraId="3AE6A26A" w14:textId="1008A294" w:rsidR="00527BD4" w:rsidRPr="00F67E6A" w:rsidRDefault="00002ED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04C91" w14:paraId="0470A6F8" w14:textId="77777777" w:rsidTr="00A50CF6">
      <w:trPr>
        <w:trHeight w:hRule="exact" w:val="200"/>
      </w:trPr>
      <w:tc>
        <w:tcPr>
          <w:tcW w:w="2160" w:type="dxa"/>
        </w:tcPr>
        <w:p w14:paraId="1C8A65D0" w14:textId="77777777" w:rsidR="00527BD4" w:rsidRPr="005819CE" w:rsidRDefault="00527BD4" w:rsidP="00A50CF6"/>
      </w:tc>
    </w:tr>
    <w:tr w:rsidR="00A04C91" w14:paraId="2E8C51B8" w14:textId="77777777" w:rsidTr="00A50CF6">
      <w:tc>
        <w:tcPr>
          <w:tcW w:w="2160" w:type="dxa"/>
        </w:tcPr>
        <w:p w14:paraId="70C239BA" w14:textId="77777777" w:rsidR="000C0163" w:rsidRPr="005819CE" w:rsidRDefault="00002ED4" w:rsidP="000C0163">
          <w:pPr>
            <w:pStyle w:val="Huisstijl-Kopje"/>
          </w:pPr>
          <w:r>
            <w:t>Ons kenmerk</w:t>
          </w:r>
          <w:r w:rsidRPr="005819CE">
            <w:t xml:space="preserve"> </w:t>
          </w:r>
        </w:p>
        <w:p w14:paraId="662D9944" w14:textId="4036732C" w:rsidR="000C0163" w:rsidRPr="005819CE" w:rsidRDefault="00002ED4" w:rsidP="00F67E6A">
          <w:pPr>
            <w:pStyle w:val="Huisstijl-Gegeven"/>
          </w:pPr>
          <w:r>
            <w:t>DGBI</w:t>
          </w:r>
          <w:r w:rsidR="00926AE2">
            <w:t xml:space="preserve"> / </w:t>
          </w:r>
          <w:r w:rsidR="00F67E6A">
            <w:t>105958971</w:t>
          </w:r>
        </w:p>
        <w:p w14:paraId="6CB23BA5" w14:textId="77777777" w:rsidR="00527BD4" w:rsidRPr="005819CE" w:rsidRDefault="00527BD4" w:rsidP="00A50CF6">
          <w:pPr>
            <w:pStyle w:val="Huisstijl-Gegeven"/>
          </w:pPr>
        </w:p>
        <w:p w14:paraId="0CA709AD" w14:textId="3A3DF3EE" w:rsidR="00527BD4" w:rsidRDefault="00002ED4" w:rsidP="00A50CF6">
          <w:pPr>
            <w:pStyle w:val="Huisstijl-Kopje"/>
          </w:pPr>
          <w:r>
            <w:t>Bijlage</w:t>
          </w:r>
        </w:p>
        <w:p w14:paraId="696BE5F6" w14:textId="37F8D353" w:rsidR="009726B0" w:rsidRPr="009726B0" w:rsidRDefault="009726B0" w:rsidP="00A50CF6">
          <w:pPr>
            <w:pStyle w:val="Huisstijl-Kopje"/>
            <w:rPr>
              <w:b w:val="0"/>
              <w:bCs/>
            </w:rPr>
          </w:pPr>
          <w:r w:rsidRPr="009726B0">
            <w:rPr>
              <w:b w:val="0"/>
              <w:bCs/>
            </w:rPr>
            <w:t>1</w:t>
          </w:r>
        </w:p>
        <w:p w14:paraId="7F2AF880" w14:textId="77777777" w:rsidR="00527BD4" w:rsidRPr="005819CE" w:rsidRDefault="00527BD4" w:rsidP="00A50CF6">
          <w:pPr>
            <w:pStyle w:val="Huisstijl-Gegeven"/>
          </w:pPr>
        </w:p>
      </w:tc>
    </w:tr>
  </w:tbl>
  <w:p w14:paraId="5827C6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04C91" w14:paraId="4DE21EB4" w14:textId="77777777" w:rsidTr="007610AA">
      <w:trPr>
        <w:trHeight w:val="400"/>
      </w:trPr>
      <w:tc>
        <w:tcPr>
          <w:tcW w:w="7520" w:type="dxa"/>
          <w:gridSpan w:val="2"/>
        </w:tcPr>
        <w:p w14:paraId="08EB81E0" w14:textId="77777777" w:rsidR="00527BD4" w:rsidRPr="00BC3B53" w:rsidRDefault="00002ED4" w:rsidP="00A50CF6">
          <w:pPr>
            <w:pStyle w:val="Huisstijl-Retouradres"/>
          </w:pPr>
          <w:r>
            <w:t>&gt; Retouradres Postbus 20401 2500 EK Den Haag</w:t>
          </w:r>
        </w:p>
      </w:tc>
    </w:tr>
    <w:tr w:rsidR="00A04C91" w14:paraId="5B77B3A1" w14:textId="77777777" w:rsidTr="007610AA">
      <w:tc>
        <w:tcPr>
          <w:tcW w:w="7520" w:type="dxa"/>
          <w:gridSpan w:val="2"/>
        </w:tcPr>
        <w:p w14:paraId="76C0BF4C" w14:textId="77777777" w:rsidR="00527BD4" w:rsidRPr="00983E8F" w:rsidRDefault="00527BD4" w:rsidP="00A50CF6">
          <w:pPr>
            <w:pStyle w:val="Huisstijl-Rubricering"/>
          </w:pPr>
        </w:p>
      </w:tc>
    </w:tr>
    <w:tr w:rsidR="00A04C91" w14:paraId="12FDB2E4" w14:textId="77777777" w:rsidTr="007610AA">
      <w:trPr>
        <w:trHeight w:hRule="exact" w:val="2440"/>
      </w:trPr>
      <w:tc>
        <w:tcPr>
          <w:tcW w:w="7520" w:type="dxa"/>
          <w:gridSpan w:val="2"/>
        </w:tcPr>
        <w:p w14:paraId="1A330C6B" w14:textId="77777777" w:rsidR="00527BD4" w:rsidRDefault="00002ED4" w:rsidP="00A50CF6">
          <w:pPr>
            <w:pStyle w:val="Huisstijl-NAW"/>
          </w:pPr>
          <w:r>
            <w:t>De Voorzitter van de Tweede Kamer</w:t>
          </w:r>
        </w:p>
        <w:p w14:paraId="3370320C" w14:textId="77777777" w:rsidR="00A04C91" w:rsidRDefault="00002ED4">
          <w:pPr>
            <w:pStyle w:val="Huisstijl-NAW"/>
          </w:pPr>
          <w:r>
            <w:t>der Staten-Generaal</w:t>
          </w:r>
        </w:p>
        <w:p w14:paraId="723CD3A4" w14:textId="77777777" w:rsidR="00A04C91" w:rsidRDefault="00002ED4">
          <w:pPr>
            <w:pStyle w:val="Huisstijl-NAW"/>
          </w:pPr>
          <w:r>
            <w:t>Prinses Irenestraat 6</w:t>
          </w:r>
        </w:p>
        <w:p w14:paraId="22904041" w14:textId="69F14B5C" w:rsidR="00A04C91" w:rsidRDefault="00002ED4">
          <w:pPr>
            <w:pStyle w:val="Huisstijl-NAW"/>
          </w:pPr>
          <w:r>
            <w:t xml:space="preserve">2595 BD </w:t>
          </w:r>
          <w:r w:rsidR="001F6B86">
            <w:t xml:space="preserve"> </w:t>
          </w:r>
          <w:r>
            <w:t>DEN HAAG</w:t>
          </w:r>
        </w:p>
      </w:tc>
    </w:tr>
    <w:tr w:rsidR="00A04C91" w14:paraId="7485804E" w14:textId="77777777" w:rsidTr="007610AA">
      <w:trPr>
        <w:trHeight w:hRule="exact" w:val="400"/>
      </w:trPr>
      <w:tc>
        <w:tcPr>
          <w:tcW w:w="7520" w:type="dxa"/>
          <w:gridSpan w:val="2"/>
        </w:tcPr>
        <w:p w14:paraId="29C48DE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04C91" w14:paraId="3E7E110D" w14:textId="77777777" w:rsidTr="007610AA">
      <w:trPr>
        <w:trHeight w:val="240"/>
      </w:trPr>
      <w:tc>
        <w:tcPr>
          <w:tcW w:w="900" w:type="dxa"/>
        </w:tcPr>
        <w:p w14:paraId="40982DEB" w14:textId="77777777" w:rsidR="00527BD4" w:rsidRPr="007709EF" w:rsidRDefault="00002ED4" w:rsidP="00A50CF6">
          <w:pPr>
            <w:rPr>
              <w:szCs w:val="18"/>
            </w:rPr>
          </w:pPr>
          <w:r>
            <w:rPr>
              <w:szCs w:val="18"/>
            </w:rPr>
            <w:t>Datum</w:t>
          </w:r>
        </w:p>
      </w:tc>
      <w:tc>
        <w:tcPr>
          <w:tcW w:w="6620" w:type="dxa"/>
        </w:tcPr>
        <w:p w14:paraId="29265455" w14:textId="653888B7" w:rsidR="00527BD4" w:rsidRPr="007709EF" w:rsidRDefault="000D11F4" w:rsidP="00A50CF6">
          <w:r>
            <w:t>30 april 2026</w:t>
          </w:r>
        </w:p>
      </w:tc>
    </w:tr>
    <w:tr w:rsidR="00A04C91" w14:paraId="0FB7170A" w14:textId="77777777" w:rsidTr="007610AA">
      <w:trPr>
        <w:trHeight w:val="240"/>
      </w:trPr>
      <w:tc>
        <w:tcPr>
          <w:tcW w:w="900" w:type="dxa"/>
        </w:tcPr>
        <w:p w14:paraId="05610734" w14:textId="77777777" w:rsidR="00527BD4" w:rsidRPr="007709EF" w:rsidRDefault="00002ED4" w:rsidP="00A50CF6">
          <w:pPr>
            <w:rPr>
              <w:szCs w:val="18"/>
            </w:rPr>
          </w:pPr>
          <w:r>
            <w:rPr>
              <w:szCs w:val="18"/>
            </w:rPr>
            <w:t>Betreft</w:t>
          </w:r>
        </w:p>
      </w:tc>
      <w:tc>
        <w:tcPr>
          <w:tcW w:w="6620" w:type="dxa"/>
        </w:tcPr>
        <w:p w14:paraId="765E0372" w14:textId="77777777" w:rsidR="00527BD4" w:rsidRPr="007709EF" w:rsidRDefault="00002ED4" w:rsidP="00A50CF6">
          <w:r>
            <w:t>Ontwerpregeling verlenging subsidiemodules GO</w:t>
          </w:r>
        </w:p>
      </w:tc>
    </w:tr>
  </w:tbl>
  <w:p w14:paraId="7DFBA0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4D207C4">
      <w:start w:val="1"/>
      <w:numFmt w:val="bullet"/>
      <w:pStyle w:val="Lijstopsomteken"/>
      <w:lvlText w:val="•"/>
      <w:lvlJc w:val="left"/>
      <w:pPr>
        <w:tabs>
          <w:tab w:val="num" w:pos="227"/>
        </w:tabs>
        <w:ind w:left="227" w:hanging="227"/>
      </w:pPr>
      <w:rPr>
        <w:rFonts w:ascii="Verdana" w:hAnsi="Verdana" w:hint="default"/>
        <w:sz w:val="18"/>
        <w:szCs w:val="18"/>
      </w:rPr>
    </w:lvl>
    <w:lvl w:ilvl="1" w:tplc="51348EE2" w:tentative="1">
      <w:start w:val="1"/>
      <w:numFmt w:val="bullet"/>
      <w:lvlText w:val="o"/>
      <w:lvlJc w:val="left"/>
      <w:pPr>
        <w:tabs>
          <w:tab w:val="num" w:pos="1440"/>
        </w:tabs>
        <w:ind w:left="1440" w:hanging="360"/>
      </w:pPr>
      <w:rPr>
        <w:rFonts w:ascii="Courier New" w:hAnsi="Courier New" w:cs="Courier New" w:hint="default"/>
      </w:rPr>
    </w:lvl>
    <w:lvl w:ilvl="2" w:tplc="132AB030" w:tentative="1">
      <w:start w:val="1"/>
      <w:numFmt w:val="bullet"/>
      <w:lvlText w:val=""/>
      <w:lvlJc w:val="left"/>
      <w:pPr>
        <w:tabs>
          <w:tab w:val="num" w:pos="2160"/>
        </w:tabs>
        <w:ind w:left="2160" w:hanging="360"/>
      </w:pPr>
      <w:rPr>
        <w:rFonts w:ascii="Wingdings" w:hAnsi="Wingdings" w:hint="default"/>
      </w:rPr>
    </w:lvl>
    <w:lvl w:ilvl="3" w:tplc="CA9A0052" w:tentative="1">
      <w:start w:val="1"/>
      <w:numFmt w:val="bullet"/>
      <w:lvlText w:val=""/>
      <w:lvlJc w:val="left"/>
      <w:pPr>
        <w:tabs>
          <w:tab w:val="num" w:pos="2880"/>
        </w:tabs>
        <w:ind w:left="2880" w:hanging="360"/>
      </w:pPr>
      <w:rPr>
        <w:rFonts w:ascii="Symbol" w:hAnsi="Symbol" w:hint="default"/>
      </w:rPr>
    </w:lvl>
    <w:lvl w:ilvl="4" w:tplc="93AE21F0" w:tentative="1">
      <w:start w:val="1"/>
      <w:numFmt w:val="bullet"/>
      <w:lvlText w:val="o"/>
      <w:lvlJc w:val="left"/>
      <w:pPr>
        <w:tabs>
          <w:tab w:val="num" w:pos="3600"/>
        </w:tabs>
        <w:ind w:left="3600" w:hanging="360"/>
      </w:pPr>
      <w:rPr>
        <w:rFonts w:ascii="Courier New" w:hAnsi="Courier New" w:cs="Courier New" w:hint="default"/>
      </w:rPr>
    </w:lvl>
    <w:lvl w:ilvl="5" w:tplc="6C50A38C" w:tentative="1">
      <w:start w:val="1"/>
      <w:numFmt w:val="bullet"/>
      <w:lvlText w:val=""/>
      <w:lvlJc w:val="left"/>
      <w:pPr>
        <w:tabs>
          <w:tab w:val="num" w:pos="4320"/>
        </w:tabs>
        <w:ind w:left="4320" w:hanging="360"/>
      </w:pPr>
      <w:rPr>
        <w:rFonts w:ascii="Wingdings" w:hAnsi="Wingdings" w:hint="default"/>
      </w:rPr>
    </w:lvl>
    <w:lvl w:ilvl="6" w:tplc="DEB6837C" w:tentative="1">
      <w:start w:val="1"/>
      <w:numFmt w:val="bullet"/>
      <w:lvlText w:val=""/>
      <w:lvlJc w:val="left"/>
      <w:pPr>
        <w:tabs>
          <w:tab w:val="num" w:pos="5040"/>
        </w:tabs>
        <w:ind w:left="5040" w:hanging="360"/>
      </w:pPr>
      <w:rPr>
        <w:rFonts w:ascii="Symbol" w:hAnsi="Symbol" w:hint="default"/>
      </w:rPr>
    </w:lvl>
    <w:lvl w:ilvl="7" w:tplc="8C088A5A" w:tentative="1">
      <w:start w:val="1"/>
      <w:numFmt w:val="bullet"/>
      <w:lvlText w:val="o"/>
      <w:lvlJc w:val="left"/>
      <w:pPr>
        <w:tabs>
          <w:tab w:val="num" w:pos="5760"/>
        </w:tabs>
        <w:ind w:left="5760" w:hanging="360"/>
      </w:pPr>
      <w:rPr>
        <w:rFonts w:ascii="Courier New" w:hAnsi="Courier New" w:cs="Courier New" w:hint="default"/>
      </w:rPr>
    </w:lvl>
    <w:lvl w:ilvl="8" w:tplc="20E67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8588CC6">
      <w:start w:val="1"/>
      <w:numFmt w:val="bullet"/>
      <w:pStyle w:val="Lijstopsomteken2"/>
      <w:lvlText w:val="–"/>
      <w:lvlJc w:val="left"/>
      <w:pPr>
        <w:tabs>
          <w:tab w:val="num" w:pos="227"/>
        </w:tabs>
        <w:ind w:left="227" w:firstLine="0"/>
      </w:pPr>
      <w:rPr>
        <w:rFonts w:ascii="Verdana" w:hAnsi="Verdana" w:hint="default"/>
      </w:rPr>
    </w:lvl>
    <w:lvl w:ilvl="1" w:tplc="34589CA2" w:tentative="1">
      <w:start w:val="1"/>
      <w:numFmt w:val="bullet"/>
      <w:lvlText w:val="o"/>
      <w:lvlJc w:val="left"/>
      <w:pPr>
        <w:tabs>
          <w:tab w:val="num" w:pos="1440"/>
        </w:tabs>
        <w:ind w:left="1440" w:hanging="360"/>
      </w:pPr>
      <w:rPr>
        <w:rFonts w:ascii="Courier New" w:hAnsi="Courier New" w:cs="Courier New" w:hint="default"/>
      </w:rPr>
    </w:lvl>
    <w:lvl w:ilvl="2" w:tplc="9E828C4E" w:tentative="1">
      <w:start w:val="1"/>
      <w:numFmt w:val="bullet"/>
      <w:lvlText w:val=""/>
      <w:lvlJc w:val="left"/>
      <w:pPr>
        <w:tabs>
          <w:tab w:val="num" w:pos="2160"/>
        </w:tabs>
        <w:ind w:left="2160" w:hanging="360"/>
      </w:pPr>
      <w:rPr>
        <w:rFonts w:ascii="Wingdings" w:hAnsi="Wingdings" w:hint="default"/>
      </w:rPr>
    </w:lvl>
    <w:lvl w:ilvl="3" w:tplc="09C63E72" w:tentative="1">
      <w:start w:val="1"/>
      <w:numFmt w:val="bullet"/>
      <w:lvlText w:val=""/>
      <w:lvlJc w:val="left"/>
      <w:pPr>
        <w:tabs>
          <w:tab w:val="num" w:pos="2880"/>
        </w:tabs>
        <w:ind w:left="2880" w:hanging="360"/>
      </w:pPr>
      <w:rPr>
        <w:rFonts w:ascii="Symbol" w:hAnsi="Symbol" w:hint="default"/>
      </w:rPr>
    </w:lvl>
    <w:lvl w:ilvl="4" w:tplc="0CCEB1D8" w:tentative="1">
      <w:start w:val="1"/>
      <w:numFmt w:val="bullet"/>
      <w:lvlText w:val="o"/>
      <w:lvlJc w:val="left"/>
      <w:pPr>
        <w:tabs>
          <w:tab w:val="num" w:pos="3600"/>
        </w:tabs>
        <w:ind w:left="3600" w:hanging="360"/>
      </w:pPr>
      <w:rPr>
        <w:rFonts w:ascii="Courier New" w:hAnsi="Courier New" w:cs="Courier New" w:hint="default"/>
      </w:rPr>
    </w:lvl>
    <w:lvl w:ilvl="5" w:tplc="33FC98CC" w:tentative="1">
      <w:start w:val="1"/>
      <w:numFmt w:val="bullet"/>
      <w:lvlText w:val=""/>
      <w:lvlJc w:val="left"/>
      <w:pPr>
        <w:tabs>
          <w:tab w:val="num" w:pos="4320"/>
        </w:tabs>
        <w:ind w:left="4320" w:hanging="360"/>
      </w:pPr>
      <w:rPr>
        <w:rFonts w:ascii="Wingdings" w:hAnsi="Wingdings" w:hint="default"/>
      </w:rPr>
    </w:lvl>
    <w:lvl w:ilvl="6" w:tplc="3D322EEC" w:tentative="1">
      <w:start w:val="1"/>
      <w:numFmt w:val="bullet"/>
      <w:lvlText w:val=""/>
      <w:lvlJc w:val="left"/>
      <w:pPr>
        <w:tabs>
          <w:tab w:val="num" w:pos="5040"/>
        </w:tabs>
        <w:ind w:left="5040" w:hanging="360"/>
      </w:pPr>
      <w:rPr>
        <w:rFonts w:ascii="Symbol" w:hAnsi="Symbol" w:hint="default"/>
      </w:rPr>
    </w:lvl>
    <w:lvl w:ilvl="7" w:tplc="7C320D20" w:tentative="1">
      <w:start w:val="1"/>
      <w:numFmt w:val="bullet"/>
      <w:lvlText w:val="o"/>
      <w:lvlJc w:val="left"/>
      <w:pPr>
        <w:tabs>
          <w:tab w:val="num" w:pos="5760"/>
        </w:tabs>
        <w:ind w:left="5760" w:hanging="360"/>
      </w:pPr>
      <w:rPr>
        <w:rFonts w:ascii="Courier New" w:hAnsi="Courier New" w:cs="Courier New" w:hint="default"/>
      </w:rPr>
    </w:lvl>
    <w:lvl w:ilvl="8" w:tplc="FD5074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83251861">
    <w:abstractNumId w:val="10"/>
  </w:num>
  <w:num w:numId="2" w16cid:durableId="1058630543">
    <w:abstractNumId w:val="7"/>
  </w:num>
  <w:num w:numId="3" w16cid:durableId="1801723966">
    <w:abstractNumId w:val="6"/>
  </w:num>
  <w:num w:numId="4" w16cid:durableId="942491359">
    <w:abstractNumId w:val="5"/>
  </w:num>
  <w:num w:numId="5" w16cid:durableId="1783763461">
    <w:abstractNumId w:val="4"/>
  </w:num>
  <w:num w:numId="6" w16cid:durableId="2068259345">
    <w:abstractNumId w:val="8"/>
  </w:num>
  <w:num w:numId="7" w16cid:durableId="1640958085">
    <w:abstractNumId w:val="3"/>
  </w:num>
  <w:num w:numId="8" w16cid:durableId="421410593">
    <w:abstractNumId w:val="2"/>
  </w:num>
  <w:num w:numId="9" w16cid:durableId="2130124460">
    <w:abstractNumId w:val="1"/>
  </w:num>
  <w:num w:numId="10" w16cid:durableId="1437822231">
    <w:abstractNumId w:val="0"/>
  </w:num>
  <w:num w:numId="11" w16cid:durableId="669329162">
    <w:abstractNumId w:val="9"/>
  </w:num>
  <w:num w:numId="12" w16cid:durableId="1383602326">
    <w:abstractNumId w:val="11"/>
  </w:num>
  <w:num w:numId="13" w16cid:durableId="856773436">
    <w:abstractNumId w:val="13"/>
  </w:num>
  <w:num w:numId="14" w16cid:durableId="3363522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ED4"/>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1F4"/>
    <w:rsid w:val="000E7895"/>
    <w:rsid w:val="000F161D"/>
    <w:rsid w:val="000F3CAA"/>
    <w:rsid w:val="00102ABB"/>
    <w:rsid w:val="00121BF0"/>
    <w:rsid w:val="00123704"/>
    <w:rsid w:val="001270C7"/>
    <w:rsid w:val="00132540"/>
    <w:rsid w:val="00133F0F"/>
    <w:rsid w:val="00142DF5"/>
    <w:rsid w:val="0014462A"/>
    <w:rsid w:val="0014786A"/>
    <w:rsid w:val="001516A4"/>
    <w:rsid w:val="00151E5F"/>
    <w:rsid w:val="00153E28"/>
    <w:rsid w:val="001569AB"/>
    <w:rsid w:val="00164D63"/>
    <w:rsid w:val="0016725C"/>
    <w:rsid w:val="001726F3"/>
    <w:rsid w:val="00172DB7"/>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1F6B86"/>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115D"/>
    <w:rsid w:val="002650F7"/>
    <w:rsid w:val="00273F3B"/>
    <w:rsid w:val="00274DB7"/>
    <w:rsid w:val="00275984"/>
    <w:rsid w:val="00280F74"/>
    <w:rsid w:val="002822CA"/>
    <w:rsid w:val="00286998"/>
    <w:rsid w:val="00290876"/>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6B08"/>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5DB6"/>
    <w:rsid w:val="0046708E"/>
    <w:rsid w:val="00472A65"/>
    <w:rsid w:val="00474463"/>
    <w:rsid w:val="00474B75"/>
    <w:rsid w:val="00483F0B"/>
    <w:rsid w:val="00496319"/>
    <w:rsid w:val="00497279"/>
    <w:rsid w:val="004A163B"/>
    <w:rsid w:val="004A66B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678C4"/>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345"/>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6B0"/>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4C91"/>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3879"/>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5D45"/>
    <w:rsid w:val="00DF2583"/>
    <w:rsid w:val="00DF54D9"/>
    <w:rsid w:val="00DF7283"/>
    <w:rsid w:val="00E01A59"/>
    <w:rsid w:val="00E07E12"/>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67E6A"/>
    <w:rsid w:val="00F74073"/>
    <w:rsid w:val="00F75603"/>
    <w:rsid w:val="00F845B4"/>
    <w:rsid w:val="00F8713B"/>
    <w:rsid w:val="00F93F9E"/>
    <w:rsid w:val="00FA26C1"/>
    <w:rsid w:val="00FA2CD7"/>
    <w:rsid w:val="00FB06ED"/>
    <w:rsid w:val="00FC2311"/>
    <w:rsid w:val="00FC3165"/>
    <w:rsid w:val="00FC36AB"/>
    <w:rsid w:val="00FC4300"/>
    <w:rsid w:val="00FC6815"/>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A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65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8/14/bijlage-evaluatie-go-go-c-en-go-etff" TargetMode="External"/><Relationship Id="rId2" Type="http://schemas.openxmlformats.org/officeDocument/2006/relationships/hyperlink" Target="https://www.rijksoverheid.nl/documenten/kamerstukken/2025/12/16/verzamelbrief-mkb-financiering" TargetMode="External"/><Relationship Id="rId1" Type="http://schemas.openxmlformats.org/officeDocument/2006/relationships/hyperlink" Target="https://www.tweedekamer.nl/kamerstukken/brieven_regering/detail?id=2025Z15159&amp;did=2025D35023" TargetMode="External"/><Relationship Id="rId6" Type="http://schemas.openxmlformats.org/officeDocument/2006/relationships/hyperlink" Target="https://www.rijksoverheid.nl/documenten/kamerstukken/2026/04/20/kamerbriefactiesweerbaarheidenergieschok" TargetMode="External"/><Relationship Id="rId5" Type="http://schemas.openxmlformats.org/officeDocument/2006/relationships/hyperlink" Target="https://www.rijksoverheid.nl/documenten/publicaties/2026/04/20/bijlage8toetsingskaderverlenginggarantieondernemingsfinancieringgoregeling" TargetMode="External"/><Relationship Id="rId4" Type="http://schemas.openxmlformats.org/officeDocument/2006/relationships/hyperlink" Target="https://www.rijksoverheid.nl/documenten/rapporten/2024/06/26/kies-voor-baten-ibo-bedrijfsfinancier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692</ap:Words>
  <ap:Characters>3808</ap:Characters>
  <ap:DocSecurity>0</ap:DocSecurity>
  <ap:Lines>31</ap:Lines>
  <ap:Paragraphs>8</ap:Paragraphs>
  <ap:ScaleCrop>false</ap:ScaleCrop>
  <ap:LinksUpToDate>false</ap:LinksUpToDate>
  <ap:CharactersWithSpaces>4492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2026-04-30T12:05:00.0000000Z</dcterms:created>
  <dcterms:modified xsi:type="dcterms:W3CDTF">2026-04-30T12:05:00.0000000Z</dcterms:modified>
  <dc:description>------------------------</dc:description>
  <dc:subject/>
  <keywords/>
  <version/>
  <category/>
</coreProperties>
</file>