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5F63" w:rsidR="00385AB0" w:rsidP="00385AB0" w:rsidRDefault="00385AB0" w14:paraId="47B2D10A" w14:textId="0CF4ED54">
      <w:pPr>
        <w:pStyle w:val="Titel"/>
        <w:jc w:val="center"/>
      </w:pPr>
      <w:r w:rsidRPr="00C55F63">
        <w:t>RAMINGSTOELICHTING</w:t>
      </w:r>
    </w:p>
    <w:p w:rsidR="00385AB0" w:rsidP="00385AB0" w:rsidRDefault="00385AB0" w14:paraId="320A57C9" w14:textId="77777777">
      <w:pPr>
        <w:pStyle w:val="Ondertitel"/>
      </w:pPr>
    </w:p>
    <w:p w:rsidR="00385AB0" w:rsidP="00385AB0" w:rsidRDefault="00385AB0" w14:paraId="51D67AC2" w14:textId="77777777">
      <w:pPr>
        <w:pStyle w:val="Ondertitel"/>
      </w:pPr>
    </w:p>
    <w:p w:rsidR="00385AB0" w:rsidP="00385AB0" w:rsidRDefault="00385AB0" w14:paraId="2C303BEB" w14:textId="2ABBCC71">
      <w:pPr>
        <w:pStyle w:val="Ondertitel"/>
        <w:jc w:val="center"/>
      </w:pPr>
      <w:r w:rsidRPr="000B2EB3">
        <w:t>Toelichting</w:t>
      </w:r>
      <w:r>
        <w:t xml:space="preserve"> </w:t>
      </w:r>
      <w:r w:rsidRPr="000B2EB3">
        <w:t xml:space="preserve">op de raming van </w:t>
      </w:r>
      <w:r>
        <w:t xml:space="preserve">de </w:t>
      </w:r>
      <w:r w:rsidRPr="000B2EB3">
        <w:t>budgettaire effect</w:t>
      </w:r>
      <w:r>
        <w:t>en</w:t>
      </w:r>
      <w:r w:rsidRPr="000B2EB3">
        <w:t xml:space="preserve"> </w:t>
      </w:r>
      <w:r>
        <w:br/>
      </w:r>
      <w:r w:rsidRPr="000B2EB3">
        <w:t xml:space="preserve">van </w:t>
      </w:r>
      <w:r>
        <w:t xml:space="preserve">de </w:t>
      </w:r>
      <w:r w:rsidR="00912E99">
        <w:t>maatregelen</w:t>
      </w:r>
      <w:r>
        <w:t xml:space="preserve"> </w:t>
      </w:r>
      <w:r w:rsidR="00912E99">
        <w:t>in</w:t>
      </w:r>
      <w:r w:rsidR="00376DB5">
        <w:t xml:space="preserve"> de</w:t>
      </w:r>
      <w:r w:rsidR="00912E99">
        <w:t xml:space="preserve"> </w:t>
      </w:r>
    </w:p>
    <w:p w:rsidRPr="00CC1D43" w:rsidR="00385AB0" w:rsidP="00385AB0" w:rsidRDefault="00385AB0" w14:paraId="51777F3C" w14:textId="77777777"/>
    <w:p w:rsidRPr="00683303" w:rsidR="00385AB0" w:rsidP="00385AB0" w:rsidRDefault="00FA0199" w14:paraId="70590AF8" w14:textId="0C05ECB8">
      <w:pPr>
        <w:pStyle w:val="Ondertitel"/>
        <w:jc w:val="center"/>
      </w:pPr>
      <w:r>
        <w:t>Fiscale Verzamelwet</w:t>
      </w:r>
      <w:r w:rsidR="00AB786C">
        <w:t xml:space="preserve"> 202</w:t>
      </w:r>
      <w:r>
        <w:t>7</w:t>
      </w:r>
    </w:p>
    <w:p w:rsidRPr="00683303" w:rsidR="00385AB0" w:rsidP="00385AB0" w:rsidRDefault="00385AB0" w14:paraId="2306B4B2" w14:textId="77777777">
      <w:pPr>
        <w:jc w:val="center"/>
      </w:pPr>
    </w:p>
    <w:p w:rsidR="00385AB0" w:rsidP="00385AB0" w:rsidRDefault="00385AB0" w14:paraId="534EDA05" w14:textId="77777777"/>
    <w:p w:rsidR="00385AB0" w:rsidP="00385AB0" w:rsidRDefault="00385AB0" w14:paraId="130EC4FD" w14:textId="77777777"/>
    <w:p w:rsidR="00385AB0" w:rsidP="00385AB0" w:rsidRDefault="00385AB0" w14:paraId="38A7E937" w14:textId="77777777"/>
    <w:p w:rsidR="00385AB0" w:rsidP="00385AB0" w:rsidRDefault="00385AB0" w14:paraId="1CAAAB83" w14:textId="77777777"/>
    <w:p w:rsidR="00385AB0" w:rsidP="00385AB0" w:rsidRDefault="00385AB0" w14:paraId="5A8293D5" w14:textId="77777777"/>
    <w:p w:rsidR="00385AB0" w:rsidP="00385AB0" w:rsidRDefault="00385AB0" w14:paraId="5E6E4B03" w14:textId="77777777"/>
    <w:p w:rsidR="00385AB0" w:rsidP="00385AB0" w:rsidRDefault="00385AB0" w14:paraId="48409CDD" w14:textId="77777777"/>
    <w:p w:rsidR="00385AB0" w:rsidP="00385AB0" w:rsidRDefault="00385AB0" w14:paraId="71CE9DE7" w14:textId="77777777"/>
    <w:p w:rsidR="00385AB0" w:rsidP="00385AB0" w:rsidRDefault="00385AB0" w14:paraId="1E8C9C09" w14:textId="77777777"/>
    <w:p w:rsidR="00385AB0" w:rsidP="00385AB0" w:rsidRDefault="00385AB0" w14:paraId="134AB527" w14:textId="77777777"/>
    <w:p w:rsidR="00385AB0" w:rsidP="00385AB0" w:rsidRDefault="00385AB0" w14:paraId="34144F44" w14:textId="77777777"/>
    <w:p w:rsidR="00385AB0" w:rsidP="00385AB0" w:rsidRDefault="00385AB0" w14:paraId="0A31C317" w14:textId="77777777"/>
    <w:p w:rsidR="00385AB0" w:rsidP="00385AB0" w:rsidRDefault="00385AB0" w14:paraId="32160599" w14:textId="77777777">
      <w:pPr>
        <w:jc w:val="center"/>
        <w:rPr>
          <w:b/>
          <w:bCs/>
          <w:i/>
          <w:iCs/>
          <w:color w:val="000000" w:themeColor="text1"/>
        </w:rPr>
      </w:pPr>
    </w:p>
    <w:p w:rsidR="00385AB0" w:rsidP="00385AB0" w:rsidRDefault="00385AB0" w14:paraId="11E199EC" w14:textId="77777777">
      <w:pPr>
        <w:jc w:val="center"/>
        <w:rPr>
          <w:b/>
          <w:bCs/>
          <w:i/>
          <w:iCs/>
          <w:color w:val="000000" w:themeColor="text1"/>
        </w:rPr>
      </w:pPr>
    </w:p>
    <w:p w:rsidR="00385AB0" w:rsidP="00385AB0" w:rsidRDefault="00385AB0" w14:paraId="16DAB653" w14:textId="77777777">
      <w:pPr>
        <w:rPr>
          <w:b/>
          <w:szCs w:val="18"/>
        </w:rPr>
      </w:pPr>
    </w:p>
    <w:p w:rsidR="00385AB0" w:rsidP="00385AB0" w:rsidRDefault="00385AB0" w14:paraId="5F913B7B" w14:textId="77777777">
      <w:pPr>
        <w:rPr>
          <w:b/>
          <w:szCs w:val="18"/>
        </w:rPr>
      </w:pPr>
    </w:p>
    <w:p w:rsidR="00385AB0" w:rsidP="00385AB0" w:rsidRDefault="00385AB0" w14:paraId="61A3D9C3" w14:textId="77777777">
      <w:pPr>
        <w:rPr>
          <w:b/>
          <w:szCs w:val="18"/>
        </w:rPr>
      </w:pPr>
    </w:p>
    <w:p w:rsidR="00385AB0" w:rsidP="00385AB0" w:rsidRDefault="00385AB0" w14:paraId="65E6063F" w14:textId="77777777">
      <w:pPr>
        <w:rPr>
          <w:b/>
          <w:szCs w:val="18"/>
        </w:rPr>
      </w:pPr>
    </w:p>
    <w:p w:rsidR="00385AB0" w:rsidP="00385AB0" w:rsidRDefault="00385AB0" w14:paraId="448A9B1E" w14:textId="77777777">
      <w:pPr>
        <w:rPr>
          <w:b/>
          <w:szCs w:val="18"/>
        </w:rPr>
      </w:pPr>
    </w:p>
    <w:p w:rsidR="00385AB0" w:rsidP="00385AB0" w:rsidRDefault="00385AB0" w14:paraId="146DADE2" w14:textId="77777777">
      <w:pPr>
        <w:rPr>
          <w:b/>
          <w:szCs w:val="18"/>
        </w:rPr>
      </w:pPr>
    </w:p>
    <w:p w:rsidR="00385AB0" w:rsidP="00385AB0" w:rsidRDefault="00385AB0" w14:paraId="4EB484BA" w14:textId="77777777">
      <w:pPr>
        <w:rPr>
          <w:b/>
          <w:szCs w:val="18"/>
        </w:rPr>
      </w:pPr>
    </w:p>
    <w:p w:rsidR="00385AB0" w:rsidP="00385AB0" w:rsidRDefault="00385AB0" w14:paraId="7E54B44D" w14:textId="77777777">
      <w:pPr>
        <w:rPr>
          <w:b/>
          <w:szCs w:val="18"/>
        </w:rPr>
      </w:pPr>
    </w:p>
    <w:p w:rsidR="00385AB0" w:rsidP="00385AB0" w:rsidRDefault="00385AB0" w14:paraId="1295DAEC" w14:textId="77777777">
      <w:pPr>
        <w:rPr>
          <w:b/>
          <w:szCs w:val="18"/>
        </w:rPr>
      </w:pPr>
    </w:p>
    <w:p w:rsidRPr="00244C40" w:rsidR="00385AB0" w:rsidP="00802B8F" w:rsidRDefault="00385AB0" w14:paraId="6C1D4691" w14:textId="13B3CF3C">
      <w:pPr>
        <w:pStyle w:val="Kop1"/>
        <w:numPr>
          <w:ilvl w:val="0"/>
          <w:numId w:val="0"/>
        </w:numPr>
        <w:ind w:left="432" w:hanging="432"/>
      </w:pPr>
      <w:bookmarkStart w:name="_Toc19106740" w:id="0"/>
      <w:bookmarkStart w:name="_Toc177061599" w:id="1"/>
      <w:r>
        <w:lastRenderedPageBreak/>
        <w:t>Inleiding</w:t>
      </w:r>
      <w:bookmarkEnd w:id="0"/>
      <w:bookmarkEnd w:id="1"/>
    </w:p>
    <w:p w:rsidRPr="005217F3" w:rsidR="00385AB0" w:rsidP="00385AB0" w:rsidRDefault="00385AB0" w14:paraId="3A291ACB" w14:textId="0F2A3138">
      <w:r w:rsidRPr="005217F3">
        <w:t>Om de transparantie te vergroten en de kwaliteit van de ramingen verder te borgen, worden met ingang van het Belastingplan 2018 toelichtingen op de budgettaire ramingen van fiscale maatregelen gepubliceerd. Voor deze publicatie is inspiratie ontleend aan de praktijk in het Verenigd Koninkrijk waar elk half jaar ramingstoelichtingen</w:t>
      </w:r>
      <w:r>
        <w:rPr>
          <w:rStyle w:val="Voetnootmarkering"/>
        </w:rPr>
        <w:footnoteReference w:id="1"/>
      </w:r>
      <w:r>
        <w:t xml:space="preserve"> </w:t>
      </w:r>
      <w:r w:rsidRPr="005217F3">
        <w:t>worden gepubliceerd. De ramingen worden gecertificeerd door het Centraal Planbureau (CPB). Hierbij geeft het CPB een oordeel over de neutraliteit en redelijkheid van de ramingen en geeft het een inschatting van de onzekerheid ervan. Met deze certificering wordt het advies van de Studiegroep Begrotingsruimte</w:t>
      </w:r>
      <w:r>
        <w:rPr>
          <w:rStyle w:val="Voetnootmarkering"/>
        </w:rPr>
        <w:footnoteReference w:id="2"/>
      </w:r>
      <w:r w:rsidRPr="005217F3">
        <w:t xml:space="preserve"> gevolgd.</w:t>
      </w:r>
    </w:p>
    <w:p w:rsidRPr="005217F3" w:rsidR="00385AB0" w:rsidP="00385AB0" w:rsidRDefault="00385AB0" w14:paraId="55F5A9CC" w14:textId="77777777">
      <w:pPr>
        <w:rPr>
          <w:color w:val="000000" w:themeColor="text1"/>
        </w:rPr>
      </w:pPr>
    </w:p>
    <w:p w:rsidR="00613C6D" w:rsidP="00613C6D" w:rsidRDefault="00613C6D" w14:paraId="4FCF22D5" w14:textId="7ABEAE74">
      <w:pPr>
        <w:rPr>
          <w:color w:val="000000" w:themeColor="text1"/>
        </w:rPr>
      </w:pPr>
      <w:r w:rsidRPr="00892084">
        <w:rPr>
          <w:color w:val="000000" w:themeColor="text1"/>
        </w:rPr>
        <w:t xml:space="preserve">In </w:t>
      </w:r>
      <w:r w:rsidRPr="00892084" w:rsidR="00F94397">
        <w:rPr>
          <w:color w:val="000000" w:themeColor="text1"/>
        </w:rPr>
        <w:t xml:space="preserve">de </w:t>
      </w:r>
      <w:r w:rsidRPr="00892084" w:rsidR="00815090">
        <w:rPr>
          <w:color w:val="000000" w:themeColor="text1"/>
        </w:rPr>
        <w:t>Fiscale Verzamelwet 2027</w:t>
      </w:r>
      <w:r w:rsidRPr="00892084" w:rsidR="00CE6DE1">
        <w:rPr>
          <w:color w:val="000000" w:themeColor="text1"/>
        </w:rPr>
        <w:t xml:space="preserve"> zitten </w:t>
      </w:r>
      <w:r w:rsidR="009E1312">
        <w:rPr>
          <w:color w:val="000000" w:themeColor="text1"/>
        </w:rPr>
        <w:t xml:space="preserve">twee </w:t>
      </w:r>
      <w:r w:rsidRPr="00892084" w:rsidR="0060642D">
        <w:rPr>
          <w:color w:val="000000" w:themeColor="text1"/>
        </w:rPr>
        <w:t>maatregelen met budgettaire gevolge</w:t>
      </w:r>
      <w:r w:rsidR="00477B85">
        <w:rPr>
          <w:color w:val="000000" w:themeColor="text1"/>
        </w:rPr>
        <w:t>n</w:t>
      </w:r>
      <w:r w:rsidRPr="00892084" w:rsidR="00B97E48">
        <w:rPr>
          <w:color w:val="000000" w:themeColor="text1"/>
        </w:rPr>
        <w:t xml:space="preserve">: </w:t>
      </w:r>
      <w:r w:rsidRPr="00892084" w:rsidR="00705883">
        <w:rPr>
          <w:color w:val="000000" w:themeColor="text1"/>
        </w:rPr>
        <w:t>aanpassen begripsbepalingen motorrijtuigenbelasting (</w:t>
      </w:r>
      <w:proofErr w:type="spellStart"/>
      <w:r w:rsidRPr="00892084" w:rsidR="00705883">
        <w:rPr>
          <w:color w:val="000000" w:themeColor="text1"/>
        </w:rPr>
        <w:t>mrb</w:t>
      </w:r>
      <w:proofErr w:type="spellEnd"/>
      <w:r w:rsidRPr="00892084" w:rsidR="00705883">
        <w:rPr>
          <w:color w:val="000000" w:themeColor="text1"/>
        </w:rPr>
        <w:t xml:space="preserve">) en vervroegen van de vrijstelling voor oldtimers in de </w:t>
      </w:r>
      <w:proofErr w:type="spellStart"/>
      <w:r w:rsidRPr="00892084" w:rsidR="00705883">
        <w:rPr>
          <w:color w:val="000000" w:themeColor="text1"/>
        </w:rPr>
        <w:t>mrb</w:t>
      </w:r>
      <w:proofErr w:type="spellEnd"/>
      <w:r w:rsidRPr="00892084" w:rsidR="00705883">
        <w:rPr>
          <w:color w:val="000000" w:themeColor="text1"/>
        </w:rPr>
        <w:t xml:space="preserve">. </w:t>
      </w:r>
      <w:r w:rsidRPr="00892084" w:rsidR="00892084">
        <w:rPr>
          <w:color w:val="000000" w:themeColor="text1"/>
        </w:rPr>
        <w:t xml:space="preserve">Voor deze maatregelen </w:t>
      </w:r>
      <w:r w:rsidR="00806AF4">
        <w:rPr>
          <w:color w:val="000000" w:themeColor="text1"/>
        </w:rPr>
        <w:t xml:space="preserve">zijn </w:t>
      </w:r>
      <w:r w:rsidRPr="00892084" w:rsidR="00892084">
        <w:rPr>
          <w:color w:val="000000" w:themeColor="text1"/>
        </w:rPr>
        <w:t>raming</w:t>
      </w:r>
      <w:r w:rsidR="00806AF4">
        <w:rPr>
          <w:color w:val="000000" w:themeColor="text1"/>
        </w:rPr>
        <w:t>en</w:t>
      </w:r>
      <w:r w:rsidRPr="00892084" w:rsidR="00892084">
        <w:rPr>
          <w:color w:val="000000" w:themeColor="text1"/>
        </w:rPr>
        <w:t xml:space="preserve"> opgesteld en deze </w:t>
      </w:r>
      <w:r w:rsidRPr="00892084" w:rsidR="006A534F">
        <w:rPr>
          <w:color w:val="000000" w:themeColor="text1"/>
        </w:rPr>
        <w:t>zijn</w:t>
      </w:r>
      <w:r w:rsidRPr="00892084">
        <w:rPr>
          <w:color w:val="000000" w:themeColor="text1"/>
        </w:rPr>
        <w:t xml:space="preserve"> ter certificering voorgelegd aan het CPB. Het CPB heeft aangegeven dat</w:t>
      </w:r>
      <w:r w:rsidRPr="00892084" w:rsidR="0059429B">
        <w:rPr>
          <w:color w:val="000000" w:themeColor="text1"/>
        </w:rPr>
        <w:t xml:space="preserve"> </w:t>
      </w:r>
      <w:r w:rsidR="00806AF4">
        <w:rPr>
          <w:color w:val="000000" w:themeColor="text1"/>
        </w:rPr>
        <w:t xml:space="preserve">alle </w:t>
      </w:r>
      <w:r w:rsidR="00E22BA9">
        <w:rPr>
          <w:color w:val="000000" w:themeColor="text1"/>
        </w:rPr>
        <w:t xml:space="preserve">twee </w:t>
      </w:r>
      <w:r w:rsidR="00806AF4">
        <w:rPr>
          <w:color w:val="000000" w:themeColor="text1"/>
        </w:rPr>
        <w:t xml:space="preserve">de </w:t>
      </w:r>
      <w:r w:rsidRPr="00892084" w:rsidR="0059429B">
        <w:rPr>
          <w:color w:val="000000" w:themeColor="text1"/>
        </w:rPr>
        <w:t xml:space="preserve">ramingen </w:t>
      </w:r>
      <w:r w:rsidRPr="00892084">
        <w:rPr>
          <w:color w:val="000000" w:themeColor="text1"/>
        </w:rPr>
        <w:t xml:space="preserve">buiten de steekproefsgewijze selectie </w:t>
      </w:r>
      <w:r w:rsidRPr="00892084" w:rsidR="00302861">
        <w:rPr>
          <w:color w:val="000000" w:themeColor="text1"/>
        </w:rPr>
        <w:t>zijn</w:t>
      </w:r>
      <w:r w:rsidRPr="00892084">
        <w:rPr>
          <w:color w:val="000000" w:themeColor="text1"/>
        </w:rPr>
        <w:t xml:space="preserve"> gevallen. Dit betekent dat </w:t>
      </w:r>
      <w:r w:rsidR="001B6980">
        <w:rPr>
          <w:color w:val="000000" w:themeColor="text1"/>
        </w:rPr>
        <w:t>z</w:t>
      </w:r>
      <w:r w:rsidRPr="00892084">
        <w:rPr>
          <w:color w:val="000000" w:themeColor="text1"/>
        </w:rPr>
        <w:t>e</w:t>
      </w:r>
      <w:r w:rsidRPr="00892084" w:rsidR="00302861">
        <w:rPr>
          <w:color w:val="000000" w:themeColor="text1"/>
        </w:rPr>
        <w:t xml:space="preserve"> </w:t>
      </w:r>
      <w:r w:rsidRPr="00892084">
        <w:rPr>
          <w:color w:val="000000" w:themeColor="text1"/>
        </w:rPr>
        <w:t>niet nader word</w:t>
      </w:r>
      <w:r w:rsidRPr="00892084" w:rsidR="00302861">
        <w:rPr>
          <w:color w:val="000000" w:themeColor="text1"/>
        </w:rPr>
        <w:t>en</w:t>
      </w:r>
      <w:r w:rsidRPr="00892084">
        <w:rPr>
          <w:color w:val="000000" w:themeColor="text1"/>
        </w:rPr>
        <w:t xml:space="preserve"> beschouwd door het CPB.</w:t>
      </w:r>
      <w:r>
        <w:rPr>
          <w:color w:val="000000" w:themeColor="text1"/>
        </w:rPr>
        <w:t xml:space="preserve"> </w:t>
      </w:r>
    </w:p>
    <w:p w:rsidR="00F81BE0" w:rsidP="00385AB0" w:rsidRDefault="00F81BE0" w14:paraId="4A24D07E" w14:textId="77777777">
      <w:pPr>
        <w:rPr>
          <w:color w:val="000000" w:themeColor="text1"/>
        </w:rPr>
      </w:pPr>
    </w:p>
    <w:p w:rsidR="00A428D4" w:rsidRDefault="00A428D4" w14:paraId="41FB3FA7" w14:textId="14CD1BC4">
      <w:pPr>
        <w:spacing w:after="120"/>
        <w:rPr>
          <w:color w:val="000000" w:themeColor="text1"/>
        </w:rPr>
      </w:pPr>
      <w:r>
        <w:rPr>
          <w:color w:val="000000" w:themeColor="text1"/>
        </w:rPr>
        <w:br w:type="page"/>
      </w:r>
    </w:p>
    <w:p w:rsidRPr="00B67009" w:rsidR="00A428D4" w:rsidP="00A428D4" w:rsidRDefault="00A428D4" w14:paraId="251E2AF8" w14:textId="77777777">
      <w:pPr>
        <w:pStyle w:val="Kop2"/>
      </w:pPr>
      <w:bookmarkStart w:name="_Toc205278089" w:id="2"/>
      <w:r w:rsidRPr="00B67009">
        <w:lastRenderedPageBreak/>
        <w:t>Aanpassing begripsbepalingen motorrijtuigenbelasting</w:t>
      </w:r>
      <w:bookmarkEnd w:id="2"/>
    </w:p>
    <w:p w:rsidRPr="00B67009" w:rsidR="00A428D4" w:rsidP="00A428D4" w:rsidRDefault="00A428D4" w14:paraId="11631F7F" w14:textId="77777777">
      <w:pPr>
        <w:rPr>
          <w:b/>
          <w:szCs w:val="18"/>
        </w:rPr>
      </w:pPr>
    </w:p>
    <w:p w:rsidRPr="00B67009" w:rsidR="00A428D4" w:rsidP="00A428D4" w:rsidRDefault="00A428D4" w14:paraId="22BC15D8" w14:textId="77777777">
      <w:pPr>
        <w:rPr>
          <w:b/>
          <w:szCs w:val="18"/>
        </w:rPr>
      </w:pPr>
      <w:r w:rsidRPr="00B67009">
        <w:rPr>
          <w:b/>
          <w:szCs w:val="18"/>
        </w:rPr>
        <w:t>Maatregel</w:t>
      </w:r>
    </w:p>
    <w:p w:rsidR="00A428D4" w:rsidP="00A428D4" w:rsidRDefault="00A428D4" w14:paraId="249EB69E" w14:textId="77777777">
      <w:r w:rsidRPr="00B67009">
        <w:t>In de motorrijtuigenbelasting (</w:t>
      </w:r>
      <w:proofErr w:type="spellStart"/>
      <w:r w:rsidRPr="00B67009">
        <w:t>mrb</w:t>
      </w:r>
      <w:proofErr w:type="spellEnd"/>
      <w:r w:rsidRPr="00B67009">
        <w:t xml:space="preserve">) wordt op dit moment de indeling tussen bestelauto’s en vrachtauto’s bepaald aan de hand van de wettelijke toegestane maximum massa van het motorrijtuig. Een motorrijtuig met een wettelijke toegestane maximum massa van maximaal 3.500 kg wordt fiscaal aangemerkt als bestelauto. Een motorrijtuig met een hogere wettelijke toegestane maximum massa worden als vrachtauto aangemerkt. </w:t>
      </w:r>
    </w:p>
    <w:p w:rsidRPr="00B67009" w:rsidR="00A428D4" w:rsidP="00A428D4" w:rsidRDefault="00A428D4" w14:paraId="77D0993F" w14:textId="77777777">
      <w:pPr>
        <w:rPr>
          <w:i/>
          <w:iCs/>
          <w:szCs w:val="18"/>
        </w:rPr>
      </w:pPr>
    </w:p>
    <w:p w:rsidRPr="00B67009" w:rsidR="00A428D4" w:rsidP="00A428D4" w:rsidRDefault="00A428D4" w14:paraId="1893FB87" w14:textId="77777777">
      <w:pPr>
        <w:rPr>
          <w:i/>
          <w:iCs/>
          <w:szCs w:val="18"/>
        </w:rPr>
      </w:pPr>
      <w:r w:rsidRPr="00B67009">
        <w:t>De voertuigclassificaties in de Europese Unie gaan uit van de technische toelaatbare maximum massa. Dit betekent dat voertuigen van de categorie N1 (met een technische toelaatbare maximum massa van niet meer dan 3.500 kg) aangemerkt worden als bestelauto. Voertuigen van de categorie N2 (met een technische toelaatbare maximum massa van meer dan 3.500 kg maar niet meer dan 12.000 kg) worden aangemerkt als vrachtauto.</w:t>
      </w:r>
    </w:p>
    <w:p w:rsidR="00A428D4" w:rsidP="00A428D4" w:rsidRDefault="00A428D4" w14:paraId="0025246B" w14:textId="77777777"/>
    <w:p w:rsidRPr="00B67009" w:rsidR="00A428D4" w:rsidP="00A428D4" w:rsidRDefault="00A428D4" w14:paraId="2BF2BD18" w14:textId="77777777">
      <w:pPr>
        <w:rPr>
          <w:i/>
          <w:iCs/>
          <w:szCs w:val="18"/>
        </w:rPr>
      </w:pPr>
      <w:r>
        <w:t>Op basis van de huidige wetgeving en praktijk bestaat de mogelijkheid om motorrijtuigen administratief terug te keuren naar een lagere</w:t>
      </w:r>
      <w:r w:rsidRPr="003E3CAF">
        <w:t xml:space="preserve"> </w:t>
      </w:r>
      <w:r>
        <w:t xml:space="preserve">wettelijke toegestane maximum massa. Dit betekent dat motorrijtuigen die technisch behoren tot categorie N2 (vrachtauto’s), administratief worden </w:t>
      </w:r>
      <w:proofErr w:type="spellStart"/>
      <w:r>
        <w:t>teruggekeurd</w:t>
      </w:r>
      <w:proofErr w:type="spellEnd"/>
      <w:r>
        <w:t xml:space="preserve"> naar een wettelijke toegestane maximum massa van maximaal 3.500 kg. Hierdoor worden zij fiscaal behandeld als bestelauto en is een lager </w:t>
      </w:r>
      <w:proofErr w:type="spellStart"/>
      <w:r>
        <w:t>mrb</w:t>
      </w:r>
      <w:proofErr w:type="spellEnd"/>
      <w:r>
        <w:t>-tarief van toepassing.</w:t>
      </w:r>
    </w:p>
    <w:p w:rsidR="00A428D4" w:rsidP="00A428D4" w:rsidRDefault="00A428D4" w14:paraId="1A4CF93F" w14:textId="77777777"/>
    <w:p w:rsidRPr="00B67009" w:rsidR="00A428D4" w:rsidP="00A428D4" w:rsidRDefault="00A428D4" w14:paraId="1602983E" w14:textId="77777777">
      <w:r>
        <w:t xml:space="preserve">Bij de vrachtwagenheffing (VWH) is besloten om aan te sluiten bij de EU-voertuigclassificatie. Deze wijziging in de VWH leidt – zonder nadere aanpassing in de </w:t>
      </w:r>
      <w:proofErr w:type="spellStart"/>
      <w:r>
        <w:t>mrb</w:t>
      </w:r>
      <w:proofErr w:type="spellEnd"/>
      <w:r>
        <w:t xml:space="preserve"> – tot een ongewenste situatie waarbij bepaalde motorrijtuigen zowel worden belast onder de </w:t>
      </w:r>
      <w:proofErr w:type="spellStart"/>
      <w:r>
        <w:t>mrb</w:t>
      </w:r>
      <w:proofErr w:type="spellEnd"/>
      <w:r>
        <w:t xml:space="preserve"> als onder de VWH. Om deze ongewenste uitkomst te voorkomen wordt voorgesteld om ook in de </w:t>
      </w:r>
      <w:proofErr w:type="spellStart"/>
      <w:r>
        <w:t>mrb</w:t>
      </w:r>
      <w:proofErr w:type="spellEnd"/>
      <w:r>
        <w:t xml:space="preserve"> volledig aan te sluiten bij de EU-voertuigclassificaties per 2027.</w:t>
      </w:r>
    </w:p>
    <w:p w:rsidRPr="002517EA" w:rsidR="00A428D4" w:rsidP="00A428D4" w:rsidRDefault="00A428D4" w14:paraId="7C973865" w14:textId="77777777">
      <w:pPr>
        <w:rPr>
          <w:szCs w:val="18"/>
        </w:rPr>
      </w:pPr>
    </w:p>
    <w:p w:rsidR="00A428D4" w:rsidP="00A428D4" w:rsidRDefault="00A428D4" w14:paraId="505B6B88" w14:textId="77777777">
      <w:pPr>
        <w:keepNext/>
        <w:spacing w:line="240" w:lineRule="auto"/>
        <w:rPr>
          <w:rFonts w:eastAsia="Verdana" w:cs="Times New Roman"/>
          <w:b/>
          <w:bCs/>
          <w:color w:val="4F81BD"/>
          <w:szCs w:val="18"/>
        </w:rPr>
      </w:pPr>
      <w:r>
        <w:rPr>
          <w:rFonts w:eastAsia="Verdana" w:cs="Times New Roman"/>
          <w:b/>
          <w:bCs/>
          <w:color w:val="4F81BD"/>
          <w:szCs w:val="18"/>
        </w:rPr>
        <w:t>Budgettair effect maatregel, prijspeil lopende jaar (2025)</w:t>
      </w:r>
    </w:p>
    <w:p w:rsidRPr="000B75FD" w:rsidR="00A428D4" w:rsidP="00A428D4" w:rsidRDefault="00A428D4" w14:paraId="5E392F86" w14:textId="77777777">
      <w:pPr>
        <w:keepNext/>
        <w:spacing w:line="240" w:lineRule="auto"/>
        <w:rPr>
          <w:rFonts w:eastAsia="Verdana" w:cs="Times New Roman"/>
          <w:bCs/>
          <w:color w:val="4F81BD"/>
          <w:szCs w:val="18"/>
        </w:rPr>
      </w:pPr>
      <w:r>
        <w:rPr>
          <w:rFonts w:eastAsia="Verdana" w:cs="Times New Roman"/>
          <w:bCs/>
          <w:color w:val="4F81BD"/>
          <w:szCs w:val="18"/>
        </w:rPr>
        <w:t xml:space="preserve">Bedragen in mln. euro, ‘+’ = </w:t>
      </w:r>
      <w:proofErr w:type="spellStart"/>
      <w:r>
        <w:rPr>
          <w:rFonts w:eastAsia="Verdana" w:cs="Times New Roman"/>
          <w:bCs/>
          <w:color w:val="4F81BD"/>
          <w:szCs w:val="18"/>
        </w:rPr>
        <w:t>saldoverbeterend</w:t>
      </w:r>
      <w:proofErr w:type="spellEnd"/>
      <w:r>
        <w:rPr>
          <w:rFonts w:eastAsia="Verdana" w:cs="Times New Roman"/>
          <w:bCs/>
          <w:color w:val="4F81BD"/>
          <w:szCs w:val="18"/>
        </w:rPr>
        <w:t xml:space="preserve">/lastenverzwarend. </w:t>
      </w:r>
    </w:p>
    <w:tbl>
      <w:tblPr>
        <w:tblStyle w:val="Lichtelijst-accent111"/>
        <w:tblW w:w="9052" w:type="dxa"/>
        <w:tblLook w:val="04A0" w:firstRow="1" w:lastRow="0" w:firstColumn="1" w:lastColumn="0" w:noHBand="0" w:noVBand="1"/>
      </w:tblPr>
      <w:tblGrid>
        <w:gridCol w:w="4099"/>
        <w:gridCol w:w="824"/>
        <w:gridCol w:w="824"/>
        <w:gridCol w:w="824"/>
        <w:gridCol w:w="824"/>
        <w:gridCol w:w="824"/>
        <w:gridCol w:w="833"/>
      </w:tblGrid>
      <w:tr w:rsidRPr="007E1FF3" w:rsidR="00A428D4" w:rsidTr="00224974" w14:paraId="260F5CA1"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62" w:type="dxa"/>
          </w:tcPr>
          <w:p w:rsidRPr="004417D1" w:rsidR="00A428D4" w:rsidP="00224974" w:rsidRDefault="00A428D4" w14:paraId="52E10FD4" w14:textId="77777777">
            <w:pPr>
              <w:adjustRightInd w:val="0"/>
              <w:jc w:val="center"/>
              <w:rPr>
                <w:rFonts w:asciiTheme="minorHAnsi" w:hAnsiTheme="minorHAnsi" w:cstheme="minorHAnsi"/>
                <w:noProof/>
              </w:rPr>
            </w:pPr>
          </w:p>
        </w:tc>
        <w:tc>
          <w:tcPr>
            <w:tcW w:w="851" w:type="dxa"/>
            <w:hideMark/>
          </w:tcPr>
          <w:p w:rsidRPr="004417D1" w:rsidR="00A428D4" w:rsidP="00224974" w:rsidRDefault="00A428D4" w14:paraId="1F29244A"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5</w:t>
            </w:r>
          </w:p>
        </w:tc>
        <w:tc>
          <w:tcPr>
            <w:tcW w:w="851" w:type="dxa"/>
            <w:hideMark/>
          </w:tcPr>
          <w:p w:rsidRPr="004417D1" w:rsidR="00A428D4" w:rsidP="00224974" w:rsidRDefault="00A428D4" w14:paraId="0861F06C"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6</w:t>
            </w:r>
          </w:p>
        </w:tc>
        <w:tc>
          <w:tcPr>
            <w:tcW w:w="851" w:type="dxa"/>
            <w:hideMark/>
          </w:tcPr>
          <w:p w:rsidRPr="004417D1" w:rsidR="00A428D4" w:rsidP="00224974" w:rsidRDefault="00A428D4" w14:paraId="305101ED"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7</w:t>
            </w:r>
          </w:p>
        </w:tc>
        <w:tc>
          <w:tcPr>
            <w:tcW w:w="851" w:type="dxa"/>
            <w:hideMark/>
          </w:tcPr>
          <w:p w:rsidRPr="004417D1" w:rsidR="00A428D4" w:rsidP="00224974" w:rsidRDefault="00A428D4" w14:paraId="2EC3BEC2"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8</w:t>
            </w:r>
          </w:p>
        </w:tc>
        <w:tc>
          <w:tcPr>
            <w:tcW w:w="851" w:type="dxa"/>
          </w:tcPr>
          <w:p w:rsidRPr="004417D1" w:rsidR="00A428D4" w:rsidP="00224974" w:rsidRDefault="00A428D4" w14:paraId="2679F444"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9</w:t>
            </w:r>
          </w:p>
        </w:tc>
        <w:tc>
          <w:tcPr>
            <w:tcW w:w="851" w:type="dxa"/>
            <w:hideMark/>
          </w:tcPr>
          <w:p w:rsidRPr="004417D1" w:rsidR="00A428D4" w:rsidP="00224974" w:rsidRDefault="00A428D4" w14:paraId="2F9C9BBD"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Struc.</w:t>
            </w:r>
          </w:p>
        </w:tc>
      </w:tr>
      <w:tr w:rsidRPr="007E1FF3" w:rsidR="00A428D4" w:rsidTr="00224974" w14:paraId="04866F01"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362" w:type="dxa"/>
          </w:tcPr>
          <w:p w:rsidRPr="004417D1" w:rsidR="00A428D4" w:rsidP="00224974" w:rsidRDefault="00A428D4" w14:paraId="36616474" w14:textId="77777777">
            <w:pPr>
              <w:adjustRightInd w:val="0"/>
              <w:rPr>
                <w:rFonts w:asciiTheme="minorHAnsi" w:hAnsiTheme="minorHAnsi" w:cstheme="minorHAnsi"/>
                <w:b w:val="0"/>
                <w:bCs w:val="0"/>
              </w:rPr>
            </w:pPr>
            <w:r w:rsidRPr="003E3CAF">
              <w:rPr>
                <w:rFonts w:asciiTheme="minorHAnsi" w:hAnsiTheme="minorHAnsi" w:cstheme="minorHAnsi"/>
                <w:b w:val="0"/>
                <w:bCs w:val="0"/>
              </w:rPr>
              <w:t>Aanpassing begripsbepalingen motorrijtuigenbelasting</w:t>
            </w:r>
          </w:p>
        </w:tc>
        <w:tc>
          <w:tcPr>
            <w:tcW w:w="851" w:type="dxa"/>
          </w:tcPr>
          <w:p w:rsidRPr="004417D1" w:rsidR="00A428D4" w:rsidP="00224974" w:rsidRDefault="00A428D4" w14:paraId="5157996B"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851" w:type="dxa"/>
          </w:tcPr>
          <w:p w:rsidRPr="004417D1" w:rsidR="00A428D4" w:rsidP="00224974" w:rsidRDefault="00A428D4" w14:paraId="28A59190"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72CE062B"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64CF9D0D"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0BC8D843"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331D4254"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r>
    </w:tbl>
    <w:p w:rsidR="00A428D4" w:rsidP="00A428D4" w:rsidRDefault="00A428D4" w14:paraId="345D2EB7" w14:textId="77777777"/>
    <w:p w:rsidRPr="002517EA" w:rsidR="00A428D4" w:rsidP="00A428D4" w:rsidRDefault="00A428D4" w14:paraId="75D5E28B" w14:textId="77777777">
      <w:pPr>
        <w:rPr>
          <w:bCs/>
          <w:szCs w:val="18"/>
        </w:rPr>
      </w:pPr>
      <w:r>
        <w:rPr>
          <w:b/>
          <w:szCs w:val="18"/>
        </w:rPr>
        <w:t>Raming</w:t>
      </w:r>
    </w:p>
    <w:p w:rsidRPr="00386858" w:rsidR="00A428D4" w:rsidP="00A428D4" w:rsidRDefault="00A428D4" w14:paraId="2960D3F3" w14:textId="77777777">
      <w:pPr>
        <w:spacing w:line="259" w:lineRule="auto"/>
        <w:rPr>
          <w:szCs w:val="18"/>
        </w:rPr>
      </w:pPr>
      <w:r>
        <w:t xml:space="preserve">De raming betreft een P x Q raming (prijs maal aantallen). </w:t>
      </w:r>
      <w:r w:rsidRPr="00386858">
        <w:rPr>
          <w:szCs w:val="18"/>
        </w:rPr>
        <w:t xml:space="preserve">Voor de Q is gebruik gemaakt van RDW-data. Daarbij is gekeken hoeveel N2-voertuigen er zijn met een </w:t>
      </w:r>
      <w:r>
        <w:t>wettelijke toegestane maximum massa</w:t>
      </w:r>
      <w:r w:rsidRPr="00386858">
        <w:rPr>
          <w:szCs w:val="18"/>
        </w:rPr>
        <w:t xml:space="preserve"> &lt;= 3500 kg en een </w:t>
      </w:r>
      <w:r>
        <w:t>technische toelaatbare maximum massa</w:t>
      </w:r>
      <w:r w:rsidRPr="00386858">
        <w:rPr>
          <w:szCs w:val="18"/>
        </w:rPr>
        <w:t xml:space="preserve"> &gt; 3500 kg. Dat zijn er </w:t>
      </w:r>
      <w:proofErr w:type="gramStart"/>
      <w:r w:rsidRPr="00386858">
        <w:rPr>
          <w:szCs w:val="18"/>
        </w:rPr>
        <w:t>circa</w:t>
      </w:r>
      <w:proofErr w:type="gramEnd"/>
      <w:r w:rsidRPr="00386858">
        <w:rPr>
          <w:szCs w:val="18"/>
        </w:rPr>
        <w:t xml:space="preserve"> 15.000, die vrijwel allemaal een </w:t>
      </w:r>
      <w:r>
        <w:t>wettelijke toegestane maximum massa</w:t>
      </w:r>
      <w:r w:rsidRPr="00386858">
        <w:rPr>
          <w:szCs w:val="18"/>
        </w:rPr>
        <w:t xml:space="preserve"> van 3500 kg hebben. Voor de P gaan er voor de</w:t>
      </w:r>
      <w:r>
        <w:rPr>
          <w:szCs w:val="18"/>
        </w:rPr>
        <w:t xml:space="preserve"> </w:t>
      </w:r>
      <w:proofErr w:type="spellStart"/>
      <w:r>
        <w:rPr>
          <w:szCs w:val="18"/>
        </w:rPr>
        <w:t>mrb</w:t>
      </w:r>
      <w:proofErr w:type="spellEnd"/>
      <w:r>
        <w:rPr>
          <w:szCs w:val="18"/>
        </w:rPr>
        <w:t xml:space="preserve"> </w:t>
      </w:r>
      <w:r w:rsidRPr="00386858">
        <w:rPr>
          <w:szCs w:val="18"/>
        </w:rPr>
        <w:t xml:space="preserve">vanuit dat het bestelauto’s van een ondernemer betreft, waarmee de </w:t>
      </w:r>
      <w:proofErr w:type="spellStart"/>
      <w:r w:rsidRPr="00386858">
        <w:rPr>
          <w:szCs w:val="18"/>
        </w:rPr>
        <w:t>mrb</w:t>
      </w:r>
      <w:proofErr w:type="spellEnd"/>
      <w:r w:rsidRPr="00386858">
        <w:rPr>
          <w:szCs w:val="18"/>
        </w:rPr>
        <w:t xml:space="preserve"> per voertuig uitkomt op € 1.046 per jaar (in prijzen 2025). Hiermee komt de derving in de </w:t>
      </w:r>
      <w:proofErr w:type="spellStart"/>
      <w:r w:rsidRPr="00386858">
        <w:rPr>
          <w:szCs w:val="18"/>
        </w:rPr>
        <w:t>mrb</w:t>
      </w:r>
      <w:proofErr w:type="spellEnd"/>
      <w:r w:rsidRPr="00386858">
        <w:rPr>
          <w:szCs w:val="18"/>
        </w:rPr>
        <w:t xml:space="preserve"> uit op structureel € 16 miljoen. De derving in de </w:t>
      </w:r>
      <w:proofErr w:type="spellStart"/>
      <w:r w:rsidRPr="00386858">
        <w:rPr>
          <w:szCs w:val="18"/>
        </w:rPr>
        <w:t>mrb</w:t>
      </w:r>
      <w:proofErr w:type="spellEnd"/>
      <w:r w:rsidRPr="00386858">
        <w:rPr>
          <w:szCs w:val="18"/>
        </w:rPr>
        <w:t xml:space="preserve"> wordt gedekt uit de compensatie voor de fiscale derving van de </w:t>
      </w:r>
      <w:proofErr w:type="spellStart"/>
      <w:r w:rsidRPr="00386858">
        <w:rPr>
          <w:szCs w:val="18"/>
        </w:rPr>
        <w:t>mrb</w:t>
      </w:r>
      <w:proofErr w:type="spellEnd"/>
      <w:r w:rsidRPr="00386858">
        <w:rPr>
          <w:szCs w:val="18"/>
        </w:rPr>
        <w:t xml:space="preserve"> als gevolg van de invoering van de vrachtwagenheffing (VWH). Dit wordt bij Voorjaarsnota 2026 verwerkt in de begroting van IenW.</w:t>
      </w:r>
    </w:p>
    <w:p w:rsidR="00A428D4" w:rsidP="00A428D4" w:rsidRDefault="00A428D4" w14:paraId="02AFE906" w14:textId="77777777"/>
    <w:p w:rsidR="00A428D4" w:rsidP="00A428D4" w:rsidRDefault="00A428D4" w14:paraId="318B3331" w14:textId="77777777"/>
    <w:p w:rsidR="00A428D4" w:rsidP="00A428D4" w:rsidRDefault="00A428D4" w14:paraId="4437B87E" w14:textId="77777777"/>
    <w:p w:rsidR="00A428D4" w:rsidP="00A428D4" w:rsidRDefault="00A428D4" w14:paraId="28AD9483" w14:textId="77777777"/>
    <w:p w:rsidR="00A428D4" w:rsidRDefault="00A428D4" w14:paraId="199320A8" w14:textId="74DDC147">
      <w:pPr>
        <w:spacing w:after="120"/>
        <w:rPr>
          <w:color w:val="000000" w:themeColor="text1"/>
        </w:rPr>
      </w:pPr>
      <w:r>
        <w:rPr>
          <w:color w:val="000000" w:themeColor="text1"/>
        </w:rPr>
        <w:br w:type="page"/>
      </w:r>
    </w:p>
    <w:p w:rsidRPr="00F55D4B" w:rsidR="00A428D4" w:rsidP="00A428D4" w:rsidRDefault="00A428D4" w14:paraId="441108D2" w14:textId="77777777">
      <w:pPr>
        <w:pStyle w:val="Kop2"/>
      </w:pPr>
      <w:r w:rsidRPr="00F55D4B">
        <w:lastRenderedPageBreak/>
        <w:t>Vervroegen van de vrijstelling voor oldtimers in de motorrijtuigenbelasting</w:t>
      </w:r>
    </w:p>
    <w:p w:rsidRPr="00F55D4B" w:rsidR="00A428D4" w:rsidP="00A428D4" w:rsidRDefault="00A428D4" w14:paraId="5C8C4883" w14:textId="77777777">
      <w:pPr>
        <w:rPr>
          <w:b/>
          <w:szCs w:val="18"/>
        </w:rPr>
      </w:pPr>
    </w:p>
    <w:p w:rsidRPr="00F55D4B" w:rsidR="00A428D4" w:rsidP="00A428D4" w:rsidRDefault="00A428D4" w14:paraId="0CC6BCD5" w14:textId="77777777">
      <w:pPr>
        <w:rPr>
          <w:b/>
          <w:szCs w:val="18"/>
        </w:rPr>
      </w:pPr>
      <w:r w:rsidRPr="00F55D4B">
        <w:rPr>
          <w:b/>
          <w:szCs w:val="18"/>
        </w:rPr>
        <w:t>Maatregel</w:t>
      </w:r>
    </w:p>
    <w:p w:rsidR="00A428D4" w:rsidP="00A428D4" w:rsidRDefault="00A428D4" w14:paraId="3F46F8CB" w14:textId="77777777">
      <w:pPr>
        <w:spacing w:line="259" w:lineRule="auto"/>
      </w:pPr>
      <w:r w:rsidRPr="00F55D4B">
        <w:t>De oldtimerregeling biedt een volledige vrijstelling van motorrijtuigenbelasting (</w:t>
      </w:r>
      <w:proofErr w:type="spellStart"/>
      <w:r w:rsidRPr="00F55D4B">
        <w:t>mrb</w:t>
      </w:r>
      <w:proofErr w:type="spellEnd"/>
      <w:r w:rsidRPr="00F55D4B">
        <w:t>) voor voertuigen die ouder zijn dan 40 jaar. In het Belastingplan 2024 is besloten om vanaf 2028 niet langer uit te gaan van een schuivende leeftijdsgrens van 40 jaar, maar om een vaste datum te hanteren: voertuigen met een datum eerste toelating (DET) van vóór 1 januari 1988 vallen dan permanent onder de vrijstelling.</w:t>
      </w:r>
    </w:p>
    <w:p w:rsidRPr="00F55D4B" w:rsidR="00A428D4" w:rsidP="00A428D4" w:rsidRDefault="00A428D4" w14:paraId="20C34D2E" w14:textId="77777777">
      <w:pPr>
        <w:spacing w:line="259" w:lineRule="auto"/>
      </w:pPr>
    </w:p>
    <w:p w:rsidR="00A428D4" w:rsidP="00A428D4" w:rsidRDefault="00A428D4" w14:paraId="7F74917C" w14:textId="77777777">
      <w:pPr>
        <w:spacing w:line="259" w:lineRule="auto"/>
      </w:pPr>
      <w:r w:rsidRPr="00F55D4B">
        <w:t xml:space="preserve">De overgangsregeling (OVR) is een verlaagd tarief in de </w:t>
      </w:r>
      <w:proofErr w:type="spellStart"/>
      <w:r w:rsidRPr="00F55D4B">
        <w:t>mrb</w:t>
      </w:r>
      <w:proofErr w:type="spellEnd"/>
      <w:r w:rsidRPr="00F55D4B">
        <w:t xml:space="preserve"> voor voertuigen van 26 tot 40 jaar, met een DET van vóór 1 januari</w:t>
      </w:r>
      <w:r w:rsidRPr="009F2461">
        <w:t xml:space="preserve"> 1988</w:t>
      </w:r>
      <w:r>
        <w:t>.</w:t>
      </w:r>
      <w:r>
        <w:rPr>
          <w:b/>
          <w:bCs/>
        </w:rPr>
        <w:t xml:space="preserve"> </w:t>
      </w:r>
      <w:r>
        <w:t>Deze is</w:t>
      </w:r>
      <w:r>
        <w:rPr>
          <w:b/>
          <w:bCs/>
        </w:rPr>
        <w:t xml:space="preserve"> </w:t>
      </w:r>
      <w:r w:rsidRPr="009F2461">
        <w:t xml:space="preserve">in 2014 </w:t>
      </w:r>
      <w:r>
        <w:t xml:space="preserve">ingesteld omdat </w:t>
      </w:r>
      <w:r w:rsidRPr="009F2461">
        <w:t xml:space="preserve">de leeftijdsgrens in de oldtimerregeling </w:t>
      </w:r>
      <w:r>
        <w:t xml:space="preserve">destijds </w:t>
      </w:r>
      <w:r w:rsidRPr="009F2461">
        <w:t xml:space="preserve">werd verhoogd van 25 naar 40 jaar. Voertuigen die op dat moment al tussen de 26 en 40 jaar oud waren, kregen eerbiedigende werking in de vorm van een </w:t>
      </w:r>
      <w:r>
        <w:t xml:space="preserve">kwarttarief met een maximum </w:t>
      </w:r>
      <w:r w:rsidRPr="009F2461">
        <w:t>van €</w:t>
      </w:r>
      <w:r>
        <w:t> </w:t>
      </w:r>
      <w:r w:rsidRPr="009F2461">
        <w:t>1</w:t>
      </w:r>
      <w:r>
        <w:t>54</w:t>
      </w:r>
      <w:r w:rsidRPr="009F2461">
        <w:t xml:space="preserve"> </w:t>
      </w:r>
      <w:r>
        <w:t xml:space="preserve">(prijzen 2025) </w:t>
      </w:r>
      <w:r w:rsidRPr="009F2461">
        <w:t xml:space="preserve">per jaar, mits ze aan </w:t>
      </w:r>
      <w:r>
        <w:t xml:space="preserve">bepaalde </w:t>
      </w:r>
      <w:r w:rsidRPr="009F2461">
        <w:t>specifieke voorwaarden voldoen</w:t>
      </w:r>
      <w:r>
        <w:t>.</w:t>
      </w:r>
      <w:r w:rsidRPr="009F2461">
        <w:t xml:space="preserve"> </w:t>
      </w:r>
    </w:p>
    <w:p w:rsidR="00A428D4" w:rsidP="00A428D4" w:rsidRDefault="00A428D4" w14:paraId="35FE2F98" w14:textId="77777777">
      <w:pPr>
        <w:spacing w:line="259" w:lineRule="auto"/>
      </w:pPr>
    </w:p>
    <w:p w:rsidR="00A428D4" w:rsidP="00A428D4" w:rsidRDefault="00A428D4" w14:paraId="7374A345" w14:textId="77777777">
      <w:pPr>
        <w:spacing w:line="259" w:lineRule="auto"/>
      </w:pPr>
      <w:r w:rsidRPr="009F2461">
        <w:t xml:space="preserve">Deze regeling loopt </w:t>
      </w:r>
      <w:r>
        <w:t xml:space="preserve">in principe </w:t>
      </w:r>
      <w:r w:rsidRPr="009F2461">
        <w:t>af in 2028, wanneer alle voertuigen binnen deze groep 40 jaar of ouder zijn en dus onder de oldtimerregeling vallen.</w:t>
      </w:r>
      <w:r>
        <w:t xml:space="preserve"> De Belastingdienst heeft een nieuw systeem voor de MRB ontworpen en moet de OVR vanaf 2027 daar hebben ingebouwd. Echter, de schaarse IV-capaciteit moet dan worden ingezet voor slechts één jaar OVR en een beperkte doelgroep. Dat is niet efficiënt. De IV-capaciteit kan beter elders voor worden benut. Het voorstel is </w:t>
      </w:r>
      <w:r w:rsidRPr="005C0D42">
        <w:t>om de vaste peildatum van de oldtimerregeling (1988) om voornoemde uitvoeringstechnische reden één jaar eerder in werking te laten treden, dus per 2027.</w:t>
      </w:r>
    </w:p>
    <w:p w:rsidRPr="002517EA" w:rsidR="00A428D4" w:rsidP="00A428D4" w:rsidRDefault="00A428D4" w14:paraId="5CA89217" w14:textId="77777777">
      <w:pPr>
        <w:rPr>
          <w:szCs w:val="18"/>
        </w:rPr>
      </w:pPr>
    </w:p>
    <w:p w:rsidR="00A428D4" w:rsidP="00A428D4" w:rsidRDefault="00A428D4" w14:paraId="49F9584B" w14:textId="77777777">
      <w:pPr>
        <w:keepNext/>
        <w:spacing w:line="240" w:lineRule="auto"/>
        <w:rPr>
          <w:rFonts w:eastAsia="Verdana" w:cs="Times New Roman"/>
          <w:b/>
          <w:bCs/>
          <w:color w:val="4F81BD"/>
          <w:szCs w:val="18"/>
        </w:rPr>
      </w:pPr>
      <w:r>
        <w:rPr>
          <w:rFonts w:eastAsia="Verdana" w:cs="Times New Roman"/>
          <w:b/>
          <w:bCs/>
          <w:color w:val="4F81BD"/>
          <w:szCs w:val="18"/>
        </w:rPr>
        <w:t>Budgettair effect maatregel, prijspeil lopende jaar (2025)</w:t>
      </w:r>
    </w:p>
    <w:p w:rsidRPr="000B75FD" w:rsidR="00A428D4" w:rsidP="00A428D4" w:rsidRDefault="00A428D4" w14:paraId="7DBD0A36" w14:textId="77777777">
      <w:pPr>
        <w:keepNext/>
        <w:spacing w:line="240" w:lineRule="auto"/>
        <w:rPr>
          <w:rFonts w:eastAsia="Verdana" w:cs="Times New Roman"/>
          <w:bCs/>
          <w:color w:val="4F81BD"/>
          <w:szCs w:val="18"/>
        </w:rPr>
      </w:pPr>
      <w:r>
        <w:rPr>
          <w:rFonts w:eastAsia="Verdana" w:cs="Times New Roman"/>
          <w:bCs/>
          <w:color w:val="4F81BD"/>
          <w:szCs w:val="18"/>
        </w:rPr>
        <w:t xml:space="preserve">Bedragen in mln. euro, ‘+’ = </w:t>
      </w:r>
      <w:proofErr w:type="spellStart"/>
      <w:r>
        <w:rPr>
          <w:rFonts w:eastAsia="Verdana" w:cs="Times New Roman"/>
          <w:bCs/>
          <w:color w:val="4F81BD"/>
          <w:szCs w:val="18"/>
        </w:rPr>
        <w:t>saldoverbeterend</w:t>
      </w:r>
      <w:proofErr w:type="spellEnd"/>
      <w:r>
        <w:rPr>
          <w:rFonts w:eastAsia="Verdana" w:cs="Times New Roman"/>
          <w:bCs/>
          <w:color w:val="4F81BD"/>
          <w:szCs w:val="18"/>
        </w:rPr>
        <w:t xml:space="preserve">/lastenverzwarend. </w:t>
      </w:r>
    </w:p>
    <w:tbl>
      <w:tblPr>
        <w:tblStyle w:val="Lichtelijst-accent111"/>
        <w:tblW w:w="9052" w:type="dxa"/>
        <w:tblLook w:val="04A0" w:firstRow="1" w:lastRow="0" w:firstColumn="1" w:lastColumn="0" w:noHBand="0" w:noVBand="1"/>
      </w:tblPr>
      <w:tblGrid>
        <w:gridCol w:w="4099"/>
        <w:gridCol w:w="824"/>
        <w:gridCol w:w="824"/>
        <w:gridCol w:w="824"/>
        <w:gridCol w:w="824"/>
        <w:gridCol w:w="824"/>
        <w:gridCol w:w="833"/>
      </w:tblGrid>
      <w:tr w:rsidRPr="007E1FF3" w:rsidR="00A428D4" w:rsidTr="00224974" w14:paraId="3AD0388E"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62" w:type="dxa"/>
          </w:tcPr>
          <w:p w:rsidRPr="004417D1" w:rsidR="00A428D4" w:rsidP="00224974" w:rsidRDefault="00A428D4" w14:paraId="583DB912" w14:textId="77777777">
            <w:pPr>
              <w:adjustRightInd w:val="0"/>
              <w:jc w:val="center"/>
              <w:rPr>
                <w:rFonts w:asciiTheme="minorHAnsi" w:hAnsiTheme="minorHAnsi" w:cstheme="minorHAnsi"/>
                <w:noProof/>
              </w:rPr>
            </w:pPr>
          </w:p>
        </w:tc>
        <w:tc>
          <w:tcPr>
            <w:tcW w:w="851" w:type="dxa"/>
            <w:hideMark/>
          </w:tcPr>
          <w:p w:rsidRPr="004417D1" w:rsidR="00A428D4" w:rsidP="00224974" w:rsidRDefault="00A428D4" w14:paraId="52F1C054"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5</w:t>
            </w:r>
          </w:p>
        </w:tc>
        <w:tc>
          <w:tcPr>
            <w:tcW w:w="851" w:type="dxa"/>
            <w:hideMark/>
          </w:tcPr>
          <w:p w:rsidRPr="004417D1" w:rsidR="00A428D4" w:rsidP="00224974" w:rsidRDefault="00A428D4" w14:paraId="1F6C39B9"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6</w:t>
            </w:r>
          </w:p>
        </w:tc>
        <w:tc>
          <w:tcPr>
            <w:tcW w:w="851" w:type="dxa"/>
            <w:hideMark/>
          </w:tcPr>
          <w:p w:rsidRPr="004417D1" w:rsidR="00A428D4" w:rsidP="00224974" w:rsidRDefault="00A428D4" w14:paraId="15EF3491"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7</w:t>
            </w:r>
          </w:p>
        </w:tc>
        <w:tc>
          <w:tcPr>
            <w:tcW w:w="851" w:type="dxa"/>
            <w:hideMark/>
          </w:tcPr>
          <w:p w:rsidRPr="004417D1" w:rsidR="00A428D4" w:rsidP="00224974" w:rsidRDefault="00A428D4" w14:paraId="14C067A9"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8</w:t>
            </w:r>
          </w:p>
        </w:tc>
        <w:tc>
          <w:tcPr>
            <w:tcW w:w="851" w:type="dxa"/>
          </w:tcPr>
          <w:p w:rsidRPr="004417D1" w:rsidR="00A428D4" w:rsidP="00224974" w:rsidRDefault="00A428D4" w14:paraId="34556EB9"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Pr>
                <w:rFonts w:asciiTheme="minorHAnsi" w:hAnsiTheme="minorHAnsi" w:cstheme="minorHAnsi"/>
                <w:noProof/>
              </w:rPr>
              <w:t>9</w:t>
            </w:r>
          </w:p>
        </w:tc>
        <w:tc>
          <w:tcPr>
            <w:tcW w:w="851" w:type="dxa"/>
            <w:hideMark/>
          </w:tcPr>
          <w:p w:rsidRPr="004417D1" w:rsidR="00A428D4" w:rsidP="00224974" w:rsidRDefault="00A428D4" w14:paraId="4C858F1D"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Struc.</w:t>
            </w:r>
          </w:p>
        </w:tc>
      </w:tr>
      <w:tr w:rsidRPr="007E1FF3" w:rsidR="00A428D4" w:rsidTr="00224974" w14:paraId="05C1120C"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362" w:type="dxa"/>
          </w:tcPr>
          <w:p w:rsidRPr="004417D1" w:rsidR="00A428D4" w:rsidP="00224974" w:rsidRDefault="00A428D4" w14:paraId="61168470" w14:textId="77777777">
            <w:pPr>
              <w:adjustRightInd w:val="0"/>
              <w:rPr>
                <w:rFonts w:asciiTheme="minorHAnsi" w:hAnsiTheme="minorHAnsi" w:cstheme="minorHAnsi"/>
                <w:b w:val="0"/>
                <w:bCs w:val="0"/>
              </w:rPr>
            </w:pPr>
            <w:r w:rsidRPr="00720F93">
              <w:rPr>
                <w:rFonts w:asciiTheme="minorHAnsi" w:hAnsiTheme="minorHAnsi" w:cstheme="minorHAnsi"/>
                <w:b w:val="0"/>
                <w:bCs w:val="0"/>
              </w:rPr>
              <w:t>Vervroegen van de vrijstelling voor oldtimers in de motorrijtuigenbelasting</w:t>
            </w:r>
          </w:p>
        </w:tc>
        <w:tc>
          <w:tcPr>
            <w:tcW w:w="851" w:type="dxa"/>
          </w:tcPr>
          <w:p w:rsidRPr="004417D1" w:rsidR="00A428D4" w:rsidP="00224974" w:rsidRDefault="00A428D4" w14:paraId="37E3A942"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851" w:type="dxa"/>
          </w:tcPr>
          <w:p w:rsidRPr="004417D1" w:rsidR="00A428D4" w:rsidP="00224974" w:rsidRDefault="00A428D4" w14:paraId="33E12A62"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6023D089"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-5</w:t>
            </w:r>
          </w:p>
        </w:tc>
        <w:tc>
          <w:tcPr>
            <w:tcW w:w="851" w:type="dxa"/>
          </w:tcPr>
          <w:p w:rsidRPr="004417D1" w:rsidR="00A428D4" w:rsidP="00224974" w:rsidRDefault="00A428D4" w14:paraId="5903F6ED"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0824D62A"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A428D4" w:rsidP="00224974" w:rsidRDefault="00A428D4" w14:paraId="0838CA99"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r>
    </w:tbl>
    <w:p w:rsidR="00A428D4" w:rsidP="00A428D4" w:rsidRDefault="00A428D4" w14:paraId="5ADE0E41" w14:textId="77777777"/>
    <w:p w:rsidRPr="002517EA" w:rsidR="00A428D4" w:rsidP="00A428D4" w:rsidRDefault="00A428D4" w14:paraId="13D5C0C9" w14:textId="77777777">
      <w:pPr>
        <w:rPr>
          <w:bCs/>
          <w:szCs w:val="18"/>
        </w:rPr>
      </w:pPr>
      <w:r>
        <w:rPr>
          <w:b/>
          <w:szCs w:val="18"/>
        </w:rPr>
        <w:t>Raming</w:t>
      </w:r>
    </w:p>
    <w:p w:rsidRPr="00036207" w:rsidR="00A428D4" w:rsidP="00A428D4" w:rsidRDefault="00A428D4" w14:paraId="0A51AB73" w14:textId="77777777">
      <w:pPr>
        <w:spacing w:line="259" w:lineRule="auto"/>
      </w:pPr>
      <w:r>
        <w:t xml:space="preserve">De raming betreft een P x Q raming (prijs maal aantallen). Voor de aantallen (Q) is gebruik gemaakt van open data van de RDW om de motorrijtuigen met een DET in 1987 te bepalen. </w:t>
      </w:r>
      <w:r w:rsidRPr="00F95B9B">
        <w:rPr>
          <w:szCs w:val="18"/>
        </w:rPr>
        <w:t xml:space="preserve">Veel van die motorvoertuigen vallen nu onder de </w:t>
      </w:r>
      <w:r>
        <w:rPr>
          <w:szCs w:val="18"/>
        </w:rPr>
        <w:t xml:space="preserve">OVR </w:t>
      </w:r>
      <w:r w:rsidRPr="00F95B9B">
        <w:rPr>
          <w:szCs w:val="18"/>
        </w:rPr>
        <w:t>voor oldtimers, dit zijn:</w:t>
      </w:r>
    </w:p>
    <w:p w:rsidR="00A428D4" w:rsidP="00A428D4" w:rsidRDefault="00A428D4" w14:paraId="7A2B18BD" w14:textId="77777777">
      <w:pPr>
        <w:pStyle w:val="Lijstalinea"/>
        <w:numPr>
          <w:ilvl w:val="0"/>
          <w:numId w:val="36"/>
        </w:numPr>
        <w:spacing w:after="200" w:line="259" w:lineRule="auto"/>
      </w:pPr>
      <w:proofErr w:type="gramStart"/>
      <w:r>
        <w:t>een</w:t>
      </w:r>
      <w:proofErr w:type="gramEnd"/>
      <w:r>
        <w:t xml:space="preserve"> personenauto, kampeerauto of bestelauto die alleen op benzine rijdt</w:t>
      </w:r>
    </w:p>
    <w:p w:rsidR="00A428D4" w:rsidP="00A428D4" w:rsidRDefault="00A428D4" w14:paraId="6261132E" w14:textId="77777777">
      <w:pPr>
        <w:pStyle w:val="Lijstalinea"/>
        <w:numPr>
          <w:ilvl w:val="0"/>
          <w:numId w:val="36"/>
        </w:numPr>
        <w:spacing w:after="200" w:line="259" w:lineRule="auto"/>
      </w:pPr>
      <w:proofErr w:type="gramStart"/>
      <w:r>
        <w:t>een</w:t>
      </w:r>
      <w:proofErr w:type="gramEnd"/>
      <w:r>
        <w:t xml:space="preserve"> motor</w:t>
      </w:r>
    </w:p>
    <w:p w:rsidR="00A428D4" w:rsidP="00A428D4" w:rsidRDefault="00A428D4" w14:paraId="4129A3C0" w14:textId="77777777">
      <w:pPr>
        <w:pStyle w:val="Lijstalinea"/>
        <w:numPr>
          <w:ilvl w:val="0"/>
          <w:numId w:val="36"/>
        </w:numPr>
        <w:spacing w:after="200" w:line="259" w:lineRule="auto"/>
      </w:pPr>
      <w:proofErr w:type="gramStart"/>
      <w:r>
        <w:t>een</w:t>
      </w:r>
      <w:proofErr w:type="gramEnd"/>
      <w:r>
        <w:t xml:space="preserve"> vrachtwagen of een autobus die niet bedrijfsmatig gebruikt wordt;</w:t>
      </w:r>
    </w:p>
    <w:p w:rsidR="00A428D4" w:rsidP="00A428D4" w:rsidRDefault="00A428D4" w14:paraId="757BE6FF" w14:textId="77777777">
      <w:pPr>
        <w:pStyle w:val="Lijstalinea"/>
        <w:numPr>
          <w:ilvl w:val="0"/>
          <w:numId w:val="36"/>
        </w:numPr>
        <w:spacing w:after="200" w:line="259" w:lineRule="auto"/>
      </w:pPr>
      <w:proofErr w:type="gramStart"/>
      <w:r>
        <w:t>en</w:t>
      </w:r>
      <w:proofErr w:type="gramEnd"/>
      <w:r>
        <w:t xml:space="preserve"> voor al deze motorvoertuigen geldt dat die geen gebruik mogen maken van de openbare weg in januari, februari en december</w:t>
      </w:r>
    </w:p>
    <w:p w:rsidR="00A428D4" w:rsidP="00A428D4" w:rsidRDefault="00A428D4" w14:paraId="2D59B435" w14:textId="77777777">
      <w:pPr>
        <w:spacing w:line="259" w:lineRule="auto"/>
        <w:rPr>
          <w:szCs w:val="18"/>
        </w:rPr>
      </w:pPr>
      <w:r w:rsidRPr="00E60272">
        <w:rPr>
          <w:szCs w:val="18"/>
        </w:rPr>
        <w:t>Daarnaast heeft deze maatregel ook betrekking op de motorvoertuigen met een DET in 1987 die niet op benzine, maar bijvoorbeeld op diesel rijden. Het gaat in totaal om bijna 29.000 motorvoertuigen.</w:t>
      </w:r>
      <w:r>
        <w:rPr>
          <w:szCs w:val="18"/>
        </w:rPr>
        <w:t xml:space="preserve"> </w:t>
      </w:r>
      <w:r>
        <w:t xml:space="preserve">Voor de P is gekeken naar de geldende </w:t>
      </w:r>
      <w:proofErr w:type="spellStart"/>
      <w:r>
        <w:t>mrb</w:t>
      </w:r>
      <w:proofErr w:type="spellEnd"/>
      <w:r>
        <w:t xml:space="preserve">-tarieven in 2027 (in prijzen 2025) voor de betreffende voertuigen. </w:t>
      </w:r>
      <w:r w:rsidRPr="00E60272">
        <w:rPr>
          <w:szCs w:val="18"/>
        </w:rPr>
        <w:t xml:space="preserve">Door de maatregel zal dit een vrijstelling van de </w:t>
      </w:r>
      <w:proofErr w:type="spellStart"/>
      <w:r w:rsidRPr="00E60272">
        <w:rPr>
          <w:szCs w:val="18"/>
        </w:rPr>
        <w:t>mrb</w:t>
      </w:r>
      <w:proofErr w:type="spellEnd"/>
      <w:r w:rsidRPr="00E60272">
        <w:rPr>
          <w:szCs w:val="18"/>
        </w:rPr>
        <w:t xml:space="preserve"> worden. </w:t>
      </w:r>
    </w:p>
    <w:p w:rsidR="00A428D4" w:rsidP="00A428D4" w:rsidRDefault="00A428D4" w14:paraId="65631A90" w14:textId="77777777">
      <w:pPr>
        <w:spacing w:line="259" w:lineRule="auto"/>
        <w:rPr>
          <w:szCs w:val="18"/>
        </w:rPr>
      </w:pPr>
    </w:p>
    <w:p w:rsidRPr="00E60272" w:rsidR="00A428D4" w:rsidP="00A428D4" w:rsidRDefault="00A428D4" w14:paraId="25FEE0D4" w14:textId="77777777">
      <w:pPr>
        <w:spacing w:line="259" w:lineRule="auto"/>
        <w:rPr>
          <w:szCs w:val="18"/>
        </w:rPr>
      </w:pPr>
      <w:r w:rsidRPr="00E60272">
        <w:rPr>
          <w:szCs w:val="18"/>
        </w:rPr>
        <w:t xml:space="preserve">Voor de OVR geldt dat het </w:t>
      </w:r>
      <w:proofErr w:type="spellStart"/>
      <w:r w:rsidRPr="00E60272">
        <w:rPr>
          <w:szCs w:val="18"/>
        </w:rPr>
        <w:t>mrb</w:t>
      </w:r>
      <w:proofErr w:type="spellEnd"/>
      <w:r w:rsidRPr="00E60272">
        <w:rPr>
          <w:szCs w:val="18"/>
        </w:rPr>
        <w:t xml:space="preserve">-tarief een kwarttarief is </w:t>
      </w:r>
      <w:r>
        <w:t xml:space="preserve">met een maximum </w:t>
      </w:r>
      <w:r w:rsidRPr="009F2461">
        <w:t>van €</w:t>
      </w:r>
      <w:r>
        <w:t> </w:t>
      </w:r>
      <w:r w:rsidRPr="009F2461">
        <w:t>1</w:t>
      </w:r>
      <w:r>
        <w:t>54</w:t>
      </w:r>
      <w:r w:rsidRPr="009F2461">
        <w:t xml:space="preserve"> </w:t>
      </w:r>
      <w:r>
        <w:t xml:space="preserve">(prijzen 2025) </w:t>
      </w:r>
      <w:r w:rsidRPr="009F2461">
        <w:t>per jaar</w:t>
      </w:r>
      <w:r>
        <w:t xml:space="preserve">. Voor kampeerauto’s geldt in 2027 een </w:t>
      </w:r>
      <w:proofErr w:type="spellStart"/>
      <w:r>
        <w:t>halftarief</w:t>
      </w:r>
      <w:proofErr w:type="spellEnd"/>
      <w:r>
        <w:t xml:space="preserve">, waarbij voor </w:t>
      </w:r>
      <w:proofErr w:type="gramStart"/>
      <w:r>
        <w:t>circa</w:t>
      </w:r>
      <w:proofErr w:type="gramEnd"/>
      <w:r>
        <w:t xml:space="preserve"> 40% van de kampeerauto’s geldt dat deze gemiddeld de helft van het jaar geschorst worden. Voor bestelauto’s van ondernemers geldt een verlaagd </w:t>
      </w:r>
      <w:proofErr w:type="spellStart"/>
      <w:r>
        <w:t>mrb</w:t>
      </w:r>
      <w:proofErr w:type="spellEnd"/>
      <w:r>
        <w:t>-tarief.</w:t>
      </w:r>
      <w:r>
        <w:rPr>
          <w:szCs w:val="18"/>
        </w:rPr>
        <w:t xml:space="preserve"> </w:t>
      </w:r>
      <w:r>
        <w:t xml:space="preserve">Er wordt geen gedragseffect verondersteld vanwege het incidentele karakter van de maatregel. </w:t>
      </w:r>
    </w:p>
    <w:p w:rsidR="00F81BE0" w:rsidP="00385AB0" w:rsidRDefault="00F81BE0" w14:paraId="7A4CAF02" w14:textId="77777777">
      <w:pPr>
        <w:rPr>
          <w:color w:val="000000" w:themeColor="text1"/>
        </w:rPr>
      </w:pPr>
    </w:p>
    <w:p w:rsidR="00385AB0" w:rsidP="00385AB0" w:rsidRDefault="00385AB0" w14:paraId="06C1A6C1" w14:textId="421EAC0C"/>
    <w:sectPr w:rsidR="00385AB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708E" w14:textId="77777777" w:rsidR="00012D0A" w:rsidRDefault="00012D0A" w:rsidP="00CA5B2E">
      <w:pPr>
        <w:spacing w:line="240" w:lineRule="auto"/>
      </w:pPr>
      <w:r>
        <w:separator/>
      </w:r>
    </w:p>
  </w:endnote>
  <w:endnote w:type="continuationSeparator" w:id="0">
    <w:p w14:paraId="00BBDA69" w14:textId="77777777" w:rsidR="00012D0A" w:rsidRDefault="00012D0A" w:rsidP="00CA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D256" w14:textId="77777777" w:rsidR="00012D0A" w:rsidRDefault="00012D0A" w:rsidP="00CA5B2E">
      <w:pPr>
        <w:spacing w:line="240" w:lineRule="auto"/>
      </w:pPr>
      <w:r>
        <w:separator/>
      </w:r>
    </w:p>
  </w:footnote>
  <w:footnote w:type="continuationSeparator" w:id="0">
    <w:p w14:paraId="39A03ABE" w14:textId="77777777" w:rsidR="00012D0A" w:rsidRDefault="00012D0A" w:rsidP="00CA5B2E">
      <w:pPr>
        <w:spacing w:line="240" w:lineRule="auto"/>
      </w:pPr>
      <w:r>
        <w:continuationSeparator/>
      </w:r>
    </w:p>
  </w:footnote>
  <w:footnote w:id="1">
    <w:p w14:paraId="4E26EF29" w14:textId="77777777" w:rsidR="00385AB0" w:rsidRPr="000E2E45" w:rsidRDefault="00385AB0" w:rsidP="00385AB0">
      <w:pPr>
        <w:pStyle w:val="Voetnoottekst"/>
        <w:rPr>
          <w:sz w:val="16"/>
          <w:szCs w:val="16"/>
        </w:rPr>
      </w:pPr>
      <w:r w:rsidRPr="000E2E45">
        <w:rPr>
          <w:rStyle w:val="Voetnootmarkering"/>
          <w:rFonts w:eastAsiaTheme="majorEastAsia"/>
          <w:sz w:val="16"/>
          <w:szCs w:val="16"/>
        </w:rPr>
        <w:footnoteRef/>
      </w:r>
      <w:r w:rsidRPr="000E2E45">
        <w:rPr>
          <w:sz w:val="16"/>
          <w:szCs w:val="16"/>
        </w:rPr>
        <w:t xml:space="preserve"> </w:t>
      </w:r>
      <w:proofErr w:type="gramStart"/>
      <w:r w:rsidRPr="000E2E45">
        <w:rPr>
          <w:sz w:val="16"/>
          <w:szCs w:val="16"/>
        </w:rPr>
        <w:t>http://obr.uk/category/policy-costings/</w:t>
      </w:r>
      <w:proofErr w:type="gramEnd"/>
    </w:p>
  </w:footnote>
  <w:footnote w:id="2">
    <w:p w14:paraId="46B1E8D0" w14:textId="77777777" w:rsidR="00385AB0" w:rsidRPr="000E2E45" w:rsidRDefault="00385AB0" w:rsidP="00385AB0">
      <w:pPr>
        <w:pStyle w:val="Voetnoottekst"/>
        <w:rPr>
          <w:sz w:val="16"/>
          <w:szCs w:val="16"/>
        </w:rPr>
      </w:pPr>
      <w:r w:rsidRPr="000E2E45">
        <w:rPr>
          <w:rStyle w:val="Voetnootmarkering"/>
          <w:rFonts w:eastAsiaTheme="majorEastAsia"/>
          <w:sz w:val="16"/>
          <w:szCs w:val="16"/>
        </w:rPr>
        <w:footnoteRef/>
      </w:r>
      <w:r w:rsidRPr="000E2E45">
        <w:rPr>
          <w:sz w:val="16"/>
          <w:szCs w:val="16"/>
        </w:rPr>
        <w:t xml:space="preserve"> </w:t>
      </w:r>
      <w:r w:rsidRPr="000E2E45">
        <w:rPr>
          <w:rFonts w:cs="Arial"/>
          <w:sz w:val="16"/>
          <w:szCs w:val="16"/>
        </w:rPr>
        <w:t>Rijksoverheid (2015). 15e rapport Studiegroep Begrotingsruimte: Van Saldosturing naar stabilisatie, p.41.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EE5"/>
    <w:multiLevelType w:val="hybridMultilevel"/>
    <w:tmpl w:val="9E606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75FA7"/>
    <w:multiLevelType w:val="hybridMultilevel"/>
    <w:tmpl w:val="CB1451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21982154">
      <w:numFmt w:val="bullet"/>
      <w:lvlText w:val="-"/>
      <w:lvlJc w:val="left"/>
      <w:pPr>
        <w:ind w:left="3960" w:hanging="360"/>
      </w:pPr>
      <w:rPr>
        <w:rFonts w:ascii="Calibri" w:eastAsiaTheme="minorEastAsia" w:hAnsi="Calibri" w:cs="Calibri"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FA3C4B"/>
    <w:multiLevelType w:val="hybridMultilevel"/>
    <w:tmpl w:val="BA725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CC0CCD"/>
    <w:multiLevelType w:val="hybridMultilevel"/>
    <w:tmpl w:val="85604DCA"/>
    <w:lvl w:ilvl="0" w:tplc="855C8C82">
      <w:start w:val="10"/>
      <w:numFmt w:val="bullet"/>
      <w:lvlText w:val="-"/>
      <w:lvlJc w:val="left"/>
      <w:pPr>
        <w:ind w:left="360" w:hanging="360"/>
      </w:pPr>
      <w:rPr>
        <w:rFonts w:ascii="Verdana" w:eastAsiaTheme="minorHAnsi" w:hAnsi="Verdana" w:cstheme="minorBidi" w:hint="default"/>
      </w:rPr>
    </w:lvl>
    <w:lvl w:ilvl="1" w:tplc="FFFFFFFF">
      <w:start w:val="10"/>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4600A"/>
    <w:multiLevelType w:val="hybridMultilevel"/>
    <w:tmpl w:val="68946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F7AB5"/>
    <w:multiLevelType w:val="multilevel"/>
    <w:tmpl w:val="84088732"/>
    <w:lvl w:ilvl="0">
      <w:start w:val="1"/>
      <w:numFmt w:val="decimal"/>
      <w:pStyle w:val="Kop1"/>
      <w:lvlText w:val="%1"/>
      <w:lvlJc w:val="left"/>
      <w:pPr>
        <w:ind w:left="432" w:hanging="432"/>
      </w:pPr>
    </w:lvl>
    <w:lvl w:ilvl="1">
      <w:start w:val="1"/>
      <w:numFmt w:val="decimal"/>
      <w:pStyle w:val="Kop2"/>
      <w:lvlText w:val="%1.%2"/>
      <w:lvlJc w:val="left"/>
      <w:pPr>
        <w:ind w:left="6104" w:hanging="576"/>
      </w:pPr>
      <w:rPr>
        <w:b w:val="0"/>
        <w:bCs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84532A1"/>
    <w:multiLevelType w:val="hybridMultilevel"/>
    <w:tmpl w:val="CBDC66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92B3A11"/>
    <w:multiLevelType w:val="hybridMultilevel"/>
    <w:tmpl w:val="ED9278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1C2470"/>
    <w:multiLevelType w:val="hybridMultilevel"/>
    <w:tmpl w:val="F7E6E49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CB038C"/>
    <w:multiLevelType w:val="hybridMultilevel"/>
    <w:tmpl w:val="776E325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25D52234"/>
    <w:multiLevelType w:val="hybridMultilevel"/>
    <w:tmpl w:val="DF72BC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E535322"/>
    <w:multiLevelType w:val="hybridMultilevel"/>
    <w:tmpl w:val="0C2EB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024041B"/>
    <w:multiLevelType w:val="hybridMultilevel"/>
    <w:tmpl w:val="61383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987986"/>
    <w:multiLevelType w:val="hybridMultilevel"/>
    <w:tmpl w:val="34AE7042"/>
    <w:lvl w:ilvl="0" w:tplc="0413000F">
      <w:start w:val="1"/>
      <w:numFmt w:val="decimal"/>
      <w:lvlText w:val="%1."/>
      <w:lvlJc w:val="left"/>
      <w:pPr>
        <w:ind w:left="936"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4" w15:restartNumberingAfterBreak="0">
    <w:nsid w:val="365D4A63"/>
    <w:multiLevelType w:val="hybridMultilevel"/>
    <w:tmpl w:val="B18851A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A405E9B"/>
    <w:multiLevelType w:val="multilevel"/>
    <w:tmpl w:val="53065FC4"/>
    <w:lvl w:ilvl="0">
      <w:start w:val="1"/>
      <w:numFmt w:val="decimal"/>
      <w:lvlText w:val="%1."/>
      <w:lvlJc w:val="left"/>
      <w:pPr>
        <w:ind w:left="420" w:hanging="420"/>
      </w:pPr>
      <w:rPr>
        <w:rFonts w:asciiTheme="majorHAnsi" w:eastAsiaTheme="majorEastAsia" w:hAnsiTheme="majorHAnsi" w:cstheme="majorBidi" w:hint="default"/>
        <w:b w:val="0"/>
        <w:color w:val="404040" w:themeColor="text1" w:themeTint="BF"/>
        <w:sz w:val="28"/>
      </w:rPr>
    </w:lvl>
    <w:lvl w:ilvl="1">
      <w:start w:val="1"/>
      <w:numFmt w:val="decimal"/>
      <w:lvlText w:val="%1.%2."/>
      <w:lvlJc w:val="left"/>
      <w:pPr>
        <w:ind w:left="420" w:hanging="420"/>
      </w:pPr>
      <w:rPr>
        <w:rFonts w:asciiTheme="majorHAnsi" w:eastAsiaTheme="majorEastAsia" w:hAnsiTheme="majorHAnsi" w:cstheme="majorBidi" w:hint="default"/>
        <w:b w:val="0"/>
        <w:color w:val="404040" w:themeColor="text1" w:themeTint="BF"/>
        <w:sz w:val="28"/>
      </w:rPr>
    </w:lvl>
    <w:lvl w:ilvl="2">
      <w:start w:val="1"/>
      <w:numFmt w:val="decimal"/>
      <w:lvlText w:val="%1.%2.%3."/>
      <w:lvlJc w:val="left"/>
      <w:pPr>
        <w:ind w:left="720" w:hanging="720"/>
      </w:pPr>
      <w:rPr>
        <w:rFonts w:asciiTheme="majorHAnsi" w:eastAsiaTheme="majorEastAsia" w:hAnsiTheme="majorHAnsi" w:cstheme="majorBidi" w:hint="default"/>
        <w:b w:val="0"/>
        <w:color w:val="404040" w:themeColor="text1" w:themeTint="BF"/>
        <w:sz w:val="28"/>
      </w:rPr>
    </w:lvl>
    <w:lvl w:ilvl="3">
      <w:start w:val="1"/>
      <w:numFmt w:val="decimal"/>
      <w:lvlText w:val="%1.%2.%3.%4."/>
      <w:lvlJc w:val="left"/>
      <w:pPr>
        <w:ind w:left="720" w:hanging="720"/>
      </w:pPr>
      <w:rPr>
        <w:rFonts w:asciiTheme="majorHAnsi" w:eastAsiaTheme="majorEastAsia" w:hAnsiTheme="majorHAnsi" w:cstheme="majorBidi" w:hint="default"/>
        <w:b w:val="0"/>
        <w:color w:val="404040" w:themeColor="text1" w:themeTint="BF"/>
        <w:sz w:val="28"/>
      </w:rPr>
    </w:lvl>
    <w:lvl w:ilvl="4">
      <w:start w:val="1"/>
      <w:numFmt w:val="decimal"/>
      <w:lvlText w:val="%1.%2.%3.%4.%5."/>
      <w:lvlJc w:val="left"/>
      <w:pPr>
        <w:ind w:left="1080" w:hanging="1080"/>
      </w:pPr>
      <w:rPr>
        <w:rFonts w:asciiTheme="majorHAnsi" w:eastAsiaTheme="majorEastAsia" w:hAnsiTheme="majorHAnsi" w:cstheme="majorBidi" w:hint="default"/>
        <w:b w:val="0"/>
        <w:color w:val="404040" w:themeColor="text1" w:themeTint="BF"/>
        <w:sz w:val="28"/>
      </w:rPr>
    </w:lvl>
    <w:lvl w:ilvl="5">
      <w:start w:val="1"/>
      <w:numFmt w:val="decimal"/>
      <w:lvlText w:val="%1.%2.%3.%4.%5.%6."/>
      <w:lvlJc w:val="left"/>
      <w:pPr>
        <w:ind w:left="1080" w:hanging="1080"/>
      </w:pPr>
      <w:rPr>
        <w:rFonts w:asciiTheme="majorHAnsi" w:eastAsiaTheme="majorEastAsia" w:hAnsiTheme="majorHAnsi" w:cstheme="majorBidi" w:hint="default"/>
        <w:b w:val="0"/>
        <w:color w:val="404040" w:themeColor="text1" w:themeTint="BF"/>
        <w:sz w:val="28"/>
      </w:rPr>
    </w:lvl>
    <w:lvl w:ilvl="6">
      <w:start w:val="1"/>
      <w:numFmt w:val="decimal"/>
      <w:lvlText w:val="%1.%2.%3.%4.%5.%6.%7."/>
      <w:lvlJc w:val="left"/>
      <w:pPr>
        <w:ind w:left="1080" w:hanging="1080"/>
      </w:pPr>
      <w:rPr>
        <w:rFonts w:asciiTheme="majorHAnsi" w:eastAsiaTheme="majorEastAsia" w:hAnsiTheme="majorHAnsi" w:cstheme="majorBidi" w:hint="default"/>
        <w:b w:val="0"/>
        <w:color w:val="404040" w:themeColor="text1" w:themeTint="BF"/>
        <w:sz w:val="28"/>
      </w:rPr>
    </w:lvl>
    <w:lvl w:ilvl="7">
      <w:start w:val="1"/>
      <w:numFmt w:val="decimal"/>
      <w:lvlText w:val="%1.%2.%3.%4.%5.%6.%7.%8."/>
      <w:lvlJc w:val="left"/>
      <w:pPr>
        <w:ind w:left="1440" w:hanging="1440"/>
      </w:pPr>
      <w:rPr>
        <w:rFonts w:asciiTheme="majorHAnsi" w:eastAsiaTheme="majorEastAsia" w:hAnsiTheme="majorHAnsi" w:cstheme="majorBidi" w:hint="default"/>
        <w:b w:val="0"/>
        <w:color w:val="404040" w:themeColor="text1" w:themeTint="BF"/>
        <w:sz w:val="28"/>
      </w:rPr>
    </w:lvl>
    <w:lvl w:ilvl="8">
      <w:start w:val="1"/>
      <w:numFmt w:val="decimal"/>
      <w:lvlText w:val="%1.%2.%3.%4.%5.%6.%7.%8.%9."/>
      <w:lvlJc w:val="left"/>
      <w:pPr>
        <w:ind w:left="1440" w:hanging="1440"/>
      </w:pPr>
      <w:rPr>
        <w:rFonts w:asciiTheme="majorHAnsi" w:eastAsiaTheme="majorEastAsia" w:hAnsiTheme="majorHAnsi" w:cstheme="majorBidi" w:hint="default"/>
        <w:b w:val="0"/>
        <w:color w:val="404040" w:themeColor="text1" w:themeTint="BF"/>
        <w:sz w:val="28"/>
      </w:rPr>
    </w:lvl>
  </w:abstractNum>
  <w:abstractNum w:abstractNumId="16" w15:restartNumberingAfterBreak="0">
    <w:nsid w:val="3BCD5C60"/>
    <w:multiLevelType w:val="hybridMultilevel"/>
    <w:tmpl w:val="070835C2"/>
    <w:lvl w:ilvl="0" w:tplc="0413000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3BF85356"/>
    <w:multiLevelType w:val="hybridMultilevel"/>
    <w:tmpl w:val="BB94A9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473E59"/>
    <w:multiLevelType w:val="hybridMultilevel"/>
    <w:tmpl w:val="DF86B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2C1F0A"/>
    <w:multiLevelType w:val="hybridMultilevel"/>
    <w:tmpl w:val="2CB6BDB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181463F"/>
    <w:multiLevelType w:val="hybridMultilevel"/>
    <w:tmpl w:val="5A9ED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667705"/>
    <w:multiLevelType w:val="hybridMultilevel"/>
    <w:tmpl w:val="83D2B530"/>
    <w:lvl w:ilvl="0" w:tplc="9080FC88">
      <w:numFmt w:val="bullet"/>
      <w:lvlText w:val="-"/>
      <w:lvlJc w:val="left"/>
      <w:pPr>
        <w:ind w:left="1068" w:hanging="360"/>
      </w:pPr>
      <w:rPr>
        <w:rFonts w:ascii="Calibri" w:eastAsiaTheme="minorEastAsia"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48C65E6"/>
    <w:multiLevelType w:val="hybridMultilevel"/>
    <w:tmpl w:val="BAD6494A"/>
    <w:lvl w:ilvl="0" w:tplc="0413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5909B1"/>
    <w:multiLevelType w:val="hybridMultilevel"/>
    <w:tmpl w:val="F6BC14B8"/>
    <w:lvl w:ilvl="0" w:tplc="04130011">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D43DA6"/>
    <w:multiLevelType w:val="hybridMultilevel"/>
    <w:tmpl w:val="3168EAE2"/>
    <w:lvl w:ilvl="0" w:tplc="04130011">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AE6862"/>
    <w:multiLevelType w:val="hybridMultilevel"/>
    <w:tmpl w:val="2EE44FF8"/>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67777AEB"/>
    <w:multiLevelType w:val="hybridMultilevel"/>
    <w:tmpl w:val="18A23D6A"/>
    <w:lvl w:ilvl="0" w:tplc="05F6E7A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EE08F8"/>
    <w:multiLevelType w:val="hybridMultilevel"/>
    <w:tmpl w:val="C29A3C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752854F4"/>
    <w:multiLevelType w:val="hybridMultilevel"/>
    <w:tmpl w:val="C4CEA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76A562EA"/>
    <w:multiLevelType w:val="hybridMultilevel"/>
    <w:tmpl w:val="11868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EAA1098"/>
    <w:multiLevelType w:val="hybridMultilevel"/>
    <w:tmpl w:val="4290E4C2"/>
    <w:lvl w:ilvl="0" w:tplc="A55C49EA">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108121">
    <w:abstractNumId w:val="17"/>
  </w:num>
  <w:num w:numId="2" w16cid:durableId="1527713005">
    <w:abstractNumId w:val="10"/>
  </w:num>
  <w:num w:numId="3" w16cid:durableId="2074619471">
    <w:abstractNumId w:val="24"/>
  </w:num>
  <w:num w:numId="4" w16cid:durableId="131557173">
    <w:abstractNumId w:val="23"/>
  </w:num>
  <w:num w:numId="5" w16cid:durableId="310251341">
    <w:abstractNumId w:val="12"/>
  </w:num>
  <w:num w:numId="6" w16cid:durableId="954749934">
    <w:abstractNumId w:val="11"/>
  </w:num>
  <w:num w:numId="7" w16cid:durableId="703410387">
    <w:abstractNumId w:val="5"/>
  </w:num>
  <w:num w:numId="8" w16cid:durableId="1177571764">
    <w:abstractNumId w:val="4"/>
  </w:num>
  <w:num w:numId="9" w16cid:durableId="778065638">
    <w:abstractNumId w:val="18"/>
  </w:num>
  <w:num w:numId="10" w16cid:durableId="95254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592739">
    <w:abstractNumId w:val="1"/>
  </w:num>
  <w:num w:numId="12" w16cid:durableId="1578057718">
    <w:abstractNumId w:val="26"/>
  </w:num>
  <w:num w:numId="13" w16cid:durableId="15760915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635956">
    <w:abstractNumId w:val="16"/>
    <w:lvlOverride w:ilvl="0">
      <w:startOverride w:val="1"/>
    </w:lvlOverride>
    <w:lvlOverride w:ilvl="1"/>
    <w:lvlOverride w:ilvl="2"/>
    <w:lvlOverride w:ilvl="3"/>
    <w:lvlOverride w:ilvl="4"/>
    <w:lvlOverride w:ilvl="5"/>
    <w:lvlOverride w:ilvl="6"/>
    <w:lvlOverride w:ilvl="7"/>
    <w:lvlOverride w:ilvl="8"/>
  </w:num>
  <w:num w:numId="15" w16cid:durableId="1395928062">
    <w:abstractNumId w:val="29"/>
  </w:num>
  <w:num w:numId="16" w16cid:durableId="819856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352392">
    <w:abstractNumId w:val="13"/>
  </w:num>
  <w:num w:numId="18" w16cid:durableId="221522532">
    <w:abstractNumId w:val="3"/>
  </w:num>
  <w:num w:numId="19" w16cid:durableId="1250575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80861">
    <w:abstractNumId w:val="19"/>
  </w:num>
  <w:num w:numId="21" w16cid:durableId="99834501">
    <w:abstractNumId w:val="21"/>
  </w:num>
  <w:num w:numId="22" w16cid:durableId="626744078">
    <w:abstractNumId w:val="6"/>
  </w:num>
  <w:num w:numId="23" w16cid:durableId="304435239">
    <w:abstractNumId w:val="31"/>
  </w:num>
  <w:num w:numId="24" w16cid:durableId="1617522967">
    <w:abstractNumId w:val="0"/>
  </w:num>
  <w:num w:numId="25" w16cid:durableId="1715423151">
    <w:abstractNumId w:val="14"/>
  </w:num>
  <w:num w:numId="26" w16cid:durableId="1455832713">
    <w:abstractNumId w:val="8"/>
  </w:num>
  <w:num w:numId="27" w16cid:durableId="1036543765">
    <w:abstractNumId w:val="20"/>
  </w:num>
  <w:num w:numId="28" w16cid:durableId="718750142">
    <w:abstractNumId w:val="7"/>
  </w:num>
  <w:num w:numId="29" w16cid:durableId="1744331731">
    <w:abstractNumId w:val="30"/>
  </w:num>
  <w:num w:numId="30" w16cid:durableId="1714191606">
    <w:abstractNumId w:val="2"/>
  </w:num>
  <w:num w:numId="31" w16cid:durableId="1008023019">
    <w:abstractNumId w:val="5"/>
  </w:num>
  <w:num w:numId="32" w16cid:durableId="1241403371">
    <w:abstractNumId w:val="9"/>
  </w:num>
  <w:num w:numId="33" w16cid:durableId="1016736169">
    <w:abstractNumId w:val="5"/>
  </w:num>
  <w:num w:numId="34" w16cid:durableId="1045368938">
    <w:abstractNumId w:val="28"/>
  </w:num>
  <w:num w:numId="35" w16cid:durableId="707416039">
    <w:abstractNumId w:val="22"/>
  </w:num>
  <w:num w:numId="36" w16cid:durableId="11761889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Tabelramingstoelich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7F"/>
    <w:rsid w:val="00003849"/>
    <w:rsid w:val="000076A9"/>
    <w:rsid w:val="000105D8"/>
    <w:rsid w:val="00010C52"/>
    <w:rsid w:val="000117B5"/>
    <w:rsid w:val="000127D5"/>
    <w:rsid w:val="00012D0A"/>
    <w:rsid w:val="00015997"/>
    <w:rsid w:val="00015A5C"/>
    <w:rsid w:val="000201F1"/>
    <w:rsid w:val="000204FF"/>
    <w:rsid w:val="00023A47"/>
    <w:rsid w:val="00025D74"/>
    <w:rsid w:val="0003044A"/>
    <w:rsid w:val="000341DC"/>
    <w:rsid w:val="00041528"/>
    <w:rsid w:val="000418EC"/>
    <w:rsid w:val="00042349"/>
    <w:rsid w:val="000431ED"/>
    <w:rsid w:val="00046660"/>
    <w:rsid w:val="00053088"/>
    <w:rsid w:val="00061150"/>
    <w:rsid w:val="000643D7"/>
    <w:rsid w:val="00065A02"/>
    <w:rsid w:val="00067439"/>
    <w:rsid w:val="00071535"/>
    <w:rsid w:val="00072496"/>
    <w:rsid w:val="000826D3"/>
    <w:rsid w:val="00087FBF"/>
    <w:rsid w:val="000910C1"/>
    <w:rsid w:val="00093BDE"/>
    <w:rsid w:val="000953F6"/>
    <w:rsid w:val="00095C63"/>
    <w:rsid w:val="000A0FA9"/>
    <w:rsid w:val="000A493A"/>
    <w:rsid w:val="000A5CE8"/>
    <w:rsid w:val="000B06DF"/>
    <w:rsid w:val="000B12F7"/>
    <w:rsid w:val="000B1719"/>
    <w:rsid w:val="000B1815"/>
    <w:rsid w:val="000B4127"/>
    <w:rsid w:val="000B5041"/>
    <w:rsid w:val="000B7579"/>
    <w:rsid w:val="000B75FD"/>
    <w:rsid w:val="000C4202"/>
    <w:rsid w:val="000D4D75"/>
    <w:rsid w:val="000D589B"/>
    <w:rsid w:val="000D7E6E"/>
    <w:rsid w:val="000E2E45"/>
    <w:rsid w:val="000E2F26"/>
    <w:rsid w:val="000F3D1C"/>
    <w:rsid w:val="000F6E17"/>
    <w:rsid w:val="00101B1F"/>
    <w:rsid w:val="00105C0B"/>
    <w:rsid w:val="0011043C"/>
    <w:rsid w:val="00111884"/>
    <w:rsid w:val="001128F6"/>
    <w:rsid w:val="00121BA6"/>
    <w:rsid w:val="00126696"/>
    <w:rsid w:val="001306ED"/>
    <w:rsid w:val="001309F2"/>
    <w:rsid w:val="00134F26"/>
    <w:rsid w:val="00136B8A"/>
    <w:rsid w:val="0013790E"/>
    <w:rsid w:val="00137C77"/>
    <w:rsid w:val="0014556E"/>
    <w:rsid w:val="001468AE"/>
    <w:rsid w:val="0015457D"/>
    <w:rsid w:val="00156111"/>
    <w:rsid w:val="00157CC6"/>
    <w:rsid w:val="0016422A"/>
    <w:rsid w:val="00165C8C"/>
    <w:rsid w:val="00172758"/>
    <w:rsid w:val="0017409B"/>
    <w:rsid w:val="00174E9E"/>
    <w:rsid w:val="001810F2"/>
    <w:rsid w:val="00181E4B"/>
    <w:rsid w:val="00182122"/>
    <w:rsid w:val="00182403"/>
    <w:rsid w:val="00194A9B"/>
    <w:rsid w:val="00195C92"/>
    <w:rsid w:val="001A0B24"/>
    <w:rsid w:val="001A2B63"/>
    <w:rsid w:val="001A2FA0"/>
    <w:rsid w:val="001A6D82"/>
    <w:rsid w:val="001B6980"/>
    <w:rsid w:val="001C100A"/>
    <w:rsid w:val="001C6116"/>
    <w:rsid w:val="001D4FD8"/>
    <w:rsid w:val="001D58B5"/>
    <w:rsid w:val="001E31FD"/>
    <w:rsid w:val="001E5F20"/>
    <w:rsid w:val="001F3FC7"/>
    <w:rsid w:val="001F47F5"/>
    <w:rsid w:val="00205F54"/>
    <w:rsid w:val="00206570"/>
    <w:rsid w:val="00207D7F"/>
    <w:rsid w:val="00216D4B"/>
    <w:rsid w:val="00223BE6"/>
    <w:rsid w:val="00224A22"/>
    <w:rsid w:val="002265F9"/>
    <w:rsid w:val="002270C8"/>
    <w:rsid w:val="00227856"/>
    <w:rsid w:val="002344AF"/>
    <w:rsid w:val="00236B1C"/>
    <w:rsid w:val="002440BE"/>
    <w:rsid w:val="00244C40"/>
    <w:rsid w:val="00245A84"/>
    <w:rsid w:val="0024681D"/>
    <w:rsid w:val="00250A06"/>
    <w:rsid w:val="002537BC"/>
    <w:rsid w:val="00254892"/>
    <w:rsid w:val="002612ED"/>
    <w:rsid w:val="002614EB"/>
    <w:rsid w:val="0026260A"/>
    <w:rsid w:val="0026316C"/>
    <w:rsid w:val="0026361D"/>
    <w:rsid w:val="002677CC"/>
    <w:rsid w:val="00277FC0"/>
    <w:rsid w:val="00282ED5"/>
    <w:rsid w:val="00284164"/>
    <w:rsid w:val="00286DA5"/>
    <w:rsid w:val="002959EC"/>
    <w:rsid w:val="00297264"/>
    <w:rsid w:val="00297681"/>
    <w:rsid w:val="002A4465"/>
    <w:rsid w:val="002A4F3E"/>
    <w:rsid w:val="002A7618"/>
    <w:rsid w:val="002B078E"/>
    <w:rsid w:val="002B1CE1"/>
    <w:rsid w:val="002B20E7"/>
    <w:rsid w:val="002B2F8F"/>
    <w:rsid w:val="002B4A31"/>
    <w:rsid w:val="002C1D96"/>
    <w:rsid w:val="002C36AE"/>
    <w:rsid w:val="002E128E"/>
    <w:rsid w:val="002E5942"/>
    <w:rsid w:val="002E5D7E"/>
    <w:rsid w:val="002E77E5"/>
    <w:rsid w:val="002F1A12"/>
    <w:rsid w:val="002F4F0D"/>
    <w:rsid w:val="002F6F1B"/>
    <w:rsid w:val="00302861"/>
    <w:rsid w:val="00311EA0"/>
    <w:rsid w:val="00331B29"/>
    <w:rsid w:val="0033457E"/>
    <w:rsid w:val="003455D9"/>
    <w:rsid w:val="0035151E"/>
    <w:rsid w:val="00357390"/>
    <w:rsid w:val="003613A6"/>
    <w:rsid w:val="00364804"/>
    <w:rsid w:val="003652A9"/>
    <w:rsid w:val="003702A6"/>
    <w:rsid w:val="00372B8F"/>
    <w:rsid w:val="00372E9B"/>
    <w:rsid w:val="003730DB"/>
    <w:rsid w:val="00375DEA"/>
    <w:rsid w:val="00376DB5"/>
    <w:rsid w:val="00381982"/>
    <w:rsid w:val="00385AB0"/>
    <w:rsid w:val="00385D8B"/>
    <w:rsid w:val="00386646"/>
    <w:rsid w:val="00387E92"/>
    <w:rsid w:val="00394E46"/>
    <w:rsid w:val="003967DF"/>
    <w:rsid w:val="003A2AE0"/>
    <w:rsid w:val="003A2C9D"/>
    <w:rsid w:val="003B39CF"/>
    <w:rsid w:val="003B6C84"/>
    <w:rsid w:val="003C1587"/>
    <w:rsid w:val="003C2C90"/>
    <w:rsid w:val="003C7A04"/>
    <w:rsid w:val="003D4009"/>
    <w:rsid w:val="003D431F"/>
    <w:rsid w:val="003D45AF"/>
    <w:rsid w:val="003E1CB3"/>
    <w:rsid w:val="003E3D75"/>
    <w:rsid w:val="003E53F6"/>
    <w:rsid w:val="003F2A77"/>
    <w:rsid w:val="003F45E2"/>
    <w:rsid w:val="003F52B5"/>
    <w:rsid w:val="00401BD3"/>
    <w:rsid w:val="00403849"/>
    <w:rsid w:val="00406399"/>
    <w:rsid w:val="004156E1"/>
    <w:rsid w:val="004206A5"/>
    <w:rsid w:val="004210EB"/>
    <w:rsid w:val="0042220E"/>
    <w:rsid w:val="00422CF7"/>
    <w:rsid w:val="004346AA"/>
    <w:rsid w:val="00437E2F"/>
    <w:rsid w:val="00447296"/>
    <w:rsid w:val="00451DB5"/>
    <w:rsid w:val="00452B25"/>
    <w:rsid w:val="00452F85"/>
    <w:rsid w:val="00456330"/>
    <w:rsid w:val="00460BAB"/>
    <w:rsid w:val="00461DC9"/>
    <w:rsid w:val="004665B4"/>
    <w:rsid w:val="00466AB2"/>
    <w:rsid w:val="00466B81"/>
    <w:rsid w:val="00467850"/>
    <w:rsid w:val="00476E6D"/>
    <w:rsid w:val="00477B85"/>
    <w:rsid w:val="00486A9B"/>
    <w:rsid w:val="004874BC"/>
    <w:rsid w:val="00490ABB"/>
    <w:rsid w:val="00490EA2"/>
    <w:rsid w:val="00495DFE"/>
    <w:rsid w:val="00497B45"/>
    <w:rsid w:val="004A0AE0"/>
    <w:rsid w:val="004A1837"/>
    <w:rsid w:val="004A5619"/>
    <w:rsid w:val="004A584D"/>
    <w:rsid w:val="004B1D42"/>
    <w:rsid w:val="004B6AE4"/>
    <w:rsid w:val="004C34CA"/>
    <w:rsid w:val="004C3797"/>
    <w:rsid w:val="004D0BAF"/>
    <w:rsid w:val="004D13C7"/>
    <w:rsid w:val="004D2466"/>
    <w:rsid w:val="004D5D43"/>
    <w:rsid w:val="004D659A"/>
    <w:rsid w:val="004D688F"/>
    <w:rsid w:val="004E257E"/>
    <w:rsid w:val="004E389D"/>
    <w:rsid w:val="004E6166"/>
    <w:rsid w:val="004E754D"/>
    <w:rsid w:val="004F28A9"/>
    <w:rsid w:val="004F4015"/>
    <w:rsid w:val="0051542E"/>
    <w:rsid w:val="00515AEE"/>
    <w:rsid w:val="005162BA"/>
    <w:rsid w:val="0052202B"/>
    <w:rsid w:val="0052316B"/>
    <w:rsid w:val="0052456A"/>
    <w:rsid w:val="00530969"/>
    <w:rsid w:val="00531161"/>
    <w:rsid w:val="005365EC"/>
    <w:rsid w:val="00537B51"/>
    <w:rsid w:val="005403B1"/>
    <w:rsid w:val="005404EA"/>
    <w:rsid w:val="00542D85"/>
    <w:rsid w:val="00551D7D"/>
    <w:rsid w:val="005569F0"/>
    <w:rsid w:val="00556C93"/>
    <w:rsid w:val="00560F74"/>
    <w:rsid w:val="00561632"/>
    <w:rsid w:val="005658E8"/>
    <w:rsid w:val="0057068B"/>
    <w:rsid w:val="0057236F"/>
    <w:rsid w:val="00580992"/>
    <w:rsid w:val="00580D2E"/>
    <w:rsid w:val="00583358"/>
    <w:rsid w:val="00583369"/>
    <w:rsid w:val="00590FD1"/>
    <w:rsid w:val="0059164A"/>
    <w:rsid w:val="0059429B"/>
    <w:rsid w:val="00596531"/>
    <w:rsid w:val="005A517C"/>
    <w:rsid w:val="005A68BF"/>
    <w:rsid w:val="005A7966"/>
    <w:rsid w:val="005B390E"/>
    <w:rsid w:val="005B3E2A"/>
    <w:rsid w:val="005B40C3"/>
    <w:rsid w:val="005B7509"/>
    <w:rsid w:val="005C54E8"/>
    <w:rsid w:val="005D00F5"/>
    <w:rsid w:val="005D6026"/>
    <w:rsid w:val="005D7E77"/>
    <w:rsid w:val="005E067F"/>
    <w:rsid w:val="005F6951"/>
    <w:rsid w:val="0060272A"/>
    <w:rsid w:val="0060642D"/>
    <w:rsid w:val="00613A9B"/>
    <w:rsid w:val="00613C6D"/>
    <w:rsid w:val="00614298"/>
    <w:rsid w:val="00616FA4"/>
    <w:rsid w:val="00620657"/>
    <w:rsid w:val="0062355D"/>
    <w:rsid w:val="00625B29"/>
    <w:rsid w:val="00626FA0"/>
    <w:rsid w:val="00641214"/>
    <w:rsid w:val="00643715"/>
    <w:rsid w:val="00645F85"/>
    <w:rsid w:val="00653125"/>
    <w:rsid w:val="006601F8"/>
    <w:rsid w:val="0066238C"/>
    <w:rsid w:val="00662EEF"/>
    <w:rsid w:val="006668D2"/>
    <w:rsid w:val="00666B8D"/>
    <w:rsid w:val="00670942"/>
    <w:rsid w:val="006748B9"/>
    <w:rsid w:val="00677D4F"/>
    <w:rsid w:val="00677E9E"/>
    <w:rsid w:val="00683303"/>
    <w:rsid w:val="00687782"/>
    <w:rsid w:val="00692A3B"/>
    <w:rsid w:val="00694513"/>
    <w:rsid w:val="00695D00"/>
    <w:rsid w:val="006A1EBD"/>
    <w:rsid w:val="006A36D0"/>
    <w:rsid w:val="006A534F"/>
    <w:rsid w:val="006B229A"/>
    <w:rsid w:val="006B6FB1"/>
    <w:rsid w:val="006C01F9"/>
    <w:rsid w:val="006C4107"/>
    <w:rsid w:val="006C4BE4"/>
    <w:rsid w:val="006C7706"/>
    <w:rsid w:val="006D0032"/>
    <w:rsid w:val="006D22B2"/>
    <w:rsid w:val="006D5302"/>
    <w:rsid w:val="006D6C22"/>
    <w:rsid w:val="006E214F"/>
    <w:rsid w:val="006E4367"/>
    <w:rsid w:val="006F4E67"/>
    <w:rsid w:val="006F7414"/>
    <w:rsid w:val="006F78B7"/>
    <w:rsid w:val="00701217"/>
    <w:rsid w:val="00701BE4"/>
    <w:rsid w:val="007040F3"/>
    <w:rsid w:val="00705883"/>
    <w:rsid w:val="00710754"/>
    <w:rsid w:val="00711E0E"/>
    <w:rsid w:val="00714238"/>
    <w:rsid w:val="00714331"/>
    <w:rsid w:val="00725C4A"/>
    <w:rsid w:val="00731E09"/>
    <w:rsid w:val="00732A29"/>
    <w:rsid w:val="007337CA"/>
    <w:rsid w:val="007339D7"/>
    <w:rsid w:val="007359D2"/>
    <w:rsid w:val="007373F8"/>
    <w:rsid w:val="00737926"/>
    <w:rsid w:val="00743EB5"/>
    <w:rsid w:val="00751105"/>
    <w:rsid w:val="00760175"/>
    <w:rsid w:val="00761BF9"/>
    <w:rsid w:val="00762A96"/>
    <w:rsid w:val="00764587"/>
    <w:rsid w:val="00770C34"/>
    <w:rsid w:val="00774813"/>
    <w:rsid w:val="00776ABA"/>
    <w:rsid w:val="00784FFD"/>
    <w:rsid w:val="0078731F"/>
    <w:rsid w:val="00787A6B"/>
    <w:rsid w:val="00792529"/>
    <w:rsid w:val="007934BA"/>
    <w:rsid w:val="0079450B"/>
    <w:rsid w:val="007958B3"/>
    <w:rsid w:val="007A5848"/>
    <w:rsid w:val="007A6BEE"/>
    <w:rsid w:val="007A6C53"/>
    <w:rsid w:val="007A73E7"/>
    <w:rsid w:val="007B0A8C"/>
    <w:rsid w:val="007B2316"/>
    <w:rsid w:val="007B2833"/>
    <w:rsid w:val="007B2C55"/>
    <w:rsid w:val="007B5E80"/>
    <w:rsid w:val="007B6378"/>
    <w:rsid w:val="007C04DE"/>
    <w:rsid w:val="007D183D"/>
    <w:rsid w:val="007D31EA"/>
    <w:rsid w:val="007D3C21"/>
    <w:rsid w:val="007D5DD6"/>
    <w:rsid w:val="007E1FF3"/>
    <w:rsid w:val="007E263F"/>
    <w:rsid w:val="007F0820"/>
    <w:rsid w:val="007F32D7"/>
    <w:rsid w:val="007F4DA1"/>
    <w:rsid w:val="007F6104"/>
    <w:rsid w:val="007F6E74"/>
    <w:rsid w:val="00800BED"/>
    <w:rsid w:val="00802B8F"/>
    <w:rsid w:val="008030FC"/>
    <w:rsid w:val="00805E0B"/>
    <w:rsid w:val="00806AF4"/>
    <w:rsid w:val="00806BFB"/>
    <w:rsid w:val="00806E62"/>
    <w:rsid w:val="0081196E"/>
    <w:rsid w:val="00812EEA"/>
    <w:rsid w:val="0081328E"/>
    <w:rsid w:val="008145E5"/>
    <w:rsid w:val="00815090"/>
    <w:rsid w:val="00816FBD"/>
    <w:rsid w:val="00817AA1"/>
    <w:rsid w:val="00820948"/>
    <w:rsid w:val="0082127C"/>
    <w:rsid w:val="0082363B"/>
    <w:rsid w:val="00831EF7"/>
    <w:rsid w:val="00832D60"/>
    <w:rsid w:val="00841A01"/>
    <w:rsid w:val="00846F2B"/>
    <w:rsid w:val="00852008"/>
    <w:rsid w:val="008532EC"/>
    <w:rsid w:val="0085350B"/>
    <w:rsid w:val="00854081"/>
    <w:rsid w:val="008612A0"/>
    <w:rsid w:val="00862439"/>
    <w:rsid w:val="00863507"/>
    <w:rsid w:val="008674D6"/>
    <w:rsid w:val="00870F4D"/>
    <w:rsid w:val="00870FF6"/>
    <w:rsid w:val="00875AEE"/>
    <w:rsid w:val="00876A4F"/>
    <w:rsid w:val="00880948"/>
    <w:rsid w:val="00880D8E"/>
    <w:rsid w:val="00891432"/>
    <w:rsid w:val="00892084"/>
    <w:rsid w:val="00893F8D"/>
    <w:rsid w:val="008A0CE1"/>
    <w:rsid w:val="008A11C5"/>
    <w:rsid w:val="008A5CBA"/>
    <w:rsid w:val="008B4E04"/>
    <w:rsid w:val="008B5681"/>
    <w:rsid w:val="008C1837"/>
    <w:rsid w:val="008D3C1C"/>
    <w:rsid w:val="008E0369"/>
    <w:rsid w:val="008E1F23"/>
    <w:rsid w:val="008E2230"/>
    <w:rsid w:val="00912C82"/>
    <w:rsid w:val="00912E99"/>
    <w:rsid w:val="00913C9C"/>
    <w:rsid w:val="00914AD9"/>
    <w:rsid w:val="009251E5"/>
    <w:rsid w:val="009265EB"/>
    <w:rsid w:val="00927145"/>
    <w:rsid w:val="00927CAC"/>
    <w:rsid w:val="00931351"/>
    <w:rsid w:val="00932C5B"/>
    <w:rsid w:val="00934094"/>
    <w:rsid w:val="00935A08"/>
    <w:rsid w:val="009369E7"/>
    <w:rsid w:val="009401E4"/>
    <w:rsid w:val="00945261"/>
    <w:rsid w:val="009518EC"/>
    <w:rsid w:val="009519FD"/>
    <w:rsid w:val="00956C22"/>
    <w:rsid w:val="009571BA"/>
    <w:rsid w:val="00963590"/>
    <w:rsid w:val="00963779"/>
    <w:rsid w:val="00964061"/>
    <w:rsid w:val="00966F21"/>
    <w:rsid w:val="00970A49"/>
    <w:rsid w:val="00972215"/>
    <w:rsid w:val="009725FC"/>
    <w:rsid w:val="00972812"/>
    <w:rsid w:val="00972A5F"/>
    <w:rsid w:val="00972DDD"/>
    <w:rsid w:val="009760FE"/>
    <w:rsid w:val="009814FC"/>
    <w:rsid w:val="00981E09"/>
    <w:rsid w:val="009822C2"/>
    <w:rsid w:val="00983662"/>
    <w:rsid w:val="00987981"/>
    <w:rsid w:val="00987E74"/>
    <w:rsid w:val="00987FED"/>
    <w:rsid w:val="00993356"/>
    <w:rsid w:val="00994889"/>
    <w:rsid w:val="00996628"/>
    <w:rsid w:val="009A1439"/>
    <w:rsid w:val="009A168C"/>
    <w:rsid w:val="009A7037"/>
    <w:rsid w:val="009B030A"/>
    <w:rsid w:val="009B35C8"/>
    <w:rsid w:val="009B5020"/>
    <w:rsid w:val="009C2942"/>
    <w:rsid w:val="009C56A6"/>
    <w:rsid w:val="009C7F05"/>
    <w:rsid w:val="009D20F8"/>
    <w:rsid w:val="009D6AEA"/>
    <w:rsid w:val="009D7BFD"/>
    <w:rsid w:val="009E1312"/>
    <w:rsid w:val="009E44C2"/>
    <w:rsid w:val="009F1085"/>
    <w:rsid w:val="009F3F68"/>
    <w:rsid w:val="009F6934"/>
    <w:rsid w:val="00A053E0"/>
    <w:rsid w:val="00A14031"/>
    <w:rsid w:val="00A154FC"/>
    <w:rsid w:val="00A15714"/>
    <w:rsid w:val="00A21EE0"/>
    <w:rsid w:val="00A21F28"/>
    <w:rsid w:val="00A22175"/>
    <w:rsid w:val="00A27D4F"/>
    <w:rsid w:val="00A349DE"/>
    <w:rsid w:val="00A409FE"/>
    <w:rsid w:val="00A41982"/>
    <w:rsid w:val="00A428D4"/>
    <w:rsid w:val="00A46A26"/>
    <w:rsid w:val="00A520C7"/>
    <w:rsid w:val="00A54FDC"/>
    <w:rsid w:val="00A60C9C"/>
    <w:rsid w:val="00A616D0"/>
    <w:rsid w:val="00A7186D"/>
    <w:rsid w:val="00A72F10"/>
    <w:rsid w:val="00A7500F"/>
    <w:rsid w:val="00A81468"/>
    <w:rsid w:val="00A86471"/>
    <w:rsid w:val="00A90852"/>
    <w:rsid w:val="00A94735"/>
    <w:rsid w:val="00AA2E34"/>
    <w:rsid w:val="00AA4620"/>
    <w:rsid w:val="00AA5216"/>
    <w:rsid w:val="00AA6593"/>
    <w:rsid w:val="00AB5C60"/>
    <w:rsid w:val="00AB786C"/>
    <w:rsid w:val="00AC3697"/>
    <w:rsid w:val="00AC6978"/>
    <w:rsid w:val="00AD0773"/>
    <w:rsid w:val="00AD3BE7"/>
    <w:rsid w:val="00AE1B80"/>
    <w:rsid w:val="00AE42FB"/>
    <w:rsid w:val="00AE7BD6"/>
    <w:rsid w:val="00AF70F6"/>
    <w:rsid w:val="00AF79A1"/>
    <w:rsid w:val="00B02017"/>
    <w:rsid w:val="00B0762B"/>
    <w:rsid w:val="00B10FFE"/>
    <w:rsid w:val="00B11CFD"/>
    <w:rsid w:val="00B12329"/>
    <w:rsid w:val="00B2515D"/>
    <w:rsid w:val="00B32340"/>
    <w:rsid w:val="00B3382C"/>
    <w:rsid w:val="00B376CE"/>
    <w:rsid w:val="00B4011E"/>
    <w:rsid w:val="00B42DE2"/>
    <w:rsid w:val="00B4477E"/>
    <w:rsid w:val="00B4679D"/>
    <w:rsid w:val="00B537EE"/>
    <w:rsid w:val="00B545FE"/>
    <w:rsid w:val="00B5540D"/>
    <w:rsid w:val="00B573AC"/>
    <w:rsid w:val="00B61D95"/>
    <w:rsid w:val="00B63333"/>
    <w:rsid w:val="00B67920"/>
    <w:rsid w:val="00B705EB"/>
    <w:rsid w:val="00B71ABD"/>
    <w:rsid w:val="00B7207B"/>
    <w:rsid w:val="00B7258D"/>
    <w:rsid w:val="00B7328C"/>
    <w:rsid w:val="00B74BA1"/>
    <w:rsid w:val="00B76960"/>
    <w:rsid w:val="00B83EEB"/>
    <w:rsid w:val="00B85105"/>
    <w:rsid w:val="00B86768"/>
    <w:rsid w:val="00B87B7A"/>
    <w:rsid w:val="00B91CE9"/>
    <w:rsid w:val="00B9203D"/>
    <w:rsid w:val="00B97E48"/>
    <w:rsid w:val="00BA2D95"/>
    <w:rsid w:val="00BA363C"/>
    <w:rsid w:val="00BA5847"/>
    <w:rsid w:val="00BB0687"/>
    <w:rsid w:val="00BB309D"/>
    <w:rsid w:val="00BB514B"/>
    <w:rsid w:val="00BC7AE5"/>
    <w:rsid w:val="00BD0CAD"/>
    <w:rsid w:val="00BD1048"/>
    <w:rsid w:val="00BD1084"/>
    <w:rsid w:val="00BD1AFC"/>
    <w:rsid w:val="00BD47DC"/>
    <w:rsid w:val="00BD60D8"/>
    <w:rsid w:val="00BD6886"/>
    <w:rsid w:val="00BE2E60"/>
    <w:rsid w:val="00BF0849"/>
    <w:rsid w:val="00BF3392"/>
    <w:rsid w:val="00C04FA0"/>
    <w:rsid w:val="00C10C3F"/>
    <w:rsid w:val="00C16842"/>
    <w:rsid w:val="00C23037"/>
    <w:rsid w:val="00C23D34"/>
    <w:rsid w:val="00C307EE"/>
    <w:rsid w:val="00C31303"/>
    <w:rsid w:val="00C32553"/>
    <w:rsid w:val="00C348E7"/>
    <w:rsid w:val="00C4298D"/>
    <w:rsid w:val="00C42CB2"/>
    <w:rsid w:val="00C477F8"/>
    <w:rsid w:val="00C52E3C"/>
    <w:rsid w:val="00C56BEC"/>
    <w:rsid w:val="00C57DB1"/>
    <w:rsid w:val="00C61148"/>
    <w:rsid w:val="00C65F91"/>
    <w:rsid w:val="00C6682A"/>
    <w:rsid w:val="00C66969"/>
    <w:rsid w:val="00C716EE"/>
    <w:rsid w:val="00C76D67"/>
    <w:rsid w:val="00C77FBF"/>
    <w:rsid w:val="00C8118F"/>
    <w:rsid w:val="00C814BB"/>
    <w:rsid w:val="00C81957"/>
    <w:rsid w:val="00C82E58"/>
    <w:rsid w:val="00C84640"/>
    <w:rsid w:val="00C926C0"/>
    <w:rsid w:val="00C96408"/>
    <w:rsid w:val="00CA02BC"/>
    <w:rsid w:val="00CA3FBD"/>
    <w:rsid w:val="00CA5B2E"/>
    <w:rsid w:val="00CA6B86"/>
    <w:rsid w:val="00CA6FC8"/>
    <w:rsid w:val="00CB10AD"/>
    <w:rsid w:val="00CB781A"/>
    <w:rsid w:val="00CB7BE0"/>
    <w:rsid w:val="00CC1D43"/>
    <w:rsid w:val="00CC1E5F"/>
    <w:rsid w:val="00CC4579"/>
    <w:rsid w:val="00CC53C4"/>
    <w:rsid w:val="00CC5EDC"/>
    <w:rsid w:val="00CC6BAB"/>
    <w:rsid w:val="00CC730D"/>
    <w:rsid w:val="00CC7B3C"/>
    <w:rsid w:val="00CD0704"/>
    <w:rsid w:val="00CD1156"/>
    <w:rsid w:val="00CD15FA"/>
    <w:rsid w:val="00CD1909"/>
    <w:rsid w:val="00CE0FA0"/>
    <w:rsid w:val="00CE2BD1"/>
    <w:rsid w:val="00CE6DE1"/>
    <w:rsid w:val="00CE7559"/>
    <w:rsid w:val="00CF0398"/>
    <w:rsid w:val="00CF2B84"/>
    <w:rsid w:val="00CF3DE4"/>
    <w:rsid w:val="00CF5045"/>
    <w:rsid w:val="00D00B7B"/>
    <w:rsid w:val="00D0329F"/>
    <w:rsid w:val="00D039CD"/>
    <w:rsid w:val="00D067A2"/>
    <w:rsid w:val="00D10D3F"/>
    <w:rsid w:val="00D123CB"/>
    <w:rsid w:val="00D166BA"/>
    <w:rsid w:val="00D17A99"/>
    <w:rsid w:val="00D26552"/>
    <w:rsid w:val="00D36696"/>
    <w:rsid w:val="00D37250"/>
    <w:rsid w:val="00D4236C"/>
    <w:rsid w:val="00D43083"/>
    <w:rsid w:val="00D50619"/>
    <w:rsid w:val="00D60E5D"/>
    <w:rsid w:val="00D629BD"/>
    <w:rsid w:val="00D655AD"/>
    <w:rsid w:val="00D65AF4"/>
    <w:rsid w:val="00D72356"/>
    <w:rsid w:val="00D734FB"/>
    <w:rsid w:val="00D74BD5"/>
    <w:rsid w:val="00D75171"/>
    <w:rsid w:val="00D764B4"/>
    <w:rsid w:val="00D766CC"/>
    <w:rsid w:val="00D94691"/>
    <w:rsid w:val="00D955EF"/>
    <w:rsid w:val="00DA2633"/>
    <w:rsid w:val="00DA437B"/>
    <w:rsid w:val="00DA4CC2"/>
    <w:rsid w:val="00DB0556"/>
    <w:rsid w:val="00DB25DA"/>
    <w:rsid w:val="00DC0BF5"/>
    <w:rsid w:val="00DC0D4B"/>
    <w:rsid w:val="00DD28B0"/>
    <w:rsid w:val="00DE1F8F"/>
    <w:rsid w:val="00DE6CA7"/>
    <w:rsid w:val="00DF14FA"/>
    <w:rsid w:val="00DF306D"/>
    <w:rsid w:val="00DF5C4E"/>
    <w:rsid w:val="00E03436"/>
    <w:rsid w:val="00E0422D"/>
    <w:rsid w:val="00E166A5"/>
    <w:rsid w:val="00E16B43"/>
    <w:rsid w:val="00E22BA9"/>
    <w:rsid w:val="00E27510"/>
    <w:rsid w:val="00E3296D"/>
    <w:rsid w:val="00E362BE"/>
    <w:rsid w:val="00E40089"/>
    <w:rsid w:val="00E432CA"/>
    <w:rsid w:val="00E50AA0"/>
    <w:rsid w:val="00E51FEB"/>
    <w:rsid w:val="00E5220C"/>
    <w:rsid w:val="00E551C4"/>
    <w:rsid w:val="00E5591B"/>
    <w:rsid w:val="00E62151"/>
    <w:rsid w:val="00E63885"/>
    <w:rsid w:val="00E64E84"/>
    <w:rsid w:val="00E737A4"/>
    <w:rsid w:val="00E8562E"/>
    <w:rsid w:val="00E87C95"/>
    <w:rsid w:val="00E9300A"/>
    <w:rsid w:val="00E93879"/>
    <w:rsid w:val="00E94C5B"/>
    <w:rsid w:val="00E960C9"/>
    <w:rsid w:val="00E964FE"/>
    <w:rsid w:val="00EA1A5E"/>
    <w:rsid w:val="00EA1FB7"/>
    <w:rsid w:val="00EA673E"/>
    <w:rsid w:val="00EA6912"/>
    <w:rsid w:val="00EB15BC"/>
    <w:rsid w:val="00EB7BDE"/>
    <w:rsid w:val="00ED1E7E"/>
    <w:rsid w:val="00ED1FB2"/>
    <w:rsid w:val="00ED2B73"/>
    <w:rsid w:val="00ED4DD3"/>
    <w:rsid w:val="00ED5AA5"/>
    <w:rsid w:val="00ED70F7"/>
    <w:rsid w:val="00EE042A"/>
    <w:rsid w:val="00EE14FD"/>
    <w:rsid w:val="00EE20F8"/>
    <w:rsid w:val="00EE5431"/>
    <w:rsid w:val="00F001AB"/>
    <w:rsid w:val="00F10DFD"/>
    <w:rsid w:val="00F14BE9"/>
    <w:rsid w:val="00F20076"/>
    <w:rsid w:val="00F20E49"/>
    <w:rsid w:val="00F23660"/>
    <w:rsid w:val="00F27F98"/>
    <w:rsid w:val="00F34ADF"/>
    <w:rsid w:val="00F34FA4"/>
    <w:rsid w:val="00F37584"/>
    <w:rsid w:val="00F41DB5"/>
    <w:rsid w:val="00F41EDF"/>
    <w:rsid w:val="00F44AE4"/>
    <w:rsid w:val="00F44FE1"/>
    <w:rsid w:val="00F4627C"/>
    <w:rsid w:val="00F4638E"/>
    <w:rsid w:val="00F469D1"/>
    <w:rsid w:val="00F50A36"/>
    <w:rsid w:val="00F520A1"/>
    <w:rsid w:val="00F57898"/>
    <w:rsid w:val="00F637E6"/>
    <w:rsid w:val="00F64EAE"/>
    <w:rsid w:val="00F73D1D"/>
    <w:rsid w:val="00F76F4F"/>
    <w:rsid w:val="00F80808"/>
    <w:rsid w:val="00F80A75"/>
    <w:rsid w:val="00F81669"/>
    <w:rsid w:val="00F81BE0"/>
    <w:rsid w:val="00F81E2C"/>
    <w:rsid w:val="00F92C8C"/>
    <w:rsid w:val="00F93707"/>
    <w:rsid w:val="00F94397"/>
    <w:rsid w:val="00F96397"/>
    <w:rsid w:val="00FA0199"/>
    <w:rsid w:val="00FA5B47"/>
    <w:rsid w:val="00FB3017"/>
    <w:rsid w:val="00FB3C26"/>
    <w:rsid w:val="00FB5496"/>
    <w:rsid w:val="00FB5947"/>
    <w:rsid w:val="00FB5B48"/>
    <w:rsid w:val="00FC499F"/>
    <w:rsid w:val="00FD0D44"/>
    <w:rsid w:val="00FD2EC5"/>
    <w:rsid w:val="00FE17AF"/>
    <w:rsid w:val="00FE37D3"/>
    <w:rsid w:val="00FE398A"/>
    <w:rsid w:val="00FE6A20"/>
    <w:rsid w:val="00FF3D0E"/>
    <w:rsid w:val="00FF497B"/>
    <w:rsid w:val="00FF4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AE1B"/>
  <w15:chartTrackingRefBased/>
  <w15:docId w15:val="{6D6546E8-1778-423F-8287-898AC67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F2B"/>
    <w:pPr>
      <w:spacing w:after="0"/>
    </w:pPr>
  </w:style>
  <w:style w:type="paragraph" w:styleId="Kop1">
    <w:name w:val="heading 1"/>
    <w:basedOn w:val="Standaard"/>
    <w:next w:val="Standaard"/>
    <w:link w:val="Kop1Char"/>
    <w:uiPriority w:val="9"/>
    <w:qFormat/>
    <w:rsid w:val="00D72356"/>
    <w:pPr>
      <w:keepNext/>
      <w:keepLines/>
      <w:pageBreakBefore/>
      <w:numPr>
        <w:numId w:val="7"/>
      </w:numPr>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D1FB2"/>
    <w:pPr>
      <w:keepNext/>
      <w:keepLines/>
      <w:pageBreakBefore/>
      <w:numPr>
        <w:ilvl w:val="1"/>
        <w:numId w:val="7"/>
      </w:numPr>
      <w:spacing w:before="80" w:line="240" w:lineRule="auto"/>
      <w:ind w:left="576"/>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CA5B2E"/>
    <w:pPr>
      <w:keepNext/>
      <w:keepLines/>
      <w:numPr>
        <w:ilvl w:val="2"/>
        <w:numId w:val="7"/>
      </w:numPr>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A5B2E"/>
    <w:pPr>
      <w:keepNext/>
      <w:keepLines/>
      <w:numPr>
        <w:ilvl w:val="3"/>
        <w:numId w:val="7"/>
      </w:numPr>
      <w:spacing w:before="4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A5B2E"/>
    <w:pPr>
      <w:keepNext/>
      <w:keepLines/>
      <w:numPr>
        <w:ilvl w:val="4"/>
        <w:numId w:val="7"/>
      </w:numPr>
      <w:spacing w:before="4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A5B2E"/>
    <w:pPr>
      <w:keepNext/>
      <w:keepLines/>
      <w:numPr>
        <w:ilvl w:val="5"/>
        <w:numId w:val="7"/>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A5B2E"/>
    <w:pPr>
      <w:keepNext/>
      <w:keepLines/>
      <w:numPr>
        <w:ilvl w:val="6"/>
        <w:numId w:val="7"/>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CA5B2E"/>
    <w:pPr>
      <w:keepNext/>
      <w:keepLines/>
      <w:numPr>
        <w:ilvl w:val="7"/>
        <w:numId w:val="7"/>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A5B2E"/>
    <w:pPr>
      <w:keepNext/>
      <w:keepLines/>
      <w:numPr>
        <w:ilvl w:val="8"/>
        <w:numId w:val="7"/>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lijst-accent111">
    <w:name w:val="Lichte lijst - accent 111"/>
    <w:basedOn w:val="Standaardtabel"/>
    <w:uiPriority w:val="61"/>
    <w:rsid w:val="00CA5B2E"/>
    <w:pPr>
      <w:spacing w:after="0" w:line="240" w:lineRule="auto"/>
    </w:pPr>
    <w:rPr>
      <w:rFonts w:ascii="Times New Roman" w:eastAsia="Times New Roman" w:hAnsi="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Voetnoottekst">
    <w:name w:val="footnote text"/>
    <w:aliases w:val="Voetnoottekst CE Delft,Voetnoottekst Char1,Voetnoottekst Char2 Char,Voetnoottekst Char1 Char Char,Voetnoottekst Char3 Char Char Char,Voetnoottekst Char2 Char Char Char Char,Voetnoottekst Char1 Char Char Char Char Char,Voetnoottekst Char2"/>
    <w:basedOn w:val="Standaard"/>
    <w:link w:val="VoetnoottekstChar"/>
    <w:uiPriority w:val="99"/>
    <w:qFormat/>
    <w:rsid w:val="00CA5B2E"/>
    <w:pPr>
      <w:spacing w:line="180" w:lineRule="atLeast"/>
    </w:pPr>
    <w:rPr>
      <w:rFonts w:eastAsia="Times New Roman" w:cs="Times New Roman"/>
      <w:sz w:val="13"/>
      <w:lang w:eastAsia="nl-NL"/>
    </w:rPr>
  </w:style>
  <w:style w:type="character" w:customStyle="1" w:styleId="VoetnoottekstChar">
    <w:name w:val="Voetnoottekst Char"/>
    <w:aliases w:val="Voetnoottekst CE Delft Char,Voetnoottekst Char1 Char,Voetnoottekst Char2 Char Char,Voetnoottekst Char1 Char Char Char,Voetnoottekst Char3 Char Char Char Char,Voetnoottekst Char2 Char Char Char Char Char,Voetnoottekst Char2 Char1"/>
    <w:basedOn w:val="Standaardalinea-lettertype"/>
    <w:link w:val="Voetnoottekst"/>
    <w:uiPriority w:val="99"/>
    <w:rsid w:val="00CA5B2E"/>
    <w:rPr>
      <w:rFonts w:eastAsia="Times New Roman" w:cs="Times New Roman"/>
      <w:sz w:val="13"/>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A5B2E"/>
    <w:rPr>
      <w:rFonts w:cs="Times New Roman"/>
      <w:vertAlign w:val="superscript"/>
    </w:rPr>
  </w:style>
  <w:style w:type="character" w:styleId="Hyperlink">
    <w:name w:val="Hyperlink"/>
    <w:basedOn w:val="Standaardalinea-lettertype"/>
    <w:uiPriority w:val="99"/>
    <w:rsid w:val="00CA5B2E"/>
    <w:rPr>
      <w:color w:val="0000FF"/>
      <w:u w:val="single"/>
    </w:rPr>
  </w:style>
  <w:style w:type="character" w:customStyle="1" w:styleId="Kop1Char">
    <w:name w:val="Kop 1 Char"/>
    <w:basedOn w:val="Standaardalinea-lettertype"/>
    <w:link w:val="Kop1"/>
    <w:uiPriority w:val="9"/>
    <w:rsid w:val="00D72356"/>
    <w:rPr>
      <w:rFonts w:asciiTheme="majorHAnsi" w:eastAsiaTheme="majorEastAsia" w:hAnsiTheme="majorHAnsi" w:cstheme="majorBidi"/>
      <w:color w:val="2E74B5"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A5B2E"/>
    <w:pPr>
      <w:ind w:left="720"/>
      <w:contextualSpacing/>
    </w:pPr>
  </w:style>
  <w:style w:type="character" w:customStyle="1" w:styleId="Kop2Char">
    <w:name w:val="Kop 2 Char"/>
    <w:basedOn w:val="Standaardalinea-lettertype"/>
    <w:link w:val="Kop2"/>
    <w:uiPriority w:val="9"/>
    <w:rsid w:val="00ED1FB2"/>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CA5B2E"/>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A5B2E"/>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A5B2E"/>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A5B2E"/>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A5B2E"/>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CA5B2E"/>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A5B2E"/>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unhideWhenUsed/>
    <w:qFormat/>
    <w:rsid w:val="00CA5B2E"/>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A5B2E"/>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CA5B2E"/>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CA5B2E"/>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A5B2E"/>
    <w:rPr>
      <w:rFonts w:asciiTheme="majorHAnsi" w:eastAsiaTheme="majorEastAsia" w:hAnsiTheme="majorHAnsi" w:cstheme="majorBidi"/>
      <w:sz w:val="24"/>
      <w:szCs w:val="24"/>
    </w:rPr>
  </w:style>
  <w:style w:type="character" w:styleId="Zwaar">
    <w:name w:val="Strong"/>
    <w:basedOn w:val="Standaardalinea-lettertype"/>
    <w:uiPriority w:val="22"/>
    <w:qFormat/>
    <w:rsid w:val="00CA5B2E"/>
    <w:rPr>
      <w:b/>
      <w:bCs/>
    </w:rPr>
  </w:style>
  <w:style w:type="character" w:styleId="Nadruk">
    <w:name w:val="Emphasis"/>
    <w:basedOn w:val="Standaardalinea-lettertype"/>
    <w:uiPriority w:val="20"/>
    <w:qFormat/>
    <w:rsid w:val="00CA5B2E"/>
    <w:rPr>
      <w:i/>
      <w:iCs/>
    </w:rPr>
  </w:style>
  <w:style w:type="paragraph" w:styleId="Geenafstand">
    <w:name w:val="No Spacing"/>
    <w:uiPriority w:val="1"/>
    <w:qFormat/>
    <w:rsid w:val="00CA5B2E"/>
    <w:pPr>
      <w:spacing w:after="0" w:line="240" w:lineRule="auto"/>
    </w:pPr>
  </w:style>
  <w:style w:type="paragraph" w:styleId="Citaat">
    <w:name w:val="Quote"/>
    <w:basedOn w:val="Standaard"/>
    <w:next w:val="Standaard"/>
    <w:link w:val="CitaatChar"/>
    <w:uiPriority w:val="29"/>
    <w:qFormat/>
    <w:rsid w:val="00CA5B2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A5B2E"/>
    <w:rPr>
      <w:i/>
      <w:iCs/>
      <w:color w:val="404040" w:themeColor="text1" w:themeTint="BF"/>
    </w:rPr>
  </w:style>
  <w:style w:type="paragraph" w:styleId="Duidelijkcitaat">
    <w:name w:val="Intense Quote"/>
    <w:basedOn w:val="Standaard"/>
    <w:next w:val="Standaard"/>
    <w:link w:val="DuidelijkcitaatChar"/>
    <w:uiPriority w:val="30"/>
    <w:qFormat/>
    <w:rsid w:val="00CA5B2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CA5B2E"/>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CA5B2E"/>
    <w:rPr>
      <w:i/>
      <w:iCs/>
      <w:color w:val="404040" w:themeColor="text1" w:themeTint="BF"/>
    </w:rPr>
  </w:style>
  <w:style w:type="character" w:styleId="Intensievebenadrukking">
    <w:name w:val="Intense Emphasis"/>
    <w:basedOn w:val="Standaardalinea-lettertype"/>
    <w:uiPriority w:val="21"/>
    <w:qFormat/>
    <w:rsid w:val="00CA5B2E"/>
    <w:rPr>
      <w:b/>
      <w:bCs/>
      <w:i/>
      <w:iCs/>
    </w:rPr>
  </w:style>
  <w:style w:type="character" w:styleId="Subtieleverwijzing">
    <w:name w:val="Subtle Reference"/>
    <w:basedOn w:val="Standaardalinea-lettertype"/>
    <w:uiPriority w:val="31"/>
    <w:qFormat/>
    <w:rsid w:val="00CA5B2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A5B2E"/>
    <w:rPr>
      <w:b/>
      <w:bCs/>
      <w:smallCaps/>
      <w:spacing w:val="5"/>
      <w:u w:val="single"/>
    </w:rPr>
  </w:style>
  <w:style w:type="character" w:styleId="Titelvanboek">
    <w:name w:val="Book Title"/>
    <w:basedOn w:val="Standaardalinea-lettertype"/>
    <w:uiPriority w:val="33"/>
    <w:qFormat/>
    <w:rsid w:val="00CA5B2E"/>
    <w:rPr>
      <w:b/>
      <w:bCs/>
      <w:smallCaps/>
    </w:rPr>
  </w:style>
  <w:style w:type="paragraph" w:styleId="Kopvaninhoudsopgave">
    <w:name w:val="TOC Heading"/>
    <w:basedOn w:val="Kop1"/>
    <w:next w:val="Standaard"/>
    <w:uiPriority w:val="39"/>
    <w:unhideWhenUsed/>
    <w:qFormat/>
    <w:rsid w:val="00CA5B2E"/>
    <w:pPr>
      <w:outlineLvl w:val="9"/>
    </w:pPr>
  </w:style>
  <w:style w:type="paragraph" w:styleId="Inhopg1">
    <w:name w:val="toc 1"/>
    <w:basedOn w:val="Standaard"/>
    <w:next w:val="Standaard"/>
    <w:autoRedefine/>
    <w:uiPriority w:val="39"/>
    <w:unhideWhenUsed/>
    <w:rsid w:val="00041528"/>
    <w:pPr>
      <w:tabs>
        <w:tab w:val="left" w:pos="440"/>
        <w:tab w:val="right" w:pos="9062"/>
      </w:tabs>
      <w:spacing w:before="200"/>
      <w:ind w:left="425" w:hanging="425"/>
    </w:pPr>
    <w:rPr>
      <w:rFonts w:eastAsia="Times New Roman"/>
      <w:b/>
      <w:noProof/>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B6C84"/>
  </w:style>
  <w:style w:type="paragraph" w:styleId="Inhopg2">
    <w:name w:val="toc 2"/>
    <w:basedOn w:val="Standaard"/>
    <w:next w:val="Standaard"/>
    <w:autoRedefine/>
    <w:uiPriority w:val="39"/>
    <w:unhideWhenUsed/>
    <w:rsid w:val="00BD1048"/>
    <w:pPr>
      <w:tabs>
        <w:tab w:val="left" w:pos="1100"/>
        <w:tab w:val="right" w:pos="9072"/>
      </w:tabs>
      <w:ind w:left="851" w:hanging="425"/>
    </w:pPr>
    <w:rPr>
      <w:noProof/>
    </w:rPr>
  </w:style>
  <w:style w:type="paragraph" w:styleId="Plattetekst">
    <w:name w:val="Body Text"/>
    <w:basedOn w:val="Standaard"/>
    <w:link w:val="PlattetekstChar"/>
    <w:rsid w:val="009F3F68"/>
    <w:pPr>
      <w:widowControl w:val="0"/>
      <w:tabs>
        <w:tab w:val="left" w:pos="1418"/>
        <w:tab w:val="left" w:pos="2835"/>
        <w:tab w:val="left" w:pos="4253"/>
        <w:tab w:val="left" w:pos="5670"/>
      </w:tabs>
      <w:suppressAutoHyphens/>
      <w:spacing w:line="360" w:lineRule="auto"/>
    </w:pPr>
    <w:rPr>
      <w:rFonts w:ascii="Arial" w:eastAsia="Times New Roman" w:hAnsi="Arial" w:cs="Times New Roman"/>
      <w:lang w:eastAsia="nl-NL"/>
    </w:rPr>
  </w:style>
  <w:style w:type="character" w:customStyle="1" w:styleId="PlattetekstChar">
    <w:name w:val="Platte tekst Char"/>
    <w:basedOn w:val="Standaardalinea-lettertype"/>
    <w:link w:val="Plattetekst"/>
    <w:rsid w:val="009F3F68"/>
    <w:rPr>
      <w:rFonts w:ascii="Arial" w:eastAsia="Times New Roman" w:hAnsi="Arial" w:cs="Times New Roman"/>
      <w:lang w:eastAsia="nl-NL"/>
    </w:rPr>
  </w:style>
  <w:style w:type="character" w:styleId="Verwijzingopmerking">
    <w:name w:val="annotation reference"/>
    <w:basedOn w:val="Standaardalinea-lettertype"/>
    <w:uiPriority w:val="99"/>
    <w:semiHidden/>
    <w:unhideWhenUsed/>
    <w:rsid w:val="009F3F68"/>
    <w:rPr>
      <w:sz w:val="16"/>
      <w:szCs w:val="16"/>
    </w:rPr>
  </w:style>
  <w:style w:type="paragraph" w:styleId="Tekstopmerking">
    <w:name w:val="annotation text"/>
    <w:basedOn w:val="Standaard"/>
    <w:link w:val="TekstopmerkingChar"/>
    <w:uiPriority w:val="99"/>
    <w:unhideWhenUsed/>
    <w:rsid w:val="009F3F68"/>
    <w:pPr>
      <w:spacing w:line="240" w:lineRule="auto"/>
    </w:pPr>
    <w:rPr>
      <w:lang w:val="en-US"/>
    </w:rPr>
  </w:style>
  <w:style w:type="character" w:customStyle="1" w:styleId="TekstopmerkingChar">
    <w:name w:val="Tekst opmerking Char"/>
    <w:basedOn w:val="Standaardalinea-lettertype"/>
    <w:link w:val="Tekstopmerking"/>
    <w:uiPriority w:val="99"/>
    <w:rsid w:val="009F3F68"/>
    <w:rPr>
      <w:lang w:val="en-US"/>
    </w:rPr>
  </w:style>
  <w:style w:type="paragraph" w:styleId="Ballontekst">
    <w:name w:val="Balloon Text"/>
    <w:basedOn w:val="Standaard"/>
    <w:link w:val="BallontekstChar"/>
    <w:uiPriority w:val="99"/>
    <w:semiHidden/>
    <w:unhideWhenUsed/>
    <w:rsid w:val="009F3F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3F6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91CE9"/>
    <w:rPr>
      <w:b/>
      <w:bCs/>
      <w:lang w:val="nl-NL"/>
    </w:rPr>
  </w:style>
  <w:style w:type="character" w:customStyle="1" w:styleId="OnderwerpvanopmerkingChar">
    <w:name w:val="Onderwerp van opmerking Char"/>
    <w:basedOn w:val="TekstopmerkingChar"/>
    <w:link w:val="Onderwerpvanopmerking"/>
    <w:uiPriority w:val="99"/>
    <w:semiHidden/>
    <w:rsid w:val="00B91CE9"/>
    <w:rPr>
      <w:b/>
      <w:bCs/>
      <w:lang w:val="en-US"/>
    </w:rPr>
  </w:style>
  <w:style w:type="table" w:customStyle="1" w:styleId="Rastertabel4-Accent11">
    <w:name w:val="Rastertabel 4 - Accent 11"/>
    <w:basedOn w:val="Standaardtabel"/>
    <w:uiPriority w:val="49"/>
    <w:rsid w:val="008E1F23"/>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mingstoelichting">
    <w:name w:val="Tabel ramingstoelichting"/>
    <w:basedOn w:val="Standaardtabel"/>
    <w:uiPriority w:val="61"/>
    <w:rsid w:val="00764587"/>
    <w:pPr>
      <w:spacing w:after="0" w:line="240" w:lineRule="auto"/>
      <w:jc w:val="center"/>
    </w:pPr>
    <w:rPr>
      <w:rFonts w:eastAsia="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jc w:val="center"/>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pPr>
        <w:jc w:val="left"/>
      </w:pPr>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Koptekst">
    <w:name w:val="header"/>
    <w:basedOn w:val="Standaard"/>
    <w:link w:val="KoptekstChar"/>
    <w:uiPriority w:val="99"/>
    <w:unhideWhenUsed/>
    <w:rsid w:val="0014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AE"/>
  </w:style>
  <w:style w:type="paragraph" w:styleId="Voettekst">
    <w:name w:val="footer"/>
    <w:basedOn w:val="Standaard"/>
    <w:link w:val="VoettekstChar"/>
    <w:uiPriority w:val="99"/>
    <w:unhideWhenUsed/>
    <w:rsid w:val="0014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68AE"/>
  </w:style>
  <w:style w:type="table" w:styleId="Tabelraster">
    <w:name w:val="Table Grid"/>
    <w:basedOn w:val="Standaardtabel"/>
    <w:uiPriority w:val="59"/>
    <w:rsid w:val="00181E4B"/>
    <w:pPr>
      <w:spacing w:after="0" w:line="240" w:lineRule="auto"/>
    </w:pPr>
    <w:rPr>
      <w:rFonts w:ascii="Verdana" w:eastAsiaTheme="minorHAns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E67"/>
    <w:pPr>
      <w:autoSpaceDE w:val="0"/>
      <w:autoSpaceDN w:val="0"/>
      <w:adjustRightInd w:val="0"/>
      <w:spacing w:after="0" w:line="240" w:lineRule="auto"/>
    </w:pPr>
    <w:rPr>
      <w:rFonts w:ascii="Verdana" w:eastAsiaTheme="minorHAnsi" w:hAnsi="Verdana" w:cs="Verdana"/>
      <w:color w:val="000000"/>
      <w:sz w:val="24"/>
      <w:szCs w:val="24"/>
    </w:rPr>
  </w:style>
  <w:style w:type="table" w:styleId="Tabelrasterlicht">
    <w:name w:val="Grid Table Light"/>
    <w:basedOn w:val="Standaardtabel"/>
    <w:uiPriority w:val="40"/>
    <w:rsid w:val="00C23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C23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C23D3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C23D3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C23D3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e">
    <w:name w:val="Revision"/>
    <w:hidden/>
    <w:uiPriority w:val="99"/>
    <w:semiHidden/>
    <w:rsid w:val="00286DA5"/>
    <w:pPr>
      <w:spacing w:after="0" w:line="240" w:lineRule="auto"/>
    </w:pPr>
  </w:style>
  <w:style w:type="table" w:styleId="Rastertabel4-Accent1">
    <w:name w:val="Grid Table 4 Accent 1"/>
    <w:basedOn w:val="Standaardtabel"/>
    <w:uiPriority w:val="49"/>
    <w:rsid w:val="00195C92"/>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f01">
    <w:name w:val="cf01"/>
    <w:basedOn w:val="Standaardalinea-lettertype"/>
    <w:rsid w:val="007A6BEE"/>
    <w:rPr>
      <w:rFonts w:ascii="Calibri" w:hAnsi="Calibri" w:cs="Calibri" w:hint="default"/>
      <w:sz w:val="22"/>
      <w:szCs w:val="22"/>
    </w:rPr>
  </w:style>
  <w:style w:type="paragraph" w:customStyle="1" w:styleId="Char1CharCharCarCarCarCarCarCarCarCarCarCar">
    <w:name w:val="Char1 Char Char Car Car Car Car Car Car Car Car Car Car"/>
    <w:basedOn w:val="Standaard"/>
    <w:next w:val="Standaard"/>
    <w:link w:val="Voetnootmarkering"/>
    <w:uiPriority w:val="99"/>
    <w:rsid w:val="007A6BEE"/>
    <w:pPr>
      <w:spacing w:after="160" w:line="240" w:lineRule="exact"/>
    </w:pPr>
    <w:rPr>
      <w:rFonts w:cs="Times New Roman"/>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uiPriority w:val="99"/>
    <w:rsid w:val="007A6BEE"/>
    <w:pPr>
      <w:autoSpaceDE w:val="0"/>
      <w:autoSpaceDN w:val="0"/>
      <w:spacing w:after="160" w:line="240" w:lineRule="exact"/>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687">
      <w:bodyDiv w:val="1"/>
      <w:marLeft w:val="0"/>
      <w:marRight w:val="0"/>
      <w:marTop w:val="0"/>
      <w:marBottom w:val="0"/>
      <w:divBdr>
        <w:top w:val="none" w:sz="0" w:space="0" w:color="auto"/>
        <w:left w:val="none" w:sz="0" w:space="0" w:color="auto"/>
        <w:bottom w:val="none" w:sz="0" w:space="0" w:color="auto"/>
        <w:right w:val="none" w:sz="0" w:space="0" w:color="auto"/>
      </w:divBdr>
    </w:div>
    <w:div w:id="297347376">
      <w:bodyDiv w:val="1"/>
      <w:marLeft w:val="0"/>
      <w:marRight w:val="0"/>
      <w:marTop w:val="0"/>
      <w:marBottom w:val="0"/>
      <w:divBdr>
        <w:top w:val="none" w:sz="0" w:space="0" w:color="auto"/>
        <w:left w:val="none" w:sz="0" w:space="0" w:color="auto"/>
        <w:bottom w:val="none" w:sz="0" w:space="0" w:color="auto"/>
        <w:right w:val="none" w:sz="0" w:space="0" w:color="auto"/>
      </w:divBdr>
    </w:div>
    <w:div w:id="348875299">
      <w:bodyDiv w:val="1"/>
      <w:marLeft w:val="0"/>
      <w:marRight w:val="0"/>
      <w:marTop w:val="0"/>
      <w:marBottom w:val="0"/>
      <w:divBdr>
        <w:top w:val="none" w:sz="0" w:space="0" w:color="auto"/>
        <w:left w:val="none" w:sz="0" w:space="0" w:color="auto"/>
        <w:bottom w:val="none" w:sz="0" w:space="0" w:color="auto"/>
        <w:right w:val="none" w:sz="0" w:space="0" w:color="auto"/>
      </w:divBdr>
    </w:div>
    <w:div w:id="666639582">
      <w:bodyDiv w:val="1"/>
      <w:marLeft w:val="0"/>
      <w:marRight w:val="0"/>
      <w:marTop w:val="0"/>
      <w:marBottom w:val="0"/>
      <w:divBdr>
        <w:top w:val="none" w:sz="0" w:space="0" w:color="auto"/>
        <w:left w:val="none" w:sz="0" w:space="0" w:color="auto"/>
        <w:bottom w:val="none" w:sz="0" w:space="0" w:color="auto"/>
        <w:right w:val="none" w:sz="0" w:space="0" w:color="auto"/>
      </w:divBdr>
    </w:div>
    <w:div w:id="790441798">
      <w:bodyDiv w:val="1"/>
      <w:marLeft w:val="0"/>
      <w:marRight w:val="0"/>
      <w:marTop w:val="0"/>
      <w:marBottom w:val="0"/>
      <w:divBdr>
        <w:top w:val="none" w:sz="0" w:space="0" w:color="auto"/>
        <w:left w:val="none" w:sz="0" w:space="0" w:color="auto"/>
        <w:bottom w:val="none" w:sz="0" w:space="0" w:color="auto"/>
        <w:right w:val="none" w:sz="0" w:space="0" w:color="auto"/>
      </w:divBdr>
    </w:div>
    <w:div w:id="808136191">
      <w:bodyDiv w:val="1"/>
      <w:marLeft w:val="0"/>
      <w:marRight w:val="0"/>
      <w:marTop w:val="0"/>
      <w:marBottom w:val="0"/>
      <w:divBdr>
        <w:top w:val="none" w:sz="0" w:space="0" w:color="auto"/>
        <w:left w:val="none" w:sz="0" w:space="0" w:color="auto"/>
        <w:bottom w:val="none" w:sz="0" w:space="0" w:color="auto"/>
        <w:right w:val="none" w:sz="0" w:space="0" w:color="auto"/>
      </w:divBdr>
    </w:div>
    <w:div w:id="985628034">
      <w:bodyDiv w:val="1"/>
      <w:marLeft w:val="0"/>
      <w:marRight w:val="0"/>
      <w:marTop w:val="0"/>
      <w:marBottom w:val="0"/>
      <w:divBdr>
        <w:top w:val="none" w:sz="0" w:space="0" w:color="auto"/>
        <w:left w:val="none" w:sz="0" w:space="0" w:color="auto"/>
        <w:bottom w:val="none" w:sz="0" w:space="0" w:color="auto"/>
        <w:right w:val="none" w:sz="0" w:space="0" w:color="auto"/>
      </w:divBdr>
    </w:div>
    <w:div w:id="1008797824">
      <w:bodyDiv w:val="1"/>
      <w:marLeft w:val="0"/>
      <w:marRight w:val="0"/>
      <w:marTop w:val="0"/>
      <w:marBottom w:val="0"/>
      <w:divBdr>
        <w:top w:val="none" w:sz="0" w:space="0" w:color="auto"/>
        <w:left w:val="none" w:sz="0" w:space="0" w:color="auto"/>
        <w:bottom w:val="none" w:sz="0" w:space="0" w:color="auto"/>
        <w:right w:val="none" w:sz="0" w:space="0" w:color="auto"/>
      </w:divBdr>
    </w:div>
    <w:div w:id="1080445337">
      <w:bodyDiv w:val="1"/>
      <w:marLeft w:val="0"/>
      <w:marRight w:val="0"/>
      <w:marTop w:val="0"/>
      <w:marBottom w:val="0"/>
      <w:divBdr>
        <w:top w:val="none" w:sz="0" w:space="0" w:color="auto"/>
        <w:left w:val="none" w:sz="0" w:space="0" w:color="auto"/>
        <w:bottom w:val="none" w:sz="0" w:space="0" w:color="auto"/>
        <w:right w:val="none" w:sz="0" w:space="0" w:color="auto"/>
      </w:divBdr>
    </w:div>
    <w:div w:id="1459493991">
      <w:bodyDiv w:val="1"/>
      <w:marLeft w:val="0"/>
      <w:marRight w:val="0"/>
      <w:marTop w:val="0"/>
      <w:marBottom w:val="0"/>
      <w:divBdr>
        <w:top w:val="none" w:sz="0" w:space="0" w:color="auto"/>
        <w:left w:val="none" w:sz="0" w:space="0" w:color="auto"/>
        <w:bottom w:val="none" w:sz="0" w:space="0" w:color="auto"/>
        <w:right w:val="none" w:sz="0" w:space="0" w:color="auto"/>
      </w:divBdr>
    </w:div>
    <w:div w:id="1505322764">
      <w:bodyDiv w:val="1"/>
      <w:marLeft w:val="0"/>
      <w:marRight w:val="0"/>
      <w:marTop w:val="0"/>
      <w:marBottom w:val="0"/>
      <w:divBdr>
        <w:top w:val="none" w:sz="0" w:space="0" w:color="auto"/>
        <w:left w:val="none" w:sz="0" w:space="0" w:color="auto"/>
        <w:bottom w:val="none" w:sz="0" w:space="0" w:color="auto"/>
        <w:right w:val="none" w:sz="0" w:space="0" w:color="auto"/>
      </w:divBdr>
    </w:div>
    <w:div w:id="1558931764">
      <w:bodyDiv w:val="1"/>
      <w:marLeft w:val="0"/>
      <w:marRight w:val="0"/>
      <w:marTop w:val="0"/>
      <w:marBottom w:val="0"/>
      <w:divBdr>
        <w:top w:val="none" w:sz="0" w:space="0" w:color="auto"/>
        <w:left w:val="none" w:sz="0" w:space="0" w:color="auto"/>
        <w:bottom w:val="none" w:sz="0" w:space="0" w:color="auto"/>
        <w:right w:val="none" w:sz="0" w:space="0" w:color="auto"/>
      </w:divBdr>
    </w:div>
    <w:div w:id="1579435719">
      <w:bodyDiv w:val="1"/>
      <w:marLeft w:val="0"/>
      <w:marRight w:val="0"/>
      <w:marTop w:val="0"/>
      <w:marBottom w:val="0"/>
      <w:divBdr>
        <w:top w:val="none" w:sz="0" w:space="0" w:color="auto"/>
        <w:left w:val="none" w:sz="0" w:space="0" w:color="auto"/>
        <w:bottom w:val="none" w:sz="0" w:space="0" w:color="auto"/>
        <w:right w:val="none" w:sz="0" w:space="0" w:color="auto"/>
      </w:divBdr>
    </w:div>
    <w:div w:id="1637291978">
      <w:bodyDiv w:val="1"/>
      <w:marLeft w:val="0"/>
      <w:marRight w:val="0"/>
      <w:marTop w:val="0"/>
      <w:marBottom w:val="0"/>
      <w:divBdr>
        <w:top w:val="none" w:sz="0" w:space="0" w:color="auto"/>
        <w:left w:val="none" w:sz="0" w:space="0" w:color="auto"/>
        <w:bottom w:val="none" w:sz="0" w:space="0" w:color="auto"/>
        <w:right w:val="none" w:sz="0" w:space="0" w:color="auto"/>
      </w:divBdr>
    </w:div>
    <w:div w:id="1658224452">
      <w:bodyDiv w:val="1"/>
      <w:marLeft w:val="0"/>
      <w:marRight w:val="0"/>
      <w:marTop w:val="0"/>
      <w:marBottom w:val="0"/>
      <w:divBdr>
        <w:top w:val="none" w:sz="0" w:space="0" w:color="auto"/>
        <w:left w:val="none" w:sz="0" w:space="0" w:color="auto"/>
        <w:bottom w:val="none" w:sz="0" w:space="0" w:color="auto"/>
        <w:right w:val="none" w:sz="0" w:space="0" w:color="auto"/>
      </w:divBdr>
    </w:div>
    <w:div w:id="1801462227">
      <w:bodyDiv w:val="1"/>
      <w:marLeft w:val="0"/>
      <w:marRight w:val="0"/>
      <w:marTop w:val="0"/>
      <w:marBottom w:val="0"/>
      <w:divBdr>
        <w:top w:val="none" w:sz="0" w:space="0" w:color="auto"/>
        <w:left w:val="none" w:sz="0" w:space="0" w:color="auto"/>
        <w:bottom w:val="none" w:sz="0" w:space="0" w:color="auto"/>
        <w:right w:val="none" w:sz="0" w:space="0" w:color="auto"/>
      </w:divBdr>
    </w:div>
    <w:div w:id="1909412114">
      <w:bodyDiv w:val="1"/>
      <w:marLeft w:val="0"/>
      <w:marRight w:val="0"/>
      <w:marTop w:val="0"/>
      <w:marBottom w:val="0"/>
      <w:divBdr>
        <w:top w:val="none" w:sz="0" w:space="0" w:color="auto"/>
        <w:left w:val="none" w:sz="0" w:space="0" w:color="auto"/>
        <w:bottom w:val="none" w:sz="0" w:space="0" w:color="auto"/>
        <w:right w:val="none" w:sz="0" w:space="0" w:color="auto"/>
      </w:divBdr>
    </w:div>
    <w:div w:id="1995139416">
      <w:bodyDiv w:val="1"/>
      <w:marLeft w:val="0"/>
      <w:marRight w:val="0"/>
      <w:marTop w:val="0"/>
      <w:marBottom w:val="0"/>
      <w:divBdr>
        <w:top w:val="none" w:sz="0" w:space="0" w:color="auto"/>
        <w:left w:val="none" w:sz="0" w:space="0" w:color="auto"/>
        <w:bottom w:val="none" w:sz="0" w:space="0" w:color="auto"/>
        <w:right w:val="none" w:sz="0" w:space="0" w:color="auto"/>
      </w:divBdr>
    </w:div>
    <w:div w:id="2059428109">
      <w:bodyDiv w:val="1"/>
      <w:marLeft w:val="0"/>
      <w:marRight w:val="0"/>
      <w:marTop w:val="0"/>
      <w:marBottom w:val="0"/>
      <w:divBdr>
        <w:top w:val="none" w:sz="0" w:space="0" w:color="auto"/>
        <w:left w:val="none" w:sz="0" w:space="0" w:color="auto"/>
        <w:bottom w:val="none" w:sz="0" w:space="0" w:color="auto"/>
        <w:right w:val="none" w:sz="0" w:space="0" w:color="auto"/>
      </w:divBdr>
    </w:div>
    <w:div w:id="2146118837">
      <w:bodyDiv w:val="1"/>
      <w:marLeft w:val="0"/>
      <w:marRight w:val="0"/>
      <w:marTop w:val="0"/>
      <w:marBottom w:val="0"/>
      <w:divBdr>
        <w:top w:val="none" w:sz="0" w:space="0" w:color="auto"/>
        <w:left w:val="none" w:sz="0" w:space="0" w:color="auto"/>
        <w:bottom w:val="none" w:sz="0" w:space="0" w:color="auto"/>
        <w:right w:val="none" w:sz="0" w:space="0" w:color="auto"/>
      </w:divBdr>
    </w:div>
    <w:div w:id="21469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1122</ap:Words>
  <ap:Characters>6177</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2020-09-09T11:40:00.0000000Z</lastPrinted>
  <dcterms:created xsi:type="dcterms:W3CDTF">2026-04-29T10:59:00.0000000Z</dcterms:created>
  <dcterms:modified xsi:type="dcterms:W3CDTF">2026-04-29T10:59:00.0000000Z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2023-08-31T12:37:20Z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df92dcef-3820-4925-8054-963aaf1cce5a</vt:lpwstr>
  </property>
  <property fmtid="{D5CDD505-2E9C-101B-9397-08002B2CF9AE}" pid="8" name="MSIP_Label_f4b587cc-5349-4506-9b19-2242ab88a0ee_ContentBits">
    <vt:lpwstr>0</vt:lpwstr>
  </property>
</Properties>
</file>